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sz w:val="48"/>
          <w:szCs w:val="48"/>
        </w:rPr>
      </w:pPr>
    </w:p>
    <w:p>
      <w:pPr>
        <w:pStyle w:val="5"/>
        <w:jc w:val="center"/>
        <w:rPr>
          <w:sz w:val="48"/>
          <w:szCs w:val="48"/>
        </w:rPr>
      </w:pPr>
      <w:r>
        <w:rPr>
          <w:rFonts w:hint="eastAsia"/>
          <w:sz w:val="48"/>
          <w:szCs w:val="48"/>
        </w:rPr>
        <w:t>新田县卫生计生综合监督执法局2021年度部门决算公开</w:t>
      </w:r>
    </w:p>
    <w:p>
      <w:pPr>
        <w:pStyle w:val="5"/>
        <w:spacing w:line="540" w:lineRule="exact"/>
        <w:jc w:val="center"/>
        <w:rPr>
          <w:sz w:val="56"/>
          <w:szCs w:val="56"/>
        </w:rPr>
      </w:pPr>
    </w:p>
    <w:p>
      <w:pPr>
        <w:pStyle w:val="5"/>
        <w:spacing w:line="520" w:lineRule="exact"/>
        <w:jc w:val="center"/>
        <w:rPr>
          <w:sz w:val="44"/>
          <w:szCs w:val="44"/>
        </w:rPr>
      </w:pPr>
      <w:r>
        <w:rPr>
          <w:rFonts w:hint="eastAsia"/>
          <w:sz w:val="44"/>
          <w:szCs w:val="44"/>
        </w:rPr>
        <w:t>目录</w:t>
      </w:r>
    </w:p>
    <w:p>
      <w:pPr>
        <w:pStyle w:val="5"/>
        <w:spacing w:line="520" w:lineRule="exact"/>
        <w:rPr>
          <w:rFonts w:ascii="仿宋_GB2312" w:hAnsi="仿宋_GB2312" w:cs="仿宋_GB2312"/>
          <w:b/>
          <w:sz w:val="28"/>
          <w:szCs w:val="28"/>
        </w:rPr>
      </w:pPr>
      <w:r>
        <w:rPr>
          <w:rFonts w:hint="eastAsia"/>
          <w:b/>
          <w:sz w:val="28"/>
          <w:szCs w:val="28"/>
        </w:rPr>
        <w:t>第一部分新田县卫生计生综合监督执法局概况</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5"/>
        <w:spacing w:line="520" w:lineRule="exact"/>
        <w:rPr>
          <w:rFonts w:ascii="仿宋_GB2312" w:hAnsi="仿宋_GB2312" w:cs="仿宋_GB2312"/>
          <w:b/>
          <w:sz w:val="28"/>
          <w:szCs w:val="28"/>
        </w:rPr>
      </w:pPr>
      <w:r>
        <w:rPr>
          <w:rFonts w:hint="eastAsia" w:hAnsi="仿宋_GB2312"/>
          <w:b/>
          <w:sz w:val="28"/>
          <w:szCs w:val="28"/>
        </w:rPr>
        <w:t>第二部分2021年度部门决算表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5"/>
        <w:spacing w:line="520" w:lineRule="exact"/>
        <w:ind w:firstLine="840" w:firstLineChars="300"/>
        <w:rPr>
          <w:rFonts w:ascii="宋体" w:hAnsi="宋体" w:eastAsia="宋体" w:cs="宋体"/>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九、</w:t>
      </w:r>
      <w:r>
        <w:rPr>
          <w:rFonts w:hint="eastAsia" w:ascii="宋体" w:hAnsi="宋体" w:eastAsia="宋体" w:cs="宋体"/>
          <w:color w:val="333333"/>
          <w:sz w:val="28"/>
          <w:szCs w:val="28"/>
          <w:shd w:val="clear" w:color="auto" w:fill="FFFFFF"/>
        </w:rPr>
        <w:t>国有资本经营预算财政拨款支出决算表</w:t>
      </w:r>
    </w:p>
    <w:p>
      <w:pPr>
        <w:pStyle w:val="5"/>
        <w:spacing w:line="520" w:lineRule="exact"/>
        <w:rPr>
          <w:rFonts w:ascii="仿宋_GB2312" w:hAnsi="仿宋_GB2312" w:cs="仿宋_GB2312"/>
          <w:b/>
          <w:sz w:val="28"/>
          <w:szCs w:val="28"/>
        </w:rPr>
      </w:pPr>
      <w:r>
        <w:rPr>
          <w:rFonts w:hint="eastAsia" w:hAnsi="仿宋_GB2312"/>
          <w:b/>
          <w:sz w:val="28"/>
          <w:szCs w:val="28"/>
        </w:rPr>
        <w:t>第三部分2021年度部门决算情况说明</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一、收入支出决算总体情况说明</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二、收入决算情况说明</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三、支出决算情况说明</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四、财政拨款收入支出决算总体情况说明</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五、一般公共预算财政拨款支出决算情况说明</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六、一般公共预算财政拨款基本支出决算情况说明</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七、一般公共预算财政拨款“三公”经费支出决算情况说明</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八、政府性基金预算收入支出决算情况</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九、国有资本经营预算财政拨款支出决算情况</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十、机关运行经费支出说明</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十一、一般性支出情况说明</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十二、政府采购支出说明</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十三、国有资产占用情况说明</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十四、2021年度预算绩效情况说明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rPr>
          <w:rFonts w:ascii="黑体" w:hAnsi="黑体" w:eastAsia="黑体" w:cs="黑体"/>
          <w:sz w:val="32"/>
          <w:szCs w:val="32"/>
        </w:rPr>
      </w:pPr>
      <w:r>
        <w:rPr>
          <w:rFonts w:hint="eastAsia" w:ascii="黑体" w:hAnsi="黑体" w:eastAsia="黑体" w:cs="黑体"/>
          <w:sz w:val="32"/>
          <w:szCs w:val="32"/>
        </w:rPr>
        <w:t>第一部分  新田县卫生计生综合监督执法局概况</w:t>
      </w:r>
    </w:p>
    <w:p>
      <w:pPr>
        <w:pStyle w:val="6"/>
        <w:numPr>
          <w:ilvl w:val="0"/>
          <w:numId w:val="1"/>
        </w:numPr>
        <w:ind w:firstLineChars="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部门职责</w:t>
      </w:r>
    </w:p>
    <w:p>
      <w:pPr>
        <w:widowControl/>
        <w:spacing w:line="600" w:lineRule="exact"/>
        <w:ind w:firstLine="560" w:firstLineChars="200"/>
        <w:rPr>
          <w:rFonts w:hint="eastAsia" w:asciiTheme="minorEastAsia" w:hAnsiTheme="minorEastAsia" w:cstheme="minorEastAsia"/>
          <w:bCs/>
          <w:kern w:val="0"/>
          <w:sz w:val="28"/>
          <w:szCs w:val="28"/>
        </w:rPr>
      </w:pPr>
      <w:r>
        <w:rPr>
          <w:rFonts w:hint="eastAsia" w:asciiTheme="minorEastAsia" w:hAnsiTheme="minorEastAsia" w:cstheme="minorEastAsia"/>
          <w:bCs/>
          <w:kern w:val="0"/>
          <w:sz w:val="28"/>
          <w:szCs w:val="28"/>
        </w:rPr>
        <w:t>（一）负责组织实施行政区域或内卫生计生专项整治和日常监督检查工作；</w:t>
      </w:r>
    </w:p>
    <w:p>
      <w:pPr>
        <w:widowControl/>
        <w:spacing w:line="600" w:lineRule="exact"/>
        <w:ind w:firstLine="560" w:firstLineChars="200"/>
        <w:rPr>
          <w:rFonts w:hint="eastAsia" w:asciiTheme="minorEastAsia" w:hAnsiTheme="minorEastAsia" w:cstheme="minorEastAsia"/>
          <w:bCs/>
          <w:kern w:val="0"/>
          <w:sz w:val="28"/>
          <w:szCs w:val="28"/>
        </w:rPr>
      </w:pPr>
      <w:r>
        <w:rPr>
          <w:rFonts w:hint="eastAsia" w:asciiTheme="minorEastAsia" w:hAnsiTheme="minorEastAsia" w:cstheme="minorEastAsia"/>
          <w:bCs/>
          <w:kern w:val="0"/>
          <w:sz w:val="28"/>
          <w:szCs w:val="28"/>
        </w:rPr>
        <w:t>（二）负责对全县生活饮用水卫生、公共场所卫生、学校卫生、职业放谢卫生、传染病防治、医疗机构、采供血机构的监管；</w:t>
      </w:r>
    </w:p>
    <w:p>
      <w:pPr>
        <w:widowControl/>
        <w:spacing w:line="600" w:lineRule="exact"/>
        <w:ind w:firstLine="560" w:firstLineChars="200"/>
        <w:rPr>
          <w:rFonts w:hint="eastAsia" w:asciiTheme="minorEastAsia" w:hAnsiTheme="minorEastAsia" w:cstheme="minorEastAsia"/>
          <w:bCs/>
          <w:kern w:val="0"/>
          <w:sz w:val="28"/>
          <w:szCs w:val="28"/>
        </w:rPr>
      </w:pPr>
      <w:r>
        <w:rPr>
          <w:rFonts w:hint="eastAsia" w:asciiTheme="minorEastAsia" w:hAnsiTheme="minorEastAsia" w:cstheme="minorEastAsia"/>
          <w:bCs/>
          <w:kern w:val="0"/>
          <w:sz w:val="28"/>
          <w:szCs w:val="28"/>
        </w:rPr>
        <w:t>（三）承办卫生行政许可的审核、报批、发证等具体工作；</w:t>
      </w:r>
    </w:p>
    <w:p>
      <w:pPr>
        <w:widowControl/>
        <w:spacing w:line="600" w:lineRule="exact"/>
        <w:ind w:firstLine="560" w:firstLineChars="200"/>
        <w:rPr>
          <w:rFonts w:hint="eastAsia" w:asciiTheme="minorEastAsia" w:hAnsiTheme="minorEastAsia" w:cstheme="minorEastAsia"/>
          <w:bCs/>
          <w:kern w:val="0"/>
          <w:sz w:val="28"/>
          <w:szCs w:val="28"/>
        </w:rPr>
      </w:pPr>
      <w:r>
        <w:rPr>
          <w:rFonts w:hint="eastAsia" w:asciiTheme="minorEastAsia" w:hAnsiTheme="minorEastAsia" w:cstheme="minorEastAsia"/>
          <w:bCs/>
          <w:kern w:val="0"/>
          <w:sz w:val="28"/>
          <w:szCs w:val="28"/>
        </w:rPr>
        <w:t>（四）审查健康相关产品广告、医疗广告内容；</w:t>
      </w:r>
    </w:p>
    <w:p>
      <w:pPr>
        <w:widowControl/>
        <w:spacing w:line="600" w:lineRule="exact"/>
        <w:ind w:firstLine="560" w:firstLineChars="200"/>
        <w:rPr>
          <w:rFonts w:hint="eastAsia" w:asciiTheme="minorEastAsia" w:hAnsiTheme="minorEastAsia" w:cstheme="minorEastAsia"/>
          <w:bCs/>
          <w:kern w:val="0"/>
          <w:sz w:val="28"/>
          <w:szCs w:val="28"/>
        </w:rPr>
      </w:pPr>
      <w:r>
        <w:rPr>
          <w:rFonts w:hint="eastAsia" w:asciiTheme="minorEastAsia" w:hAnsiTheme="minorEastAsia" w:cstheme="minorEastAsia"/>
          <w:bCs/>
          <w:kern w:val="0"/>
          <w:sz w:val="28"/>
          <w:szCs w:val="28"/>
        </w:rPr>
        <w:t>（五）承担对违反卫生法律法规行为的调查取证，提出处理意见；</w:t>
      </w:r>
    </w:p>
    <w:p>
      <w:pPr>
        <w:widowControl/>
        <w:spacing w:line="600" w:lineRule="exact"/>
        <w:ind w:firstLine="560" w:firstLineChars="200"/>
        <w:rPr>
          <w:rFonts w:hint="eastAsia" w:asciiTheme="minorEastAsia" w:hAnsiTheme="minorEastAsia" w:cstheme="minorEastAsia"/>
          <w:bCs/>
          <w:kern w:val="0"/>
          <w:sz w:val="28"/>
          <w:szCs w:val="28"/>
        </w:rPr>
      </w:pPr>
      <w:r>
        <w:rPr>
          <w:rFonts w:hint="eastAsia" w:asciiTheme="minorEastAsia" w:hAnsiTheme="minorEastAsia" w:cstheme="minorEastAsia"/>
          <w:bCs/>
          <w:kern w:val="0"/>
          <w:sz w:val="28"/>
          <w:szCs w:val="28"/>
        </w:rPr>
        <w:t>（六）执行卫生行政控制措施与处罚决定；</w:t>
      </w:r>
    </w:p>
    <w:p>
      <w:pPr>
        <w:widowControl/>
        <w:spacing w:line="600" w:lineRule="exact"/>
        <w:ind w:firstLine="560" w:firstLineChars="200"/>
        <w:rPr>
          <w:rFonts w:hint="eastAsia" w:asciiTheme="minorEastAsia" w:hAnsiTheme="minorEastAsia" w:cstheme="minorEastAsia"/>
          <w:bCs/>
          <w:kern w:val="0"/>
          <w:sz w:val="28"/>
          <w:szCs w:val="28"/>
        </w:rPr>
      </w:pPr>
      <w:r>
        <w:rPr>
          <w:rFonts w:hint="eastAsia" w:asciiTheme="minorEastAsia" w:hAnsiTheme="minorEastAsia" w:cstheme="minorEastAsia"/>
          <w:bCs/>
          <w:kern w:val="0"/>
          <w:sz w:val="28"/>
          <w:szCs w:val="28"/>
        </w:rPr>
        <w:t>（七）参与对危害公共卫生、医疗事故、重大疫情和突发性公共卫生事件违法行为的调查处理；</w:t>
      </w:r>
    </w:p>
    <w:p>
      <w:pPr>
        <w:widowControl/>
        <w:spacing w:line="600" w:lineRule="exact"/>
        <w:ind w:firstLine="560" w:firstLineChars="200"/>
        <w:rPr>
          <w:rFonts w:hint="eastAsia" w:asciiTheme="minorEastAsia" w:hAnsiTheme="minorEastAsia" w:cstheme="minorEastAsia"/>
          <w:bCs/>
          <w:kern w:val="0"/>
          <w:sz w:val="28"/>
          <w:szCs w:val="28"/>
        </w:rPr>
      </w:pPr>
      <w:r>
        <w:rPr>
          <w:rFonts w:hint="eastAsia" w:asciiTheme="minorEastAsia" w:hAnsiTheme="minorEastAsia" w:cstheme="minorEastAsia"/>
          <w:bCs/>
          <w:kern w:val="0"/>
          <w:sz w:val="28"/>
          <w:szCs w:val="28"/>
        </w:rPr>
        <w:t>（八）负责对母婴保健机构、计划生育技术服务机构和从业人员的行为规范进行监督，依法打击“非医学需要的胎儿性别鉴定和非医学需要选择性别的人工终止妊娠”行为；</w:t>
      </w:r>
    </w:p>
    <w:p>
      <w:pPr>
        <w:widowControl/>
        <w:spacing w:line="600" w:lineRule="exac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二、机构设置及决算单位构成</w:t>
      </w:r>
    </w:p>
    <w:p>
      <w:pPr>
        <w:widowControl/>
        <w:spacing w:line="600" w:lineRule="exact"/>
        <w:ind w:firstLine="560" w:firstLineChars="200"/>
        <w:rPr>
          <w:rFonts w:asciiTheme="minorEastAsia" w:hAnsiTheme="minorEastAsia" w:cstheme="minorEastAsia"/>
          <w:bCs/>
          <w:kern w:val="0"/>
          <w:sz w:val="28"/>
          <w:szCs w:val="28"/>
        </w:rPr>
      </w:pPr>
      <w:r>
        <w:rPr>
          <w:rFonts w:hint="eastAsia" w:asciiTheme="minorEastAsia" w:hAnsiTheme="minorEastAsia" w:cstheme="minorEastAsia"/>
          <w:bCs/>
          <w:kern w:val="0"/>
          <w:sz w:val="28"/>
          <w:szCs w:val="28"/>
        </w:rPr>
        <w:t>（一）内设机构设置。新田县卫生计生综合监督执法局内设机构为</w:t>
      </w:r>
      <w:r>
        <w:rPr>
          <w:rFonts w:ascii="仿宋_GB2312" w:hAnsi="仿宋_GB2312" w:cs="仿宋_GB2312"/>
          <w:color w:val="000000"/>
          <w:sz w:val="28"/>
          <w:szCs w:val="28"/>
        </w:rPr>
        <w:t>内设</w:t>
      </w:r>
      <w:r>
        <w:rPr>
          <w:rFonts w:hint="eastAsia" w:ascii="仿宋_GB2312" w:hAnsi="仿宋_GB2312" w:cs="仿宋_GB2312"/>
          <w:color w:val="000000"/>
          <w:sz w:val="28"/>
          <w:szCs w:val="28"/>
        </w:rPr>
        <w:t>股室5</w:t>
      </w:r>
      <w:r>
        <w:rPr>
          <w:rFonts w:ascii="仿宋_GB2312" w:hAnsi="仿宋_GB2312" w:cs="仿宋_GB2312"/>
          <w:color w:val="000000"/>
          <w:sz w:val="28"/>
          <w:szCs w:val="28"/>
        </w:rPr>
        <w:t>个</w:t>
      </w:r>
      <w:r>
        <w:rPr>
          <w:rFonts w:hint="eastAsia" w:ascii="仿宋_GB2312" w:hAnsi="仿宋_GB2312" w:cs="仿宋_GB2312"/>
          <w:color w:val="000000"/>
          <w:sz w:val="28"/>
          <w:szCs w:val="28"/>
        </w:rPr>
        <w:t>。</w:t>
      </w:r>
      <w:r>
        <w:rPr>
          <w:rFonts w:asciiTheme="minorEastAsia" w:hAnsiTheme="minorEastAsia" w:cstheme="minorEastAsia"/>
          <w:bCs/>
          <w:sz w:val="28"/>
          <w:szCs w:val="28"/>
        </w:rPr>
        <w:t>内设</w:t>
      </w:r>
      <w:r>
        <w:rPr>
          <w:rFonts w:hint="eastAsia" w:asciiTheme="minorEastAsia" w:hAnsiTheme="minorEastAsia" w:cstheme="minorEastAsia"/>
          <w:bCs/>
          <w:sz w:val="28"/>
          <w:szCs w:val="28"/>
        </w:rPr>
        <w:t>股</w:t>
      </w:r>
      <w:r>
        <w:rPr>
          <w:rFonts w:asciiTheme="minorEastAsia" w:hAnsiTheme="minorEastAsia" w:cstheme="minorEastAsia"/>
          <w:bCs/>
          <w:sz w:val="28"/>
          <w:szCs w:val="28"/>
        </w:rPr>
        <w:t>室分别是</w:t>
      </w:r>
      <w:r>
        <w:rPr>
          <w:rFonts w:hint="eastAsia" w:asciiTheme="minorEastAsia" w:hAnsiTheme="minorEastAsia" w:cstheme="minorEastAsia"/>
          <w:bCs/>
          <w:sz w:val="28"/>
          <w:szCs w:val="28"/>
        </w:rPr>
        <w:t>办公室、稽查股、公共场所卫生监督股、计划生育监督股、医疗机构卫生监督股</w:t>
      </w:r>
      <w:r>
        <w:rPr>
          <w:rFonts w:asciiTheme="minorEastAsia" w:hAnsiTheme="minorEastAsia" w:cstheme="minorEastAsia"/>
          <w:bCs/>
          <w:sz w:val="28"/>
          <w:szCs w:val="28"/>
        </w:rPr>
        <w:t>。</w:t>
      </w:r>
    </w:p>
    <w:p>
      <w:pPr>
        <w:widowControl/>
        <w:spacing w:line="600" w:lineRule="exact"/>
        <w:ind w:firstLine="560" w:firstLineChars="200"/>
        <w:rPr>
          <w:rFonts w:asciiTheme="minorEastAsia" w:hAnsiTheme="minorEastAsia" w:cstheme="minorEastAsia"/>
          <w:bCs/>
          <w:kern w:val="0"/>
          <w:sz w:val="28"/>
          <w:szCs w:val="28"/>
        </w:rPr>
      </w:pPr>
      <w:r>
        <w:rPr>
          <w:rFonts w:hint="eastAsia" w:asciiTheme="minorEastAsia" w:hAnsiTheme="minorEastAsia" w:cstheme="minorEastAsia"/>
          <w:bCs/>
          <w:kern w:val="0"/>
          <w:sz w:val="28"/>
          <w:szCs w:val="28"/>
        </w:rPr>
        <w:t>（二）决算单位构成。新田县卫生计生综合监督执法局单位2021年部门决算汇总公开单位构成包括：新田县卫生计生综合监督执法局本级。</w:t>
      </w: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第二部分 部门决算表</w:t>
      </w: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部门：新田县卫生计生综合监督执法局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3"/>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七、文化旅游体育与传媒支出</w:t>
            </w:r>
            <w:r>
              <w:rPr>
                <w:rFonts w:ascii="Times New Roman" w:hAnsi="Times New Roman" w:eastAsia="仿宋_GB2312" w:cs="Times New Roman"/>
                <w:kern w:val="0"/>
                <w:szCs w:val="21"/>
              </w:rPr>
              <w:t>…</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八、社会保障和就业支出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2</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九、卫生健康支出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kern w:val="0"/>
                <w:szCs w:val="21"/>
              </w:rPr>
              <w:t>318.27</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kern w:val="0"/>
                <w:szCs w:val="21"/>
              </w:rPr>
              <w:t>318.27</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新田县卫生计生综合监督执法局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13813" w:type="dxa"/>
        <w:jc w:val="center"/>
        <w:tblLayout w:type="autofit"/>
        <w:tblCellMar>
          <w:top w:w="0" w:type="dxa"/>
          <w:left w:w="108" w:type="dxa"/>
          <w:bottom w:w="0" w:type="dxa"/>
          <w:right w:w="108" w:type="dxa"/>
        </w:tblCellMar>
      </w:tblPr>
      <w:tblGrid>
        <w:gridCol w:w="1197"/>
        <w:gridCol w:w="1188"/>
        <w:gridCol w:w="1676"/>
        <w:gridCol w:w="1595"/>
        <w:gridCol w:w="1676"/>
        <w:gridCol w:w="1382"/>
        <w:gridCol w:w="1412"/>
        <w:gridCol w:w="1676"/>
        <w:gridCol w:w="2011"/>
      </w:tblGrid>
      <w:tr>
        <w:tblPrEx>
          <w:tblCellMar>
            <w:top w:w="0" w:type="dxa"/>
            <w:left w:w="108" w:type="dxa"/>
            <w:bottom w:w="0" w:type="dxa"/>
            <w:right w:w="108" w:type="dxa"/>
          </w:tblCellMar>
        </w:tblPrEx>
        <w:trPr>
          <w:trHeight w:val="450" w:hRule="atLeast"/>
          <w:jc w:val="center"/>
        </w:trPr>
        <w:tc>
          <w:tcPr>
            <w:tcW w:w="2385"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1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385"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2385"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21001</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卫生健康管理事务</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2100199</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其他卫生健康管理事务支出</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Cs w:val="21"/>
        </w:rPr>
        <w:t>新田县卫生计生综合监督执法局</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3"/>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1707"/>
        <w:gridCol w:w="1317"/>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809"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317"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707"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317"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07"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17"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809"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317"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809"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317"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w:t>
            </w:r>
          </w:p>
        </w:tc>
        <w:tc>
          <w:tcPr>
            <w:tcW w:w="1707"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w:t>
            </w:r>
            <w:r>
              <w:rPr>
                <w:rFonts w:ascii="Times New Roman" w:hAnsi="Times New Roman" w:eastAsia="仿宋_GB2312" w:cs="Times New Roman"/>
                <w:kern w:val="0"/>
                <w:szCs w:val="21"/>
              </w:rPr>
              <w:t>　</w:t>
            </w:r>
          </w:p>
        </w:tc>
        <w:tc>
          <w:tcPr>
            <w:tcW w:w="1317"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21001</w:t>
            </w:r>
          </w:p>
        </w:tc>
        <w:tc>
          <w:tcPr>
            <w:tcW w:w="1707"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卫生健康管理事务</w:t>
            </w:r>
            <w:r>
              <w:rPr>
                <w:rFonts w:ascii="Times New Roman" w:hAnsi="Times New Roman" w:eastAsia="仿宋_GB2312" w:cs="Times New Roman"/>
                <w:kern w:val="0"/>
                <w:szCs w:val="21"/>
              </w:rPr>
              <w:t>　</w:t>
            </w:r>
          </w:p>
        </w:tc>
        <w:tc>
          <w:tcPr>
            <w:tcW w:w="1317"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2100199</w:t>
            </w:r>
          </w:p>
        </w:tc>
        <w:tc>
          <w:tcPr>
            <w:tcW w:w="1707"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其他卫生健康管理事务支出</w:t>
            </w:r>
            <w:r>
              <w:rPr>
                <w:rFonts w:ascii="Times New Roman" w:hAnsi="Times New Roman" w:eastAsia="仿宋_GB2312" w:cs="Times New Roman"/>
                <w:kern w:val="0"/>
                <w:szCs w:val="21"/>
              </w:rPr>
              <w:t>　</w:t>
            </w:r>
          </w:p>
        </w:tc>
        <w:tc>
          <w:tcPr>
            <w:tcW w:w="1317"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7"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17"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7"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17"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7"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17"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新田县卫生计生综合监督执法局</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3"/>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七、文化旅游体育与传媒支出</w:t>
            </w:r>
            <w:r>
              <w:rPr>
                <w:rFonts w:ascii="Times New Roman" w:hAnsi="Times New Roman" w:eastAsia="仿宋_GB2312" w:cs="Times New Roman"/>
                <w:kern w:val="0"/>
                <w:szCs w:val="21"/>
              </w:rPr>
              <w:t>…</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八、社会保障和就业支出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九、卫生健康支出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新田县卫生计生综合监督执法局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3"/>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卫生健康管理事务</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2100199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其他卫生健康管理事务支出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318.27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新田县卫生计生综合监督执法局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0" w:type="auto"/>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202.8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102.09</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66.66</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14.82</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15.96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4.73</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47.75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31.68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5.6</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0.16</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13.25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7.21</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13.38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0.11</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1.41</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3.17</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4.24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12.35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0.55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1.03</w:t>
            </w: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4.34</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29.18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216.18</w:t>
            </w:r>
          </w:p>
        </w:tc>
        <w:tc>
          <w:tcPr>
            <w:tcW w:w="9733"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102.09</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新田县卫生计生综合监督执法局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3.17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3.17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3.17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3.17</w:t>
            </w:r>
          </w:p>
        </w:tc>
      </w:tr>
    </w:tbl>
    <w:p>
      <w:pPr>
        <w:autoSpaceDE w:val="0"/>
        <w:autoSpaceDN w:val="0"/>
        <w:adjustRightInd w:val="0"/>
        <w:ind w:left="315" w:leftChars="150"/>
        <w:jc w:val="left"/>
        <w:rPr>
          <w:rFonts w:ascii="宋体" w:eastAsia="宋体" w:cs="宋体"/>
          <w:kern w:val="0"/>
          <w:sz w:val="24"/>
          <w:szCs w:val="24"/>
        </w:rPr>
      </w:pPr>
      <w:r>
        <w:rPr>
          <w:rFonts w:hint="eastAsia" w:ascii="仿宋" w:hAnsi="仿宋" w:eastAsia="仿宋" w:cs="仿宋"/>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新田县卫生计生综合监督执法局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本</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widowControl/>
        <w:jc w:val="center"/>
        <w:rPr>
          <w:rFonts w:ascii="宋体" w:hAnsi="宋体" w:eastAsia="宋体" w:cs="宋体"/>
          <w:b/>
          <w:bCs/>
          <w:color w:val="333333"/>
          <w:sz w:val="36"/>
          <w:szCs w:val="36"/>
          <w:shd w:val="clear" w:color="auto" w:fill="FFFFFF"/>
        </w:rPr>
      </w:pPr>
      <w:r>
        <w:rPr>
          <w:rFonts w:hint="eastAsia" w:ascii="宋体" w:hAnsi="宋体" w:eastAsia="宋体" w:cs="宋体"/>
          <w:b/>
          <w:bCs/>
          <w:color w:val="333333"/>
          <w:sz w:val="36"/>
          <w:szCs w:val="36"/>
          <w:shd w:val="clear" w:color="auto" w:fill="FFFFFF"/>
        </w:rPr>
        <w:t>国有资本经营预算财政拨款支出决算表</w:t>
      </w:r>
    </w:p>
    <w:tbl>
      <w:tblPr>
        <w:tblStyle w:val="3"/>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rPr>
          <w:rFonts w:ascii="仿宋" w:hAnsi="仿宋" w:eastAsia="仿宋" w:cs="仿宋"/>
          <w:kern w:val="0"/>
          <w:szCs w:val="21"/>
        </w:rPr>
      </w:pPr>
      <w:r>
        <w:rPr>
          <w:rFonts w:hint="eastAsia" w:ascii="宋体" w:hAnsi="宋体" w:eastAsia="宋体" w:cs="宋体"/>
          <w:kern w:val="0"/>
          <w:sz w:val="24"/>
          <w:szCs w:val="24"/>
          <w:lang w:eastAsia="zh-CN"/>
        </w:rPr>
        <w:t>本</w:t>
      </w:r>
      <w:r>
        <w:rPr>
          <w:rFonts w:hint="eastAsia" w:ascii="宋体" w:hAnsi="宋体" w:eastAsia="宋体" w:cs="宋体"/>
          <w:kern w:val="0"/>
          <w:sz w:val="24"/>
          <w:szCs w:val="24"/>
        </w:rPr>
        <w:t>单位无国有资本经营预算财政拨款支出，故本表无数据。</w:t>
      </w:r>
    </w:p>
    <w:p>
      <w:pPr>
        <w:tabs>
          <w:tab w:val="left" w:pos="1460"/>
        </w:tabs>
        <w:jc w:val="left"/>
        <w:rPr>
          <w:szCs w:val="21"/>
        </w:rPr>
        <w:sectPr>
          <w:pgSz w:w="16838" w:h="11906" w:orient="landscape"/>
          <w:pgMar w:top="720" w:right="720" w:bottom="720" w:left="720" w:header="851" w:footer="992" w:gutter="0"/>
          <w:cols w:space="425" w:num="1"/>
          <w:docGrid w:type="lines" w:linePitch="312" w:charSpace="0"/>
        </w:sectPr>
      </w:pPr>
    </w:p>
    <w:p>
      <w:pPr>
        <w:pStyle w:val="5"/>
        <w:rPr>
          <w:sz w:val="32"/>
          <w:szCs w:val="32"/>
        </w:rPr>
      </w:pPr>
      <w:r>
        <w:rPr>
          <w:rFonts w:hint="eastAsia"/>
          <w:sz w:val="32"/>
          <w:szCs w:val="32"/>
        </w:rPr>
        <w:t>第三部分 2021年度部门决算情况说明</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一、收入支出决算总体情况说明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 年度收入总计318.27万元、支出总计318.27万元。与2020年相比，减少30.66万元，减少4.6%，主要是因为退休1人，人员经费减少导致。</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二、收入决算情况说明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本年收入合计318.27万元，其中：财政拨款收入318.27万元，占100%；上级补助收入0万元，占0%；事业收入0万元，占0%；经营收入0万元，占0%；附属单位上缴收入0万元，占0%；其他收入0万元，占0%。</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三、支出决算情况说明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本年支出合计318.27万元，其中：基本支出318.27万元，占100%；项目支出0万元，占0%；上缴上级支出0万元，占0%；经营支出0万元，占0%；对附属单位补助支出0万元，占0%。</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四、财政拨款收入支出决算总体情况说明</w:t>
      </w:r>
    </w:p>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2021年度财政拨款收入318.27万元、支出总计318.27万元，与2020年相比，减少30.66万元,减少4.6%，主要是因为退休1人，人员经费减少导致。</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五、一般公共预算财政拨款支出决算情况说明</w:t>
      </w:r>
    </w:p>
    <w:p>
      <w:pPr>
        <w:pStyle w:val="5"/>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（一）财政拨款支出决算总体情况</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2021年度财政拨款支出318.27万元，占本年支出合计的100%，与2020年相比，财政拨款支出减少15.33万元，减少4.6%，主要是因为退休1人，人员经费减少导致。</w:t>
      </w:r>
    </w:p>
    <w:p>
      <w:pPr>
        <w:pStyle w:val="5"/>
        <w:ind w:firstLine="700" w:firstLineChars="25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（二）财政拨款支出决算结构情况</w:t>
      </w:r>
    </w:p>
    <w:p>
      <w:pPr>
        <w:pStyle w:val="5"/>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2021年度财政拨款支出318.27万元，主要用于以下方面：卫生健康支出</w:t>
      </w:r>
      <w:r>
        <w:rPr>
          <w:rFonts w:hint="eastAsia" w:asciiTheme="minorEastAsia" w:hAnsiTheme="minorEastAsia" w:eastAsiaTheme="minorEastAsia" w:cstheme="minorEastAsia"/>
          <w:sz w:val="28"/>
          <w:szCs w:val="28"/>
          <w:lang w:eastAsia="zh-CN"/>
        </w:rPr>
        <w:t>（类）</w:t>
      </w:r>
      <w:r>
        <w:rPr>
          <w:rFonts w:hint="eastAsia" w:asciiTheme="minorEastAsia" w:hAnsiTheme="minorEastAsia" w:eastAsiaTheme="minorEastAsia" w:cstheme="minorEastAsia"/>
          <w:sz w:val="28"/>
          <w:szCs w:val="28"/>
        </w:rPr>
        <w:t>支出318.27万元，占100%。</w:t>
      </w:r>
    </w:p>
    <w:p>
      <w:pPr>
        <w:pStyle w:val="5"/>
        <w:ind w:firstLine="700" w:firstLineChars="25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（三）财政拨款支出决算具体情况</w:t>
      </w:r>
    </w:p>
    <w:p>
      <w:pPr>
        <w:pStyle w:val="5"/>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2021年度财政拨款支出年初预算数为318.27万元，支出决算数为318.27万元，完成年初预算的100%，其中：</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1、卫生健康支出（类）卫生健康管理事务（款）其他卫生健康管理事务支出（项）。</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年初预算为318.27万元，支出决算为318.27万元，完成年初预算的100%，决算数等于年初预算数。主要原因是：严格按年初预算开支。</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六、一般公共预算财政拨款基本支出决算情况说明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基本支出318.27万元，其中：人员经费216.18万元，占基本支出的67.92%,主要包括基本工资、津贴补贴、奖金、伙食补助费、住房公积金等；公用经费102.09万元，占基本支出的32.08%，主要包括办公费、印刷费、咨询费、手续费、电费、水费、工会经费、其他交通费等。</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七、一般公共预算财政拨款三公经费支出决算情况说明</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（一）“三公”经费财政拨款支出决算总体情况说明</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“三公”经费财政拨款支出预算为3.17万元，支出决算为3.17万元，完成预算的100%，其中：</w:t>
      </w:r>
    </w:p>
    <w:p>
      <w:pPr>
        <w:pStyle w:val="5"/>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因公出国(境)费支出预算为0万元，支出决算为 0万元，因预算数为 0，无法计算预算完成百分比。决算数与预算数一致，与上年相比持平，原因是上年及本年均无出国出境情况，无相关费用支出。</w:t>
      </w:r>
    </w:p>
    <w:p>
      <w:pPr>
        <w:pStyle w:val="5"/>
        <w:ind w:firstLine="700" w:firstLineChars="250"/>
        <w:rPr>
          <w:rFonts w:asciiTheme="minorEastAsia" w:hAnsiTheme="minorEastAsia" w:eastAsiaTheme="minorEastAsia" w:cstheme="minorEastAsia"/>
          <w:sz w:val="28"/>
          <w:szCs w:val="28"/>
        </w:rPr>
      </w:pPr>
      <w:bookmarkStart w:id="2" w:name="_GoBack"/>
      <w:bookmarkEnd w:id="2"/>
      <w:r>
        <w:rPr>
          <w:rFonts w:hint="eastAsia" w:asciiTheme="minorEastAsia" w:hAnsiTheme="minorEastAsia" w:eastAsiaTheme="minorEastAsia" w:cstheme="minorEastAsia"/>
          <w:sz w:val="28"/>
          <w:szCs w:val="28"/>
        </w:rPr>
        <w:t>公务接待费支出预算为3.17万元，支出决算为3.17万元，完成预算的100%，决算数等于年初预算数，与上年相比减少0.03万元，减少0.93%,减少的主要原因是厉行节约，规范管理，进一步压缩公务接待费。</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公务用车购置费及运行维护费支出预算为0万元，支出决算为0万元，因预算数为0，无法计算预算完成百分比。决算数与预算数一致，与上年相比持平，原因是上年及本年均无公务用车购置费</w:t>
      </w:r>
      <w:r>
        <w:rPr>
          <w:rFonts w:hint="eastAsia" w:asciiTheme="minorEastAsia" w:hAnsiTheme="minorEastAsia" w:eastAsiaTheme="minorEastAsia" w:cstheme="minorEastAsia"/>
          <w:sz w:val="28"/>
          <w:szCs w:val="28"/>
          <w:lang w:eastAsia="zh-CN"/>
        </w:rPr>
        <w:t>及运行维护费</w:t>
      </w:r>
      <w:r>
        <w:rPr>
          <w:rFonts w:hint="eastAsia" w:asciiTheme="minorEastAsia" w:hAnsiTheme="minorEastAsia" w:eastAsiaTheme="minorEastAsia" w:cstheme="minorEastAsia"/>
          <w:sz w:val="28"/>
          <w:szCs w:val="28"/>
        </w:rPr>
        <w:t>支出。</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（二）“三公”经费财政拨款支出决算具体情况说明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2021年度“三公”经费财政拨款支出决算中，公务接待费支出决算3.17万元，占100%,因公出国（境）费支出决算0万元，占0%,公务用车购置费及运行维护费支出决算0万元，占0%。其中：</w:t>
      </w:r>
    </w:p>
    <w:p>
      <w:pPr>
        <w:pStyle w:val="5"/>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1、因公出国（境）费支出决算为0万元，全年安排因公出国（境）团组0个，累计0人次, 本年无该项支出。</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2、公务接待费支出决算为3.17万元，全年共接待来访团组69个、来宾515人次，主要是卫生计生综合执法及日常公务接待发生的接待支出。</w:t>
      </w:r>
    </w:p>
    <w:p>
      <w:pPr>
        <w:ind w:firstLine="700" w:firstLineChars="250"/>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3、公务用车购置费及运行维护费支出决算为0万元，其中：公务用车购置费0万元。公务用车运行维护费0万元，主要是该年度无该项支出</w:t>
      </w:r>
      <w:r>
        <w:rPr>
          <w:rFonts w:hint="eastAsia" w:asciiTheme="minorEastAsia" w:hAnsiTheme="minorEastAsia" w:cstheme="minorEastAsia"/>
          <w:color w:val="000000"/>
          <w:kern w:val="0"/>
          <w:sz w:val="28"/>
          <w:szCs w:val="28"/>
          <w:lang w:val="en-US" w:eastAsia="zh-CN" w:bidi="ar-SA"/>
        </w:rPr>
        <w:t>，</w:t>
      </w:r>
      <w:r>
        <w:rPr>
          <w:rFonts w:hint="eastAsia" w:asciiTheme="minorEastAsia" w:hAnsiTheme="minorEastAsia" w:cstheme="minorEastAsia"/>
          <w:bCs/>
          <w:kern w:val="0"/>
          <w:sz w:val="28"/>
          <w:szCs w:val="28"/>
        </w:rPr>
        <w:t>新田县卫生计生综合监督执法局本级</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heme="minorEastAsia" w:hAnsiTheme="minorEastAsia" w:eastAsiaTheme="minorEastAsia" w:cstheme="minorEastAsia"/>
          <w:color w:val="000000"/>
          <w:kern w:val="0"/>
          <w:sz w:val="28"/>
          <w:szCs w:val="28"/>
          <w:lang w:val="en-US" w:eastAsia="zh-CN" w:bidi="ar-SA"/>
        </w:rPr>
        <w:t>，截止2021年12月31日，我单位开支财政拨款的公务用车保有量为0辆。</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八、政府性基金预算收入支出决算情况</w:t>
      </w:r>
    </w:p>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2021年度本单位无政府性基金</w:t>
      </w:r>
      <w:r>
        <w:rPr>
          <w:rFonts w:hint="eastAsia" w:asciiTheme="minorEastAsia" w:hAnsiTheme="minorEastAsia" w:eastAsiaTheme="minorEastAsia" w:cstheme="minorEastAsia"/>
          <w:sz w:val="28"/>
          <w:szCs w:val="28"/>
          <w:lang w:eastAsia="zh-CN"/>
        </w:rPr>
        <w:t>收支</w:t>
      </w:r>
      <w:r>
        <w:rPr>
          <w:rFonts w:hint="eastAsia" w:asciiTheme="minorEastAsia" w:hAnsiTheme="minorEastAsia" w:eastAsiaTheme="minorEastAsia" w:cstheme="minorEastAsia"/>
          <w:sz w:val="28"/>
          <w:szCs w:val="28"/>
        </w:rPr>
        <w:t>。</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w:t>
      </w:r>
      <w:r>
        <w:rPr>
          <w:rFonts w:hint="eastAsia" w:ascii="宋体" w:hAnsi="宋体" w:eastAsia="宋体" w:cs="宋体"/>
          <w:b/>
          <w:bCs/>
          <w:color w:val="333333"/>
          <w:sz w:val="28"/>
          <w:szCs w:val="28"/>
          <w:shd w:val="clear" w:color="auto" w:fill="FFFFFF"/>
        </w:rPr>
        <w:t>国有资本经营预算财政拨款支出决算情况</w:t>
      </w:r>
    </w:p>
    <w:p>
      <w:pPr>
        <w:pStyle w:val="5"/>
        <w:ind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2021年度本单位无国有资本经营预算财政拨款</w:t>
      </w:r>
      <w:r>
        <w:rPr>
          <w:rFonts w:hint="eastAsia" w:asciiTheme="minorEastAsia" w:hAnsiTheme="minorEastAsia" w:eastAsiaTheme="minorEastAsia" w:cstheme="minorEastAsia"/>
          <w:sz w:val="28"/>
          <w:szCs w:val="28"/>
          <w:lang w:eastAsia="zh-CN"/>
        </w:rPr>
        <w:t>支出</w:t>
      </w:r>
      <w:r>
        <w:rPr>
          <w:rFonts w:hint="eastAsia" w:asciiTheme="minorEastAsia" w:hAnsiTheme="minorEastAsia" w:eastAsiaTheme="minorEastAsia" w:cstheme="minorEastAsia"/>
          <w:sz w:val="28"/>
          <w:szCs w:val="28"/>
        </w:rPr>
        <w:t>。</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十、机关运行经费支出情况</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本部门2021 年度机关运行经费支出102.09万元，与年初预算数相等，增加0万元，增长0%。主要原因是：规范管理，切实降低行政运行成本。</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sz w:val="28"/>
          <w:szCs w:val="28"/>
        </w:rPr>
        <w:t>十一、</w:t>
      </w:r>
      <w:r>
        <w:rPr>
          <w:rFonts w:hint="eastAsia" w:asciiTheme="minorEastAsia" w:hAnsiTheme="minorEastAsia" w:cstheme="minorEastAsia"/>
          <w:b/>
          <w:color w:val="000000"/>
          <w:kern w:val="0"/>
          <w:sz w:val="28"/>
          <w:szCs w:val="28"/>
        </w:rPr>
        <w:t>一般性支出情况</w:t>
      </w:r>
    </w:p>
    <w:p>
      <w:pPr>
        <w:ind w:firstLine="560" w:firstLineChars="200"/>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cstheme="minorEastAsia"/>
          <w:color w:val="000000"/>
          <w:kern w:val="0"/>
          <w:sz w:val="28"/>
          <w:szCs w:val="28"/>
        </w:rPr>
        <w:t>2021年本部门开支会议费0.11万元，用于召开卫生计生综合执法监督会议，人数28人，内容为卫生计生综合执法监督会；开支培训费1.41万元，用于开展</w:t>
      </w:r>
      <w:r>
        <w:rPr>
          <w:rFonts w:hint="eastAsia"/>
          <w:sz w:val="28"/>
          <w:szCs w:val="28"/>
        </w:rPr>
        <w:t>卫生计生专项整治</w:t>
      </w:r>
      <w:r>
        <w:rPr>
          <w:rFonts w:hint="eastAsia" w:asciiTheme="minorEastAsia" w:hAnsiTheme="minorEastAsia" w:cstheme="minorEastAsia"/>
          <w:color w:val="000000"/>
          <w:kern w:val="0"/>
          <w:sz w:val="28"/>
          <w:szCs w:val="28"/>
        </w:rPr>
        <w:t>培训，人数126人，内容为</w:t>
      </w:r>
      <w:r>
        <w:rPr>
          <w:rFonts w:hint="eastAsia"/>
          <w:sz w:val="28"/>
          <w:szCs w:val="28"/>
        </w:rPr>
        <w:t>卫生计生专项整治</w:t>
      </w:r>
      <w:r>
        <w:rPr>
          <w:rFonts w:hint="eastAsia" w:asciiTheme="minorEastAsia" w:hAnsiTheme="minorEastAsia" w:cstheme="minorEastAsia"/>
          <w:color w:val="000000"/>
          <w:kern w:val="0"/>
          <w:sz w:val="28"/>
          <w:szCs w:val="28"/>
        </w:rPr>
        <w:t>；</w:t>
      </w:r>
      <w:r>
        <w:rPr>
          <w:rFonts w:hint="eastAsia" w:asciiTheme="minorEastAsia" w:hAnsiTheme="minorEastAsia" w:cstheme="minorEastAsia"/>
          <w:color w:val="000000"/>
          <w:kern w:val="0"/>
          <w:sz w:val="28"/>
          <w:szCs w:val="28"/>
          <w:lang w:eastAsia="zh-CN"/>
        </w:rPr>
        <w:t>未</w:t>
      </w:r>
      <w:r>
        <w:rPr>
          <w:rFonts w:hint="eastAsia" w:asciiTheme="minorEastAsia" w:hAnsiTheme="minorEastAsia" w:cstheme="minorEastAsia"/>
          <w:color w:val="000000"/>
          <w:kern w:val="0"/>
          <w:sz w:val="28"/>
          <w:szCs w:val="28"/>
        </w:rPr>
        <w:t>举办节庆、晚会、论坛、赛事等活动</w:t>
      </w:r>
      <w:r>
        <w:rPr>
          <w:rFonts w:hint="eastAsia" w:asciiTheme="minorEastAsia" w:hAnsiTheme="minorEastAsia" w:cstheme="minorEastAsia"/>
          <w:color w:val="000000"/>
          <w:kern w:val="0"/>
          <w:sz w:val="28"/>
          <w:szCs w:val="28"/>
          <w:lang w:eastAsia="zh-CN"/>
        </w:rPr>
        <w:t>。</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十二、政府采购支出情况</w:t>
      </w:r>
    </w:p>
    <w:p>
      <w:pPr>
        <w:ind w:firstLine="560" w:firstLineChars="200"/>
        <w:rPr>
          <w:rFonts w:asciiTheme="minorEastAsia" w:hAnsiTheme="minorEastAsia" w:cstheme="minorEastAsia"/>
          <w:i/>
          <w:color w:val="FF0000"/>
          <w:kern w:val="0"/>
          <w:sz w:val="28"/>
          <w:szCs w:val="28"/>
        </w:rPr>
      </w:pPr>
      <w:r>
        <w:rPr>
          <w:rFonts w:hint="eastAsia" w:asciiTheme="minorEastAsia" w:hAnsiTheme="minorEastAsia" w:cstheme="minorEastAsia"/>
          <w:color w:val="000000"/>
          <w:kern w:val="0"/>
          <w:sz w:val="28"/>
          <w:szCs w:val="28"/>
        </w:rPr>
        <w:t>本部门2021年度政府采购支出总额102.09万元，其中：政府采购货物支出102.09万元、政府采购工程支出0万元、政府采购服务支出0万元。授予中小企业合同金额102.09万元，占政府采购支出总额的100%，其中：授予小微企业合同金额0万元，占政府采购支出总额的0%。</w:t>
      </w:r>
    </w:p>
    <w:p>
      <w:pPr>
        <w:ind w:firstLine="420" w:firstLineChars="15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十三、国有资产占用情况</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截至2021年12月31日，本单位共有车辆0辆，其中，领导干部用车0辆、机要通信用车0辆、应急保障用车0辆、执法执勤用车0辆、特种专业技术用车0辆、其他用车0辆；单位价值50万元以上通用设备0台（套）；单位价值100万元以上专用设备0台（套）。</w:t>
      </w:r>
    </w:p>
    <w:p>
      <w:pPr>
        <w:pStyle w:val="5"/>
        <w:rPr>
          <w:rFonts w:asciiTheme="minorEastAsia" w:hAnsiTheme="minorEastAsia" w:eastAsiaTheme="minorEastAsia" w:cstheme="minorEastAsia"/>
          <w:b/>
          <w:sz w:val="28"/>
          <w:szCs w:val="28"/>
        </w:rPr>
      </w:pPr>
      <w:r>
        <w:rPr>
          <w:rFonts w:hint="eastAsia" w:asciiTheme="minorEastAsia" w:hAnsiTheme="minorEastAsia" w:cstheme="minorEastAsia"/>
          <w:b/>
          <w:sz w:val="28"/>
          <w:szCs w:val="28"/>
        </w:rPr>
        <w:t>十四、</w:t>
      </w:r>
      <w:r>
        <w:rPr>
          <w:rFonts w:hint="eastAsia" w:asciiTheme="minorEastAsia" w:hAnsiTheme="minorEastAsia" w:eastAsiaTheme="minorEastAsia" w:cstheme="minorEastAsia"/>
          <w:b/>
          <w:sz w:val="28"/>
          <w:szCs w:val="28"/>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根据预算绩效管理要求，我部门组织对</w:t>
      </w:r>
      <w:r>
        <w:rPr>
          <w:rFonts w:cs="黑体" w:asciiTheme="minorEastAsia" w:hAnsiTheme="minorEastAsia"/>
          <w:color w:val="000000"/>
          <w:kern w:val="0"/>
          <w:sz w:val="28"/>
          <w:szCs w:val="28"/>
        </w:rPr>
        <w:t xml:space="preserve">2021 </w:t>
      </w:r>
      <w:r>
        <w:rPr>
          <w:rFonts w:hint="eastAsia" w:cs="黑体" w:asciiTheme="minorEastAsia" w:hAnsiTheme="minorEastAsia"/>
          <w:color w:val="000000"/>
          <w:kern w:val="0"/>
          <w:sz w:val="28"/>
          <w:szCs w:val="28"/>
        </w:rPr>
        <w:t>年度一般公共预算项目支出全面开展绩效自评，其中，一级项目0个，二级项目0</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个，共涉及资金0万元，占一般公共预算项目支出总额的0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。组织对</w:t>
      </w:r>
      <w:r>
        <w:rPr>
          <w:rFonts w:cs="黑体" w:asciiTheme="minorEastAsia" w:hAnsiTheme="minorEastAsia"/>
          <w:color w:val="000000"/>
          <w:kern w:val="0"/>
          <w:sz w:val="28"/>
          <w:szCs w:val="28"/>
        </w:rPr>
        <w:t>2021</w:t>
      </w:r>
      <w:r>
        <w:rPr>
          <w:rFonts w:hint="eastAsia" w:cs="黑体" w:asciiTheme="minorEastAsia" w:hAnsiTheme="minorEastAsia"/>
          <w:color w:val="000000"/>
          <w:kern w:val="0"/>
          <w:sz w:val="28"/>
          <w:szCs w:val="28"/>
        </w:rPr>
        <w:t>年度0个政府性基金预算项目支出开展绩效自评，共涉及资金0万元，占政府性基金预算项目支出总额的0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。组织对</w:t>
      </w:r>
      <w:r>
        <w:rPr>
          <w:rFonts w:cs="黑体" w:asciiTheme="minorEastAsia" w:hAnsiTheme="minorEastAsia"/>
          <w:color w:val="000000"/>
          <w:kern w:val="0"/>
          <w:sz w:val="28"/>
          <w:szCs w:val="28"/>
        </w:rPr>
        <w:t xml:space="preserve">2021 </w:t>
      </w:r>
      <w:r>
        <w:rPr>
          <w:rFonts w:hint="eastAsia" w:cs="黑体" w:asciiTheme="minorEastAsia" w:hAnsiTheme="minorEastAsia"/>
          <w:color w:val="000000"/>
          <w:kern w:val="0"/>
          <w:sz w:val="28"/>
          <w:szCs w:val="28"/>
        </w:rPr>
        <w:t>年度0个国有资本经营预算项目支出开展绩效自评，共涉及资金0万元，占国有资本经营预算项目支出总额的0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w:t>
      </w:r>
    </w:p>
    <w:p>
      <w:pPr>
        <w:autoSpaceDE w:val="0"/>
        <w:autoSpaceDN w:val="0"/>
        <w:adjustRightInd w:val="0"/>
        <w:ind w:firstLine="560" w:firstLineChars="200"/>
        <w:jc w:val="left"/>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组织对</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个项目开展了部门评价，涉及一般公共预算支出0万元，政府性基金预算支出0万元，国有资本经营预算支出0万元。</w:t>
      </w:r>
    </w:p>
    <w:p>
      <w:pPr>
        <w:pStyle w:val="2"/>
        <w:widowControl/>
        <w:spacing w:beforeAutospacing="0" w:afterAutospacing="0"/>
        <w:ind w:firstLine="560" w:firstLineChars="200"/>
        <w:jc w:val="both"/>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组织对“新田县卫生计生综合监督执法局”</w:t>
      </w:r>
      <w:r>
        <w:rPr>
          <w:rFonts w:hint="eastAsia" w:cs="黑体" w:asciiTheme="minorEastAsia" w:hAnsiTheme="minorEastAsia"/>
          <w:color w:val="000000"/>
          <w:kern w:val="0"/>
          <w:sz w:val="28"/>
          <w:szCs w:val="28"/>
          <w:lang w:val="en-US" w:eastAsia="zh-CN"/>
        </w:rPr>
        <w:t>1</w:t>
      </w:r>
      <w:r>
        <w:rPr>
          <w:rFonts w:hint="eastAsia" w:cs="黑体" w:asciiTheme="minorEastAsia" w:hAnsiTheme="minorEastAsia"/>
          <w:color w:val="000000"/>
          <w:kern w:val="0"/>
          <w:sz w:val="28"/>
          <w:szCs w:val="28"/>
        </w:rPr>
        <w:t>个单位开展整体支出绩效评价，涉及一般公共预算支出</w:t>
      </w:r>
      <w:r>
        <w:rPr>
          <w:rFonts w:hint="eastAsia" w:cs="黑体" w:asciiTheme="minorEastAsia" w:hAnsiTheme="minorEastAsia"/>
          <w:color w:val="000000"/>
          <w:kern w:val="0"/>
          <w:sz w:val="28"/>
          <w:szCs w:val="28"/>
          <w:lang w:val="en-US" w:eastAsia="zh-CN"/>
        </w:rPr>
        <w:t>318.27</w:t>
      </w:r>
      <w:r>
        <w:rPr>
          <w:rFonts w:hint="eastAsia" w:cs="黑体" w:asciiTheme="minorEastAsia" w:hAnsiTheme="minorEastAsia"/>
          <w:color w:val="000000"/>
          <w:kern w:val="0"/>
          <w:sz w:val="28"/>
          <w:szCs w:val="28"/>
        </w:rPr>
        <w:t>万元，政府性基金预算支出0万元。从评价情况来看，</w:t>
      </w:r>
      <w:r>
        <w:rPr>
          <w:rFonts w:hint="eastAsia"/>
          <w:sz w:val="28"/>
          <w:szCs w:val="28"/>
        </w:rPr>
        <w:t>我局财务管理健全规范，没有发生违法违规现象，2021年的部门整体支出绩效自我评价</w:t>
      </w:r>
      <w:r>
        <w:rPr>
          <w:rFonts w:hint="eastAsia"/>
          <w:sz w:val="28"/>
          <w:szCs w:val="28"/>
          <w:lang w:eastAsia="zh-CN"/>
        </w:rPr>
        <w:t>得</w:t>
      </w:r>
      <w:r>
        <w:rPr>
          <w:rFonts w:hint="eastAsia"/>
          <w:sz w:val="28"/>
          <w:szCs w:val="28"/>
        </w:rPr>
        <w:t>到99分，自评结果：良好。</w:t>
      </w:r>
    </w:p>
    <w:p>
      <w:pPr>
        <w:autoSpaceDE w:val="0"/>
        <w:autoSpaceDN w:val="0"/>
        <w:adjustRightInd w:val="0"/>
        <w:ind w:firstLine="560" w:firstLineChars="200"/>
        <w:jc w:val="left"/>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（2）部门决算中项目绩效自评结果。</w:t>
      </w:r>
    </w:p>
    <w:p>
      <w:pPr>
        <w:autoSpaceDE w:val="0"/>
        <w:autoSpaceDN w:val="0"/>
        <w:adjustRightInd w:val="0"/>
        <w:ind w:firstLine="560" w:firstLineChars="200"/>
        <w:jc w:val="left"/>
        <w:rPr>
          <w:rFonts w:hint="eastAsia" w:cs="Times New Roman" w:asciiTheme="minorHAnsi" w:hAnsiTheme="minorHAnsi" w:eastAsiaTheme="minorEastAsia"/>
          <w:kern w:val="0"/>
          <w:sz w:val="28"/>
          <w:szCs w:val="28"/>
          <w:lang w:val="en-US" w:eastAsia="zh-CN" w:bidi="ar-SA"/>
        </w:rPr>
      </w:pPr>
      <w:r>
        <w:rPr>
          <w:rFonts w:hint="eastAsia" w:cs="Times New Roman" w:asciiTheme="minorHAnsi" w:hAnsiTheme="minorHAnsi" w:eastAsiaTheme="minorEastAsia"/>
          <w:kern w:val="0"/>
          <w:sz w:val="28"/>
          <w:szCs w:val="28"/>
          <w:lang w:val="en-US" w:eastAsia="zh-CN" w:bidi="ar-SA"/>
        </w:rPr>
        <w:t>无</w:t>
      </w:r>
    </w:p>
    <w:p>
      <w:pPr>
        <w:numPr>
          <w:ilvl w:val="0"/>
          <w:numId w:val="2"/>
        </w:numPr>
        <w:autoSpaceDE w:val="0"/>
        <w:autoSpaceDN w:val="0"/>
        <w:adjustRightInd w:val="0"/>
        <w:ind w:firstLine="560" w:firstLineChars="200"/>
        <w:jc w:val="left"/>
        <w:rPr>
          <w:rFonts w:hint="eastAsia"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部门评价项目绩效评价结果。</w:t>
      </w:r>
    </w:p>
    <w:p>
      <w:pPr>
        <w:numPr>
          <w:ilvl w:val="0"/>
          <w:numId w:val="0"/>
        </w:numPr>
        <w:autoSpaceDE w:val="0"/>
        <w:autoSpaceDN w:val="0"/>
        <w:adjustRightInd w:val="0"/>
        <w:ind w:firstLine="560" w:firstLineChars="200"/>
        <w:jc w:val="left"/>
        <w:rPr>
          <w:rFonts w:hint="eastAsia" w:cs="黑体" w:asciiTheme="minorEastAsia" w:hAnsiTheme="minorEastAsia"/>
          <w:b/>
          <w:color w:val="000000"/>
          <w:kern w:val="0"/>
          <w:sz w:val="28"/>
          <w:szCs w:val="28"/>
        </w:rPr>
      </w:pPr>
      <w:r>
        <w:rPr>
          <w:rFonts w:hint="eastAsia" w:cs="黑体" w:asciiTheme="minorEastAsia" w:hAnsiTheme="minorEastAsia"/>
          <w:color w:val="000000"/>
          <w:kern w:val="0"/>
          <w:sz w:val="28"/>
          <w:szCs w:val="28"/>
          <w:lang w:eastAsia="zh-CN"/>
        </w:rPr>
        <w:t>本单位无项目支出，未开展部门评价，因此无部门评价项目绩效评价结果。</w:t>
      </w:r>
      <w:r>
        <w:rPr>
          <w:rFonts w:hint="eastAsia" w:ascii="宋体" w:hAnsi="宋体" w:eastAsia="宋体" w:cs="宋体"/>
          <w:color w:val="000000"/>
          <w:kern w:val="0"/>
          <w:sz w:val="28"/>
          <w:szCs w:val="28"/>
        </w:rPr>
        <w:t>整体支出绩效评价</w:t>
      </w:r>
      <w:r>
        <w:rPr>
          <w:rFonts w:hint="eastAsia" w:cs="黑体" w:asciiTheme="minorEastAsia" w:hAnsiTheme="minorEastAsia"/>
          <w:color w:val="000000"/>
          <w:kern w:val="0"/>
          <w:sz w:val="28"/>
          <w:szCs w:val="28"/>
          <w:lang w:eastAsia="zh-CN"/>
        </w:rPr>
        <w:t>已</w:t>
      </w:r>
      <w:r>
        <w:rPr>
          <w:rFonts w:hint="eastAsia" w:asciiTheme="minorEastAsia" w:hAnsiTheme="minorEastAsia" w:eastAsiaTheme="minorEastAsia" w:cstheme="minorEastAsia"/>
          <w:sz w:val="28"/>
          <w:szCs w:val="28"/>
        </w:rPr>
        <w:t>作为附件公开</w:t>
      </w:r>
      <w:r>
        <w:rPr>
          <w:rFonts w:hint="eastAsia" w:asciiTheme="minorEastAsia" w:hAnsiTheme="minorEastAsia" w:cstheme="minorEastAsia"/>
          <w:sz w:val="28"/>
          <w:szCs w:val="28"/>
          <w:lang w:eastAsia="zh-CN"/>
        </w:rPr>
        <w:t>。</w:t>
      </w:r>
    </w:p>
    <w:p>
      <w:pPr>
        <w:pStyle w:val="5"/>
        <w:rPr>
          <w:rFonts w:asciiTheme="minorEastAsia" w:hAnsiTheme="minorEastAsia" w:eastAsiaTheme="minorEastAsia"/>
          <w:sz w:val="28"/>
          <w:szCs w:val="28"/>
        </w:rPr>
      </w:pPr>
    </w:p>
    <w:p>
      <w:pPr>
        <w:pStyle w:val="5"/>
        <w:jc w:val="both"/>
        <w:rPr>
          <w:rFonts w:hAnsi="黑体"/>
          <w:sz w:val="32"/>
          <w:szCs w:val="32"/>
        </w:rPr>
      </w:pPr>
      <w:r>
        <w:rPr>
          <w:rFonts w:hint="eastAsia" w:hAnsi="黑体"/>
          <w:sz w:val="32"/>
          <w:szCs w:val="32"/>
        </w:rPr>
        <w:t>第四部分 名词解释</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一、收入科目</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财政拨款收入：指财政当年拨付的资金。</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二、支出科目</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1.基本支出：指为保障机构正常运转、完成日常工作任务而发生的人员支出和公用支出。</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2.项目支出：指在基本支出之外为完成特定行政任务和事业发展目标所发生的支出。</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3.年末结转和结余：指本年度或以前年度预算安排、因客观条件发生变化无法按原计划实施，需延迟到以后年度按有关规定继续使用的资金。</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三、“三公”经费</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四、机关运行经费</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5"/>
        <w:ind w:firstLine="640" w:firstLineChars="200"/>
        <w:jc w:val="both"/>
        <w:rPr>
          <w:rFonts w:hAnsi="黑体"/>
          <w:sz w:val="32"/>
          <w:szCs w:val="32"/>
        </w:rPr>
      </w:pPr>
      <w:r>
        <w:rPr>
          <w:rFonts w:hint="eastAsia" w:hAnsi="黑体"/>
          <w:sz w:val="32"/>
          <w:szCs w:val="32"/>
        </w:rPr>
        <w:t>第五部分 附件</w:t>
      </w:r>
    </w:p>
    <w:p>
      <w:pPr>
        <w:pStyle w:val="2"/>
        <w:widowControl/>
        <w:spacing w:beforeAutospacing="0" w:afterAutospacing="0"/>
        <w:ind w:left="93"/>
        <w:jc w:val="center"/>
        <w:rPr>
          <w:rFonts w:ascii="方正小标宋_GBK" w:hAnsi="方正小标宋_GBK" w:eastAsia="方正小标宋_GBK" w:cs="方正小标宋_GBK"/>
          <w:sz w:val="48"/>
          <w:szCs w:val="48"/>
        </w:rPr>
      </w:pPr>
      <w:r>
        <w:rPr>
          <w:rFonts w:hint="eastAsia" w:ascii="Calibri" w:hAnsi="Calibri" w:cs="Calibri"/>
          <w:sz w:val="48"/>
          <w:szCs w:val="48"/>
        </w:rPr>
        <w:t>2021</w:t>
      </w:r>
      <w:r>
        <w:rPr>
          <w:rFonts w:ascii="方正小标宋_GBK" w:hAnsi="方正小标宋_GBK" w:eastAsia="方正小标宋_GBK" w:cs="方正小标宋_GBK"/>
          <w:sz w:val="48"/>
          <w:szCs w:val="48"/>
        </w:rPr>
        <w:t>年度新田县卫生计生综合监督执法局</w:t>
      </w:r>
    </w:p>
    <w:p>
      <w:pPr>
        <w:pStyle w:val="2"/>
        <w:widowControl/>
        <w:spacing w:beforeAutospacing="0" w:afterAutospacing="0"/>
        <w:jc w:val="center"/>
        <w:rPr>
          <w:rFonts w:ascii="Calibri" w:hAnsi="Calibri" w:cs="Calibri"/>
          <w:sz w:val="21"/>
          <w:szCs w:val="21"/>
        </w:rPr>
      </w:pPr>
      <w:r>
        <w:rPr>
          <w:rFonts w:ascii="方正小标宋_GBK" w:hAnsi="方正小标宋_GBK" w:eastAsia="方正小标宋_GBK" w:cs="方正小标宋_GBK"/>
          <w:sz w:val="48"/>
          <w:szCs w:val="48"/>
        </w:rPr>
        <w:t>整体支出绩效评</w:t>
      </w:r>
      <w:r>
        <w:rPr>
          <w:rFonts w:hint="eastAsia" w:ascii="方正小标宋_GBK" w:hAnsi="方正小标宋_GBK" w:eastAsia="方正小标宋_GBK" w:cs="方正小标宋_GBK"/>
          <w:sz w:val="48"/>
          <w:szCs w:val="48"/>
        </w:rPr>
        <w:t>价</w:t>
      </w:r>
      <w:r>
        <w:rPr>
          <w:rFonts w:ascii="方正小标宋_GBK" w:hAnsi="方正小标宋_GBK" w:eastAsia="方正小标宋_GBK" w:cs="方正小标宋_GBK"/>
          <w:sz w:val="48"/>
          <w:szCs w:val="48"/>
        </w:rPr>
        <w:t>报告</w:t>
      </w:r>
    </w:p>
    <w:p>
      <w:pPr>
        <w:pStyle w:val="2"/>
        <w:widowControl/>
        <w:spacing w:beforeAutospacing="0" w:afterAutospacing="0" w:line="600" w:lineRule="atLeast"/>
        <w:ind w:firstLine="640"/>
        <w:jc w:val="both"/>
        <w:rPr>
          <w:rFonts w:ascii="仿宋" w:hAnsi="仿宋" w:eastAsia="仿宋" w:cs="仿宋"/>
          <w:sz w:val="21"/>
          <w:szCs w:val="21"/>
        </w:rPr>
      </w:pPr>
      <w:r>
        <w:rPr>
          <w:rFonts w:hint="eastAsia" w:ascii="仿宋" w:hAnsi="仿宋" w:eastAsia="仿宋" w:cs="仿宋"/>
          <w:sz w:val="32"/>
          <w:szCs w:val="32"/>
        </w:rPr>
        <w:t>一、基本情况</w:t>
      </w:r>
    </w:p>
    <w:p>
      <w:pPr>
        <w:pStyle w:val="2"/>
        <w:widowControl/>
        <w:spacing w:beforeAutospacing="0" w:afterAutospacing="0" w:line="600" w:lineRule="atLeast"/>
        <w:ind w:firstLine="643"/>
        <w:jc w:val="both"/>
        <w:rPr>
          <w:rFonts w:ascii="仿宋" w:hAnsi="仿宋" w:eastAsia="仿宋" w:cs="仿宋"/>
          <w:b/>
          <w:sz w:val="32"/>
          <w:szCs w:val="32"/>
        </w:rPr>
      </w:pPr>
      <w:r>
        <w:rPr>
          <w:rFonts w:hint="eastAsia" w:ascii="仿宋" w:hAnsi="仿宋" w:eastAsia="仿宋" w:cs="仿宋"/>
          <w:b/>
          <w:sz w:val="32"/>
          <w:szCs w:val="32"/>
        </w:rPr>
        <w:t>（一）部门（单位）基本情况</w:t>
      </w:r>
    </w:p>
    <w:p>
      <w:pPr>
        <w:widowControl/>
        <w:spacing w:line="600" w:lineRule="atLeast"/>
        <w:ind w:firstLine="627"/>
        <w:jc w:val="left"/>
        <w:rPr>
          <w:shd w:val="clear" w:color="auto" w:fill="auto"/>
        </w:rPr>
      </w:pPr>
      <w:r>
        <w:rPr>
          <w:rFonts w:hint="eastAsia" w:ascii="黑体" w:hAnsi="宋体" w:eastAsia="黑体" w:cs="黑体"/>
          <w:kern w:val="0"/>
          <w:sz w:val="32"/>
          <w:szCs w:val="32"/>
          <w:shd w:val="clear" w:color="auto" w:fill="auto"/>
        </w:rPr>
        <w:t>一、部门基本概况</w:t>
      </w:r>
    </w:p>
    <w:p>
      <w:pPr>
        <w:widowControl/>
        <w:spacing w:line="600" w:lineRule="atLeast"/>
        <w:ind w:firstLine="627"/>
        <w:jc w:val="left"/>
        <w:rPr>
          <w:rFonts w:ascii="仿宋_GB2312" w:eastAsia="仿宋_GB2312" w:cs="仿宋_GB2312"/>
          <w:sz w:val="32"/>
          <w:szCs w:val="32"/>
          <w:shd w:val="clear" w:color="auto" w:fill="auto"/>
        </w:rPr>
      </w:pPr>
      <w:r>
        <w:rPr>
          <w:rFonts w:eastAsia="仿宋_GB2312"/>
          <w:sz w:val="32"/>
          <w:szCs w:val="32"/>
          <w:shd w:val="clear" w:color="auto" w:fill="auto"/>
        </w:rPr>
        <w:t>1</w:t>
      </w:r>
      <w:r>
        <w:rPr>
          <w:rFonts w:ascii="仿宋_GB2312" w:eastAsia="仿宋_GB2312" w:cs="仿宋_GB2312"/>
          <w:sz w:val="32"/>
          <w:szCs w:val="32"/>
          <w:shd w:val="clear" w:color="auto" w:fill="auto"/>
        </w:rPr>
        <w:t>、职能职责</w:t>
      </w:r>
    </w:p>
    <w:p>
      <w:pPr>
        <w:widowControl/>
        <w:spacing w:line="600" w:lineRule="atLeast"/>
        <w:ind w:firstLine="627"/>
        <w:jc w:val="left"/>
        <w:rPr>
          <w:rFonts w:hint="eastAsia"/>
          <w:sz w:val="28"/>
          <w:szCs w:val="28"/>
        </w:rPr>
      </w:pPr>
      <w:r>
        <w:rPr>
          <w:rFonts w:hint="eastAsia"/>
          <w:sz w:val="28"/>
          <w:szCs w:val="28"/>
        </w:rPr>
        <w:t>（1）负责组织实施行政区域或内卫生计生专项整治和日常监督检查工作；</w:t>
      </w:r>
    </w:p>
    <w:p>
      <w:pPr>
        <w:widowControl/>
        <w:spacing w:line="600" w:lineRule="atLeast"/>
        <w:ind w:firstLine="627"/>
        <w:jc w:val="left"/>
        <w:rPr>
          <w:rFonts w:hint="eastAsia"/>
          <w:sz w:val="28"/>
          <w:szCs w:val="28"/>
        </w:rPr>
      </w:pPr>
      <w:r>
        <w:rPr>
          <w:rFonts w:hint="eastAsia"/>
          <w:sz w:val="28"/>
          <w:szCs w:val="28"/>
        </w:rPr>
        <w:t>（2）负责对全县生活饮用水卫生、公共场所卫生、学校卫生、职业放谢卫生、传染病防治、医疗机构、采供血机构的监管；</w:t>
      </w:r>
    </w:p>
    <w:p>
      <w:pPr>
        <w:widowControl/>
        <w:spacing w:line="600" w:lineRule="atLeast"/>
        <w:ind w:firstLine="627"/>
        <w:jc w:val="left"/>
        <w:rPr>
          <w:rFonts w:hint="eastAsia"/>
          <w:sz w:val="28"/>
          <w:szCs w:val="28"/>
        </w:rPr>
      </w:pPr>
      <w:r>
        <w:rPr>
          <w:rFonts w:hint="eastAsia"/>
          <w:sz w:val="28"/>
          <w:szCs w:val="28"/>
        </w:rPr>
        <w:t>（3）承办卫生行政许可的审核、报批、发证等具体工作；</w:t>
      </w:r>
    </w:p>
    <w:p>
      <w:pPr>
        <w:widowControl/>
        <w:spacing w:line="600" w:lineRule="atLeast"/>
        <w:ind w:firstLine="627"/>
        <w:jc w:val="left"/>
        <w:rPr>
          <w:rFonts w:hint="eastAsia"/>
          <w:sz w:val="28"/>
          <w:szCs w:val="28"/>
        </w:rPr>
      </w:pPr>
      <w:r>
        <w:rPr>
          <w:rFonts w:hint="eastAsia"/>
          <w:sz w:val="28"/>
          <w:szCs w:val="28"/>
        </w:rPr>
        <w:t>（4）审查健康相关产品广告、医疗广告内容；</w:t>
      </w:r>
    </w:p>
    <w:p>
      <w:pPr>
        <w:widowControl/>
        <w:spacing w:line="600" w:lineRule="atLeast"/>
        <w:ind w:firstLine="627"/>
        <w:jc w:val="left"/>
        <w:rPr>
          <w:rFonts w:hint="eastAsia"/>
          <w:sz w:val="28"/>
          <w:szCs w:val="28"/>
        </w:rPr>
      </w:pPr>
      <w:r>
        <w:rPr>
          <w:rFonts w:hint="eastAsia"/>
          <w:sz w:val="28"/>
          <w:szCs w:val="28"/>
        </w:rPr>
        <w:t>（5）承担对违反卫生法律法规行为的调查取证，提出处理意见；</w:t>
      </w:r>
    </w:p>
    <w:p>
      <w:pPr>
        <w:widowControl/>
        <w:spacing w:line="600" w:lineRule="atLeast"/>
        <w:ind w:firstLine="627"/>
        <w:jc w:val="left"/>
        <w:rPr>
          <w:rFonts w:hint="eastAsia"/>
          <w:sz w:val="28"/>
          <w:szCs w:val="28"/>
        </w:rPr>
      </w:pPr>
      <w:r>
        <w:rPr>
          <w:rFonts w:hint="eastAsia"/>
          <w:sz w:val="28"/>
          <w:szCs w:val="28"/>
        </w:rPr>
        <w:t>（6）执行卫生行政控制措施与处罚决定；</w:t>
      </w:r>
    </w:p>
    <w:p>
      <w:pPr>
        <w:widowControl/>
        <w:spacing w:line="600" w:lineRule="atLeast"/>
        <w:ind w:firstLine="627"/>
        <w:jc w:val="left"/>
        <w:rPr>
          <w:rFonts w:hint="eastAsia"/>
          <w:sz w:val="28"/>
          <w:szCs w:val="28"/>
        </w:rPr>
      </w:pPr>
      <w:r>
        <w:rPr>
          <w:rFonts w:hint="eastAsia"/>
          <w:sz w:val="28"/>
          <w:szCs w:val="28"/>
        </w:rPr>
        <w:t>（7）参与对危害公共卫生、医疗事故、重大疫情和突发性公共卫生事件违法行为的调查处理；</w:t>
      </w:r>
    </w:p>
    <w:p>
      <w:pPr>
        <w:widowControl/>
        <w:spacing w:line="600" w:lineRule="atLeast"/>
        <w:ind w:firstLine="627"/>
        <w:jc w:val="left"/>
        <w:rPr>
          <w:rFonts w:hint="eastAsia"/>
          <w:sz w:val="28"/>
          <w:szCs w:val="28"/>
        </w:rPr>
      </w:pPr>
      <w:r>
        <w:rPr>
          <w:rFonts w:hint="eastAsia"/>
          <w:sz w:val="28"/>
          <w:szCs w:val="28"/>
        </w:rPr>
        <w:t>（8）负责对母婴保健机构、计划生育技术服务机构和从业人员的行为规范进行监督，依法打击“非医学需要的胎儿性别鉴定和非医学需要选择性别的人工终止妊娠”行为；</w:t>
      </w:r>
    </w:p>
    <w:p>
      <w:pPr>
        <w:widowControl/>
        <w:spacing w:line="360" w:lineRule="auto"/>
        <w:ind w:left="420" w:leftChars="200"/>
        <w:jc w:val="left"/>
        <w:rPr>
          <w:rFonts w:ascii="仿宋" w:hAnsi="仿宋" w:eastAsia="仿宋" w:cs="仿宋"/>
          <w:b/>
          <w:kern w:val="0"/>
          <w:sz w:val="28"/>
          <w:szCs w:val="28"/>
        </w:rPr>
      </w:pPr>
      <w:r>
        <w:rPr>
          <w:rFonts w:hint="eastAsia" w:ascii="仿宋" w:hAnsi="仿宋" w:eastAsia="仿宋" w:cs="仿宋"/>
          <w:b/>
          <w:kern w:val="0"/>
          <w:sz w:val="28"/>
          <w:szCs w:val="28"/>
        </w:rPr>
        <w:t xml:space="preserve">2、部门机构设置情况 </w:t>
      </w:r>
    </w:p>
    <w:p>
      <w:pPr>
        <w:widowControl/>
        <w:spacing w:line="600" w:lineRule="atLeast"/>
        <w:ind w:firstLine="627"/>
        <w:jc w:val="left"/>
        <w:rPr>
          <w:rFonts w:hint="eastAsia"/>
          <w:sz w:val="28"/>
          <w:szCs w:val="28"/>
        </w:rPr>
      </w:pPr>
      <w:r>
        <w:rPr>
          <w:rFonts w:hint="eastAsia"/>
          <w:sz w:val="28"/>
          <w:szCs w:val="28"/>
        </w:rPr>
        <w:t>根据编委核定，我局内设股室 5 个，所属事业单位   0 个。</w:t>
      </w:r>
    </w:p>
    <w:p>
      <w:pPr>
        <w:widowControl/>
        <w:spacing w:line="600" w:lineRule="atLeast"/>
        <w:ind w:firstLine="627"/>
        <w:jc w:val="left"/>
        <w:rPr>
          <w:rFonts w:hint="eastAsia"/>
          <w:sz w:val="28"/>
          <w:szCs w:val="28"/>
        </w:rPr>
      </w:pPr>
      <w:r>
        <w:rPr>
          <w:rFonts w:hint="eastAsia"/>
          <w:sz w:val="28"/>
          <w:szCs w:val="28"/>
        </w:rPr>
        <w:t>内设股室分别是：办公室、稽查股、公共场所卫生监督股、计划生育监督股、医疗机构卫生监督股。</w:t>
      </w:r>
    </w:p>
    <w:p>
      <w:pPr>
        <w:pStyle w:val="2"/>
        <w:widowControl/>
        <w:spacing w:beforeAutospacing="0" w:afterAutospacing="0" w:line="600" w:lineRule="atLeast"/>
        <w:ind w:firstLine="643"/>
        <w:jc w:val="both"/>
        <w:rPr>
          <w:rFonts w:ascii="仿宋" w:hAnsi="仿宋" w:eastAsia="仿宋" w:cs="仿宋"/>
          <w:b/>
          <w:sz w:val="32"/>
          <w:szCs w:val="32"/>
        </w:rPr>
      </w:pPr>
      <w:r>
        <w:rPr>
          <w:rFonts w:hint="eastAsia" w:ascii="仿宋" w:hAnsi="仿宋" w:eastAsia="仿宋" w:cs="仿宋"/>
          <w:b/>
          <w:sz w:val="32"/>
          <w:szCs w:val="32"/>
        </w:rPr>
        <w:t>（二）部门（单位）年度整体支出绩效目标，省级专项资金绩效目标、其他项目支出（除省级专项资金以外）绩效目标</w:t>
      </w:r>
    </w:p>
    <w:p>
      <w:pPr>
        <w:widowControl/>
        <w:spacing w:line="600" w:lineRule="atLeast"/>
        <w:ind w:firstLine="627"/>
        <w:jc w:val="left"/>
        <w:rPr>
          <w:rFonts w:hint="eastAsia"/>
          <w:sz w:val="28"/>
          <w:szCs w:val="28"/>
        </w:rPr>
      </w:pPr>
      <w:r>
        <w:rPr>
          <w:rFonts w:hint="eastAsia"/>
          <w:sz w:val="28"/>
          <w:szCs w:val="28"/>
        </w:rPr>
        <w:t>依法打击“非医学需要的胎儿性别鉴定和非医学需要选择性别的人工终止妊娠”行为，负责做好计划生育管理，查处计划生育违法违纪案件，提高生育水平。</w:t>
      </w:r>
      <w:r>
        <w:rPr>
          <w:rFonts w:hint="eastAsia"/>
          <w:sz w:val="28"/>
          <w:szCs w:val="28"/>
          <w:lang w:val="zh-TW"/>
        </w:rPr>
        <w:t>保证专款专用，按时按质完成各项资金工作任务。</w:t>
      </w:r>
    </w:p>
    <w:p>
      <w:pPr>
        <w:pStyle w:val="2"/>
        <w:widowControl/>
        <w:spacing w:beforeAutospacing="0" w:afterAutospacing="0" w:line="600" w:lineRule="atLeast"/>
        <w:ind w:firstLine="640"/>
        <w:jc w:val="both"/>
        <w:rPr>
          <w:rFonts w:ascii="仿宋" w:hAnsi="仿宋" w:eastAsia="仿宋" w:cs="仿宋"/>
          <w:sz w:val="21"/>
          <w:szCs w:val="21"/>
        </w:rPr>
      </w:pPr>
      <w:r>
        <w:rPr>
          <w:rFonts w:hint="eastAsia" w:ascii="仿宋" w:hAnsi="仿宋" w:eastAsia="仿宋" w:cs="仿宋"/>
          <w:sz w:val="32"/>
          <w:szCs w:val="32"/>
        </w:rPr>
        <w:t>二、一般公共预算支出情况</w:t>
      </w:r>
    </w:p>
    <w:p>
      <w:pPr>
        <w:pStyle w:val="2"/>
        <w:widowControl/>
        <w:spacing w:beforeAutospacing="0" w:afterAutospacing="0" w:line="600" w:lineRule="atLeast"/>
        <w:ind w:firstLine="643"/>
        <w:jc w:val="both"/>
        <w:rPr>
          <w:rFonts w:ascii="仿宋" w:hAnsi="仿宋" w:eastAsia="仿宋" w:cs="仿宋"/>
          <w:b/>
          <w:sz w:val="32"/>
          <w:szCs w:val="32"/>
        </w:rPr>
      </w:pPr>
      <w:r>
        <w:rPr>
          <w:rFonts w:hint="eastAsia" w:ascii="仿宋" w:hAnsi="仿宋" w:eastAsia="仿宋" w:cs="仿宋"/>
          <w:b/>
          <w:sz w:val="32"/>
          <w:szCs w:val="32"/>
        </w:rPr>
        <w:t>（一）基本支出情况</w:t>
      </w:r>
    </w:p>
    <w:p>
      <w:pPr>
        <w:widowControl/>
        <w:spacing w:line="600" w:lineRule="atLeast"/>
        <w:ind w:firstLine="627"/>
        <w:jc w:val="left"/>
        <w:rPr>
          <w:rFonts w:hint="eastAsia"/>
          <w:sz w:val="28"/>
          <w:szCs w:val="28"/>
        </w:rPr>
      </w:pPr>
      <w:r>
        <w:rPr>
          <w:rFonts w:hint="eastAsia"/>
          <w:sz w:val="28"/>
          <w:szCs w:val="28"/>
        </w:rPr>
        <w:t>2021年度财政拨款基本支出318.27万元，其中：人员经费合计支出216.18万元，商品和服务支出102.09万元。全年“三公”经费支出3.17万元，其中：因公出国（境）支出0万元，公务用车购置及运行维护费支出0万元，公车运行维护费0万元，公务接待接待费3.17万元，较好地控制了三公经费的开支。</w:t>
      </w:r>
    </w:p>
    <w:p>
      <w:pPr>
        <w:pStyle w:val="2"/>
        <w:widowControl/>
        <w:spacing w:beforeAutospacing="0" w:afterAutospacing="0" w:line="600" w:lineRule="atLeast"/>
        <w:ind w:firstLine="643"/>
        <w:jc w:val="both"/>
        <w:rPr>
          <w:rFonts w:ascii="仿宋" w:hAnsi="仿宋" w:eastAsia="仿宋" w:cs="仿宋"/>
          <w:b/>
          <w:sz w:val="32"/>
          <w:szCs w:val="32"/>
        </w:rPr>
      </w:pPr>
      <w:r>
        <w:rPr>
          <w:rFonts w:hint="eastAsia" w:ascii="仿宋" w:hAnsi="仿宋" w:eastAsia="仿宋" w:cs="仿宋"/>
          <w:b/>
          <w:sz w:val="32"/>
          <w:szCs w:val="32"/>
        </w:rPr>
        <w:t>（二）项目支出情况</w:t>
      </w:r>
    </w:p>
    <w:p>
      <w:pPr>
        <w:pStyle w:val="2"/>
        <w:widowControl/>
        <w:spacing w:beforeAutospacing="0" w:afterAutospacing="0" w:line="600" w:lineRule="atLeast"/>
        <w:ind w:firstLine="643"/>
        <w:jc w:val="both"/>
        <w:rPr>
          <w:sz w:val="28"/>
          <w:szCs w:val="28"/>
        </w:rPr>
      </w:pPr>
      <w:r>
        <w:rPr>
          <w:rFonts w:hint="eastAsia"/>
          <w:sz w:val="28"/>
          <w:szCs w:val="28"/>
        </w:rPr>
        <w:t>无项目支出。</w:t>
      </w:r>
    </w:p>
    <w:p>
      <w:pPr>
        <w:pStyle w:val="2"/>
        <w:widowControl/>
        <w:spacing w:beforeAutospacing="0" w:afterAutospacing="0" w:line="600" w:lineRule="atLeast"/>
        <w:ind w:firstLine="640"/>
        <w:jc w:val="both"/>
        <w:rPr>
          <w:rFonts w:ascii="仿宋" w:hAnsi="仿宋" w:eastAsia="仿宋" w:cs="仿宋"/>
          <w:b/>
          <w:bCs/>
          <w:sz w:val="32"/>
          <w:szCs w:val="32"/>
        </w:rPr>
      </w:pPr>
      <w:r>
        <w:rPr>
          <w:rFonts w:hint="eastAsia" w:ascii="仿宋" w:hAnsi="仿宋" w:eastAsia="仿宋" w:cs="仿宋"/>
          <w:b/>
          <w:bCs/>
          <w:sz w:val="32"/>
          <w:szCs w:val="32"/>
        </w:rPr>
        <w:t>三、政府性基金预算支出情况</w:t>
      </w:r>
    </w:p>
    <w:p>
      <w:pPr>
        <w:pStyle w:val="2"/>
        <w:widowControl/>
        <w:spacing w:beforeAutospacing="0" w:afterAutospacing="0" w:line="600" w:lineRule="atLeast"/>
        <w:ind w:firstLine="643"/>
        <w:jc w:val="both"/>
        <w:rPr>
          <w:sz w:val="28"/>
          <w:szCs w:val="28"/>
        </w:rPr>
      </w:pPr>
      <w:r>
        <w:rPr>
          <w:rFonts w:hint="eastAsia"/>
          <w:sz w:val="28"/>
          <w:szCs w:val="28"/>
        </w:rPr>
        <w:t>无政府性基金预算支出。</w:t>
      </w:r>
    </w:p>
    <w:p>
      <w:pPr>
        <w:pStyle w:val="2"/>
        <w:widowControl/>
        <w:spacing w:beforeAutospacing="0" w:afterAutospacing="0" w:line="600" w:lineRule="atLeast"/>
        <w:ind w:firstLine="640"/>
        <w:jc w:val="both"/>
        <w:rPr>
          <w:rFonts w:ascii="仿宋" w:hAnsi="仿宋" w:eastAsia="仿宋" w:cs="仿宋"/>
          <w:b/>
          <w:bCs/>
          <w:sz w:val="32"/>
          <w:szCs w:val="32"/>
        </w:rPr>
      </w:pPr>
      <w:r>
        <w:rPr>
          <w:rFonts w:hint="eastAsia" w:ascii="仿宋" w:hAnsi="仿宋" w:eastAsia="仿宋" w:cs="仿宋"/>
          <w:b/>
          <w:bCs/>
          <w:sz w:val="32"/>
          <w:szCs w:val="32"/>
        </w:rPr>
        <w:t>四、国有资本经营预算支出情况</w:t>
      </w:r>
    </w:p>
    <w:p>
      <w:pPr>
        <w:pStyle w:val="2"/>
        <w:widowControl/>
        <w:spacing w:beforeAutospacing="0" w:afterAutospacing="0" w:line="600" w:lineRule="atLeast"/>
        <w:ind w:firstLine="640"/>
        <w:jc w:val="both"/>
        <w:rPr>
          <w:sz w:val="28"/>
          <w:szCs w:val="28"/>
        </w:rPr>
      </w:pPr>
      <w:r>
        <w:rPr>
          <w:rFonts w:hint="eastAsia"/>
          <w:sz w:val="28"/>
          <w:szCs w:val="28"/>
        </w:rPr>
        <w:t>无国有资本经营预算支出。</w:t>
      </w:r>
    </w:p>
    <w:p>
      <w:pPr>
        <w:pStyle w:val="2"/>
        <w:widowControl/>
        <w:spacing w:beforeAutospacing="0" w:afterAutospacing="0" w:line="600" w:lineRule="atLeast"/>
        <w:ind w:firstLine="640"/>
        <w:jc w:val="both"/>
        <w:rPr>
          <w:rFonts w:ascii="仿宋" w:hAnsi="仿宋" w:eastAsia="仿宋" w:cs="仿宋"/>
          <w:b/>
          <w:bCs/>
          <w:sz w:val="32"/>
          <w:szCs w:val="32"/>
        </w:rPr>
      </w:pPr>
      <w:r>
        <w:rPr>
          <w:rFonts w:hint="eastAsia" w:ascii="仿宋" w:hAnsi="仿宋" w:eastAsia="仿宋" w:cs="仿宋"/>
          <w:b/>
          <w:bCs/>
          <w:sz w:val="32"/>
          <w:szCs w:val="32"/>
        </w:rPr>
        <w:t>五、社会保险基金预算支出情况</w:t>
      </w:r>
    </w:p>
    <w:p>
      <w:pPr>
        <w:pStyle w:val="2"/>
        <w:widowControl/>
        <w:spacing w:beforeAutospacing="0" w:afterAutospacing="0" w:line="600" w:lineRule="atLeast"/>
        <w:ind w:firstLine="640"/>
        <w:jc w:val="both"/>
        <w:rPr>
          <w:sz w:val="28"/>
          <w:szCs w:val="28"/>
        </w:rPr>
      </w:pPr>
      <w:r>
        <w:rPr>
          <w:rFonts w:hint="eastAsia"/>
          <w:sz w:val="28"/>
          <w:szCs w:val="28"/>
        </w:rPr>
        <w:t>无社会保险基金预算支出。</w:t>
      </w:r>
    </w:p>
    <w:p>
      <w:pPr>
        <w:pStyle w:val="2"/>
        <w:widowControl/>
        <w:spacing w:beforeAutospacing="0" w:afterAutospacing="0" w:line="600" w:lineRule="atLeast"/>
        <w:ind w:firstLine="640"/>
        <w:jc w:val="both"/>
        <w:rPr>
          <w:rFonts w:ascii="仿宋" w:hAnsi="仿宋" w:eastAsia="仿宋" w:cs="仿宋"/>
          <w:b/>
          <w:bCs/>
          <w:sz w:val="21"/>
          <w:szCs w:val="21"/>
        </w:rPr>
      </w:pPr>
      <w:r>
        <w:rPr>
          <w:rFonts w:hint="eastAsia" w:ascii="仿宋" w:hAnsi="仿宋" w:eastAsia="仿宋" w:cs="仿宋"/>
          <w:b/>
          <w:bCs/>
          <w:sz w:val="32"/>
          <w:szCs w:val="32"/>
        </w:rPr>
        <w:t>六、部门整体支出绩效情况</w:t>
      </w:r>
    </w:p>
    <w:p>
      <w:pPr>
        <w:widowControl/>
        <w:spacing w:line="600" w:lineRule="atLeast"/>
        <w:ind w:firstLine="627"/>
        <w:jc w:val="left"/>
        <w:rPr>
          <w:rFonts w:hint="eastAsia"/>
          <w:sz w:val="28"/>
          <w:szCs w:val="28"/>
        </w:rPr>
      </w:pPr>
      <w:r>
        <w:rPr>
          <w:rFonts w:hint="eastAsia"/>
          <w:sz w:val="28"/>
          <w:szCs w:val="28"/>
        </w:rPr>
        <w:t>总结归纳本部门“四本预算”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pPr>
        <w:pStyle w:val="2"/>
        <w:widowControl/>
        <w:spacing w:beforeAutospacing="0" w:afterAutospacing="0" w:line="600" w:lineRule="atLeast"/>
        <w:ind w:firstLine="640"/>
        <w:jc w:val="both"/>
        <w:rPr>
          <w:rFonts w:ascii="仿宋" w:hAnsi="仿宋" w:eastAsia="仿宋" w:cs="仿宋"/>
          <w:b/>
          <w:bCs/>
          <w:sz w:val="21"/>
          <w:szCs w:val="21"/>
        </w:rPr>
      </w:pPr>
      <w:r>
        <w:rPr>
          <w:rFonts w:hint="eastAsia" w:ascii="仿宋" w:hAnsi="仿宋" w:eastAsia="仿宋" w:cs="仿宋"/>
          <w:b/>
          <w:bCs/>
          <w:sz w:val="32"/>
          <w:szCs w:val="32"/>
        </w:rPr>
        <w:t>七、存在的问题及原因分析</w:t>
      </w:r>
    </w:p>
    <w:p>
      <w:pPr>
        <w:widowControl/>
        <w:spacing w:line="600" w:lineRule="atLeast"/>
        <w:ind w:firstLine="627"/>
        <w:jc w:val="left"/>
        <w:rPr>
          <w:rFonts w:hint="eastAsia"/>
          <w:sz w:val="28"/>
          <w:szCs w:val="28"/>
        </w:rPr>
      </w:pPr>
      <w:r>
        <w:rPr>
          <w:rFonts w:hint="eastAsia"/>
          <w:sz w:val="28"/>
          <w:szCs w:val="28"/>
        </w:rPr>
        <w:t>综合各项指标，我局财务管理健全规范，没有发生违法违规现象，2021年的部门整体支出绩效自我评价</w:t>
      </w:r>
      <w:r>
        <w:rPr>
          <w:rFonts w:hint="eastAsia"/>
          <w:sz w:val="28"/>
          <w:szCs w:val="28"/>
          <w:lang w:eastAsia="zh-CN"/>
        </w:rPr>
        <w:t>得</w:t>
      </w:r>
      <w:r>
        <w:rPr>
          <w:rFonts w:hint="eastAsia"/>
          <w:sz w:val="28"/>
          <w:szCs w:val="28"/>
        </w:rPr>
        <w:t>到99分，自评结果：良好。我局将在以后的工作中加强预算管理，严格控制各项经费的开支，提高经费的使用效率。</w:t>
      </w:r>
    </w:p>
    <w:p>
      <w:pPr>
        <w:pStyle w:val="2"/>
        <w:widowControl/>
        <w:spacing w:beforeAutospacing="0" w:afterAutospacing="0" w:line="600" w:lineRule="atLeast"/>
        <w:ind w:firstLine="640"/>
        <w:jc w:val="both"/>
        <w:rPr>
          <w:rFonts w:ascii="仿宋" w:hAnsi="仿宋" w:eastAsia="仿宋" w:cs="仿宋"/>
          <w:b/>
          <w:bCs/>
          <w:sz w:val="32"/>
          <w:szCs w:val="32"/>
        </w:rPr>
      </w:pPr>
      <w:r>
        <w:rPr>
          <w:rFonts w:hint="eastAsia" w:ascii="仿宋" w:hAnsi="仿宋" w:eastAsia="仿宋" w:cs="仿宋"/>
          <w:b/>
          <w:bCs/>
          <w:sz w:val="32"/>
          <w:szCs w:val="32"/>
        </w:rPr>
        <w:t>八、下一步改进措施</w:t>
      </w:r>
    </w:p>
    <w:p>
      <w:pPr>
        <w:widowControl/>
        <w:spacing w:line="600" w:lineRule="atLeast"/>
        <w:ind w:firstLine="627"/>
        <w:jc w:val="left"/>
        <w:rPr>
          <w:rFonts w:hint="eastAsia"/>
          <w:sz w:val="28"/>
          <w:szCs w:val="28"/>
        </w:rPr>
      </w:pPr>
      <w:r>
        <w:rPr>
          <w:rFonts w:hint="eastAsia"/>
          <w:sz w:val="28"/>
          <w:szCs w:val="28"/>
        </w:rPr>
        <w:t>我局一定认真贯彻落实党中央、省、市关于厉行勤俭节约、反铺张浪费的各项规定，严格控制“三公”经费，加强会议费、培训费、差旅费的管理，切实降低行政运行成本，努力提高财政资金使用效益。</w:t>
      </w:r>
    </w:p>
    <w:p>
      <w:pPr>
        <w:pStyle w:val="2"/>
        <w:widowControl/>
        <w:spacing w:beforeAutospacing="0" w:afterAutospacing="0" w:line="600" w:lineRule="atLeast"/>
        <w:ind w:firstLine="640"/>
        <w:jc w:val="both"/>
        <w:rPr>
          <w:rFonts w:ascii="仿宋" w:hAnsi="仿宋" w:eastAsia="仿宋" w:cs="仿宋"/>
          <w:b/>
          <w:bCs/>
          <w:sz w:val="32"/>
          <w:szCs w:val="32"/>
        </w:rPr>
      </w:pPr>
      <w:r>
        <w:rPr>
          <w:rFonts w:hint="eastAsia" w:ascii="仿宋" w:hAnsi="仿宋" w:eastAsia="仿宋" w:cs="仿宋"/>
          <w:b/>
          <w:bCs/>
          <w:sz w:val="32"/>
          <w:szCs w:val="32"/>
        </w:rPr>
        <w:t>九、其他需要说明的情况</w:t>
      </w:r>
    </w:p>
    <w:p>
      <w:pPr>
        <w:pStyle w:val="2"/>
        <w:widowControl/>
        <w:spacing w:beforeAutospacing="0" w:afterAutospacing="0" w:line="600" w:lineRule="atLeast"/>
        <w:ind w:firstLine="640"/>
        <w:jc w:val="both"/>
        <w:rPr>
          <w:rFonts w:ascii="仿宋" w:hAnsi="仿宋" w:eastAsia="仿宋" w:cs="仿宋"/>
          <w:b/>
          <w:bCs/>
          <w:sz w:val="21"/>
          <w:szCs w:val="21"/>
        </w:rPr>
      </w:pPr>
      <w:r>
        <w:rPr>
          <w:rFonts w:hint="eastAsia" w:ascii="仿宋" w:hAnsi="仿宋" w:eastAsia="仿宋" w:cs="仿宋"/>
          <w:b/>
          <w:bCs/>
          <w:sz w:val="32"/>
          <w:szCs w:val="32"/>
        </w:rPr>
        <w:t>无。</w:t>
      </w:r>
    </w:p>
    <w:p>
      <w:pPr>
        <w:pStyle w:val="2"/>
        <w:widowControl/>
        <w:spacing w:beforeAutospacing="0" w:afterAutospacing="0"/>
        <w:jc w:val="both"/>
        <w:rPr>
          <w:rFonts w:ascii="Calibri" w:hAnsi="Calibri" w:cs="Calibri"/>
          <w:sz w:val="21"/>
          <w:szCs w:val="21"/>
        </w:rPr>
      </w:pPr>
      <w:r>
        <w:rPr>
          <w:rFonts w:ascii="Calibri" w:hAnsi="Calibri" w:cs="Calibri"/>
          <w:sz w:val="21"/>
          <w:szCs w:val="21"/>
        </w:rPr>
        <w:t> </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CDB516"/>
    <w:multiLevelType w:val="singleLevel"/>
    <w:tmpl w:val="47CDB51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196D3D59"/>
    <w:rsid w:val="00013848"/>
    <w:rsid w:val="00031C72"/>
    <w:rsid w:val="000B5BAF"/>
    <w:rsid w:val="000C24FE"/>
    <w:rsid w:val="001A373C"/>
    <w:rsid w:val="001D44A2"/>
    <w:rsid w:val="001F06CE"/>
    <w:rsid w:val="002542C2"/>
    <w:rsid w:val="002C502E"/>
    <w:rsid w:val="002D0E64"/>
    <w:rsid w:val="00304CD1"/>
    <w:rsid w:val="003376CB"/>
    <w:rsid w:val="003F70F5"/>
    <w:rsid w:val="00420622"/>
    <w:rsid w:val="00713CB6"/>
    <w:rsid w:val="007524B4"/>
    <w:rsid w:val="00856682"/>
    <w:rsid w:val="00A556E4"/>
    <w:rsid w:val="00A71E7D"/>
    <w:rsid w:val="00A9248E"/>
    <w:rsid w:val="00AC0516"/>
    <w:rsid w:val="00B00584"/>
    <w:rsid w:val="00B152FC"/>
    <w:rsid w:val="00B1546E"/>
    <w:rsid w:val="00B26CFC"/>
    <w:rsid w:val="00B46C9E"/>
    <w:rsid w:val="00BE1104"/>
    <w:rsid w:val="00BF42CF"/>
    <w:rsid w:val="00C74687"/>
    <w:rsid w:val="00E73EF0"/>
    <w:rsid w:val="00E97A57"/>
    <w:rsid w:val="00EA01DE"/>
    <w:rsid w:val="00F80BBE"/>
    <w:rsid w:val="00FA4707"/>
    <w:rsid w:val="00FA6F75"/>
    <w:rsid w:val="00FE2F32"/>
    <w:rsid w:val="01D763E6"/>
    <w:rsid w:val="05D24FF6"/>
    <w:rsid w:val="06983C28"/>
    <w:rsid w:val="0847561F"/>
    <w:rsid w:val="084E1401"/>
    <w:rsid w:val="0B2F2162"/>
    <w:rsid w:val="11F81A2E"/>
    <w:rsid w:val="13F07810"/>
    <w:rsid w:val="18F64223"/>
    <w:rsid w:val="196D3D59"/>
    <w:rsid w:val="1CE82F08"/>
    <w:rsid w:val="1CEE4B08"/>
    <w:rsid w:val="1D226A5D"/>
    <w:rsid w:val="1FFE32B4"/>
    <w:rsid w:val="206414DA"/>
    <w:rsid w:val="27574B0D"/>
    <w:rsid w:val="2BDA4BD6"/>
    <w:rsid w:val="2C24677F"/>
    <w:rsid w:val="2EC57DE2"/>
    <w:rsid w:val="2F9874C3"/>
    <w:rsid w:val="315076E8"/>
    <w:rsid w:val="32BA3AFB"/>
    <w:rsid w:val="337E0C62"/>
    <w:rsid w:val="34363C14"/>
    <w:rsid w:val="34677222"/>
    <w:rsid w:val="36DC4165"/>
    <w:rsid w:val="37DD45B5"/>
    <w:rsid w:val="383F5EE0"/>
    <w:rsid w:val="3FBA2DEB"/>
    <w:rsid w:val="4062799B"/>
    <w:rsid w:val="40D21EC7"/>
    <w:rsid w:val="416D018B"/>
    <w:rsid w:val="46A95479"/>
    <w:rsid w:val="47185D84"/>
    <w:rsid w:val="47FD5A57"/>
    <w:rsid w:val="49297D75"/>
    <w:rsid w:val="4C8E2E4B"/>
    <w:rsid w:val="4DC808DA"/>
    <w:rsid w:val="50414974"/>
    <w:rsid w:val="513175EA"/>
    <w:rsid w:val="52950FA7"/>
    <w:rsid w:val="5313200B"/>
    <w:rsid w:val="56AA625F"/>
    <w:rsid w:val="5753429D"/>
    <w:rsid w:val="58B32187"/>
    <w:rsid w:val="5AD703B5"/>
    <w:rsid w:val="5B2D6220"/>
    <w:rsid w:val="5D291C7A"/>
    <w:rsid w:val="5D8F31C2"/>
    <w:rsid w:val="5E367BEE"/>
    <w:rsid w:val="65AC2438"/>
    <w:rsid w:val="679338AF"/>
    <w:rsid w:val="6C2E1DF8"/>
    <w:rsid w:val="6F2179F2"/>
    <w:rsid w:val="706322A2"/>
    <w:rsid w:val="71062E85"/>
    <w:rsid w:val="788F7EFE"/>
    <w:rsid w:val="790A7FD0"/>
    <w:rsid w:val="7CBE2D25"/>
    <w:rsid w:val="7D67516A"/>
    <w:rsid w:val="7E232498"/>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F88D07-2BC5-466C-912B-762DA9588902}">
  <ds:schemaRefs/>
</ds:datastoreItem>
</file>

<file path=docProps/app.xml><?xml version="1.0" encoding="utf-8"?>
<Properties xmlns="http://schemas.openxmlformats.org/officeDocument/2006/extended-properties" xmlns:vt="http://schemas.openxmlformats.org/officeDocument/2006/docPropsVTypes">
  <Template>Normal</Template>
  <Pages>20</Pages>
  <Words>7384</Words>
  <Characters>8454</Characters>
  <Lines>84</Lines>
  <Paragraphs>23</Paragraphs>
  <TotalTime>1</TotalTime>
  <ScaleCrop>false</ScaleCrop>
  <LinksUpToDate>false</LinksUpToDate>
  <CharactersWithSpaces>9822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2022-10-17T02:21:00Z</dcterms:created>
  <dc:creator>Administrator</dc:creator>
  <cp:lastModifiedBy>Administrator</cp:lastModifiedBy>
  <cp:lastPrinted>2022-10-18T00:43:00Z</cp:lastPrinted>
  <dcterms:modified xsi:type="dcterms:W3CDTF">2023-09-26T09:28:42Z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FB04234D4CCE4DB39B754E921ECCE42B_13</vt:lpwstr>
  </property>
</Properties>
</file>