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jc w:val="center"/>
        <w:rPr>
          <w:rFonts w:hint="eastAsia"/>
          <w:sz w:val="48"/>
          <w:szCs w:val="48"/>
          <w:lang w:eastAsia="zh-CN"/>
        </w:rPr>
      </w:pPr>
    </w:p>
    <w:p>
      <w:pPr>
        <w:pStyle w:val="7"/>
        <w:jc w:val="center"/>
        <w:rPr>
          <w:rFonts w:hint="eastAsia"/>
          <w:sz w:val="48"/>
          <w:szCs w:val="48"/>
          <w:lang w:eastAsia="zh-CN"/>
        </w:rPr>
      </w:pPr>
      <w:r>
        <w:rPr>
          <w:rFonts w:hint="eastAsia"/>
          <w:sz w:val="48"/>
          <w:szCs w:val="48"/>
          <w:lang w:eastAsia="zh-CN"/>
        </w:rPr>
        <w:t>新田县</w:t>
      </w:r>
      <w:r>
        <w:rPr>
          <w:rFonts w:hint="eastAsia"/>
          <w:sz w:val="48"/>
          <w:szCs w:val="48"/>
          <w:lang w:val="en-US" w:eastAsia="zh-CN"/>
        </w:rPr>
        <w:t>医疗保障局</w:t>
      </w:r>
      <w:r>
        <w:rPr>
          <w:rFonts w:hint="eastAsia"/>
          <w:sz w:val="48"/>
          <w:szCs w:val="48"/>
          <w:lang w:eastAsia="zh-CN"/>
        </w:rPr>
        <w:t>202</w:t>
      </w:r>
      <w:r>
        <w:rPr>
          <w:rFonts w:hint="eastAsia"/>
          <w:sz w:val="48"/>
          <w:szCs w:val="48"/>
          <w:lang w:val="en-US" w:eastAsia="zh-CN"/>
        </w:rPr>
        <w:t>1</w:t>
      </w:r>
      <w:r>
        <w:rPr>
          <w:rFonts w:hint="eastAsia"/>
          <w:sz w:val="48"/>
          <w:szCs w:val="48"/>
          <w:lang w:eastAsia="zh-CN"/>
        </w:rPr>
        <w:t>年度部门决算公开</w:t>
      </w:r>
    </w:p>
    <w:p>
      <w:pPr>
        <w:pStyle w:val="7"/>
        <w:spacing w:line="540" w:lineRule="exact"/>
        <w:jc w:val="center"/>
        <w:rPr>
          <w:sz w:val="56"/>
          <w:szCs w:val="56"/>
        </w:rPr>
      </w:pPr>
    </w:p>
    <w:p>
      <w:pPr>
        <w:pStyle w:val="7"/>
        <w:spacing w:line="520" w:lineRule="exact"/>
        <w:jc w:val="center"/>
        <w:rPr>
          <w:sz w:val="44"/>
          <w:szCs w:val="44"/>
        </w:rPr>
      </w:pPr>
      <w:r>
        <w:rPr>
          <w:rFonts w:hint="eastAsia"/>
          <w:sz w:val="44"/>
          <w:szCs w:val="44"/>
        </w:rPr>
        <w:t>目录</w:t>
      </w:r>
    </w:p>
    <w:p>
      <w:pPr>
        <w:pStyle w:val="7"/>
        <w:spacing w:line="520" w:lineRule="exact"/>
        <w:rPr>
          <w:rFonts w:ascii="仿宋_GB2312" w:hAnsi="仿宋_GB2312" w:cs="仿宋_GB2312"/>
          <w:b/>
          <w:sz w:val="28"/>
          <w:szCs w:val="28"/>
        </w:rPr>
      </w:pPr>
      <w:r>
        <w:rPr>
          <w:rFonts w:hint="eastAsia"/>
          <w:b/>
          <w:sz w:val="28"/>
          <w:szCs w:val="28"/>
        </w:rPr>
        <w:t>第一部分</w:t>
      </w:r>
      <w:r>
        <w:rPr>
          <w:rFonts w:hint="eastAsia"/>
          <w:b/>
          <w:sz w:val="28"/>
          <w:szCs w:val="28"/>
          <w:lang w:eastAsia="zh-CN"/>
        </w:rPr>
        <w:t>新田县</w:t>
      </w:r>
      <w:r>
        <w:rPr>
          <w:rFonts w:hint="eastAsia"/>
          <w:b/>
          <w:sz w:val="28"/>
          <w:szCs w:val="28"/>
          <w:lang w:val="en-US" w:eastAsia="zh-CN"/>
        </w:rPr>
        <w:t>医疗保障局</w:t>
      </w:r>
      <w:r>
        <w:rPr>
          <w:rFonts w:hint="eastAsia"/>
          <w:b/>
          <w:sz w:val="28"/>
          <w:szCs w:val="28"/>
        </w:rPr>
        <w:t>概况</w:t>
      </w:r>
    </w:p>
    <w:p>
      <w:pPr>
        <w:pStyle w:val="7"/>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7"/>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7"/>
        <w:spacing w:line="520" w:lineRule="exact"/>
        <w:rPr>
          <w:rFonts w:ascii="仿宋_GB2312" w:hAnsi="仿宋_GB2312" w:cs="仿宋_GB2312"/>
          <w:b/>
          <w:sz w:val="28"/>
          <w:szCs w:val="28"/>
        </w:rPr>
      </w:pPr>
      <w:r>
        <w:rPr>
          <w:rFonts w:hint="eastAsia" w:hAnsi="仿宋_GB2312"/>
          <w:b/>
          <w:sz w:val="28"/>
          <w:szCs w:val="28"/>
        </w:rPr>
        <w:t>第二部分</w:t>
      </w:r>
      <w:r>
        <w:rPr>
          <w:rFonts w:hint="eastAsia" w:hAnsi="仿宋_GB2312"/>
          <w:b/>
          <w:sz w:val="28"/>
          <w:szCs w:val="28"/>
          <w:lang w:eastAsia="zh-CN"/>
        </w:rPr>
        <w:t>202</w:t>
      </w:r>
      <w:r>
        <w:rPr>
          <w:rFonts w:hint="eastAsia" w:hAnsi="仿宋_GB2312"/>
          <w:b/>
          <w:sz w:val="28"/>
          <w:szCs w:val="28"/>
          <w:lang w:val="en-US" w:eastAsia="zh-CN"/>
        </w:rPr>
        <w:t>1</w:t>
      </w:r>
      <w:r>
        <w:rPr>
          <w:rFonts w:hint="eastAsia" w:hAnsi="仿宋_GB2312"/>
          <w:b/>
          <w:sz w:val="28"/>
          <w:szCs w:val="28"/>
        </w:rPr>
        <w:t>年度部门决算表</w:t>
      </w:r>
    </w:p>
    <w:p>
      <w:pPr>
        <w:pStyle w:val="7"/>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7"/>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7"/>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7"/>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7"/>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7"/>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六、一般公共预算财政拨款基本支出决算表</w:t>
      </w:r>
    </w:p>
    <w:p>
      <w:pPr>
        <w:pStyle w:val="7"/>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7"/>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7"/>
        <w:spacing w:line="520" w:lineRule="exact"/>
        <w:ind w:firstLine="840" w:firstLineChars="300"/>
        <w:rPr>
          <w:rFonts w:hint="eastAsia" w:ascii="宋体" w:hAnsi="宋体" w:eastAsia="宋体" w:cs="宋体"/>
          <w:i w:val="0"/>
          <w:caps w:val="0"/>
          <w:color w:val="333333"/>
          <w:spacing w:val="0"/>
          <w:sz w:val="28"/>
          <w:szCs w:val="28"/>
          <w:shd w:val="clear" w:fill="FFFFFF"/>
          <w:lang w:eastAsia="zh-CN"/>
        </w:rPr>
      </w:pPr>
      <w:r>
        <w:rPr>
          <w:rFonts w:hint="eastAsia" w:ascii="微软雅黑" w:hAnsi="微软雅黑" w:eastAsia="微软雅黑" w:cs="微软雅黑"/>
          <w:i w:val="0"/>
          <w:caps w:val="0"/>
          <w:color w:val="333333"/>
          <w:spacing w:val="0"/>
          <w:sz w:val="28"/>
          <w:szCs w:val="28"/>
          <w:shd w:val="clear" w:fill="FFFFFF"/>
        </w:rPr>
        <w:t>九、</w:t>
      </w:r>
      <w:r>
        <w:rPr>
          <w:rFonts w:hint="eastAsia" w:ascii="宋体" w:hAnsi="宋体" w:eastAsia="宋体" w:cs="宋体"/>
          <w:i w:val="0"/>
          <w:caps w:val="0"/>
          <w:color w:val="333333"/>
          <w:spacing w:val="0"/>
          <w:sz w:val="28"/>
          <w:szCs w:val="28"/>
          <w:shd w:val="clear" w:fill="FFFFFF"/>
        </w:rPr>
        <w:t>国有资本经营预算财政拨款支出决算</w:t>
      </w:r>
      <w:r>
        <w:rPr>
          <w:rFonts w:hint="eastAsia" w:ascii="宋体" w:hAnsi="宋体" w:eastAsia="宋体" w:cs="宋体"/>
          <w:i w:val="0"/>
          <w:caps w:val="0"/>
          <w:color w:val="333333"/>
          <w:spacing w:val="0"/>
          <w:sz w:val="28"/>
          <w:szCs w:val="28"/>
          <w:shd w:val="clear" w:fill="FFFFFF"/>
          <w:lang w:eastAsia="zh-CN"/>
        </w:rPr>
        <w:t>表</w:t>
      </w:r>
    </w:p>
    <w:p>
      <w:pPr>
        <w:pStyle w:val="7"/>
        <w:spacing w:line="520" w:lineRule="exact"/>
        <w:rPr>
          <w:rFonts w:ascii="仿宋_GB2312" w:hAnsi="仿宋_GB2312" w:cs="仿宋_GB2312"/>
          <w:b/>
          <w:sz w:val="28"/>
          <w:szCs w:val="28"/>
        </w:rPr>
      </w:pPr>
      <w:r>
        <w:rPr>
          <w:rFonts w:hint="eastAsia" w:hAnsi="仿宋_GB2312"/>
          <w:b/>
          <w:sz w:val="28"/>
          <w:szCs w:val="28"/>
        </w:rPr>
        <w:t>第三部分</w:t>
      </w:r>
      <w:r>
        <w:rPr>
          <w:rFonts w:hint="eastAsia" w:hAnsi="仿宋_GB2312"/>
          <w:b/>
          <w:sz w:val="28"/>
          <w:szCs w:val="28"/>
          <w:lang w:eastAsia="zh-CN"/>
        </w:rPr>
        <w:t>202</w:t>
      </w:r>
      <w:r>
        <w:rPr>
          <w:rFonts w:hint="eastAsia" w:hAnsi="仿宋_GB2312"/>
          <w:b/>
          <w:sz w:val="28"/>
          <w:szCs w:val="28"/>
          <w:lang w:val="en-US" w:eastAsia="zh-CN"/>
        </w:rPr>
        <w:t>1</w:t>
      </w:r>
      <w:r>
        <w:rPr>
          <w:rFonts w:hint="eastAsia" w:hAnsi="仿宋_GB2312"/>
          <w:b/>
          <w:sz w:val="28"/>
          <w:szCs w:val="28"/>
        </w:rPr>
        <w:t>年度部门决算情况说明</w:t>
      </w:r>
    </w:p>
    <w:p>
      <w:pPr>
        <w:pStyle w:val="7"/>
        <w:spacing w:line="52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一、收入支出决算总体情况说明</w:t>
      </w:r>
    </w:p>
    <w:p>
      <w:pPr>
        <w:pStyle w:val="7"/>
        <w:spacing w:line="520" w:lineRule="exact"/>
        <w:ind w:firstLine="700" w:firstLineChars="250"/>
        <w:rPr>
          <w:rFonts w:hint="eastAsia"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二、收入决算情况说明</w:t>
      </w:r>
    </w:p>
    <w:p>
      <w:pPr>
        <w:pStyle w:val="7"/>
        <w:spacing w:line="520" w:lineRule="exact"/>
        <w:ind w:firstLine="700" w:firstLineChars="250"/>
        <w:rPr>
          <w:rFonts w:hint="eastAsia"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三、支出决算情况说明</w:t>
      </w:r>
    </w:p>
    <w:p>
      <w:pPr>
        <w:pStyle w:val="7"/>
        <w:spacing w:line="520" w:lineRule="exact"/>
        <w:ind w:firstLine="700" w:firstLineChars="250"/>
        <w:rPr>
          <w:rFonts w:hint="eastAsia"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四、财政拨款收入支出决算总体情况说明</w:t>
      </w:r>
    </w:p>
    <w:p>
      <w:pPr>
        <w:pStyle w:val="7"/>
        <w:spacing w:line="520" w:lineRule="exact"/>
        <w:ind w:firstLine="700" w:firstLineChars="250"/>
        <w:rPr>
          <w:rFonts w:hint="eastAsia"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五、一般公共预算财政拨款支出决算情况说明</w:t>
      </w:r>
    </w:p>
    <w:p>
      <w:pPr>
        <w:pStyle w:val="7"/>
        <w:spacing w:line="520" w:lineRule="exact"/>
        <w:ind w:firstLine="700" w:firstLineChars="250"/>
        <w:rPr>
          <w:rFonts w:hint="eastAsia"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六、一般公共预算财政拨款基本支出决算情况说明</w:t>
      </w:r>
    </w:p>
    <w:p>
      <w:pPr>
        <w:pStyle w:val="7"/>
        <w:spacing w:line="520" w:lineRule="exact"/>
        <w:ind w:firstLine="700" w:firstLineChars="250"/>
        <w:rPr>
          <w:rFonts w:hint="eastAsia"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七、一般公共预算财政拨款“三公”经费支出决算情况说明</w:t>
      </w:r>
    </w:p>
    <w:p>
      <w:pPr>
        <w:pStyle w:val="7"/>
        <w:spacing w:line="520" w:lineRule="exact"/>
        <w:ind w:firstLine="700" w:firstLineChars="250"/>
        <w:rPr>
          <w:rFonts w:hint="eastAsia"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八、政府性基金预算收入支出决算情况</w:t>
      </w:r>
    </w:p>
    <w:p>
      <w:pPr>
        <w:pStyle w:val="7"/>
        <w:spacing w:line="520" w:lineRule="exact"/>
        <w:ind w:firstLine="700" w:firstLineChars="250"/>
        <w:rPr>
          <w:rFonts w:hint="eastAsia"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九、国有资本经营预算财政拨款支出决算情况</w:t>
      </w:r>
    </w:p>
    <w:p>
      <w:pPr>
        <w:pStyle w:val="7"/>
        <w:spacing w:line="520" w:lineRule="exact"/>
        <w:ind w:firstLine="700" w:firstLineChars="250"/>
        <w:rPr>
          <w:rFonts w:hint="eastAsia"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十、机关运行经费支出说明</w:t>
      </w:r>
    </w:p>
    <w:p>
      <w:pPr>
        <w:pStyle w:val="7"/>
        <w:spacing w:line="520" w:lineRule="exact"/>
        <w:ind w:firstLine="700" w:firstLineChars="250"/>
        <w:rPr>
          <w:rFonts w:hint="eastAsia"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十一、一般性支出情况说明</w:t>
      </w:r>
    </w:p>
    <w:p>
      <w:pPr>
        <w:pStyle w:val="7"/>
        <w:spacing w:line="520" w:lineRule="exact"/>
        <w:ind w:firstLine="700" w:firstLineChars="250"/>
        <w:rPr>
          <w:rFonts w:hint="eastAsia"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十二、政府采购支出说明</w:t>
      </w:r>
    </w:p>
    <w:p>
      <w:pPr>
        <w:pStyle w:val="7"/>
        <w:spacing w:line="520" w:lineRule="exact"/>
        <w:ind w:firstLine="700" w:firstLineChars="250"/>
        <w:rPr>
          <w:rFonts w:hint="eastAsia"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十三、国有资产占用情况说明</w:t>
      </w:r>
    </w:p>
    <w:p>
      <w:pPr>
        <w:pStyle w:val="7"/>
        <w:spacing w:line="520" w:lineRule="exact"/>
        <w:ind w:firstLine="700" w:firstLineChars="250"/>
        <w:rPr>
          <w:rFonts w:hint="eastAsia"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十四、2021年度预算绩效情况说明</w:t>
      </w:r>
    </w:p>
    <w:p>
      <w:pPr>
        <w:autoSpaceDE w:val="0"/>
        <w:autoSpaceDN w:val="0"/>
        <w:adjustRightInd w:val="0"/>
        <w:spacing w:line="520" w:lineRule="exact"/>
        <w:jc w:val="left"/>
        <w:rPr>
          <w:rFonts w:ascii="黑体" w:hAnsi="黑体" w:eastAsia="黑体" w:cs="仿宋_GB2312"/>
          <w:b/>
          <w:color w:val="000000"/>
          <w:kern w:val="0"/>
          <w:sz w:val="28"/>
          <w:szCs w:val="28"/>
        </w:rPr>
      </w:pPr>
      <w:r>
        <w:rPr>
          <w:rFonts w:ascii="黑体" w:hAnsi="黑体" w:eastAsia="黑体" w:cs="黑体"/>
          <w:b/>
          <w:color w:val="000000"/>
          <w:kern w:val="0"/>
          <w:sz w:val="28"/>
          <w:szCs w:val="28"/>
        </w:rPr>
        <w:t>第四部分名词解释</w:t>
      </w:r>
    </w:p>
    <w:p>
      <w:pPr>
        <w:spacing w:line="520" w:lineRule="exact"/>
        <w:jc w:val="left"/>
        <w:rPr>
          <w:rFonts w:ascii="黑体" w:hAnsi="黑体" w:eastAsia="黑体" w:cs="仿宋_GB2312"/>
          <w:b/>
          <w:color w:val="000000"/>
          <w:kern w:val="0"/>
          <w:sz w:val="28"/>
          <w:szCs w:val="28"/>
        </w:rPr>
      </w:pPr>
      <w:r>
        <w:rPr>
          <w:rFonts w:ascii="黑体" w:hAnsi="黑体" w:eastAsia="黑体" w:cs="黑体"/>
          <w:b/>
          <w:color w:val="000000"/>
          <w:kern w:val="0"/>
          <w:sz w:val="28"/>
          <w:szCs w:val="28"/>
        </w:rPr>
        <w:t>第五部分附件</w:t>
      </w:r>
    </w:p>
    <w:p>
      <w:pPr>
        <w:jc w:val="center"/>
        <w:rPr>
          <w:sz w:val="72"/>
          <w:szCs w:val="72"/>
        </w:rPr>
      </w:pPr>
    </w:p>
    <w:p>
      <w:pPr>
        <w:jc w:val="both"/>
        <w:rPr>
          <w:rFonts w:hint="eastAsia" w:ascii="黑体" w:hAnsi="黑体" w:eastAsia="黑体" w:cs="黑体"/>
          <w:sz w:val="32"/>
          <w:szCs w:val="32"/>
        </w:rPr>
      </w:pPr>
      <w:r>
        <w:rPr>
          <w:rFonts w:hint="eastAsia" w:ascii="黑体" w:hAnsi="黑体" w:eastAsia="黑体" w:cs="黑体"/>
          <w:sz w:val="32"/>
          <w:szCs w:val="32"/>
        </w:rPr>
        <w:t xml:space="preserve">第一部分 </w:t>
      </w:r>
      <w:r>
        <w:rPr>
          <w:rFonts w:hint="eastAsia" w:ascii="黑体" w:hAnsi="黑体" w:eastAsia="黑体" w:cs="黑体"/>
          <w:sz w:val="32"/>
          <w:szCs w:val="32"/>
          <w:lang w:val="en-US" w:eastAsia="zh-CN"/>
        </w:rPr>
        <w:t>新田县医疗保障局</w:t>
      </w:r>
      <w:r>
        <w:rPr>
          <w:rFonts w:hint="eastAsia" w:ascii="黑体" w:hAnsi="黑体" w:eastAsia="黑体" w:cs="黑体"/>
          <w:sz w:val="32"/>
          <w:szCs w:val="32"/>
        </w:rPr>
        <w:t>概况</w:t>
      </w:r>
    </w:p>
    <w:p>
      <w:pPr>
        <w:pStyle w:val="8"/>
        <w:numPr>
          <w:ilvl w:val="0"/>
          <w:numId w:val="1"/>
        </w:numPr>
        <w:ind w:firstLineChars="0"/>
        <w:jc w:val="left"/>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部门职责</w:t>
      </w:r>
    </w:p>
    <w:p>
      <w:pPr>
        <w:widowControl/>
        <w:spacing w:line="600" w:lineRule="exact"/>
        <w:ind w:firstLine="560" w:firstLineChars="200"/>
        <w:rPr>
          <w:rFonts w:hint="eastAsia" w:asciiTheme="minorEastAsia" w:hAnsiTheme="minorEastAsia" w:cstheme="minorEastAsia"/>
          <w:bCs/>
          <w:kern w:val="0"/>
          <w:sz w:val="28"/>
          <w:szCs w:val="28"/>
          <w:lang w:val="en-US" w:eastAsia="zh-CN"/>
        </w:rPr>
      </w:pPr>
      <w:r>
        <w:rPr>
          <w:rFonts w:hint="eastAsia" w:asciiTheme="minorEastAsia" w:hAnsiTheme="minorEastAsia" w:cstheme="minorEastAsia"/>
          <w:bCs/>
          <w:kern w:val="0"/>
          <w:sz w:val="28"/>
          <w:szCs w:val="28"/>
          <w:lang w:val="en-US" w:eastAsia="zh-CN"/>
        </w:rPr>
        <w:t>（一）贯彻执行国家、省、市医疗保险、生育保险、医疗救助等医疗保障制度的规范性文件，拟订我县相关文件并组织实施;</w:t>
      </w:r>
    </w:p>
    <w:p>
      <w:pPr>
        <w:widowControl/>
        <w:spacing w:line="600" w:lineRule="exact"/>
        <w:ind w:firstLine="560" w:firstLineChars="200"/>
        <w:rPr>
          <w:rFonts w:hint="eastAsia" w:asciiTheme="minorEastAsia" w:hAnsiTheme="minorEastAsia" w:cstheme="minorEastAsia"/>
          <w:bCs/>
          <w:kern w:val="0"/>
          <w:sz w:val="28"/>
          <w:szCs w:val="28"/>
          <w:lang w:val="en-US" w:eastAsia="zh-CN"/>
        </w:rPr>
      </w:pPr>
      <w:r>
        <w:rPr>
          <w:rFonts w:hint="eastAsia" w:asciiTheme="minorEastAsia" w:hAnsiTheme="minorEastAsia" w:cstheme="minorEastAsia"/>
          <w:bCs/>
          <w:kern w:val="0"/>
          <w:sz w:val="28"/>
          <w:szCs w:val="28"/>
          <w:lang w:val="en-US" w:eastAsia="zh-CN"/>
        </w:rPr>
        <w:t>（二）贯彻执行国家、省、市、县医疗保障基金监督管理办法，监督管理医疗保障基金，建立健全医疗保障基金安全防控机制，推进医疗保障基金支付方式改革;</w:t>
      </w:r>
    </w:p>
    <w:p>
      <w:pPr>
        <w:widowControl/>
        <w:spacing w:line="600" w:lineRule="exact"/>
        <w:ind w:firstLine="560" w:firstLineChars="200"/>
        <w:rPr>
          <w:rFonts w:hint="eastAsia" w:asciiTheme="minorEastAsia" w:hAnsiTheme="minorEastAsia" w:cstheme="minorEastAsia"/>
          <w:bCs/>
          <w:kern w:val="0"/>
          <w:sz w:val="28"/>
          <w:szCs w:val="28"/>
          <w:lang w:val="en-US" w:eastAsia="zh-CN"/>
        </w:rPr>
      </w:pPr>
      <w:r>
        <w:rPr>
          <w:rFonts w:hint="eastAsia" w:asciiTheme="minorEastAsia" w:hAnsiTheme="minorEastAsia" w:cstheme="minorEastAsia"/>
          <w:bCs/>
          <w:kern w:val="0"/>
          <w:sz w:val="28"/>
          <w:szCs w:val="28"/>
          <w:lang w:val="en-US" w:eastAsia="zh-CN"/>
        </w:rPr>
        <w:t>（三）贯彻落实医疗保障筹资和待遇政策措施，统筹城乡医疗保障待遇标准，建立健全与筹资偿清平相适应的待遇调整机制。组织拟制并实施长期护理保险制度改革方案;</w:t>
      </w:r>
    </w:p>
    <w:p>
      <w:pPr>
        <w:widowControl/>
        <w:spacing w:line="600" w:lineRule="exact"/>
        <w:ind w:firstLine="560" w:firstLineChars="200"/>
        <w:rPr>
          <w:rFonts w:hint="eastAsia" w:asciiTheme="minorEastAsia" w:hAnsiTheme="minorEastAsia" w:cstheme="minorEastAsia"/>
          <w:bCs/>
          <w:kern w:val="0"/>
          <w:sz w:val="28"/>
          <w:szCs w:val="28"/>
          <w:lang w:val="en-US" w:eastAsia="zh-CN"/>
        </w:rPr>
      </w:pPr>
      <w:r>
        <w:rPr>
          <w:rFonts w:hint="eastAsia" w:asciiTheme="minorEastAsia" w:hAnsiTheme="minorEastAsia" w:cstheme="minorEastAsia"/>
          <w:bCs/>
          <w:kern w:val="0"/>
          <w:sz w:val="28"/>
          <w:szCs w:val="28"/>
          <w:lang w:val="en-US" w:eastAsia="zh-CN"/>
        </w:rPr>
        <w:t>（四）贯彻落实省、市统一制定的药品、医用耗材、医疗服务项目、医疗服务设施等医保目录和支付标准。组织实施医保目录准入谈判规则；</w:t>
      </w:r>
    </w:p>
    <w:p>
      <w:pPr>
        <w:widowControl/>
        <w:spacing w:line="600" w:lineRule="exact"/>
        <w:ind w:firstLine="560" w:firstLineChars="200"/>
        <w:rPr>
          <w:rFonts w:hint="eastAsia" w:asciiTheme="minorEastAsia" w:hAnsiTheme="minorEastAsia" w:cstheme="minorEastAsia"/>
          <w:bCs/>
          <w:kern w:val="0"/>
          <w:sz w:val="28"/>
          <w:szCs w:val="28"/>
          <w:lang w:val="en-US" w:eastAsia="zh-CN"/>
        </w:rPr>
      </w:pPr>
      <w:r>
        <w:rPr>
          <w:rFonts w:hint="eastAsia" w:asciiTheme="minorEastAsia" w:hAnsiTheme="minorEastAsia" w:cstheme="minorEastAsia"/>
          <w:bCs/>
          <w:kern w:val="0"/>
          <w:sz w:val="28"/>
          <w:szCs w:val="28"/>
          <w:lang w:val="en-US" w:eastAsia="zh-CN"/>
        </w:rPr>
        <w:t>（五）贯彻执行药品、医用耗材价格和医疗服务项目、医疗服务设施收费等政策措施，建立医保支付医药服务价格合理确定和动态调整机制，推动建立市场主导的社会医药服务价格形成机制，建立价格信息监测和信息发布制度；</w:t>
      </w:r>
    </w:p>
    <w:p>
      <w:pPr>
        <w:widowControl/>
        <w:spacing w:line="600" w:lineRule="exact"/>
        <w:ind w:firstLine="560" w:firstLineChars="200"/>
        <w:rPr>
          <w:rFonts w:hint="eastAsia" w:asciiTheme="minorEastAsia" w:hAnsiTheme="minorEastAsia" w:cstheme="minorEastAsia"/>
          <w:bCs/>
          <w:kern w:val="0"/>
          <w:sz w:val="28"/>
          <w:szCs w:val="28"/>
          <w:lang w:val="en-US" w:eastAsia="zh-CN"/>
        </w:rPr>
      </w:pPr>
      <w:r>
        <w:rPr>
          <w:rFonts w:hint="eastAsia" w:asciiTheme="minorEastAsia" w:hAnsiTheme="minorEastAsia" w:cstheme="minorEastAsia"/>
          <w:bCs/>
          <w:kern w:val="0"/>
          <w:sz w:val="28"/>
          <w:szCs w:val="28"/>
          <w:lang w:val="en-US" w:eastAsia="zh-CN"/>
        </w:rPr>
        <w:t>（六）根据国家、省和市的药品、医用耗材的招标采购政策，监督实施全县药品、医用耗材招标采购工作；</w:t>
      </w:r>
    </w:p>
    <w:p>
      <w:pPr>
        <w:widowControl/>
        <w:spacing w:line="600" w:lineRule="exact"/>
        <w:ind w:firstLine="560" w:firstLineChars="200"/>
        <w:rPr>
          <w:rFonts w:hint="eastAsia" w:asciiTheme="minorEastAsia" w:hAnsiTheme="minorEastAsia" w:cstheme="minorEastAsia"/>
          <w:bCs/>
          <w:kern w:val="0"/>
          <w:sz w:val="28"/>
          <w:szCs w:val="28"/>
          <w:lang w:val="en-US" w:eastAsia="zh-CN"/>
        </w:rPr>
      </w:pPr>
      <w:r>
        <w:rPr>
          <w:rFonts w:hint="eastAsia" w:asciiTheme="minorEastAsia" w:hAnsiTheme="minorEastAsia" w:cstheme="minorEastAsia"/>
          <w:bCs/>
          <w:kern w:val="0"/>
          <w:sz w:val="28"/>
          <w:szCs w:val="28"/>
          <w:lang w:val="en-US" w:eastAsia="zh-CN"/>
        </w:rPr>
        <w:t>（七）组织实施定点医药机构协议和支付管理办法，建立健全医疗保障信用评价体系和信息披露制度，监督管理纳入医保范围内的医疗服务行为和医疗费用，依法查处医疗保障领域违法违规行为；</w:t>
      </w:r>
    </w:p>
    <w:p>
      <w:pPr>
        <w:widowControl/>
        <w:spacing w:line="600" w:lineRule="exact"/>
        <w:ind w:firstLine="560" w:firstLineChars="200"/>
        <w:rPr>
          <w:rFonts w:hint="eastAsia" w:asciiTheme="minorEastAsia" w:hAnsiTheme="minorEastAsia" w:cstheme="minorEastAsia"/>
          <w:bCs/>
          <w:kern w:val="0"/>
          <w:sz w:val="28"/>
          <w:szCs w:val="28"/>
          <w:lang w:val="en-US" w:eastAsia="zh-CN"/>
        </w:rPr>
      </w:pPr>
      <w:r>
        <w:rPr>
          <w:rFonts w:hint="eastAsia" w:asciiTheme="minorEastAsia" w:hAnsiTheme="minorEastAsia" w:cstheme="minorEastAsia"/>
          <w:bCs/>
          <w:kern w:val="0"/>
          <w:sz w:val="28"/>
          <w:szCs w:val="28"/>
          <w:lang w:val="en-US" w:eastAsia="zh-CN"/>
        </w:rPr>
        <w:t>（八）负责全县医疗保障经办管理、公共服务体系和信息化建设。办理、指导和监督全县保险、生育保险、医疗救助等医疗保险经办业务工作。组织实施异地就医管理和费用结算政策。建立健全医疗保障关系转移接续制度。开展医疗保障领域合作交流。</w:t>
      </w:r>
    </w:p>
    <w:p>
      <w:pPr>
        <w:widowControl/>
        <w:spacing w:line="600" w:lineRule="exact"/>
        <w:ind w:firstLine="560" w:firstLineChars="200"/>
        <w:rPr>
          <w:rFonts w:hint="eastAsia" w:asciiTheme="minorEastAsia" w:hAnsiTheme="minorEastAsia" w:cstheme="minorEastAsia"/>
          <w:bCs/>
          <w:kern w:val="0"/>
          <w:sz w:val="28"/>
          <w:szCs w:val="28"/>
          <w:lang w:val="en-US" w:eastAsia="zh-CN"/>
        </w:rPr>
      </w:pPr>
      <w:r>
        <w:rPr>
          <w:rFonts w:hint="eastAsia" w:asciiTheme="minorEastAsia" w:hAnsiTheme="minorEastAsia" w:cstheme="minorEastAsia"/>
          <w:bCs/>
          <w:kern w:val="0"/>
          <w:sz w:val="28"/>
          <w:szCs w:val="28"/>
          <w:lang w:val="en-US" w:eastAsia="zh-CN"/>
        </w:rPr>
        <w:t>（九）完成县委、县政府交办的其他任务；</w:t>
      </w:r>
    </w:p>
    <w:p>
      <w:pPr>
        <w:widowControl/>
        <w:spacing w:line="600" w:lineRule="exact"/>
        <w:ind w:firstLine="560" w:firstLineChars="200"/>
        <w:rPr>
          <w:rFonts w:hint="default" w:asciiTheme="minorEastAsia" w:hAnsiTheme="minorEastAsia" w:cstheme="minorEastAsia"/>
          <w:bCs/>
          <w:kern w:val="0"/>
          <w:sz w:val="28"/>
          <w:szCs w:val="28"/>
          <w:lang w:val="en-US" w:eastAsia="zh-CN"/>
        </w:rPr>
      </w:pPr>
      <w:r>
        <w:rPr>
          <w:rFonts w:hint="eastAsia" w:asciiTheme="minorEastAsia" w:hAnsiTheme="minorEastAsia" w:cstheme="minorEastAsia"/>
          <w:bCs/>
          <w:kern w:val="0"/>
          <w:sz w:val="28"/>
          <w:szCs w:val="28"/>
          <w:lang w:val="en-US" w:eastAsia="zh-CN"/>
        </w:rPr>
        <w:t>（十）职能转变。县医保局应完善统一的城乡居民基本医疗保险制度和大病保险制度，巩固完善城乡居民医疗救助制度，建立健全覆盖全民、城乡统筹的多层次医疗保障体系，不断提高医疗保障水平，确保医保资金合理使用、安全可控，推进医疗、医保、医药“三医联动”改革，更好保障人民群众就医需求、减轻医药费用负担。</w:t>
      </w:r>
    </w:p>
    <w:p>
      <w:pPr>
        <w:widowControl/>
        <w:spacing w:line="600" w:lineRule="exact"/>
        <w:rPr>
          <w:rFonts w:hint="eastAsia" w:asciiTheme="minorEastAsia" w:hAnsiTheme="minorEastAsia" w:eastAsiaTheme="minorEastAsia" w:cstheme="minorEastAsia"/>
          <w:b/>
          <w:bCs w:val="0"/>
          <w:kern w:val="0"/>
          <w:sz w:val="28"/>
          <w:szCs w:val="28"/>
        </w:rPr>
      </w:pPr>
      <w:r>
        <w:rPr>
          <w:rFonts w:hint="eastAsia" w:asciiTheme="minorEastAsia" w:hAnsiTheme="minorEastAsia" w:eastAsiaTheme="minorEastAsia" w:cstheme="minorEastAsia"/>
          <w:b/>
          <w:bCs w:val="0"/>
          <w:kern w:val="0"/>
          <w:sz w:val="28"/>
          <w:szCs w:val="28"/>
        </w:rPr>
        <w:t>二、机构设置及决算单位构成</w:t>
      </w:r>
    </w:p>
    <w:p>
      <w:pPr>
        <w:pStyle w:val="4"/>
        <w:spacing w:beforeAutospacing="0" w:afterAutospacing="0" w:line="600" w:lineRule="exact"/>
        <w:ind w:firstLine="560" w:firstLineChars="200"/>
        <w:jc w:val="both"/>
        <w:rPr>
          <w:rFonts w:hint="default" w:ascii="Times New Roman" w:hAnsi="Times New Roman" w:eastAsia="仿宋_GB2312" w:cs="Times New Roman"/>
          <w:sz w:val="32"/>
          <w:szCs w:val="32"/>
          <w:shd w:val="clear" w:color="auto" w:fill="F6F6F6"/>
          <w:lang w:val="en-US"/>
        </w:rPr>
      </w:pPr>
      <w:r>
        <w:rPr>
          <w:rFonts w:hint="eastAsia" w:asciiTheme="minorEastAsia" w:hAnsiTheme="minorEastAsia" w:eastAsiaTheme="minorEastAsia" w:cstheme="minorEastAsia"/>
          <w:bCs/>
          <w:kern w:val="0"/>
          <w:sz w:val="28"/>
          <w:szCs w:val="28"/>
        </w:rPr>
        <w:t>（一）内设机构设置。</w:t>
      </w:r>
      <w:r>
        <w:rPr>
          <w:rFonts w:hint="eastAsia" w:asciiTheme="minorEastAsia" w:hAnsiTheme="minorEastAsia" w:eastAsiaTheme="minorEastAsia" w:cstheme="minorEastAsia"/>
          <w:bCs/>
          <w:kern w:val="0"/>
          <w:sz w:val="28"/>
          <w:szCs w:val="28"/>
          <w:lang w:val="en-US" w:eastAsia="zh-CN" w:bidi="ar-SA"/>
        </w:rPr>
        <w:t>新田县医疗保障局为正科级全额拨款行政单位。</w:t>
      </w:r>
      <w:r>
        <w:rPr>
          <w:rFonts w:hint="eastAsia" w:ascii="宋体" w:hAnsi="宋体" w:eastAsia="宋体" w:cs="宋体"/>
          <w:sz w:val="32"/>
          <w:szCs w:val="32"/>
          <w:lang w:eastAsia="zh-CN"/>
        </w:rPr>
        <w:t>单位</w:t>
      </w:r>
      <w:r>
        <w:rPr>
          <w:rFonts w:hint="eastAsia" w:ascii="宋体" w:hAnsi="宋体" w:eastAsia="宋体" w:cs="宋体"/>
          <w:sz w:val="32"/>
          <w:szCs w:val="32"/>
        </w:rPr>
        <w:t>内设机构</w:t>
      </w:r>
      <w:r>
        <w:rPr>
          <w:rFonts w:hint="eastAsia" w:ascii="宋体" w:hAnsi="宋体" w:eastAsia="宋体" w:cs="宋体"/>
          <w:sz w:val="32"/>
          <w:szCs w:val="32"/>
          <w:u w:val="single"/>
          <w:lang w:val="en-US" w:eastAsia="zh-CN"/>
        </w:rPr>
        <w:t>4</w:t>
      </w:r>
      <w:r>
        <w:rPr>
          <w:rFonts w:hint="eastAsia" w:ascii="宋体" w:hAnsi="宋体" w:eastAsia="宋体" w:cs="宋体"/>
          <w:sz w:val="32"/>
          <w:szCs w:val="32"/>
        </w:rPr>
        <w:t>个，归ロ管理下属单位</w:t>
      </w:r>
      <w:r>
        <w:rPr>
          <w:rFonts w:hint="eastAsia" w:ascii="宋体" w:hAnsi="宋体" w:eastAsia="宋体" w:cs="宋体"/>
          <w:sz w:val="32"/>
          <w:szCs w:val="32"/>
          <w:u w:val="single"/>
          <w:lang w:val="en-US" w:eastAsia="zh-CN"/>
        </w:rPr>
        <w:t xml:space="preserve"> 1</w:t>
      </w:r>
      <w:r>
        <w:rPr>
          <w:rFonts w:hint="eastAsia" w:ascii="宋体" w:hAnsi="宋体" w:eastAsia="宋体" w:cs="宋体"/>
          <w:sz w:val="32"/>
          <w:szCs w:val="32"/>
          <w:lang w:eastAsia="zh-CN"/>
        </w:rPr>
        <w:t>个。</w:t>
      </w:r>
      <w:r>
        <w:rPr>
          <w:rFonts w:hint="eastAsia" w:asciiTheme="minorEastAsia" w:hAnsiTheme="minorEastAsia" w:eastAsiaTheme="minorEastAsia" w:cstheme="minorEastAsia"/>
          <w:bCs/>
          <w:kern w:val="0"/>
          <w:sz w:val="28"/>
          <w:szCs w:val="28"/>
          <w:lang w:val="en-US" w:eastAsia="zh-CN" w:bidi="ar-SA"/>
        </w:rPr>
        <w:t>内设股室分别是综合办公室、规划财务股、医药服务和价格管理股、基金监管股。所属事业单位分别是新田县医疗保障事务中心，内设股室分别是参保登记股、费用结算股、特殊门诊股、异地就医股。</w:t>
      </w:r>
    </w:p>
    <w:p>
      <w:pPr>
        <w:widowControl/>
        <w:spacing w:line="600" w:lineRule="exact"/>
        <w:ind w:firstLine="560" w:firstLineChars="200"/>
        <w:rPr>
          <w:rFonts w:hint="eastAsia" w:asciiTheme="minorEastAsia" w:hAnsiTheme="minorEastAsia" w:eastAsiaTheme="minorEastAsia" w:cstheme="minorEastAsia"/>
          <w:bCs/>
          <w:kern w:val="0"/>
          <w:sz w:val="28"/>
          <w:szCs w:val="28"/>
          <w:lang w:val="en-US" w:eastAsia="zh-CN" w:bidi="ar-SA"/>
        </w:rPr>
      </w:pPr>
      <w:r>
        <w:rPr>
          <w:rFonts w:hint="eastAsia" w:asciiTheme="minorEastAsia" w:hAnsiTheme="minorEastAsia" w:eastAsiaTheme="minorEastAsia" w:cstheme="minorEastAsia"/>
          <w:bCs/>
          <w:kern w:val="0"/>
          <w:sz w:val="28"/>
          <w:szCs w:val="28"/>
        </w:rPr>
        <w:t>（二）决算单位构成。</w:t>
      </w:r>
      <w:r>
        <w:rPr>
          <w:rFonts w:hint="eastAsia" w:asciiTheme="minorEastAsia" w:hAnsiTheme="minorEastAsia" w:cstheme="minorEastAsia"/>
          <w:bCs/>
          <w:kern w:val="0"/>
          <w:sz w:val="28"/>
          <w:szCs w:val="28"/>
          <w:lang w:val="en-US" w:eastAsia="zh-CN"/>
        </w:rPr>
        <w:t>新田县医疗保障局</w:t>
      </w:r>
      <w:r>
        <w:rPr>
          <w:rFonts w:hint="eastAsia" w:asciiTheme="minorEastAsia" w:hAnsiTheme="minorEastAsia" w:eastAsiaTheme="minorEastAsia" w:cstheme="minorEastAsia"/>
          <w:bCs/>
          <w:kern w:val="0"/>
          <w:sz w:val="28"/>
          <w:szCs w:val="28"/>
        </w:rPr>
        <w:t>单位</w:t>
      </w:r>
      <w:r>
        <w:rPr>
          <w:rFonts w:hint="eastAsia" w:asciiTheme="minorEastAsia" w:hAnsiTheme="minorEastAsia" w:cstheme="minorEastAsia"/>
          <w:bCs/>
          <w:kern w:val="0"/>
          <w:sz w:val="28"/>
          <w:szCs w:val="28"/>
          <w:lang w:eastAsia="zh-CN"/>
        </w:rPr>
        <w:t>202</w:t>
      </w:r>
      <w:r>
        <w:rPr>
          <w:rFonts w:hint="eastAsia" w:asciiTheme="minorEastAsia" w:hAnsiTheme="minorEastAsia" w:cstheme="minorEastAsia"/>
          <w:bCs/>
          <w:kern w:val="0"/>
          <w:sz w:val="28"/>
          <w:szCs w:val="28"/>
          <w:lang w:val="en-US" w:eastAsia="zh-CN"/>
        </w:rPr>
        <w:t>1</w:t>
      </w:r>
      <w:r>
        <w:rPr>
          <w:rFonts w:hint="eastAsia" w:asciiTheme="minorEastAsia" w:hAnsiTheme="minorEastAsia" w:eastAsiaTheme="minorEastAsia" w:cstheme="minorEastAsia"/>
          <w:bCs/>
          <w:kern w:val="0"/>
          <w:sz w:val="28"/>
          <w:szCs w:val="28"/>
        </w:rPr>
        <w:t>年部门决算汇总公开单位构成包括：</w:t>
      </w:r>
      <w:r>
        <w:rPr>
          <w:rFonts w:hint="eastAsia" w:asciiTheme="minorEastAsia" w:hAnsiTheme="minorEastAsia" w:eastAsiaTheme="minorEastAsia" w:cstheme="minorEastAsia"/>
          <w:bCs/>
          <w:kern w:val="0"/>
          <w:sz w:val="28"/>
          <w:szCs w:val="28"/>
          <w:lang w:val="en-US" w:eastAsia="zh-CN" w:bidi="ar-SA"/>
        </w:rPr>
        <w:t>新田县医疗保障局本级预算和所属单位医疗保障事务中心预算在内的汇总预算</w:t>
      </w:r>
    </w:p>
    <w:p>
      <w:pPr>
        <w:jc w:val="both"/>
        <w:rPr>
          <w:rFonts w:hint="eastAsia" w:asciiTheme="minorEastAsia" w:hAnsiTheme="minorEastAsia" w:eastAsiaTheme="minorEastAsia" w:cstheme="minorEastAsia"/>
          <w:sz w:val="28"/>
          <w:szCs w:val="28"/>
        </w:rPr>
      </w:pPr>
    </w:p>
    <w:p>
      <w:pPr>
        <w:jc w:val="both"/>
        <w:rPr>
          <w:rFonts w:hint="eastAsia" w:asciiTheme="minorEastAsia" w:hAnsiTheme="minorEastAsia" w:eastAsiaTheme="minorEastAsia" w:cstheme="minorEastAsia"/>
          <w:sz w:val="28"/>
          <w:szCs w:val="28"/>
        </w:rPr>
      </w:pPr>
    </w:p>
    <w:p>
      <w:pPr>
        <w:jc w:val="both"/>
        <w:rPr>
          <w:rFonts w:hint="eastAsia" w:asciiTheme="minorEastAsia" w:hAnsiTheme="minorEastAsia" w:eastAsiaTheme="minorEastAsia" w:cstheme="minorEastAsia"/>
          <w:sz w:val="28"/>
          <w:szCs w:val="28"/>
        </w:rPr>
      </w:pPr>
    </w:p>
    <w:p>
      <w:pPr>
        <w:jc w:val="both"/>
        <w:rPr>
          <w:rFonts w:hint="eastAsia" w:ascii="黑体" w:hAnsi="黑体" w:eastAsia="黑体" w:cs="黑体"/>
          <w:sz w:val="32"/>
          <w:szCs w:val="32"/>
        </w:rPr>
      </w:pPr>
    </w:p>
    <w:p>
      <w:pPr>
        <w:jc w:val="both"/>
        <w:rPr>
          <w:rFonts w:hint="eastAsia" w:ascii="黑体" w:hAnsi="黑体" w:eastAsia="黑体" w:cs="黑体"/>
          <w:sz w:val="32"/>
          <w:szCs w:val="32"/>
        </w:rPr>
      </w:pPr>
    </w:p>
    <w:p>
      <w:pPr>
        <w:jc w:val="both"/>
        <w:rPr>
          <w:rFonts w:hint="eastAsia" w:ascii="黑体" w:hAnsi="黑体" w:eastAsia="黑体" w:cs="黑体"/>
          <w:sz w:val="32"/>
          <w:szCs w:val="32"/>
        </w:rPr>
      </w:pPr>
    </w:p>
    <w:p>
      <w:pPr>
        <w:jc w:val="both"/>
        <w:rPr>
          <w:rFonts w:hint="eastAsia" w:ascii="黑体" w:hAnsi="黑体" w:eastAsia="黑体" w:cs="黑体"/>
          <w:sz w:val="32"/>
          <w:szCs w:val="32"/>
        </w:rPr>
      </w:pPr>
    </w:p>
    <w:p>
      <w:pPr>
        <w:jc w:val="both"/>
        <w:rPr>
          <w:rFonts w:hint="eastAsia" w:ascii="黑体" w:hAnsi="黑体" w:eastAsia="黑体" w:cs="黑体"/>
          <w:sz w:val="32"/>
          <w:szCs w:val="32"/>
        </w:rPr>
      </w:pPr>
    </w:p>
    <w:p>
      <w:pPr>
        <w:jc w:val="both"/>
        <w:rPr>
          <w:rFonts w:hint="eastAsia" w:ascii="黑体" w:hAnsi="黑体" w:eastAsia="黑体" w:cs="黑体"/>
          <w:sz w:val="32"/>
          <w:szCs w:val="32"/>
        </w:rPr>
      </w:pPr>
      <w:r>
        <w:rPr>
          <w:rFonts w:hint="eastAsia" w:ascii="黑体" w:hAnsi="黑体" w:eastAsia="黑体" w:cs="黑体"/>
          <w:sz w:val="32"/>
          <w:szCs w:val="32"/>
        </w:rPr>
        <w:t>第二部分</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部门决算表</w:t>
      </w:r>
    </w:p>
    <w:p>
      <w:pPr>
        <w:jc w:val="center"/>
        <w:rPr>
          <w:rFonts w:ascii="黑体" w:hAnsi="黑体" w:eastAsia="黑体"/>
          <w:sz w:val="36"/>
          <w:szCs w:val="32"/>
        </w:rPr>
      </w:pPr>
      <w:r>
        <w:rPr>
          <w:rFonts w:hint="eastAsia" w:ascii="黑体" w:hAnsi="黑体" w:eastAsia="黑体"/>
          <w:sz w:val="36"/>
          <w:szCs w:val="32"/>
        </w:rPr>
        <w:t>收入支出决算总表</w:t>
      </w:r>
    </w:p>
    <w:p>
      <w:pPr>
        <w:widowControl/>
        <w:spacing w:line="320" w:lineRule="exact"/>
        <w:ind w:right="198"/>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lang w:val="en-US" w:eastAsia="zh-CN"/>
        </w:rPr>
        <w:t>新田县医疗保障局</w:t>
      </w:r>
      <w:r>
        <w:rPr>
          <w:rFonts w:hint="eastAsia" w:ascii="Times New Roman" w:hAnsi="Times New Roman" w:eastAsia="仿宋_GB2312" w:cs="Times New Roman"/>
          <w:color w:val="000000"/>
          <w:kern w:val="0"/>
          <w:szCs w:val="21"/>
        </w:rPr>
        <w:t>单位</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公开</w:t>
      </w:r>
      <w:r>
        <w:rPr>
          <w:rFonts w:ascii="Times New Roman" w:hAnsi="Times New Roman" w:eastAsia="仿宋_GB2312" w:cs="Times New Roman"/>
          <w:color w:val="000000"/>
          <w:kern w:val="0"/>
          <w:szCs w:val="21"/>
        </w:rPr>
        <w:t>01</w:t>
      </w:r>
      <w:r>
        <w:rPr>
          <w:rFonts w:hint="eastAsia" w:ascii="Times New Roman" w:hAnsi="Times New Roman" w:eastAsia="仿宋_GB2312" w:cs="Times New Roman"/>
          <w:color w:val="000000"/>
          <w:kern w:val="0"/>
          <w:szCs w:val="21"/>
        </w:rPr>
        <w:t>表</w:t>
      </w:r>
    </w:p>
    <w:p>
      <w:pPr>
        <w:widowControl/>
        <w:spacing w:line="320" w:lineRule="exact"/>
        <w:ind w:right="198"/>
        <w:jc w:val="righ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单位：万元</w:t>
      </w:r>
    </w:p>
    <w:tbl>
      <w:tblPr>
        <w:tblStyle w:val="5"/>
        <w:tblW w:w="14061" w:type="dxa"/>
        <w:jc w:val="center"/>
        <w:tblLayout w:type="autofit"/>
        <w:tblCellMar>
          <w:top w:w="0" w:type="dxa"/>
          <w:left w:w="108" w:type="dxa"/>
          <w:bottom w:w="0" w:type="dxa"/>
          <w:right w:w="108" w:type="dxa"/>
        </w:tblCellMar>
      </w:tblPr>
      <w:tblGrid>
        <w:gridCol w:w="4932"/>
        <w:gridCol w:w="702"/>
        <w:gridCol w:w="1224"/>
        <w:gridCol w:w="4820"/>
        <w:gridCol w:w="702"/>
        <w:gridCol w:w="1681"/>
      </w:tblGrid>
      <w:tr>
        <w:tblPrEx>
          <w:tblCellMar>
            <w:top w:w="0" w:type="dxa"/>
            <w:left w:w="108" w:type="dxa"/>
            <w:bottom w:w="0" w:type="dxa"/>
            <w:right w:w="108" w:type="dxa"/>
          </w:tblCellMar>
        </w:tblPrEx>
        <w:trPr>
          <w:trHeight w:val="340" w:hRule="atLeast"/>
          <w:jc w:val="center"/>
        </w:trPr>
        <w:tc>
          <w:tcPr>
            <w:tcW w:w="6858"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收入</w:t>
            </w:r>
          </w:p>
        </w:tc>
        <w:tc>
          <w:tcPr>
            <w:tcW w:w="7203" w:type="dxa"/>
            <w:gridSpan w:val="3"/>
            <w:tcBorders>
              <w:top w:val="single" w:color="auto" w:sz="4" w:space="0"/>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支出</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项</w:t>
            </w:r>
            <w:r>
              <w:rPr>
                <w:rFonts w:ascii="Times New Roman" w:hAnsi="Times New Roman" w:eastAsia="仿宋_GB2312" w:cs="Times New Roman"/>
                <w:kern w:val="0"/>
                <w:szCs w:val="21"/>
              </w:rPr>
              <w:t xml:space="preserve">    </w:t>
            </w:r>
            <w:r>
              <w:rPr>
                <w:rFonts w:hint="eastAsia" w:ascii="Times New Roman" w:hAnsi="Times New Roman" w:eastAsia="仿宋_GB2312" w:cs="Times New Roman"/>
                <w:kern w:val="0"/>
                <w:szCs w:val="21"/>
              </w:rPr>
              <w:t>目</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行次</w:t>
            </w:r>
          </w:p>
        </w:tc>
        <w:tc>
          <w:tcPr>
            <w:tcW w:w="1224"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决算数</w:t>
            </w:r>
          </w:p>
        </w:tc>
        <w:tc>
          <w:tcPr>
            <w:tcW w:w="482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项</w:t>
            </w:r>
            <w:r>
              <w:rPr>
                <w:rFonts w:ascii="Times New Roman" w:hAnsi="Times New Roman" w:eastAsia="仿宋_GB2312" w:cs="Times New Roman"/>
                <w:kern w:val="0"/>
                <w:szCs w:val="21"/>
              </w:rPr>
              <w:t xml:space="preserve">    </w:t>
            </w:r>
            <w:r>
              <w:rPr>
                <w:rFonts w:hint="eastAsia" w:ascii="Times New Roman" w:hAnsi="Times New Roman" w:eastAsia="仿宋_GB2312" w:cs="Times New Roman"/>
                <w:kern w:val="0"/>
                <w:szCs w:val="21"/>
              </w:rPr>
              <w:t>目</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行次</w:t>
            </w:r>
          </w:p>
        </w:tc>
        <w:tc>
          <w:tcPr>
            <w:tcW w:w="1681"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决算数</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栏</w:t>
            </w:r>
            <w:r>
              <w:rPr>
                <w:rFonts w:ascii="Times New Roman" w:hAnsi="Times New Roman" w:eastAsia="仿宋_GB2312" w:cs="Times New Roman"/>
                <w:kern w:val="0"/>
                <w:szCs w:val="21"/>
              </w:rPr>
              <w:t xml:space="preserve">    </w:t>
            </w:r>
            <w:r>
              <w:rPr>
                <w:rFonts w:hint="eastAsia" w:ascii="Times New Roman" w:hAnsi="Times New Roman" w:eastAsia="仿宋_GB2312" w:cs="Times New Roman"/>
                <w:kern w:val="0"/>
                <w:szCs w:val="21"/>
              </w:rPr>
              <w:t>次</w:t>
            </w:r>
          </w:p>
        </w:tc>
        <w:tc>
          <w:tcPr>
            <w:tcW w:w="702" w:type="dxa"/>
            <w:tcBorders>
              <w:top w:val="nil"/>
              <w:left w:val="nil"/>
              <w:bottom w:val="single" w:color="auto" w:sz="4" w:space="0"/>
              <w:right w:val="single" w:color="auto" w:sz="4" w:space="0"/>
            </w:tcBorders>
            <w:noWrap/>
            <w:vAlign w:val="center"/>
          </w:tcPr>
          <w:p>
            <w:pP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c>
          <w:tcPr>
            <w:tcW w:w="1224"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482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栏</w:t>
            </w:r>
            <w:r>
              <w:rPr>
                <w:rFonts w:ascii="Times New Roman" w:hAnsi="Times New Roman" w:eastAsia="仿宋_GB2312" w:cs="Times New Roman"/>
                <w:kern w:val="0"/>
                <w:szCs w:val="21"/>
              </w:rPr>
              <w:t xml:space="preserve">    </w:t>
            </w:r>
            <w:r>
              <w:rPr>
                <w:rFonts w:hint="eastAsia" w:ascii="Times New Roman" w:hAnsi="Times New Roman" w:eastAsia="仿宋_GB2312" w:cs="Times New Roman"/>
                <w:kern w:val="0"/>
                <w:szCs w:val="21"/>
              </w:rPr>
              <w:t>次</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c>
          <w:tcPr>
            <w:tcW w:w="1681"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r>
      <w:tr>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一、一般公共预算财政拨款收入</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224" w:type="dxa"/>
            <w:tcBorders>
              <w:top w:val="nil"/>
              <w:left w:val="nil"/>
              <w:bottom w:val="single" w:color="auto" w:sz="4" w:space="0"/>
              <w:right w:val="single" w:color="auto" w:sz="4" w:space="0"/>
            </w:tcBorders>
            <w:noWrap/>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22191.14</w:t>
            </w:r>
            <w:r>
              <w:rPr>
                <w:rFonts w:hint="eastAsia" w:ascii="Times New Roman" w:hAnsi="Times New Roman" w:eastAsia="仿宋_GB2312" w:cs="Times New Roman"/>
                <w:kern w:val="0"/>
                <w:szCs w:val="21"/>
              </w:rPr>
              <w:t>　</w:t>
            </w:r>
          </w:p>
        </w:tc>
        <w:tc>
          <w:tcPr>
            <w:tcW w:w="482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一、一般公共服务支出</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14</w:t>
            </w:r>
          </w:p>
        </w:tc>
        <w:tc>
          <w:tcPr>
            <w:tcW w:w="1681" w:type="dxa"/>
            <w:tcBorders>
              <w:top w:val="nil"/>
              <w:left w:val="nil"/>
              <w:bottom w:val="single" w:color="auto" w:sz="4" w:space="0"/>
              <w:right w:val="single" w:color="auto" w:sz="4" w:space="0"/>
            </w:tcBorders>
            <w:noWrap/>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二、政府性基金预算财政拨款收入</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224" w:type="dxa"/>
            <w:tcBorders>
              <w:top w:val="nil"/>
              <w:left w:val="nil"/>
              <w:bottom w:val="single" w:color="auto" w:sz="4" w:space="0"/>
              <w:right w:val="single" w:color="auto" w:sz="4" w:space="0"/>
            </w:tcBorders>
            <w:noWrap/>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c>
          <w:tcPr>
            <w:tcW w:w="482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二、外交支出</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15</w:t>
            </w:r>
          </w:p>
        </w:tc>
        <w:tc>
          <w:tcPr>
            <w:tcW w:w="1681" w:type="dxa"/>
            <w:tcBorders>
              <w:top w:val="nil"/>
              <w:left w:val="nil"/>
              <w:bottom w:val="single" w:color="auto" w:sz="4" w:space="0"/>
              <w:right w:val="single" w:color="auto" w:sz="4" w:space="0"/>
            </w:tcBorders>
            <w:noWrap/>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r>
      <w:tr>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三、上级补助收入</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224" w:type="dxa"/>
            <w:tcBorders>
              <w:top w:val="nil"/>
              <w:left w:val="nil"/>
              <w:bottom w:val="single" w:color="auto" w:sz="4" w:space="0"/>
              <w:right w:val="single" w:color="auto" w:sz="4" w:space="0"/>
            </w:tcBorders>
            <w:noWrap/>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c>
          <w:tcPr>
            <w:tcW w:w="482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三、国防支出</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16</w:t>
            </w:r>
          </w:p>
        </w:tc>
        <w:tc>
          <w:tcPr>
            <w:tcW w:w="1681" w:type="dxa"/>
            <w:tcBorders>
              <w:top w:val="nil"/>
              <w:left w:val="nil"/>
              <w:bottom w:val="single" w:color="auto" w:sz="4" w:space="0"/>
              <w:right w:val="single" w:color="auto" w:sz="4" w:space="0"/>
            </w:tcBorders>
            <w:noWrap/>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四、事业收入</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1224" w:type="dxa"/>
            <w:tcBorders>
              <w:top w:val="nil"/>
              <w:left w:val="nil"/>
              <w:bottom w:val="single" w:color="auto" w:sz="4" w:space="0"/>
              <w:right w:val="single" w:color="auto" w:sz="4" w:space="0"/>
            </w:tcBorders>
            <w:noWrap/>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c>
          <w:tcPr>
            <w:tcW w:w="482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四、公共安全支出</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17</w:t>
            </w:r>
          </w:p>
        </w:tc>
        <w:tc>
          <w:tcPr>
            <w:tcW w:w="1681" w:type="dxa"/>
            <w:tcBorders>
              <w:top w:val="nil"/>
              <w:left w:val="nil"/>
              <w:bottom w:val="single" w:color="auto" w:sz="4" w:space="0"/>
              <w:right w:val="single" w:color="auto" w:sz="4" w:space="0"/>
            </w:tcBorders>
            <w:noWrap/>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五、经营收入</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1224" w:type="dxa"/>
            <w:tcBorders>
              <w:top w:val="nil"/>
              <w:left w:val="nil"/>
              <w:bottom w:val="single" w:color="auto" w:sz="4" w:space="0"/>
              <w:right w:val="single" w:color="auto" w:sz="4" w:space="0"/>
            </w:tcBorders>
            <w:noWrap/>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c>
          <w:tcPr>
            <w:tcW w:w="482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五、教育支出</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18</w:t>
            </w:r>
          </w:p>
        </w:tc>
        <w:tc>
          <w:tcPr>
            <w:tcW w:w="1681" w:type="dxa"/>
            <w:tcBorders>
              <w:top w:val="nil"/>
              <w:left w:val="nil"/>
              <w:bottom w:val="single" w:color="auto" w:sz="4" w:space="0"/>
              <w:right w:val="single" w:color="auto" w:sz="4" w:space="0"/>
            </w:tcBorders>
            <w:noWrap/>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六、附属单位上缴收入</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c>
          <w:tcPr>
            <w:tcW w:w="1224" w:type="dxa"/>
            <w:tcBorders>
              <w:top w:val="nil"/>
              <w:left w:val="nil"/>
              <w:bottom w:val="single" w:color="auto" w:sz="4" w:space="0"/>
              <w:right w:val="single" w:color="auto" w:sz="4" w:space="0"/>
            </w:tcBorders>
            <w:noWrap/>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c>
          <w:tcPr>
            <w:tcW w:w="482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六、科学技术支出</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19</w:t>
            </w:r>
          </w:p>
        </w:tc>
        <w:tc>
          <w:tcPr>
            <w:tcW w:w="1681" w:type="dxa"/>
            <w:tcBorders>
              <w:top w:val="nil"/>
              <w:left w:val="nil"/>
              <w:bottom w:val="single" w:color="auto" w:sz="4" w:space="0"/>
              <w:right w:val="single" w:color="auto" w:sz="4" w:space="0"/>
            </w:tcBorders>
            <w:noWrap/>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r>
      <w:tr>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七、其他收入</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w:t>
            </w:r>
          </w:p>
        </w:tc>
        <w:tc>
          <w:tcPr>
            <w:tcW w:w="1224" w:type="dxa"/>
            <w:tcBorders>
              <w:top w:val="nil"/>
              <w:left w:val="nil"/>
              <w:bottom w:val="single" w:color="auto" w:sz="4" w:space="0"/>
              <w:right w:val="single" w:color="auto" w:sz="4" w:space="0"/>
            </w:tcBorders>
            <w:noWrap/>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c>
          <w:tcPr>
            <w:tcW w:w="4820" w:type="dxa"/>
            <w:tcBorders>
              <w:top w:val="nil"/>
              <w:left w:val="nil"/>
              <w:bottom w:val="single" w:color="auto" w:sz="4" w:space="0"/>
              <w:right w:val="single" w:color="auto" w:sz="4" w:space="0"/>
            </w:tcBorders>
            <w:noWrap/>
            <w:vAlign w:val="center"/>
          </w:tcPr>
          <w:p>
            <w:pPr>
              <w:widowControl/>
              <w:jc w:val="lef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rPr>
              <w:t>七、</w:t>
            </w:r>
            <w:r>
              <w:rPr>
                <w:rFonts w:hint="eastAsia" w:ascii="Times New Roman" w:hAnsi="Times New Roman" w:eastAsia="仿宋_GB2312" w:cs="Times New Roman"/>
                <w:kern w:val="0"/>
                <w:szCs w:val="21"/>
                <w:lang w:val="en-US" w:eastAsia="zh-CN"/>
              </w:rPr>
              <w:t>卫生健康支出</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20</w:t>
            </w:r>
          </w:p>
        </w:tc>
        <w:tc>
          <w:tcPr>
            <w:tcW w:w="1681"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22191.14</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8</w:t>
            </w:r>
          </w:p>
        </w:tc>
        <w:tc>
          <w:tcPr>
            <w:tcW w:w="1224"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c>
          <w:tcPr>
            <w:tcW w:w="482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21</w:t>
            </w:r>
          </w:p>
        </w:tc>
        <w:tc>
          <w:tcPr>
            <w:tcW w:w="1681"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s="Times New Roman"/>
                <w:b/>
                <w:bCs/>
                <w:kern w:val="0"/>
                <w:szCs w:val="21"/>
              </w:rPr>
            </w:pPr>
            <w:r>
              <w:rPr>
                <w:rFonts w:hint="eastAsia" w:ascii="Times New Roman" w:hAnsi="Times New Roman" w:eastAsia="仿宋_GB2312" w:cs="Times New Roman"/>
                <w:b/>
                <w:bCs/>
                <w:kern w:val="0"/>
                <w:szCs w:val="21"/>
              </w:rPr>
              <w:t>本年收入合计</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9</w:t>
            </w:r>
          </w:p>
        </w:tc>
        <w:tc>
          <w:tcPr>
            <w:tcW w:w="1224" w:type="dxa"/>
            <w:tcBorders>
              <w:top w:val="nil"/>
              <w:left w:val="nil"/>
              <w:bottom w:val="single" w:color="auto" w:sz="4" w:space="0"/>
              <w:right w:val="single" w:color="auto" w:sz="4" w:space="0"/>
            </w:tcBorders>
            <w:noWrap/>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22191.14</w:t>
            </w:r>
            <w:r>
              <w:rPr>
                <w:rFonts w:hint="eastAsia" w:ascii="Times New Roman" w:hAnsi="Times New Roman" w:eastAsia="仿宋_GB2312" w:cs="Times New Roman"/>
                <w:kern w:val="0"/>
                <w:szCs w:val="21"/>
              </w:rPr>
              <w:t>　</w:t>
            </w:r>
          </w:p>
        </w:tc>
        <w:tc>
          <w:tcPr>
            <w:tcW w:w="482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b/>
                <w:bCs/>
                <w:kern w:val="0"/>
                <w:szCs w:val="21"/>
              </w:rPr>
            </w:pPr>
            <w:r>
              <w:rPr>
                <w:rFonts w:hint="eastAsia" w:ascii="Times New Roman" w:hAnsi="Times New Roman" w:eastAsia="仿宋_GB2312" w:cs="Times New Roman"/>
                <w:b/>
                <w:bCs/>
                <w:kern w:val="0"/>
                <w:szCs w:val="21"/>
              </w:rPr>
              <w:t>本年支出合计</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22</w:t>
            </w:r>
          </w:p>
        </w:tc>
        <w:tc>
          <w:tcPr>
            <w:tcW w:w="1681"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仿宋_GB2312" w:cs="Times New Roman"/>
                <w:b/>
                <w:bCs/>
                <w:kern w:val="0"/>
                <w:szCs w:val="21"/>
                <w:lang w:val="en-US" w:eastAsia="zh-CN"/>
              </w:rPr>
            </w:pPr>
            <w:r>
              <w:rPr>
                <w:rFonts w:hint="eastAsia" w:ascii="Times New Roman" w:hAnsi="Times New Roman" w:eastAsia="仿宋_GB2312" w:cs="Times New Roman"/>
                <w:kern w:val="0"/>
                <w:szCs w:val="21"/>
                <w:lang w:val="en-US" w:eastAsia="zh-CN"/>
              </w:rPr>
              <w:t>22191.14</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xml:space="preserve">         </w:t>
            </w:r>
            <w:r>
              <w:rPr>
                <w:rFonts w:hint="eastAsia" w:ascii="Times New Roman" w:hAnsi="Times New Roman" w:eastAsia="仿宋_GB2312" w:cs="Times New Roman"/>
                <w:kern w:val="0"/>
                <w:szCs w:val="21"/>
              </w:rPr>
              <w:t>用事业基金弥补收支差额</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w:t>
            </w:r>
          </w:p>
        </w:tc>
        <w:tc>
          <w:tcPr>
            <w:tcW w:w="1224" w:type="dxa"/>
            <w:tcBorders>
              <w:top w:val="nil"/>
              <w:left w:val="nil"/>
              <w:bottom w:val="single" w:color="auto" w:sz="4" w:space="0"/>
              <w:right w:val="single" w:color="auto" w:sz="4" w:space="0"/>
            </w:tcBorders>
            <w:noWrap/>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c>
          <w:tcPr>
            <w:tcW w:w="482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xml:space="preserve">                </w:t>
            </w:r>
            <w:r>
              <w:rPr>
                <w:rFonts w:hint="eastAsia" w:ascii="Times New Roman" w:hAnsi="Times New Roman" w:eastAsia="仿宋_GB2312" w:cs="Times New Roman"/>
                <w:kern w:val="0"/>
                <w:szCs w:val="21"/>
              </w:rPr>
              <w:t>结余分配</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23</w:t>
            </w:r>
          </w:p>
        </w:tc>
        <w:tc>
          <w:tcPr>
            <w:tcW w:w="1681"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xml:space="preserve">         </w:t>
            </w:r>
            <w:r>
              <w:rPr>
                <w:rFonts w:hint="eastAsia" w:ascii="Times New Roman" w:hAnsi="Times New Roman" w:eastAsia="仿宋_GB2312" w:cs="Times New Roman"/>
                <w:kern w:val="0"/>
                <w:szCs w:val="21"/>
              </w:rPr>
              <w:t>年初结转和结余</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11</w:t>
            </w:r>
          </w:p>
        </w:tc>
        <w:tc>
          <w:tcPr>
            <w:tcW w:w="1224" w:type="dxa"/>
            <w:tcBorders>
              <w:top w:val="nil"/>
              <w:left w:val="nil"/>
              <w:bottom w:val="single" w:color="auto" w:sz="4" w:space="0"/>
              <w:right w:val="single" w:color="auto" w:sz="4" w:space="0"/>
            </w:tcBorders>
            <w:noWrap/>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27.66</w:t>
            </w:r>
            <w:r>
              <w:rPr>
                <w:rFonts w:hint="eastAsia" w:ascii="Times New Roman" w:hAnsi="Times New Roman" w:eastAsia="仿宋_GB2312" w:cs="Times New Roman"/>
                <w:kern w:val="0"/>
                <w:szCs w:val="21"/>
              </w:rPr>
              <w:t>　</w:t>
            </w:r>
          </w:p>
        </w:tc>
        <w:tc>
          <w:tcPr>
            <w:tcW w:w="482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xml:space="preserve">                </w:t>
            </w:r>
            <w:r>
              <w:rPr>
                <w:rFonts w:hint="eastAsia" w:ascii="Times New Roman" w:hAnsi="Times New Roman" w:eastAsia="仿宋_GB2312" w:cs="Times New Roman"/>
                <w:kern w:val="0"/>
                <w:szCs w:val="21"/>
              </w:rPr>
              <w:t>年末结转和结余</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24</w:t>
            </w:r>
          </w:p>
        </w:tc>
        <w:tc>
          <w:tcPr>
            <w:tcW w:w="1681" w:type="dxa"/>
            <w:tcBorders>
              <w:top w:val="nil"/>
              <w:left w:val="nil"/>
              <w:bottom w:val="single" w:color="auto" w:sz="4" w:space="0"/>
              <w:right w:val="single" w:color="auto" w:sz="4" w:space="0"/>
            </w:tcBorders>
            <w:noWrap/>
            <w:vAlign w:val="center"/>
          </w:tcPr>
          <w:p>
            <w:pPr>
              <w:widowControl/>
              <w:jc w:val="center"/>
              <w:rPr>
                <w:rFonts w:hint="default" w:ascii="Times New Roman" w:hAnsi="Times New Roman" w:eastAsia="仿宋_GB2312" w:cs="Times New Roman"/>
                <w:kern w:val="0"/>
                <w:szCs w:val="21"/>
                <w:lang w:val="en-US"/>
              </w:rPr>
            </w:pPr>
            <w:r>
              <w:rPr>
                <w:rFonts w:hint="eastAsia" w:ascii="Times New Roman" w:hAnsi="Times New Roman" w:eastAsia="仿宋_GB2312" w:cs="Times New Roman"/>
                <w:kern w:val="0"/>
                <w:szCs w:val="21"/>
                <w:lang w:val="en-US" w:eastAsia="zh-CN"/>
              </w:rPr>
              <w:t>27.66</w:t>
            </w: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12</w:t>
            </w:r>
          </w:p>
        </w:tc>
        <w:tc>
          <w:tcPr>
            <w:tcW w:w="1224" w:type="dxa"/>
            <w:tcBorders>
              <w:top w:val="nil"/>
              <w:left w:val="nil"/>
              <w:bottom w:val="single" w:color="auto" w:sz="4" w:space="0"/>
              <w:right w:val="single" w:color="auto" w:sz="4" w:space="0"/>
            </w:tcBorders>
            <w:noWrap/>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c>
          <w:tcPr>
            <w:tcW w:w="4820" w:type="dxa"/>
            <w:tcBorders>
              <w:top w:val="nil"/>
              <w:left w:val="nil"/>
              <w:bottom w:val="single" w:color="auto" w:sz="4" w:space="0"/>
              <w:right w:val="single" w:color="auto" w:sz="4" w:space="0"/>
            </w:tcBorders>
            <w:noWrap/>
            <w:vAlign w:val="center"/>
          </w:tcPr>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　</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25</w:t>
            </w:r>
          </w:p>
        </w:tc>
        <w:tc>
          <w:tcPr>
            <w:tcW w:w="1681"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340" w:hRule="atLeast"/>
          <w:jc w:val="center"/>
        </w:trPr>
        <w:tc>
          <w:tcPr>
            <w:tcW w:w="4932" w:type="dxa"/>
            <w:tcBorders>
              <w:top w:val="nil"/>
              <w:left w:val="single" w:color="auto" w:sz="4" w:space="0"/>
              <w:bottom w:val="single" w:color="auto" w:sz="4" w:space="0"/>
              <w:right w:val="single" w:color="auto" w:sz="4" w:space="0"/>
            </w:tcBorders>
            <w:noWrap/>
            <w:vAlign w:val="center"/>
          </w:tcPr>
          <w:p>
            <w:pPr>
              <w:widowControl/>
              <w:jc w:val="center"/>
              <w:rPr>
                <w:rFonts w:ascii="Times New Roman" w:hAnsi="Times New Roman" w:eastAsia="仿宋_GB2312" w:cs="Times New Roman"/>
                <w:b/>
                <w:bCs/>
                <w:kern w:val="0"/>
                <w:szCs w:val="21"/>
              </w:rPr>
            </w:pPr>
            <w:r>
              <w:rPr>
                <w:rFonts w:hint="eastAsia" w:ascii="Times New Roman" w:hAnsi="Times New Roman" w:eastAsia="仿宋_GB2312" w:cs="Times New Roman"/>
                <w:b/>
                <w:bCs/>
                <w:kern w:val="0"/>
                <w:szCs w:val="21"/>
              </w:rPr>
              <w:t>总计</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13</w:t>
            </w:r>
          </w:p>
        </w:tc>
        <w:tc>
          <w:tcPr>
            <w:tcW w:w="1224" w:type="dxa"/>
            <w:tcBorders>
              <w:top w:val="nil"/>
              <w:left w:val="nil"/>
              <w:bottom w:val="single" w:color="auto" w:sz="4" w:space="0"/>
              <w:right w:val="single" w:color="auto" w:sz="4" w:space="0"/>
            </w:tcBorders>
            <w:noWrap/>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22218.8</w:t>
            </w:r>
            <w:r>
              <w:rPr>
                <w:rFonts w:hint="eastAsia" w:ascii="Times New Roman" w:hAnsi="Times New Roman" w:eastAsia="仿宋_GB2312" w:cs="Times New Roman"/>
                <w:kern w:val="0"/>
                <w:szCs w:val="21"/>
              </w:rPr>
              <w:t>　</w:t>
            </w:r>
          </w:p>
        </w:tc>
        <w:tc>
          <w:tcPr>
            <w:tcW w:w="4820"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b/>
                <w:bCs/>
                <w:kern w:val="0"/>
                <w:szCs w:val="21"/>
              </w:rPr>
            </w:pPr>
            <w:r>
              <w:rPr>
                <w:rFonts w:hint="eastAsia" w:ascii="Times New Roman" w:hAnsi="Times New Roman" w:eastAsia="仿宋_GB2312" w:cs="Times New Roman"/>
                <w:b/>
                <w:bCs/>
                <w:kern w:val="0"/>
                <w:szCs w:val="21"/>
              </w:rPr>
              <w:t>总计</w:t>
            </w:r>
          </w:p>
        </w:tc>
        <w:tc>
          <w:tcPr>
            <w:tcW w:w="702"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26</w:t>
            </w:r>
          </w:p>
        </w:tc>
        <w:tc>
          <w:tcPr>
            <w:tcW w:w="1681" w:type="dxa"/>
            <w:tcBorders>
              <w:top w:val="nil"/>
              <w:left w:val="nil"/>
              <w:bottom w:val="single" w:color="auto" w:sz="4" w:space="0"/>
              <w:right w:val="single" w:color="auto" w:sz="4" w:space="0"/>
            </w:tcBorders>
            <w:noWrap/>
            <w:vAlign w:val="center"/>
          </w:tcPr>
          <w:p>
            <w:pPr>
              <w:widowControl/>
              <w:jc w:val="center"/>
              <w:rPr>
                <w:rFonts w:ascii="Times New Roman" w:hAnsi="Times New Roman" w:eastAsia="仿宋_GB2312" w:cs="Times New Roman"/>
                <w:b/>
                <w:bCs/>
                <w:kern w:val="0"/>
                <w:szCs w:val="21"/>
              </w:rPr>
            </w:pPr>
            <w:r>
              <w:rPr>
                <w:rFonts w:hint="eastAsia" w:ascii="Times New Roman" w:hAnsi="Times New Roman" w:eastAsia="仿宋_GB2312" w:cs="Times New Roman"/>
                <w:kern w:val="0"/>
                <w:szCs w:val="21"/>
                <w:lang w:val="en-US" w:eastAsia="zh-CN"/>
              </w:rPr>
              <w:t>22218.80</w:t>
            </w:r>
          </w:p>
        </w:tc>
      </w:tr>
    </w:tbl>
    <w:p>
      <w:pPr>
        <w:widowControl/>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注：本表反映部门本年度的总收支和年末结转结余情况。</w:t>
      </w:r>
    </w:p>
    <w:p>
      <w:pPr>
        <w:widowControl/>
        <w:jc w:val="lef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br w:type="page"/>
      </w:r>
    </w:p>
    <w:p>
      <w:pPr>
        <w:widowControl/>
        <w:jc w:val="center"/>
        <w:rPr>
          <w:rFonts w:ascii="Times New Roman" w:hAnsi="Times New Roman" w:eastAsia="方正小标宋_GBK" w:cs="Times New Roman"/>
          <w:color w:val="000000"/>
          <w:kern w:val="0"/>
          <w:sz w:val="36"/>
          <w:szCs w:val="36"/>
        </w:rPr>
      </w:pPr>
      <w:r>
        <w:rPr>
          <w:rFonts w:ascii="Times New Roman" w:hAnsi="Times New Roman" w:eastAsia="方正小标宋_GBK" w:cs="Times New Roman"/>
          <w:color w:val="000000"/>
          <w:kern w:val="0"/>
          <w:sz w:val="36"/>
          <w:szCs w:val="36"/>
        </w:rPr>
        <w:t>收入决算表</w:t>
      </w:r>
    </w:p>
    <w:p>
      <w:pPr>
        <w:widowControl/>
        <w:ind w:firstLine="630" w:firstLineChars="300"/>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xml:space="preserve">部门： </w:t>
      </w:r>
      <w:r>
        <w:rPr>
          <w:rFonts w:hint="eastAsia" w:ascii="Times New Roman" w:hAnsi="Times New Roman" w:eastAsia="仿宋_GB2312" w:cs="Times New Roman"/>
          <w:color w:val="000000"/>
          <w:kern w:val="0"/>
          <w:szCs w:val="21"/>
          <w:lang w:val="en-US" w:eastAsia="zh-CN"/>
        </w:rPr>
        <w:t>新田县医疗保障局</w:t>
      </w:r>
      <w:r>
        <w:rPr>
          <w:rFonts w:hint="eastAsia" w:ascii="Times New Roman" w:hAnsi="Times New Roman" w:eastAsia="仿宋_GB2312" w:cs="Times New Roman"/>
          <w:color w:val="000000"/>
          <w:kern w:val="0"/>
          <w:szCs w:val="21"/>
        </w:rPr>
        <w:t>单位</w:t>
      </w:r>
      <w:r>
        <w:rPr>
          <w:rFonts w:ascii="Times New Roman" w:hAnsi="Times New Roman" w:eastAsia="仿宋_GB2312" w:cs="Times New Roman"/>
          <w:color w:val="000000"/>
          <w:kern w:val="0"/>
          <w:szCs w:val="21"/>
        </w:rPr>
        <w:t xml:space="preserve">                                                                                                       公开02表</w:t>
      </w:r>
    </w:p>
    <w:p>
      <w:pPr>
        <w:widowControl/>
        <w:ind w:right="63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5"/>
        <w:tblW w:w="13207" w:type="dxa"/>
        <w:jc w:val="center"/>
        <w:tblLayout w:type="fixed"/>
        <w:tblCellMar>
          <w:top w:w="0" w:type="dxa"/>
          <w:left w:w="108" w:type="dxa"/>
          <w:bottom w:w="0" w:type="dxa"/>
          <w:right w:w="108" w:type="dxa"/>
        </w:tblCellMar>
      </w:tblPr>
      <w:tblGrid>
        <w:gridCol w:w="1197"/>
        <w:gridCol w:w="1683"/>
        <w:gridCol w:w="1332"/>
        <w:gridCol w:w="1551"/>
        <w:gridCol w:w="1331"/>
        <w:gridCol w:w="1464"/>
        <w:gridCol w:w="1568"/>
        <w:gridCol w:w="1676"/>
        <w:gridCol w:w="1405"/>
      </w:tblGrid>
      <w:tr>
        <w:tblPrEx>
          <w:tblCellMar>
            <w:top w:w="0" w:type="dxa"/>
            <w:left w:w="108" w:type="dxa"/>
            <w:bottom w:w="0" w:type="dxa"/>
            <w:right w:w="108" w:type="dxa"/>
          </w:tblCellMar>
        </w:tblPrEx>
        <w:trPr>
          <w:trHeight w:val="450" w:hRule="atLeast"/>
          <w:jc w:val="center"/>
        </w:trPr>
        <w:tc>
          <w:tcPr>
            <w:tcW w:w="2880" w:type="dxa"/>
            <w:gridSpan w:val="2"/>
            <w:tcBorders>
              <w:top w:val="single" w:color="auto" w:sz="8" w:space="0"/>
              <w:left w:val="single" w:color="auto" w:sz="8" w:space="0"/>
              <w:bottom w:val="single" w:color="auto" w:sz="4" w:space="0"/>
              <w:right w:val="nil"/>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项    目</w:t>
            </w:r>
          </w:p>
        </w:tc>
        <w:tc>
          <w:tcPr>
            <w:tcW w:w="1332" w:type="dxa"/>
            <w:vMerge w:val="restart"/>
            <w:tcBorders>
              <w:top w:val="single" w:color="auto" w:sz="8" w:space="0"/>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本年收入合计</w:t>
            </w:r>
          </w:p>
        </w:tc>
        <w:tc>
          <w:tcPr>
            <w:tcW w:w="1551" w:type="dxa"/>
            <w:vMerge w:val="restart"/>
            <w:tcBorders>
              <w:top w:val="single" w:color="auto" w:sz="8" w:space="0"/>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财政拨款收入</w:t>
            </w:r>
          </w:p>
        </w:tc>
        <w:tc>
          <w:tcPr>
            <w:tcW w:w="1331" w:type="dxa"/>
            <w:vMerge w:val="restart"/>
            <w:tcBorders>
              <w:top w:val="single" w:color="auto" w:sz="8" w:space="0"/>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上级补助收入</w:t>
            </w:r>
          </w:p>
        </w:tc>
        <w:tc>
          <w:tcPr>
            <w:tcW w:w="1464" w:type="dxa"/>
            <w:vMerge w:val="restart"/>
            <w:tcBorders>
              <w:top w:val="single" w:color="auto" w:sz="8" w:space="0"/>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事业收入</w:t>
            </w:r>
          </w:p>
        </w:tc>
        <w:tc>
          <w:tcPr>
            <w:tcW w:w="1568" w:type="dxa"/>
            <w:vMerge w:val="restart"/>
            <w:tcBorders>
              <w:top w:val="single" w:color="auto" w:sz="8" w:space="0"/>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经营收入</w:t>
            </w:r>
          </w:p>
        </w:tc>
        <w:tc>
          <w:tcPr>
            <w:tcW w:w="1676" w:type="dxa"/>
            <w:vMerge w:val="restart"/>
            <w:tcBorders>
              <w:top w:val="single" w:color="auto" w:sz="8" w:space="0"/>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附属单位上缴收入</w:t>
            </w:r>
          </w:p>
        </w:tc>
        <w:tc>
          <w:tcPr>
            <w:tcW w:w="1405" w:type="dxa"/>
            <w:vMerge w:val="restart"/>
            <w:tcBorders>
              <w:top w:val="single" w:color="auto" w:sz="8" w:space="0"/>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其他收入</w:t>
            </w:r>
          </w:p>
        </w:tc>
      </w:tr>
      <w:tr>
        <w:tblPrEx>
          <w:tblCellMar>
            <w:top w:w="0" w:type="dxa"/>
            <w:left w:w="108" w:type="dxa"/>
            <w:bottom w:w="0" w:type="dxa"/>
            <w:right w:w="108" w:type="dxa"/>
          </w:tblCellMar>
        </w:tblPrEx>
        <w:trPr>
          <w:trHeight w:val="450" w:hRule="atLeast"/>
          <w:jc w:val="center"/>
        </w:trPr>
        <w:tc>
          <w:tcPr>
            <w:tcW w:w="1197" w:type="dxa"/>
            <w:vMerge w:val="restart"/>
            <w:tcBorders>
              <w:top w:val="single" w:color="auto" w:sz="4" w:space="0"/>
              <w:left w:val="single" w:color="auto" w:sz="8" w:space="0"/>
              <w:bottom w:val="single" w:color="000000" w:sz="4" w:space="0"/>
              <w:right w:val="nil"/>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功能分类科目编码</w:t>
            </w:r>
          </w:p>
        </w:tc>
        <w:tc>
          <w:tcPr>
            <w:tcW w:w="1683"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科目名称</w:t>
            </w:r>
          </w:p>
        </w:tc>
        <w:tc>
          <w:tcPr>
            <w:tcW w:w="1332"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551"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331"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464"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568"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676"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405" w:type="dxa"/>
            <w:vMerge w:val="continue"/>
            <w:tcBorders>
              <w:top w:val="single" w:color="auto" w:sz="8" w:space="0"/>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197" w:type="dxa"/>
            <w:vMerge w:val="continue"/>
            <w:tcBorders>
              <w:top w:val="single" w:color="auto" w:sz="4" w:space="0"/>
              <w:left w:val="single" w:color="auto" w:sz="8" w:space="0"/>
              <w:bottom w:val="single" w:color="000000" w:sz="4" w:space="0"/>
              <w:right w:val="nil"/>
            </w:tcBorders>
            <w:vAlign w:val="center"/>
          </w:tcPr>
          <w:p>
            <w:pPr>
              <w:widowControl/>
              <w:jc w:val="left"/>
              <w:rPr>
                <w:rFonts w:ascii="Times New Roman" w:hAnsi="Times New Roman" w:eastAsia="仿宋_GB2312" w:cs="Times New Roman"/>
                <w:kern w:val="0"/>
                <w:szCs w:val="21"/>
              </w:rPr>
            </w:pPr>
          </w:p>
        </w:tc>
        <w:tc>
          <w:tcPr>
            <w:tcW w:w="1683"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332"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551"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331"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464"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568"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676" w:type="dxa"/>
            <w:vMerge w:val="continue"/>
            <w:tcBorders>
              <w:top w:val="single" w:color="auto" w:sz="8" w:space="0"/>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405" w:type="dxa"/>
            <w:vMerge w:val="continue"/>
            <w:tcBorders>
              <w:top w:val="single" w:color="auto" w:sz="8" w:space="0"/>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2880" w:type="dxa"/>
            <w:gridSpan w:val="2"/>
            <w:tcBorders>
              <w:top w:val="single" w:color="auto" w:sz="4" w:space="0"/>
              <w:left w:val="single" w:color="auto" w:sz="8" w:space="0"/>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133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5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33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46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156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1676"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c>
          <w:tcPr>
            <w:tcW w:w="1405" w:type="dxa"/>
            <w:tcBorders>
              <w:top w:val="nil"/>
              <w:left w:val="nil"/>
              <w:bottom w:val="single" w:color="auto" w:sz="4" w:space="0"/>
              <w:right w:val="single" w:color="auto" w:sz="8" w:space="0"/>
            </w:tcBorders>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w:t>
            </w:r>
          </w:p>
        </w:tc>
      </w:tr>
      <w:tr>
        <w:tblPrEx>
          <w:tblCellMar>
            <w:top w:w="0" w:type="dxa"/>
            <w:left w:w="108" w:type="dxa"/>
            <w:bottom w:w="0" w:type="dxa"/>
            <w:right w:w="108" w:type="dxa"/>
          </w:tblCellMar>
        </w:tblPrEx>
        <w:trPr>
          <w:trHeight w:val="450" w:hRule="atLeast"/>
          <w:jc w:val="center"/>
        </w:trPr>
        <w:tc>
          <w:tcPr>
            <w:tcW w:w="2880" w:type="dxa"/>
            <w:gridSpan w:val="2"/>
            <w:tcBorders>
              <w:top w:val="nil"/>
              <w:left w:val="single" w:color="auto" w:sz="8" w:space="0"/>
              <w:bottom w:val="single" w:color="auto" w:sz="4" w:space="0"/>
              <w:right w:val="single" w:color="000000"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33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22191.14</w:t>
            </w:r>
          </w:p>
        </w:tc>
        <w:tc>
          <w:tcPr>
            <w:tcW w:w="15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22191.14</w:t>
            </w:r>
          </w:p>
        </w:tc>
        <w:tc>
          <w:tcPr>
            <w:tcW w:w="1331"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464"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568"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676"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405" w:type="dxa"/>
            <w:tcBorders>
              <w:top w:val="nil"/>
              <w:left w:val="nil"/>
              <w:bottom w:val="single" w:color="auto" w:sz="4" w:space="0"/>
              <w:right w:val="single" w:color="auto" w:sz="8"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450" w:hRule="atLeast"/>
          <w:jc w:val="center"/>
        </w:trPr>
        <w:tc>
          <w:tcPr>
            <w:tcW w:w="1197" w:type="dxa"/>
            <w:tcBorders>
              <w:top w:val="single" w:color="auto" w:sz="4" w:space="0"/>
              <w:left w:val="single" w:color="auto" w:sz="8"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210</w:t>
            </w:r>
          </w:p>
        </w:tc>
        <w:tc>
          <w:tcPr>
            <w:tcW w:w="1683"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卫生健康支出</w:t>
            </w:r>
          </w:p>
        </w:tc>
        <w:tc>
          <w:tcPr>
            <w:tcW w:w="133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val="en-US" w:eastAsia="zh-CN"/>
              </w:rPr>
              <w:t>22191.14</w:t>
            </w:r>
          </w:p>
        </w:tc>
        <w:tc>
          <w:tcPr>
            <w:tcW w:w="15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val="en-US" w:eastAsia="zh-CN"/>
              </w:rPr>
              <w:t>22191.14</w:t>
            </w:r>
          </w:p>
        </w:tc>
        <w:tc>
          <w:tcPr>
            <w:tcW w:w="1331"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p>
        </w:tc>
        <w:tc>
          <w:tcPr>
            <w:tcW w:w="1464"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p>
        </w:tc>
        <w:tc>
          <w:tcPr>
            <w:tcW w:w="1568"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p>
        </w:tc>
        <w:tc>
          <w:tcPr>
            <w:tcW w:w="1676"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p>
        </w:tc>
        <w:tc>
          <w:tcPr>
            <w:tcW w:w="1405" w:type="dxa"/>
            <w:tcBorders>
              <w:top w:val="nil"/>
              <w:left w:val="nil"/>
              <w:bottom w:val="single" w:color="auto" w:sz="4" w:space="0"/>
              <w:right w:val="single" w:color="auto" w:sz="8" w:space="0"/>
            </w:tcBorders>
            <w:shd w:val="clear" w:color="auto" w:fill="auto"/>
            <w:noWrap/>
            <w:vAlign w:val="center"/>
          </w:tcPr>
          <w:p>
            <w:pPr>
              <w:widowControl/>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197" w:type="dxa"/>
            <w:tcBorders>
              <w:top w:val="single" w:color="auto" w:sz="4" w:space="0"/>
              <w:left w:val="single" w:color="auto" w:sz="8"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21012</w:t>
            </w:r>
          </w:p>
        </w:tc>
        <w:tc>
          <w:tcPr>
            <w:tcW w:w="1683"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财政对基本医疗保险基金的补助</w:t>
            </w:r>
          </w:p>
        </w:tc>
        <w:tc>
          <w:tcPr>
            <w:tcW w:w="133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val="en-US" w:eastAsia="zh-CN"/>
              </w:rPr>
              <w:t>19861.2</w:t>
            </w:r>
          </w:p>
        </w:tc>
        <w:tc>
          <w:tcPr>
            <w:tcW w:w="15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val="en-US" w:eastAsia="zh-CN"/>
              </w:rPr>
              <w:t>19861.2</w:t>
            </w:r>
          </w:p>
        </w:tc>
        <w:tc>
          <w:tcPr>
            <w:tcW w:w="1331"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p>
        </w:tc>
        <w:tc>
          <w:tcPr>
            <w:tcW w:w="1464"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p>
        </w:tc>
        <w:tc>
          <w:tcPr>
            <w:tcW w:w="1568"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p>
        </w:tc>
        <w:tc>
          <w:tcPr>
            <w:tcW w:w="1676"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p>
        </w:tc>
        <w:tc>
          <w:tcPr>
            <w:tcW w:w="1405" w:type="dxa"/>
            <w:tcBorders>
              <w:top w:val="nil"/>
              <w:left w:val="nil"/>
              <w:bottom w:val="single" w:color="auto" w:sz="4" w:space="0"/>
              <w:right w:val="single" w:color="auto" w:sz="8" w:space="0"/>
            </w:tcBorders>
            <w:shd w:val="clear" w:color="auto" w:fill="auto"/>
            <w:noWrap/>
            <w:vAlign w:val="center"/>
          </w:tcPr>
          <w:p>
            <w:pPr>
              <w:widowControl/>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197" w:type="dxa"/>
            <w:tcBorders>
              <w:top w:val="single" w:color="auto" w:sz="4" w:space="0"/>
              <w:left w:val="single" w:color="auto" w:sz="8"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2101202</w:t>
            </w:r>
          </w:p>
        </w:tc>
        <w:tc>
          <w:tcPr>
            <w:tcW w:w="1683"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财政对城乡居民基本医疗保险基金的补助</w:t>
            </w:r>
          </w:p>
        </w:tc>
        <w:tc>
          <w:tcPr>
            <w:tcW w:w="133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19861.2</w:t>
            </w:r>
          </w:p>
        </w:tc>
        <w:tc>
          <w:tcPr>
            <w:tcW w:w="15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val="en-US" w:eastAsia="zh-CN"/>
              </w:rPr>
              <w:t>19861.2</w:t>
            </w:r>
          </w:p>
        </w:tc>
        <w:tc>
          <w:tcPr>
            <w:tcW w:w="1331"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464"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568"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676"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405" w:type="dxa"/>
            <w:tcBorders>
              <w:top w:val="nil"/>
              <w:left w:val="nil"/>
              <w:bottom w:val="single" w:color="auto" w:sz="4" w:space="0"/>
              <w:right w:val="single" w:color="auto" w:sz="8"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450" w:hRule="atLeast"/>
          <w:jc w:val="center"/>
        </w:trPr>
        <w:tc>
          <w:tcPr>
            <w:tcW w:w="1197" w:type="dxa"/>
            <w:tcBorders>
              <w:top w:val="single" w:color="auto" w:sz="4" w:space="0"/>
              <w:left w:val="single" w:color="auto" w:sz="8"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21013</w:t>
            </w:r>
          </w:p>
        </w:tc>
        <w:tc>
          <w:tcPr>
            <w:tcW w:w="1683"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医疗救助</w:t>
            </w:r>
          </w:p>
        </w:tc>
        <w:tc>
          <w:tcPr>
            <w:tcW w:w="133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val="en-US" w:eastAsia="zh-CN"/>
              </w:rPr>
              <w:t>1699.94</w:t>
            </w:r>
          </w:p>
        </w:tc>
        <w:tc>
          <w:tcPr>
            <w:tcW w:w="1551"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val="en-US" w:eastAsia="zh-CN"/>
              </w:rPr>
              <w:t>1699.94</w:t>
            </w:r>
          </w:p>
        </w:tc>
        <w:tc>
          <w:tcPr>
            <w:tcW w:w="1331"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p>
        </w:tc>
        <w:tc>
          <w:tcPr>
            <w:tcW w:w="1464"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p>
        </w:tc>
        <w:tc>
          <w:tcPr>
            <w:tcW w:w="1568"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p>
        </w:tc>
        <w:tc>
          <w:tcPr>
            <w:tcW w:w="1676"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p>
        </w:tc>
        <w:tc>
          <w:tcPr>
            <w:tcW w:w="1405" w:type="dxa"/>
            <w:tcBorders>
              <w:top w:val="nil"/>
              <w:left w:val="nil"/>
              <w:bottom w:val="single" w:color="auto" w:sz="4" w:space="0"/>
              <w:right w:val="single" w:color="auto" w:sz="8" w:space="0"/>
            </w:tcBorders>
            <w:shd w:val="clear" w:color="auto" w:fill="auto"/>
            <w:noWrap/>
            <w:vAlign w:val="center"/>
          </w:tcPr>
          <w:p>
            <w:pPr>
              <w:widowControl/>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197" w:type="dxa"/>
            <w:tcBorders>
              <w:top w:val="single" w:color="auto" w:sz="4" w:space="0"/>
              <w:left w:val="single" w:color="auto" w:sz="8"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2101301</w:t>
            </w:r>
          </w:p>
        </w:tc>
        <w:tc>
          <w:tcPr>
            <w:tcW w:w="1683"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城乡医疗救助</w:t>
            </w:r>
          </w:p>
        </w:tc>
        <w:tc>
          <w:tcPr>
            <w:tcW w:w="133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1699.94</w:t>
            </w:r>
          </w:p>
        </w:tc>
        <w:tc>
          <w:tcPr>
            <w:tcW w:w="15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val="en-US" w:eastAsia="zh-CN"/>
              </w:rPr>
              <w:t>1699.94</w:t>
            </w:r>
          </w:p>
        </w:tc>
        <w:tc>
          <w:tcPr>
            <w:tcW w:w="1331"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464"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568"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676"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405" w:type="dxa"/>
            <w:tcBorders>
              <w:top w:val="nil"/>
              <w:left w:val="nil"/>
              <w:bottom w:val="single" w:color="auto" w:sz="4" w:space="0"/>
              <w:right w:val="single" w:color="auto" w:sz="8"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450" w:hRule="atLeast"/>
          <w:jc w:val="center"/>
        </w:trPr>
        <w:tc>
          <w:tcPr>
            <w:tcW w:w="1197" w:type="dxa"/>
            <w:tcBorders>
              <w:top w:val="single" w:color="auto" w:sz="4" w:space="0"/>
              <w:left w:val="single" w:color="auto" w:sz="8"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21015</w:t>
            </w:r>
          </w:p>
        </w:tc>
        <w:tc>
          <w:tcPr>
            <w:tcW w:w="1683"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医疗保障管理实务</w:t>
            </w:r>
          </w:p>
        </w:tc>
        <w:tc>
          <w:tcPr>
            <w:tcW w:w="133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630</w:t>
            </w:r>
          </w:p>
        </w:tc>
        <w:tc>
          <w:tcPr>
            <w:tcW w:w="15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val="en-US" w:eastAsia="zh-CN"/>
              </w:rPr>
              <w:t>630</w:t>
            </w:r>
          </w:p>
        </w:tc>
        <w:tc>
          <w:tcPr>
            <w:tcW w:w="1331"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464"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568"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676"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405" w:type="dxa"/>
            <w:tcBorders>
              <w:top w:val="nil"/>
              <w:left w:val="nil"/>
              <w:bottom w:val="single" w:color="auto" w:sz="4" w:space="0"/>
              <w:right w:val="single" w:color="auto" w:sz="8"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450" w:hRule="atLeast"/>
          <w:jc w:val="center"/>
        </w:trPr>
        <w:tc>
          <w:tcPr>
            <w:tcW w:w="1197" w:type="dxa"/>
            <w:tcBorders>
              <w:top w:val="single" w:color="auto" w:sz="4" w:space="0"/>
              <w:left w:val="single" w:color="auto" w:sz="8" w:space="0"/>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2101501</w:t>
            </w:r>
          </w:p>
        </w:tc>
        <w:tc>
          <w:tcPr>
            <w:tcW w:w="1683"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行政运行</w:t>
            </w:r>
          </w:p>
        </w:tc>
        <w:tc>
          <w:tcPr>
            <w:tcW w:w="133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val="en-US" w:eastAsia="zh-CN"/>
              </w:rPr>
              <w:t>630</w:t>
            </w:r>
          </w:p>
        </w:tc>
        <w:tc>
          <w:tcPr>
            <w:tcW w:w="155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val="en-US" w:eastAsia="zh-CN"/>
              </w:rPr>
              <w:t>630</w:t>
            </w:r>
          </w:p>
        </w:tc>
        <w:tc>
          <w:tcPr>
            <w:tcW w:w="1331"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464"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568"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676"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405" w:type="dxa"/>
            <w:tcBorders>
              <w:top w:val="nil"/>
              <w:left w:val="nil"/>
              <w:bottom w:val="single" w:color="auto" w:sz="4" w:space="0"/>
              <w:right w:val="single" w:color="auto" w:sz="8" w:space="0"/>
            </w:tcBorders>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CellMar>
            <w:top w:w="0" w:type="dxa"/>
            <w:left w:w="108" w:type="dxa"/>
            <w:bottom w:w="0" w:type="dxa"/>
            <w:right w:w="108" w:type="dxa"/>
          </w:tblCellMar>
        </w:tblPrEx>
        <w:trPr>
          <w:trHeight w:val="615" w:hRule="atLeast"/>
          <w:jc w:val="center"/>
        </w:trPr>
        <w:tc>
          <w:tcPr>
            <w:tcW w:w="13207" w:type="dxa"/>
            <w:gridSpan w:val="9"/>
            <w:tcBorders>
              <w:top w:val="single" w:color="auto" w:sz="8" w:space="0"/>
              <w:left w:val="nil"/>
              <w:bottom w:val="nil"/>
              <w:right w:val="nil"/>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注：本表反映部门本年度取得的各项收入情况。</w:t>
            </w:r>
          </w:p>
        </w:tc>
      </w:tr>
    </w:tbl>
    <w:p>
      <w:pPr>
        <w:widowControl/>
        <w:jc w:val="left"/>
        <w:rPr>
          <w:rFonts w:ascii="Times New Roman" w:hAnsi="Times New Roman" w:eastAsia="黑体" w:cs="Times New Roman"/>
          <w:bCs/>
          <w:kern w:val="0"/>
          <w:sz w:val="32"/>
          <w:szCs w:val="32"/>
        </w:rPr>
      </w:pPr>
    </w:p>
    <w:p>
      <w:pPr>
        <w:widowControl/>
        <w:jc w:val="lef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br w:type="page"/>
      </w:r>
    </w:p>
    <w:p>
      <w:pPr>
        <w:widowControl/>
        <w:rPr>
          <w:rFonts w:ascii="Times New Roman" w:hAnsi="Times New Roman" w:eastAsia="方正小标宋_GBK" w:cs="Times New Roman"/>
          <w:color w:val="000000"/>
          <w:kern w:val="0"/>
          <w:sz w:val="36"/>
          <w:szCs w:val="36"/>
        </w:rPr>
      </w:pPr>
    </w:p>
    <w:p>
      <w:pPr>
        <w:widowControl/>
        <w:jc w:val="center"/>
        <w:rPr>
          <w:rFonts w:ascii="Times New Roman" w:hAnsi="Times New Roman" w:eastAsia="方正小标宋_GBK" w:cs="Times New Roman"/>
          <w:color w:val="000000"/>
          <w:kern w:val="0"/>
          <w:sz w:val="36"/>
          <w:szCs w:val="36"/>
        </w:rPr>
      </w:pPr>
      <w:r>
        <w:rPr>
          <w:rFonts w:ascii="Times New Roman" w:hAnsi="Times New Roman" w:eastAsia="方正小标宋_GBK" w:cs="Times New Roman"/>
          <w:color w:val="000000"/>
          <w:kern w:val="0"/>
          <w:sz w:val="36"/>
          <w:szCs w:val="36"/>
        </w:rPr>
        <w:t>支出决算表</w:t>
      </w:r>
    </w:p>
    <w:p>
      <w:pPr>
        <w:widowControl/>
        <w:spacing w:line="400" w:lineRule="exact"/>
        <w:ind w:firstLine="600" w:firstLineChars="300"/>
        <w:jc w:val="left"/>
        <w:rPr>
          <w:rFonts w:ascii="Times New Roman" w:hAnsi="Times New Roman" w:eastAsia="仿宋_GB2312" w:cs="Times New Roman"/>
          <w:color w:val="000000"/>
          <w:kern w:val="0"/>
          <w:sz w:val="20"/>
          <w:szCs w:val="20"/>
        </w:rPr>
      </w:pPr>
      <w:r>
        <w:rPr>
          <w:rFonts w:ascii="Times New Roman" w:hAnsi="Times New Roman" w:eastAsia="仿宋_GB2312" w:cs="Times New Roman"/>
          <w:color w:val="000000"/>
          <w:kern w:val="0"/>
          <w:sz w:val="20"/>
          <w:szCs w:val="20"/>
        </w:rPr>
        <w:t xml:space="preserve">部门：  </w:t>
      </w:r>
      <w:r>
        <w:rPr>
          <w:rFonts w:hint="eastAsia" w:ascii="Times New Roman" w:hAnsi="Times New Roman" w:eastAsia="仿宋_GB2312" w:cs="Times New Roman"/>
          <w:color w:val="000000"/>
          <w:kern w:val="0"/>
          <w:sz w:val="20"/>
          <w:szCs w:val="20"/>
          <w:lang w:val="en-US" w:eastAsia="zh-CN"/>
        </w:rPr>
        <w:t>新田县医疗保障局</w:t>
      </w:r>
      <w:r>
        <w:rPr>
          <w:rFonts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 w:val="20"/>
          <w:szCs w:val="20"/>
        </w:rPr>
        <w:t xml:space="preserve">                                                                                                          公开03表</w:t>
      </w:r>
    </w:p>
    <w:p>
      <w:pPr>
        <w:widowControl/>
        <w:spacing w:line="400" w:lineRule="exact"/>
        <w:ind w:right="700"/>
        <w:jc w:val="right"/>
        <w:rPr>
          <w:rFonts w:ascii="Times New Roman" w:hAnsi="Times New Roman" w:eastAsia="仿宋_GB2312" w:cs="Times New Roman"/>
          <w:color w:val="000000"/>
          <w:kern w:val="0"/>
          <w:sz w:val="20"/>
          <w:szCs w:val="20"/>
        </w:rPr>
      </w:pPr>
      <w:r>
        <w:rPr>
          <w:rFonts w:ascii="Times New Roman" w:hAnsi="Times New Roman" w:eastAsia="仿宋_GB2312" w:cs="Times New Roman"/>
          <w:color w:val="000000"/>
          <w:kern w:val="0"/>
          <w:sz w:val="20"/>
          <w:szCs w:val="20"/>
        </w:rPr>
        <w:t>单位：万元</w:t>
      </w:r>
    </w:p>
    <w:tbl>
      <w:tblPr>
        <w:tblStyle w:val="5"/>
        <w:tblW w:w="13784"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102"/>
        <w:gridCol w:w="1546"/>
        <w:gridCol w:w="1478"/>
        <w:gridCol w:w="1985"/>
        <w:gridCol w:w="1842"/>
        <w:gridCol w:w="1843"/>
        <w:gridCol w:w="1985"/>
        <w:gridCol w:w="200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2648"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项    目</w:t>
            </w:r>
          </w:p>
        </w:tc>
        <w:tc>
          <w:tcPr>
            <w:tcW w:w="1478" w:type="dxa"/>
            <w:vMerge w:val="restart"/>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本年支出合计</w:t>
            </w:r>
          </w:p>
        </w:tc>
        <w:tc>
          <w:tcPr>
            <w:tcW w:w="1985" w:type="dxa"/>
            <w:vMerge w:val="restart"/>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基本支出</w:t>
            </w:r>
          </w:p>
        </w:tc>
        <w:tc>
          <w:tcPr>
            <w:tcW w:w="1842" w:type="dxa"/>
            <w:vMerge w:val="restart"/>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项目支出</w:t>
            </w:r>
          </w:p>
        </w:tc>
        <w:tc>
          <w:tcPr>
            <w:tcW w:w="1843" w:type="dxa"/>
            <w:vMerge w:val="restart"/>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上缴上级支出</w:t>
            </w:r>
          </w:p>
        </w:tc>
        <w:tc>
          <w:tcPr>
            <w:tcW w:w="1985" w:type="dxa"/>
            <w:vMerge w:val="restart"/>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经营支出</w:t>
            </w:r>
          </w:p>
        </w:tc>
        <w:tc>
          <w:tcPr>
            <w:tcW w:w="2003" w:type="dxa"/>
            <w:vMerge w:val="restart"/>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对附属单位补助支出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02" w:type="dxa"/>
            <w:vMerge w:val="restart"/>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功能分类科目编码</w:t>
            </w:r>
          </w:p>
        </w:tc>
        <w:tc>
          <w:tcPr>
            <w:tcW w:w="1546" w:type="dxa"/>
            <w:vMerge w:val="restart"/>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科目名称</w:t>
            </w:r>
          </w:p>
        </w:tc>
        <w:tc>
          <w:tcPr>
            <w:tcW w:w="1478" w:type="dxa"/>
            <w:vMerge w:val="continue"/>
            <w:shd w:val="clear" w:color="auto" w:fill="auto"/>
            <w:vAlign w:val="center"/>
          </w:tcPr>
          <w:p>
            <w:pPr>
              <w:widowControl/>
              <w:jc w:val="left"/>
              <w:rPr>
                <w:rFonts w:ascii="Times New Roman" w:hAnsi="Times New Roman" w:eastAsia="仿宋_GB2312" w:cs="Times New Roman"/>
                <w:kern w:val="0"/>
                <w:szCs w:val="21"/>
              </w:rPr>
            </w:pPr>
          </w:p>
        </w:tc>
        <w:tc>
          <w:tcPr>
            <w:tcW w:w="1985" w:type="dxa"/>
            <w:vMerge w:val="continue"/>
            <w:shd w:val="clear" w:color="auto" w:fill="auto"/>
            <w:vAlign w:val="center"/>
          </w:tcPr>
          <w:p>
            <w:pPr>
              <w:widowControl/>
              <w:jc w:val="left"/>
              <w:rPr>
                <w:rFonts w:ascii="Times New Roman" w:hAnsi="Times New Roman" w:eastAsia="仿宋_GB2312" w:cs="Times New Roman"/>
                <w:kern w:val="0"/>
                <w:szCs w:val="21"/>
              </w:rPr>
            </w:pPr>
          </w:p>
        </w:tc>
        <w:tc>
          <w:tcPr>
            <w:tcW w:w="1842" w:type="dxa"/>
            <w:vMerge w:val="continue"/>
            <w:shd w:val="clear" w:color="auto" w:fill="auto"/>
            <w:vAlign w:val="center"/>
          </w:tcPr>
          <w:p>
            <w:pPr>
              <w:widowControl/>
              <w:jc w:val="left"/>
              <w:rPr>
                <w:rFonts w:ascii="Times New Roman" w:hAnsi="Times New Roman" w:eastAsia="仿宋_GB2312" w:cs="Times New Roman"/>
                <w:kern w:val="0"/>
                <w:szCs w:val="21"/>
              </w:rPr>
            </w:pPr>
          </w:p>
        </w:tc>
        <w:tc>
          <w:tcPr>
            <w:tcW w:w="1843" w:type="dxa"/>
            <w:vMerge w:val="continue"/>
            <w:shd w:val="clear" w:color="auto" w:fill="auto"/>
            <w:vAlign w:val="center"/>
          </w:tcPr>
          <w:p>
            <w:pPr>
              <w:widowControl/>
              <w:jc w:val="left"/>
              <w:rPr>
                <w:rFonts w:ascii="Times New Roman" w:hAnsi="Times New Roman" w:eastAsia="仿宋_GB2312" w:cs="Times New Roman"/>
                <w:kern w:val="0"/>
                <w:szCs w:val="21"/>
              </w:rPr>
            </w:pPr>
          </w:p>
        </w:tc>
        <w:tc>
          <w:tcPr>
            <w:tcW w:w="1985" w:type="dxa"/>
            <w:vMerge w:val="continue"/>
            <w:shd w:val="clear" w:color="auto" w:fill="auto"/>
            <w:vAlign w:val="center"/>
          </w:tcPr>
          <w:p>
            <w:pPr>
              <w:widowControl/>
              <w:jc w:val="left"/>
              <w:rPr>
                <w:rFonts w:ascii="Times New Roman" w:hAnsi="Times New Roman" w:eastAsia="仿宋_GB2312" w:cs="Times New Roman"/>
                <w:kern w:val="0"/>
                <w:szCs w:val="21"/>
              </w:rPr>
            </w:pPr>
          </w:p>
        </w:tc>
        <w:tc>
          <w:tcPr>
            <w:tcW w:w="2003" w:type="dxa"/>
            <w:vMerge w:val="continue"/>
            <w:shd w:val="clear" w:color="auto" w:fill="auto"/>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02" w:type="dxa"/>
            <w:vMerge w:val="continue"/>
            <w:shd w:val="clear" w:color="auto" w:fill="auto"/>
            <w:vAlign w:val="center"/>
          </w:tcPr>
          <w:p>
            <w:pPr>
              <w:widowControl/>
              <w:jc w:val="left"/>
              <w:rPr>
                <w:rFonts w:ascii="Times New Roman" w:hAnsi="Times New Roman" w:eastAsia="仿宋_GB2312" w:cs="Times New Roman"/>
                <w:kern w:val="0"/>
                <w:szCs w:val="21"/>
              </w:rPr>
            </w:pPr>
          </w:p>
        </w:tc>
        <w:tc>
          <w:tcPr>
            <w:tcW w:w="1546" w:type="dxa"/>
            <w:vMerge w:val="continue"/>
            <w:shd w:val="clear" w:color="auto" w:fill="auto"/>
            <w:vAlign w:val="center"/>
          </w:tcPr>
          <w:p>
            <w:pPr>
              <w:widowControl/>
              <w:jc w:val="left"/>
              <w:rPr>
                <w:rFonts w:ascii="Times New Roman" w:hAnsi="Times New Roman" w:eastAsia="仿宋_GB2312" w:cs="Times New Roman"/>
                <w:kern w:val="0"/>
                <w:szCs w:val="21"/>
              </w:rPr>
            </w:pPr>
          </w:p>
        </w:tc>
        <w:tc>
          <w:tcPr>
            <w:tcW w:w="1478" w:type="dxa"/>
            <w:vMerge w:val="continue"/>
            <w:shd w:val="clear" w:color="auto" w:fill="auto"/>
            <w:vAlign w:val="center"/>
          </w:tcPr>
          <w:p>
            <w:pPr>
              <w:widowControl/>
              <w:jc w:val="left"/>
              <w:rPr>
                <w:rFonts w:ascii="Times New Roman" w:hAnsi="Times New Roman" w:eastAsia="仿宋_GB2312" w:cs="Times New Roman"/>
                <w:kern w:val="0"/>
                <w:szCs w:val="21"/>
              </w:rPr>
            </w:pPr>
          </w:p>
        </w:tc>
        <w:tc>
          <w:tcPr>
            <w:tcW w:w="1985" w:type="dxa"/>
            <w:vMerge w:val="continue"/>
            <w:shd w:val="clear" w:color="auto" w:fill="auto"/>
            <w:vAlign w:val="center"/>
          </w:tcPr>
          <w:p>
            <w:pPr>
              <w:widowControl/>
              <w:jc w:val="left"/>
              <w:rPr>
                <w:rFonts w:ascii="Times New Roman" w:hAnsi="Times New Roman" w:eastAsia="仿宋_GB2312" w:cs="Times New Roman"/>
                <w:kern w:val="0"/>
                <w:szCs w:val="21"/>
              </w:rPr>
            </w:pPr>
          </w:p>
        </w:tc>
        <w:tc>
          <w:tcPr>
            <w:tcW w:w="1842" w:type="dxa"/>
            <w:vMerge w:val="continue"/>
            <w:shd w:val="clear" w:color="auto" w:fill="auto"/>
            <w:vAlign w:val="center"/>
          </w:tcPr>
          <w:p>
            <w:pPr>
              <w:widowControl/>
              <w:jc w:val="left"/>
              <w:rPr>
                <w:rFonts w:ascii="Times New Roman" w:hAnsi="Times New Roman" w:eastAsia="仿宋_GB2312" w:cs="Times New Roman"/>
                <w:kern w:val="0"/>
                <w:szCs w:val="21"/>
              </w:rPr>
            </w:pPr>
          </w:p>
        </w:tc>
        <w:tc>
          <w:tcPr>
            <w:tcW w:w="1843" w:type="dxa"/>
            <w:vMerge w:val="continue"/>
            <w:shd w:val="clear" w:color="auto" w:fill="auto"/>
            <w:vAlign w:val="center"/>
          </w:tcPr>
          <w:p>
            <w:pPr>
              <w:widowControl/>
              <w:jc w:val="left"/>
              <w:rPr>
                <w:rFonts w:ascii="Times New Roman" w:hAnsi="Times New Roman" w:eastAsia="仿宋_GB2312" w:cs="Times New Roman"/>
                <w:kern w:val="0"/>
                <w:szCs w:val="21"/>
              </w:rPr>
            </w:pPr>
          </w:p>
        </w:tc>
        <w:tc>
          <w:tcPr>
            <w:tcW w:w="1985" w:type="dxa"/>
            <w:vMerge w:val="continue"/>
            <w:shd w:val="clear" w:color="auto" w:fill="auto"/>
            <w:vAlign w:val="center"/>
          </w:tcPr>
          <w:p>
            <w:pPr>
              <w:widowControl/>
              <w:jc w:val="left"/>
              <w:rPr>
                <w:rFonts w:ascii="Times New Roman" w:hAnsi="Times New Roman" w:eastAsia="仿宋_GB2312" w:cs="Times New Roman"/>
                <w:kern w:val="0"/>
                <w:szCs w:val="21"/>
              </w:rPr>
            </w:pPr>
          </w:p>
        </w:tc>
        <w:tc>
          <w:tcPr>
            <w:tcW w:w="2003" w:type="dxa"/>
            <w:vMerge w:val="continue"/>
            <w:shd w:val="clear" w:color="auto" w:fill="auto"/>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2648" w:type="dxa"/>
            <w:gridSpan w:val="2"/>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1478"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985"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842"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843"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1985"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2003"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2648" w:type="dxa"/>
            <w:gridSpan w:val="2"/>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478" w:type="dxa"/>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22191.14</w:t>
            </w:r>
          </w:p>
        </w:tc>
        <w:tc>
          <w:tcPr>
            <w:tcW w:w="1985" w:type="dxa"/>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453.32</w:t>
            </w:r>
          </w:p>
        </w:tc>
        <w:tc>
          <w:tcPr>
            <w:tcW w:w="1842" w:type="dxa"/>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21737.82</w:t>
            </w:r>
          </w:p>
        </w:tc>
        <w:tc>
          <w:tcPr>
            <w:tcW w:w="1843"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985"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3"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02" w:type="dxa"/>
            <w:shd w:val="clear" w:color="auto" w:fill="auto"/>
            <w:noWrap/>
            <w:vAlign w:val="center"/>
          </w:tcPr>
          <w:p>
            <w:pPr>
              <w:widowControl/>
              <w:jc w:val="lef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210</w:t>
            </w:r>
          </w:p>
        </w:tc>
        <w:tc>
          <w:tcPr>
            <w:tcW w:w="1546" w:type="dxa"/>
            <w:shd w:val="clear" w:color="auto" w:fill="auto"/>
            <w:noWrap/>
            <w:vAlign w:val="center"/>
          </w:tcPr>
          <w:p>
            <w:pPr>
              <w:widowControl/>
              <w:jc w:val="lef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卫生健康支出</w:t>
            </w:r>
          </w:p>
        </w:tc>
        <w:tc>
          <w:tcPr>
            <w:tcW w:w="1478" w:type="dxa"/>
            <w:shd w:val="clear" w:color="auto" w:fill="auto"/>
            <w:noWrap/>
            <w:vAlign w:val="center"/>
          </w:tcPr>
          <w:p>
            <w:pPr>
              <w:widowControl/>
              <w:jc w:val="center"/>
              <w:rPr>
                <w:rFonts w:hint="eastAsia"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val="en-US" w:eastAsia="zh-CN"/>
              </w:rPr>
              <w:t>22191.14</w:t>
            </w:r>
          </w:p>
        </w:tc>
        <w:tc>
          <w:tcPr>
            <w:tcW w:w="1985" w:type="dxa"/>
            <w:shd w:val="clear" w:color="auto" w:fill="auto"/>
            <w:noWrap/>
            <w:vAlign w:val="center"/>
          </w:tcPr>
          <w:p>
            <w:pPr>
              <w:widowControl/>
              <w:jc w:val="center"/>
              <w:rPr>
                <w:rFonts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val="en-US" w:eastAsia="zh-CN"/>
              </w:rPr>
              <w:t>453.32</w:t>
            </w:r>
          </w:p>
        </w:tc>
        <w:tc>
          <w:tcPr>
            <w:tcW w:w="1842" w:type="dxa"/>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21737.82</w:t>
            </w:r>
          </w:p>
        </w:tc>
        <w:tc>
          <w:tcPr>
            <w:tcW w:w="1843"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985"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3"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02" w:type="dxa"/>
            <w:shd w:val="clear" w:color="auto" w:fill="auto"/>
            <w:noWrap/>
            <w:vAlign w:val="center"/>
          </w:tcPr>
          <w:p>
            <w:pPr>
              <w:widowControl/>
              <w:jc w:val="lef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21012</w:t>
            </w:r>
          </w:p>
        </w:tc>
        <w:tc>
          <w:tcPr>
            <w:tcW w:w="1546" w:type="dxa"/>
            <w:shd w:val="clear" w:color="auto" w:fill="auto"/>
            <w:noWrap/>
            <w:vAlign w:val="center"/>
          </w:tcPr>
          <w:p>
            <w:pPr>
              <w:widowControl/>
              <w:jc w:val="lef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财政对基本医疗保险基金的补助</w:t>
            </w:r>
          </w:p>
        </w:tc>
        <w:tc>
          <w:tcPr>
            <w:tcW w:w="1478" w:type="dxa"/>
            <w:shd w:val="clear" w:color="auto" w:fill="auto"/>
            <w:noWrap/>
            <w:vAlign w:val="center"/>
          </w:tcPr>
          <w:p>
            <w:pPr>
              <w:widowControl/>
              <w:jc w:val="center"/>
              <w:rPr>
                <w:rFonts w:hint="eastAsia"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val="en-US" w:eastAsia="zh-CN"/>
              </w:rPr>
              <w:t>19861.2</w:t>
            </w:r>
          </w:p>
        </w:tc>
        <w:tc>
          <w:tcPr>
            <w:tcW w:w="1985" w:type="dxa"/>
            <w:shd w:val="clear" w:color="auto" w:fill="auto"/>
            <w:noWrap/>
            <w:vAlign w:val="center"/>
          </w:tcPr>
          <w:p>
            <w:pPr>
              <w:widowControl/>
              <w:jc w:val="center"/>
              <w:rPr>
                <w:rFonts w:ascii="Times New Roman" w:hAnsi="Times New Roman" w:eastAsia="仿宋_GB2312" w:cs="Times New Roman"/>
                <w:kern w:val="0"/>
                <w:sz w:val="21"/>
                <w:szCs w:val="21"/>
                <w:lang w:val="en-US" w:eastAsia="zh-CN" w:bidi="ar-SA"/>
              </w:rPr>
            </w:pPr>
          </w:p>
        </w:tc>
        <w:tc>
          <w:tcPr>
            <w:tcW w:w="1842" w:type="dxa"/>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19861.2</w:t>
            </w:r>
          </w:p>
        </w:tc>
        <w:tc>
          <w:tcPr>
            <w:tcW w:w="1843"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985"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3"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02" w:type="dxa"/>
            <w:shd w:val="clear" w:color="auto" w:fill="auto"/>
            <w:noWrap/>
            <w:vAlign w:val="center"/>
          </w:tcPr>
          <w:p>
            <w:pPr>
              <w:widowControl/>
              <w:jc w:val="lef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2101202</w:t>
            </w:r>
          </w:p>
        </w:tc>
        <w:tc>
          <w:tcPr>
            <w:tcW w:w="1546" w:type="dxa"/>
            <w:shd w:val="clear" w:color="auto" w:fill="auto"/>
            <w:noWrap/>
            <w:vAlign w:val="center"/>
          </w:tcPr>
          <w:p>
            <w:pPr>
              <w:widowControl/>
              <w:jc w:val="lef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财政对城乡居民基本医疗保险基金的补助</w:t>
            </w:r>
          </w:p>
        </w:tc>
        <w:tc>
          <w:tcPr>
            <w:tcW w:w="1478" w:type="dxa"/>
            <w:shd w:val="clear" w:color="auto" w:fill="auto"/>
            <w:noWrap/>
            <w:vAlign w:val="center"/>
          </w:tcPr>
          <w:p>
            <w:pPr>
              <w:widowControl/>
              <w:jc w:val="center"/>
              <w:rPr>
                <w:rFonts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val="en-US" w:eastAsia="zh-CN"/>
              </w:rPr>
              <w:t>19861.2</w:t>
            </w:r>
          </w:p>
        </w:tc>
        <w:tc>
          <w:tcPr>
            <w:tcW w:w="1985" w:type="dxa"/>
            <w:shd w:val="clear" w:color="auto" w:fill="auto"/>
            <w:noWrap/>
            <w:vAlign w:val="center"/>
          </w:tcPr>
          <w:p>
            <w:pPr>
              <w:widowControl/>
              <w:jc w:val="center"/>
              <w:rPr>
                <w:rFonts w:ascii="Times New Roman" w:hAnsi="Times New Roman" w:eastAsia="仿宋_GB2312" w:cs="Times New Roman"/>
                <w:kern w:val="0"/>
                <w:sz w:val="21"/>
                <w:szCs w:val="21"/>
                <w:lang w:val="en-US" w:eastAsia="zh-CN" w:bidi="ar-SA"/>
              </w:rPr>
            </w:pPr>
          </w:p>
        </w:tc>
        <w:tc>
          <w:tcPr>
            <w:tcW w:w="1842" w:type="dxa"/>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19861.2</w:t>
            </w:r>
          </w:p>
        </w:tc>
        <w:tc>
          <w:tcPr>
            <w:tcW w:w="1843"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985"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3"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02" w:type="dxa"/>
            <w:shd w:val="clear" w:color="auto" w:fill="auto"/>
            <w:noWrap/>
            <w:vAlign w:val="center"/>
          </w:tcPr>
          <w:p>
            <w:pPr>
              <w:widowControl/>
              <w:jc w:val="lef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21013</w:t>
            </w:r>
          </w:p>
        </w:tc>
        <w:tc>
          <w:tcPr>
            <w:tcW w:w="1546" w:type="dxa"/>
            <w:shd w:val="clear" w:color="auto" w:fill="auto"/>
            <w:noWrap/>
            <w:vAlign w:val="center"/>
          </w:tcPr>
          <w:p>
            <w:pPr>
              <w:widowControl/>
              <w:jc w:val="lef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医疗救助</w:t>
            </w:r>
          </w:p>
        </w:tc>
        <w:tc>
          <w:tcPr>
            <w:tcW w:w="1478" w:type="dxa"/>
            <w:shd w:val="clear" w:color="auto" w:fill="auto"/>
            <w:noWrap/>
            <w:vAlign w:val="center"/>
          </w:tcPr>
          <w:p>
            <w:pPr>
              <w:widowControl/>
              <w:jc w:val="center"/>
              <w:rPr>
                <w:rFonts w:hint="eastAsia"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val="en-US" w:eastAsia="zh-CN"/>
              </w:rPr>
              <w:t>1699.94</w:t>
            </w:r>
          </w:p>
        </w:tc>
        <w:tc>
          <w:tcPr>
            <w:tcW w:w="1985" w:type="dxa"/>
            <w:shd w:val="clear" w:color="auto" w:fill="auto"/>
            <w:noWrap/>
            <w:vAlign w:val="center"/>
          </w:tcPr>
          <w:p>
            <w:pPr>
              <w:widowControl/>
              <w:jc w:val="center"/>
              <w:rPr>
                <w:rFonts w:ascii="Times New Roman" w:hAnsi="Times New Roman" w:eastAsia="仿宋_GB2312" w:cs="Times New Roman"/>
                <w:kern w:val="0"/>
                <w:szCs w:val="21"/>
              </w:rPr>
            </w:pPr>
          </w:p>
        </w:tc>
        <w:tc>
          <w:tcPr>
            <w:tcW w:w="1842" w:type="dxa"/>
            <w:shd w:val="clear" w:color="auto" w:fill="auto"/>
            <w:noWrap/>
            <w:vAlign w:val="center"/>
          </w:tcPr>
          <w:p>
            <w:pPr>
              <w:widowControl/>
              <w:jc w:val="center"/>
              <w:rPr>
                <w:rFonts w:hint="eastAsia"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val="en-US" w:eastAsia="zh-CN"/>
              </w:rPr>
              <w:t>1699.94</w:t>
            </w:r>
          </w:p>
        </w:tc>
        <w:tc>
          <w:tcPr>
            <w:tcW w:w="1843" w:type="dxa"/>
            <w:shd w:val="clear" w:color="auto" w:fill="auto"/>
            <w:noWrap/>
            <w:vAlign w:val="center"/>
          </w:tcPr>
          <w:p>
            <w:pPr>
              <w:widowControl/>
              <w:jc w:val="right"/>
              <w:rPr>
                <w:rFonts w:ascii="Times New Roman" w:hAnsi="Times New Roman" w:eastAsia="仿宋_GB2312" w:cs="Times New Roman"/>
                <w:kern w:val="0"/>
                <w:szCs w:val="21"/>
              </w:rPr>
            </w:pPr>
          </w:p>
        </w:tc>
        <w:tc>
          <w:tcPr>
            <w:tcW w:w="1985" w:type="dxa"/>
            <w:shd w:val="clear" w:color="auto" w:fill="auto"/>
            <w:noWrap/>
            <w:vAlign w:val="center"/>
          </w:tcPr>
          <w:p>
            <w:pPr>
              <w:widowControl/>
              <w:jc w:val="right"/>
              <w:rPr>
                <w:rFonts w:ascii="Times New Roman" w:hAnsi="Times New Roman" w:eastAsia="仿宋_GB2312" w:cs="Times New Roman"/>
                <w:kern w:val="0"/>
                <w:szCs w:val="21"/>
              </w:rPr>
            </w:pPr>
          </w:p>
        </w:tc>
        <w:tc>
          <w:tcPr>
            <w:tcW w:w="2003" w:type="dxa"/>
            <w:shd w:val="clear" w:color="auto" w:fill="auto"/>
            <w:noWrap/>
            <w:vAlign w:val="center"/>
          </w:tcPr>
          <w:p>
            <w:pPr>
              <w:widowControl/>
              <w:jc w:val="righ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02" w:type="dxa"/>
            <w:shd w:val="clear" w:color="auto" w:fill="auto"/>
            <w:noWrap/>
            <w:vAlign w:val="center"/>
          </w:tcPr>
          <w:p>
            <w:pPr>
              <w:widowControl/>
              <w:jc w:val="lef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2101301</w:t>
            </w:r>
          </w:p>
        </w:tc>
        <w:tc>
          <w:tcPr>
            <w:tcW w:w="1546" w:type="dxa"/>
            <w:shd w:val="clear" w:color="auto" w:fill="auto"/>
            <w:noWrap/>
            <w:vAlign w:val="center"/>
          </w:tcPr>
          <w:p>
            <w:pPr>
              <w:widowControl/>
              <w:jc w:val="lef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城乡医疗救助</w:t>
            </w:r>
          </w:p>
        </w:tc>
        <w:tc>
          <w:tcPr>
            <w:tcW w:w="1478" w:type="dxa"/>
            <w:shd w:val="clear" w:color="auto" w:fill="auto"/>
            <w:noWrap/>
            <w:vAlign w:val="center"/>
          </w:tcPr>
          <w:p>
            <w:pPr>
              <w:widowControl/>
              <w:jc w:val="center"/>
              <w:rPr>
                <w:rFonts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val="en-US" w:eastAsia="zh-CN"/>
              </w:rPr>
              <w:t>1699.94</w:t>
            </w:r>
          </w:p>
        </w:tc>
        <w:tc>
          <w:tcPr>
            <w:tcW w:w="1985" w:type="dxa"/>
            <w:shd w:val="clear" w:color="auto" w:fill="auto"/>
            <w:noWrap/>
            <w:vAlign w:val="center"/>
          </w:tcPr>
          <w:p>
            <w:pPr>
              <w:widowControl/>
              <w:jc w:val="center"/>
              <w:rPr>
                <w:rFonts w:ascii="Times New Roman" w:hAnsi="Times New Roman" w:eastAsia="仿宋_GB2312" w:cs="Times New Roman"/>
                <w:kern w:val="0"/>
                <w:szCs w:val="21"/>
              </w:rPr>
            </w:pPr>
          </w:p>
        </w:tc>
        <w:tc>
          <w:tcPr>
            <w:tcW w:w="1842" w:type="dxa"/>
            <w:shd w:val="clear" w:color="auto" w:fill="auto"/>
            <w:noWrap/>
            <w:vAlign w:val="center"/>
          </w:tcPr>
          <w:p>
            <w:pPr>
              <w:widowControl/>
              <w:jc w:val="center"/>
              <w:rPr>
                <w:rFonts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val="en-US" w:eastAsia="zh-CN"/>
              </w:rPr>
              <w:t>1699.94</w:t>
            </w:r>
          </w:p>
        </w:tc>
        <w:tc>
          <w:tcPr>
            <w:tcW w:w="1843"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985"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3"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02" w:type="dxa"/>
            <w:shd w:val="clear" w:color="auto" w:fill="auto"/>
            <w:noWrap/>
            <w:vAlign w:val="center"/>
          </w:tcPr>
          <w:p>
            <w:pPr>
              <w:widowControl/>
              <w:jc w:val="lef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21015</w:t>
            </w:r>
          </w:p>
        </w:tc>
        <w:tc>
          <w:tcPr>
            <w:tcW w:w="1546" w:type="dxa"/>
            <w:shd w:val="clear" w:color="auto" w:fill="auto"/>
            <w:noWrap/>
            <w:vAlign w:val="center"/>
          </w:tcPr>
          <w:p>
            <w:pPr>
              <w:widowControl/>
              <w:jc w:val="lef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医疗保障管理实务</w:t>
            </w:r>
          </w:p>
        </w:tc>
        <w:tc>
          <w:tcPr>
            <w:tcW w:w="1478" w:type="dxa"/>
            <w:shd w:val="clear" w:color="auto" w:fill="auto"/>
            <w:noWrap/>
            <w:vAlign w:val="center"/>
          </w:tcPr>
          <w:p>
            <w:pPr>
              <w:widowControl/>
              <w:jc w:val="center"/>
              <w:rPr>
                <w:rFonts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val="en-US" w:eastAsia="zh-CN"/>
              </w:rPr>
              <w:t>630</w:t>
            </w:r>
          </w:p>
        </w:tc>
        <w:tc>
          <w:tcPr>
            <w:tcW w:w="1985" w:type="dxa"/>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453.32</w:t>
            </w:r>
          </w:p>
        </w:tc>
        <w:tc>
          <w:tcPr>
            <w:tcW w:w="1842" w:type="dxa"/>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176.68</w:t>
            </w:r>
          </w:p>
        </w:tc>
        <w:tc>
          <w:tcPr>
            <w:tcW w:w="1843"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985"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3"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02" w:type="dxa"/>
            <w:shd w:val="clear" w:color="auto" w:fill="auto"/>
            <w:noWrap/>
            <w:vAlign w:val="center"/>
          </w:tcPr>
          <w:p>
            <w:pPr>
              <w:widowControl/>
              <w:jc w:val="lef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2101501</w:t>
            </w:r>
          </w:p>
        </w:tc>
        <w:tc>
          <w:tcPr>
            <w:tcW w:w="1546" w:type="dxa"/>
            <w:shd w:val="clear" w:color="auto" w:fill="auto"/>
            <w:noWrap/>
            <w:vAlign w:val="center"/>
          </w:tcPr>
          <w:p>
            <w:pPr>
              <w:widowControl/>
              <w:jc w:val="lef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行政运行</w:t>
            </w:r>
          </w:p>
        </w:tc>
        <w:tc>
          <w:tcPr>
            <w:tcW w:w="1478" w:type="dxa"/>
            <w:shd w:val="clear" w:color="auto" w:fill="auto"/>
            <w:noWrap/>
            <w:vAlign w:val="center"/>
          </w:tcPr>
          <w:p>
            <w:pPr>
              <w:widowControl/>
              <w:jc w:val="center"/>
              <w:rPr>
                <w:rFonts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val="en-US" w:eastAsia="zh-CN"/>
              </w:rPr>
              <w:t>630</w:t>
            </w:r>
          </w:p>
        </w:tc>
        <w:tc>
          <w:tcPr>
            <w:tcW w:w="1985" w:type="dxa"/>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453.32</w:t>
            </w:r>
          </w:p>
        </w:tc>
        <w:tc>
          <w:tcPr>
            <w:tcW w:w="1842" w:type="dxa"/>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176.68</w:t>
            </w:r>
          </w:p>
        </w:tc>
        <w:tc>
          <w:tcPr>
            <w:tcW w:w="1843"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985"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3" w:type="dxa"/>
            <w:shd w:val="clear" w:color="auto" w:fill="auto"/>
            <w:noWrap/>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bl>
    <w:p>
      <w:pPr>
        <w:widowControl/>
        <w:ind w:firstLine="630" w:firstLineChars="300"/>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注：本表反映部门本年度各项支出情况。</w:t>
      </w:r>
    </w:p>
    <w:p>
      <w:pPr>
        <w:widowControl/>
        <w:jc w:val="left"/>
        <w:rPr>
          <w:rFonts w:ascii="Times New Roman" w:hAnsi="Times New Roman" w:eastAsia="仿宋_GB2312" w:cs="Times New Roman"/>
          <w:bCs/>
          <w:kern w:val="0"/>
          <w:szCs w:val="21"/>
        </w:rPr>
      </w:pPr>
      <w:r>
        <w:rPr>
          <w:rFonts w:ascii="Times New Roman" w:hAnsi="Times New Roman" w:eastAsia="仿宋_GB2312" w:cs="Times New Roman"/>
          <w:bCs/>
          <w:kern w:val="0"/>
          <w:szCs w:val="21"/>
        </w:rPr>
        <w:br w:type="page"/>
      </w:r>
    </w:p>
    <w:p>
      <w:pPr>
        <w:widowControl/>
        <w:ind w:left="93"/>
        <w:jc w:val="center"/>
        <w:rPr>
          <w:rFonts w:ascii="Times New Roman" w:hAnsi="Times New Roman" w:eastAsia="方正小标宋_GBK" w:cs="Times New Roman"/>
          <w:color w:val="000000"/>
          <w:kern w:val="0"/>
          <w:sz w:val="36"/>
          <w:szCs w:val="21"/>
        </w:rPr>
      </w:pPr>
      <w:r>
        <w:rPr>
          <w:rFonts w:ascii="Times New Roman" w:hAnsi="Times New Roman" w:eastAsia="方正小标宋_GBK" w:cs="Times New Roman"/>
          <w:color w:val="000000"/>
          <w:kern w:val="0"/>
          <w:sz w:val="36"/>
          <w:szCs w:val="21"/>
        </w:rPr>
        <w:t>财政拨款收入支出决算总表</w:t>
      </w:r>
    </w:p>
    <w:p>
      <w:pPr>
        <w:widowControl/>
        <w:tabs>
          <w:tab w:val="left" w:pos="4453"/>
          <w:tab w:val="left" w:pos="4933"/>
          <w:tab w:val="left" w:pos="6813"/>
          <w:tab w:val="left" w:pos="11113"/>
          <w:tab w:val="left" w:pos="11549"/>
          <w:tab w:val="left" w:pos="13429"/>
          <w:tab w:val="left" w:pos="15089"/>
        </w:tabs>
        <w:spacing w:line="240" w:lineRule="exact"/>
        <w:ind w:left="91" w:right="630"/>
        <w:jc w:val="right"/>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公开04表</w:t>
      </w:r>
    </w:p>
    <w:p>
      <w:pPr>
        <w:widowControl/>
        <w:tabs>
          <w:tab w:val="left" w:pos="13725"/>
          <w:tab w:val="left" w:pos="13755"/>
          <w:tab w:val="left" w:pos="13800"/>
        </w:tabs>
        <w:spacing w:line="240" w:lineRule="exact"/>
        <w:ind w:left="91" w:firstLine="315" w:firstLineChars="150"/>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ascii="Times New Roman" w:hAnsi="Times New Roman" w:eastAsia="仿宋_GB2312" w:cs="Times New Roman"/>
          <w:color w:val="000000"/>
          <w:kern w:val="0"/>
          <w:sz w:val="20"/>
          <w:szCs w:val="20"/>
        </w:rPr>
        <w:t xml:space="preserve"> </w:t>
      </w:r>
      <w:r>
        <w:rPr>
          <w:rFonts w:hint="eastAsia" w:ascii="Times New Roman" w:hAnsi="Times New Roman" w:eastAsia="仿宋_GB2312" w:cs="Times New Roman"/>
          <w:color w:val="000000"/>
          <w:kern w:val="0"/>
          <w:sz w:val="20"/>
          <w:szCs w:val="20"/>
          <w:lang w:val="en-US" w:eastAsia="zh-CN"/>
        </w:rPr>
        <w:t>新田县医疗保障局</w:t>
      </w:r>
      <w:r>
        <w:rPr>
          <w:rFonts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 w:val="20"/>
          <w:szCs w:val="20"/>
        </w:rPr>
        <w:t xml:space="preserve"> </w:t>
      </w:r>
      <w:r>
        <w:rPr>
          <w:rFonts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 w:val="20"/>
          <w:szCs w:val="20"/>
        </w:rPr>
        <w:t xml:space="preserve"> </w:t>
      </w:r>
      <w:r>
        <w:rPr>
          <w:rFonts w:ascii="Times New Roman" w:hAnsi="Times New Roman" w:eastAsia="仿宋_GB2312" w:cs="Times New Roman"/>
          <w:color w:val="000000"/>
          <w:kern w:val="0"/>
          <w:szCs w:val="21"/>
        </w:rPr>
        <w:tab/>
      </w:r>
      <w:r>
        <w:rPr>
          <w:rFonts w:ascii="Times New Roman" w:hAnsi="Times New Roman" w:eastAsia="仿宋_GB2312" w:cs="Times New Roman"/>
          <w:color w:val="000000"/>
          <w:kern w:val="0"/>
          <w:szCs w:val="21"/>
        </w:rPr>
        <w:t>单位：万元</w:t>
      </w:r>
    </w:p>
    <w:tbl>
      <w:tblPr>
        <w:tblStyle w:val="5"/>
        <w:tblW w:w="14657"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2994"/>
        <w:gridCol w:w="480"/>
        <w:gridCol w:w="1880"/>
        <w:gridCol w:w="3761"/>
        <w:gridCol w:w="430"/>
        <w:gridCol w:w="1880"/>
        <w:gridCol w:w="1660"/>
        <w:gridCol w:w="157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62" w:hRule="atLeast"/>
          <w:jc w:val="center"/>
        </w:trPr>
        <w:tc>
          <w:tcPr>
            <w:tcW w:w="5354" w:type="dxa"/>
            <w:gridSpan w:val="3"/>
            <w:shd w:val="clear" w:color="auto" w:fill="auto"/>
            <w:noWrap/>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收入</w:t>
            </w:r>
          </w:p>
        </w:tc>
        <w:tc>
          <w:tcPr>
            <w:tcW w:w="9303" w:type="dxa"/>
            <w:gridSpan w:val="5"/>
            <w:shd w:val="clear" w:color="auto" w:fill="auto"/>
            <w:noWrap/>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支出</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93" w:hRule="atLeast"/>
          <w:jc w:val="center"/>
        </w:trPr>
        <w:tc>
          <w:tcPr>
            <w:tcW w:w="2994" w:type="dxa"/>
            <w:shd w:val="clear" w:color="auto" w:fill="auto"/>
            <w:noWrap/>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    目</w:t>
            </w:r>
          </w:p>
        </w:tc>
        <w:tc>
          <w:tcPr>
            <w:tcW w:w="480" w:type="dxa"/>
            <w:shd w:val="clear" w:color="auto" w:fill="auto"/>
            <w:noWrap/>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行次</w:t>
            </w:r>
          </w:p>
        </w:tc>
        <w:tc>
          <w:tcPr>
            <w:tcW w:w="1880" w:type="dxa"/>
            <w:shd w:val="clear" w:color="auto" w:fill="auto"/>
            <w:noWrap/>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金额</w:t>
            </w:r>
          </w:p>
        </w:tc>
        <w:tc>
          <w:tcPr>
            <w:tcW w:w="3761" w:type="dxa"/>
            <w:shd w:val="clear" w:color="auto" w:fill="auto"/>
            <w:noWrap/>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    目</w:t>
            </w:r>
          </w:p>
        </w:tc>
        <w:tc>
          <w:tcPr>
            <w:tcW w:w="430" w:type="dxa"/>
            <w:shd w:val="clear" w:color="auto" w:fill="auto"/>
            <w:noWrap/>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行次</w:t>
            </w:r>
          </w:p>
        </w:tc>
        <w:tc>
          <w:tcPr>
            <w:tcW w:w="1880" w:type="dxa"/>
            <w:shd w:val="clear" w:color="auto" w:fill="auto"/>
            <w:noWrap/>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合计</w:t>
            </w:r>
          </w:p>
        </w:tc>
        <w:tc>
          <w:tcPr>
            <w:tcW w:w="1660" w:type="dxa"/>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一般公共预算财政拨款</w:t>
            </w:r>
          </w:p>
        </w:tc>
        <w:tc>
          <w:tcPr>
            <w:tcW w:w="1572" w:type="dxa"/>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政府性基金预算财政拨款</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    次</w:t>
            </w:r>
          </w:p>
        </w:tc>
        <w:tc>
          <w:tcPr>
            <w:tcW w:w="4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8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3761"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    次</w:t>
            </w:r>
          </w:p>
        </w:tc>
        <w:tc>
          <w:tcPr>
            <w:tcW w:w="43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8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66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572"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一、一般公共预算财政拨款</w:t>
            </w:r>
          </w:p>
        </w:tc>
        <w:tc>
          <w:tcPr>
            <w:tcW w:w="4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880" w:type="dxa"/>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22191.14</w:t>
            </w:r>
          </w:p>
        </w:tc>
        <w:tc>
          <w:tcPr>
            <w:tcW w:w="3761" w:type="dxa"/>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一、一般公共服务支出</w:t>
            </w:r>
          </w:p>
        </w:tc>
        <w:tc>
          <w:tcPr>
            <w:tcW w:w="43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15</w:t>
            </w:r>
          </w:p>
        </w:tc>
        <w:tc>
          <w:tcPr>
            <w:tcW w:w="1880" w:type="dxa"/>
            <w:shd w:val="clear" w:color="auto" w:fill="auto"/>
            <w:noWrap/>
            <w:vAlign w:val="center"/>
          </w:tcPr>
          <w:p>
            <w:pPr>
              <w:widowControl/>
              <w:jc w:val="center"/>
              <w:rPr>
                <w:rFonts w:ascii="Times New Roman" w:hAnsi="Times New Roman" w:eastAsia="仿宋_GB2312" w:cs="Times New Roman"/>
                <w:kern w:val="0"/>
                <w:szCs w:val="21"/>
              </w:rPr>
            </w:pPr>
          </w:p>
        </w:tc>
        <w:tc>
          <w:tcPr>
            <w:tcW w:w="1660" w:type="dxa"/>
            <w:shd w:val="clear" w:color="auto" w:fill="auto"/>
            <w:noWrap/>
            <w:vAlign w:val="center"/>
          </w:tcPr>
          <w:p>
            <w:pPr>
              <w:widowControl/>
              <w:jc w:val="center"/>
              <w:rPr>
                <w:rFonts w:ascii="Times New Roman" w:hAnsi="Times New Roman" w:eastAsia="仿宋_GB2312" w:cs="Times New Roman"/>
                <w:kern w:val="0"/>
                <w:szCs w:val="21"/>
              </w:rPr>
            </w:pPr>
          </w:p>
        </w:tc>
        <w:tc>
          <w:tcPr>
            <w:tcW w:w="1572" w:type="dxa"/>
            <w:shd w:val="clear" w:color="auto" w:fill="auto"/>
            <w:noWrap/>
            <w:vAlign w:val="center"/>
          </w:tcPr>
          <w:p>
            <w:pPr>
              <w:widowControl/>
              <w:jc w:val="center"/>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二、政府性基金预算财政拨款</w:t>
            </w:r>
          </w:p>
        </w:tc>
        <w:tc>
          <w:tcPr>
            <w:tcW w:w="4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880" w:type="dxa"/>
            <w:shd w:val="clear" w:color="auto" w:fill="auto"/>
            <w:noWrap/>
            <w:vAlign w:val="center"/>
          </w:tcPr>
          <w:p>
            <w:pPr>
              <w:widowControl/>
              <w:jc w:val="center"/>
              <w:rPr>
                <w:rFonts w:ascii="Times New Roman" w:hAnsi="Times New Roman" w:eastAsia="仿宋_GB2312" w:cs="Times New Roman"/>
                <w:kern w:val="0"/>
                <w:szCs w:val="21"/>
              </w:rPr>
            </w:pPr>
          </w:p>
        </w:tc>
        <w:tc>
          <w:tcPr>
            <w:tcW w:w="3761" w:type="dxa"/>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二、外交支出</w:t>
            </w:r>
          </w:p>
        </w:tc>
        <w:tc>
          <w:tcPr>
            <w:tcW w:w="43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16</w:t>
            </w:r>
          </w:p>
        </w:tc>
        <w:tc>
          <w:tcPr>
            <w:tcW w:w="1880" w:type="dxa"/>
            <w:shd w:val="clear" w:color="auto" w:fill="auto"/>
            <w:noWrap/>
            <w:vAlign w:val="center"/>
          </w:tcPr>
          <w:p>
            <w:pPr>
              <w:widowControl/>
              <w:jc w:val="center"/>
              <w:rPr>
                <w:rFonts w:ascii="Times New Roman" w:hAnsi="Times New Roman" w:eastAsia="仿宋_GB2312" w:cs="Times New Roman"/>
                <w:kern w:val="0"/>
                <w:szCs w:val="21"/>
              </w:rPr>
            </w:pPr>
          </w:p>
        </w:tc>
        <w:tc>
          <w:tcPr>
            <w:tcW w:w="1660" w:type="dxa"/>
            <w:shd w:val="clear" w:color="auto" w:fill="auto"/>
            <w:noWrap/>
            <w:vAlign w:val="center"/>
          </w:tcPr>
          <w:p>
            <w:pPr>
              <w:widowControl/>
              <w:jc w:val="center"/>
              <w:rPr>
                <w:rFonts w:ascii="Times New Roman" w:hAnsi="Times New Roman" w:eastAsia="仿宋_GB2312" w:cs="Times New Roman"/>
                <w:kern w:val="0"/>
                <w:szCs w:val="21"/>
              </w:rPr>
            </w:pPr>
          </w:p>
        </w:tc>
        <w:tc>
          <w:tcPr>
            <w:tcW w:w="1572" w:type="dxa"/>
            <w:shd w:val="clear" w:color="auto" w:fill="auto"/>
            <w:noWrap/>
            <w:vAlign w:val="center"/>
          </w:tcPr>
          <w:p>
            <w:pPr>
              <w:widowControl/>
              <w:jc w:val="center"/>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4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880" w:type="dxa"/>
            <w:shd w:val="clear" w:color="auto" w:fill="auto"/>
            <w:noWrap/>
            <w:vAlign w:val="center"/>
          </w:tcPr>
          <w:p>
            <w:pPr>
              <w:widowControl/>
              <w:jc w:val="center"/>
              <w:rPr>
                <w:rFonts w:ascii="Times New Roman" w:hAnsi="Times New Roman" w:eastAsia="仿宋_GB2312" w:cs="Times New Roman"/>
                <w:kern w:val="0"/>
                <w:szCs w:val="21"/>
              </w:rPr>
            </w:pPr>
          </w:p>
        </w:tc>
        <w:tc>
          <w:tcPr>
            <w:tcW w:w="3761" w:type="dxa"/>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三、国防支出</w:t>
            </w:r>
          </w:p>
        </w:tc>
        <w:tc>
          <w:tcPr>
            <w:tcW w:w="43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17</w:t>
            </w:r>
          </w:p>
        </w:tc>
        <w:tc>
          <w:tcPr>
            <w:tcW w:w="1880" w:type="dxa"/>
            <w:shd w:val="clear" w:color="auto" w:fill="auto"/>
            <w:noWrap/>
            <w:vAlign w:val="center"/>
          </w:tcPr>
          <w:p>
            <w:pPr>
              <w:widowControl/>
              <w:jc w:val="center"/>
              <w:rPr>
                <w:rFonts w:ascii="Times New Roman" w:hAnsi="Times New Roman" w:eastAsia="仿宋_GB2312" w:cs="Times New Roman"/>
                <w:kern w:val="0"/>
                <w:szCs w:val="21"/>
              </w:rPr>
            </w:pPr>
          </w:p>
        </w:tc>
        <w:tc>
          <w:tcPr>
            <w:tcW w:w="1660" w:type="dxa"/>
            <w:shd w:val="clear" w:color="auto" w:fill="auto"/>
            <w:noWrap/>
            <w:vAlign w:val="center"/>
          </w:tcPr>
          <w:p>
            <w:pPr>
              <w:widowControl/>
              <w:jc w:val="center"/>
              <w:rPr>
                <w:rFonts w:ascii="Times New Roman" w:hAnsi="Times New Roman" w:eastAsia="仿宋_GB2312" w:cs="Times New Roman"/>
                <w:kern w:val="0"/>
                <w:szCs w:val="21"/>
              </w:rPr>
            </w:pPr>
          </w:p>
        </w:tc>
        <w:tc>
          <w:tcPr>
            <w:tcW w:w="1572" w:type="dxa"/>
            <w:shd w:val="clear" w:color="auto" w:fill="auto"/>
            <w:noWrap/>
            <w:vAlign w:val="center"/>
          </w:tcPr>
          <w:p>
            <w:pPr>
              <w:widowControl/>
              <w:jc w:val="center"/>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4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1880" w:type="dxa"/>
            <w:shd w:val="clear" w:color="auto" w:fill="auto"/>
            <w:noWrap/>
            <w:vAlign w:val="center"/>
          </w:tcPr>
          <w:p>
            <w:pPr>
              <w:widowControl/>
              <w:jc w:val="center"/>
              <w:rPr>
                <w:rFonts w:ascii="Times New Roman" w:hAnsi="Times New Roman" w:eastAsia="仿宋_GB2312" w:cs="Times New Roman"/>
                <w:kern w:val="0"/>
                <w:szCs w:val="21"/>
              </w:rPr>
            </w:pPr>
          </w:p>
        </w:tc>
        <w:tc>
          <w:tcPr>
            <w:tcW w:w="3761" w:type="dxa"/>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四、公共安全支出</w:t>
            </w:r>
          </w:p>
        </w:tc>
        <w:tc>
          <w:tcPr>
            <w:tcW w:w="43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18</w:t>
            </w:r>
          </w:p>
        </w:tc>
        <w:tc>
          <w:tcPr>
            <w:tcW w:w="1880" w:type="dxa"/>
            <w:shd w:val="clear" w:color="auto" w:fill="auto"/>
            <w:noWrap/>
            <w:vAlign w:val="center"/>
          </w:tcPr>
          <w:p>
            <w:pPr>
              <w:widowControl/>
              <w:jc w:val="center"/>
              <w:rPr>
                <w:rFonts w:ascii="Times New Roman" w:hAnsi="Times New Roman" w:eastAsia="仿宋_GB2312" w:cs="Times New Roman"/>
                <w:kern w:val="0"/>
                <w:szCs w:val="21"/>
              </w:rPr>
            </w:pPr>
          </w:p>
        </w:tc>
        <w:tc>
          <w:tcPr>
            <w:tcW w:w="1660" w:type="dxa"/>
            <w:shd w:val="clear" w:color="auto" w:fill="auto"/>
            <w:noWrap/>
            <w:vAlign w:val="center"/>
          </w:tcPr>
          <w:p>
            <w:pPr>
              <w:widowControl/>
              <w:jc w:val="center"/>
              <w:rPr>
                <w:rFonts w:ascii="Times New Roman" w:hAnsi="Times New Roman" w:eastAsia="仿宋_GB2312" w:cs="Times New Roman"/>
                <w:kern w:val="0"/>
                <w:szCs w:val="21"/>
              </w:rPr>
            </w:pPr>
          </w:p>
        </w:tc>
        <w:tc>
          <w:tcPr>
            <w:tcW w:w="1572" w:type="dxa"/>
            <w:shd w:val="clear" w:color="auto" w:fill="auto"/>
            <w:noWrap/>
            <w:vAlign w:val="center"/>
          </w:tcPr>
          <w:p>
            <w:pPr>
              <w:widowControl/>
              <w:jc w:val="center"/>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4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1880" w:type="dxa"/>
            <w:shd w:val="clear" w:color="auto" w:fill="auto"/>
            <w:noWrap/>
            <w:vAlign w:val="center"/>
          </w:tcPr>
          <w:p>
            <w:pPr>
              <w:widowControl/>
              <w:jc w:val="center"/>
              <w:rPr>
                <w:rFonts w:ascii="Times New Roman" w:hAnsi="Times New Roman" w:eastAsia="仿宋_GB2312" w:cs="Times New Roman"/>
                <w:kern w:val="0"/>
                <w:szCs w:val="21"/>
              </w:rPr>
            </w:pPr>
          </w:p>
        </w:tc>
        <w:tc>
          <w:tcPr>
            <w:tcW w:w="3761" w:type="dxa"/>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五、教育支出</w:t>
            </w:r>
          </w:p>
        </w:tc>
        <w:tc>
          <w:tcPr>
            <w:tcW w:w="43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19</w:t>
            </w:r>
          </w:p>
        </w:tc>
        <w:tc>
          <w:tcPr>
            <w:tcW w:w="1880" w:type="dxa"/>
            <w:shd w:val="clear" w:color="auto" w:fill="auto"/>
            <w:noWrap/>
            <w:vAlign w:val="center"/>
          </w:tcPr>
          <w:p>
            <w:pPr>
              <w:widowControl/>
              <w:jc w:val="center"/>
              <w:rPr>
                <w:rFonts w:ascii="Times New Roman" w:hAnsi="Times New Roman" w:eastAsia="仿宋_GB2312" w:cs="Times New Roman"/>
                <w:kern w:val="0"/>
                <w:szCs w:val="21"/>
              </w:rPr>
            </w:pPr>
          </w:p>
        </w:tc>
        <w:tc>
          <w:tcPr>
            <w:tcW w:w="1660" w:type="dxa"/>
            <w:shd w:val="clear" w:color="auto" w:fill="auto"/>
            <w:noWrap/>
            <w:vAlign w:val="center"/>
          </w:tcPr>
          <w:p>
            <w:pPr>
              <w:widowControl/>
              <w:jc w:val="center"/>
              <w:rPr>
                <w:rFonts w:ascii="Times New Roman" w:hAnsi="Times New Roman" w:eastAsia="仿宋_GB2312" w:cs="Times New Roman"/>
                <w:kern w:val="0"/>
                <w:szCs w:val="21"/>
              </w:rPr>
            </w:pPr>
          </w:p>
        </w:tc>
        <w:tc>
          <w:tcPr>
            <w:tcW w:w="1572" w:type="dxa"/>
            <w:shd w:val="clear" w:color="auto" w:fill="auto"/>
            <w:noWrap/>
            <w:vAlign w:val="center"/>
          </w:tcPr>
          <w:p>
            <w:pPr>
              <w:widowControl/>
              <w:jc w:val="center"/>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4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c>
          <w:tcPr>
            <w:tcW w:w="1880" w:type="dxa"/>
            <w:shd w:val="clear" w:color="auto" w:fill="auto"/>
            <w:noWrap/>
            <w:vAlign w:val="center"/>
          </w:tcPr>
          <w:p>
            <w:pPr>
              <w:widowControl/>
              <w:jc w:val="center"/>
              <w:rPr>
                <w:rFonts w:ascii="Times New Roman" w:hAnsi="Times New Roman" w:eastAsia="仿宋_GB2312" w:cs="Times New Roman"/>
                <w:kern w:val="0"/>
                <w:szCs w:val="21"/>
              </w:rPr>
            </w:pPr>
          </w:p>
        </w:tc>
        <w:tc>
          <w:tcPr>
            <w:tcW w:w="3761" w:type="dxa"/>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六、科学技术支出</w:t>
            </w:r>
          </w:p>
        </w:tc>
        <w:tc>
          <w:tcPr>
            <w:tcW w:w="43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20</w:t>
            </w:r>
          </w:p>
        </w:tc>
        <w:tc>
          <w:tcPr>
            <w:tcW w:w="1880" w:type="dxa"/>
            <w:shd w:val="clear" w:color="auto" w:fill="auto"/>
            <w:noWrap/>
            <w:vAlign w:val="center"/>
          </w:tcPr>
          <w:p>
            <w:pPr>
              <w:widowControl/>
              <w:jc w:val="center"/>
              <w:rPr>
                <w:rFonts w:ascii="Times New Roman" w:hAnsi="Times New Roman" w:eastAsia="仿宋_GB2312" w:cs="Times New Roman"/>
                <w:kern w:val="0"/>
                <w:szCs w:val="21"/>
              </w:rPr>
            </w:pPr>
          </w:p>
        </w:tc>
        <w:tc>
          <w:tcPr>
            <w:tcW w:w="1660" w:type="dxa"/>
            <w:shd w:val="clear" w:color="auto" w:fill="auto"/>
            <w:noWrap/>
            <w:vAlign w:val="center"/>
          </w:tcPr>
          <w:p>
            <w:pPr>
              <w:widowControl/>
              <w:jc w:val="center"/>
              <w:rPr>
                <w:rFonts w:ascii="Times New Roman" w:hAnsi="Times New Roman" w:eastAsia="仿宋_GB2312" w:cs="Times New Roman"/>
                <w:kern w:val="0"/>
                <w:szCs w:val="21"/>
              </w:rPr>
            </w:pPr>
          </w:p>
        </w:tc>
        <w:tc>
          <w:tcPr>
            <w:tcW w:w="1572" w:type="dxa"/>
            <w:shd w:val="clear" w:color="auto" w:fill="auto"/>
            <w:noWrap/>
            <w:vAlign w:val="center"/>
          </w:tcPr>
          <w:p>
            <w:pPr>
              <w:widowControl/>
              <w:jc w:val="center"/>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4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w:t>
            </w:r>
          </w:p>
        </w:tc>
        <w:tc>
          <w:tcPr>
            <w:tcW w:w="1880" w:type="dxa"/>
            <w:shd w:val="clear" w:color="auto" w:fill="auto"/>
            <w:noWrap/>
            <w:vAlign w:val="center"/>
          </w:tcPr>
          <w:p>
            <w:pPr>
              <w:widowControl/>
              <w:jc w:val="center"/>
              <w:rPr>
                <w:rFonts w:ascii="Times New Roman" w:hAnsi="Times New Roman" w:eastAsia="仿宋_GB2312" w:cs="Times New Roman"/>
                <w:kern w:val="0"/>
                <w:szCs w:val="21"/>
              </w:rPr>
            </w:pPr>
          </w:p>
        </w:tc>
        <w:tc>
          <w:tcPr>
            <w:tcW w:w="3761" w:type="dxa"/>
            <w:shd w:val="clear" w:color="auto" w:fill="auto"/>
            <w:noWrap/>
            <w:vAlign w:val="center"/>
          </w:tcPr>
          <w:p>
            <w:pPr>
              <w:widowControl/>
              <w:jc w:val="lef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rPr>
              <w:t>七、</w:t>
            </w:r>
            <w:r>
              <w:rPr>
                <w:rFonts w:hint="eastAsia" w:ascii="Times New Roman" w:hAnsi="Times New Roman" w:eastAsia="仿宋_GB2312" w:cs="Times New Roman"/>
                <w:kern w:val="0"/>
                <w:szCs w:val="21"/>
                <w:lang w:val="en-US" w:eastAsia="zh-CN"/>
              </w:rPr>
              <w:t>卫生健康支出</w:t>
            </w:r>
          </w:p>
        </w:tc>
        <w:tc>
          <w:tcPr>
            <w:tcW w:w="43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21</w:t>
            </w:r>
          </w:p>
        </w:tc>
        <w:tc>
          <w:tcPr>
            <w:tcW w:w="1880" w:type="dxa"/>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22191.14</w:t>
            </w:r>
          </w:p>
        </w:tc>
        <w:tc>
          <w:tcPr>
            <w:tcW w:w="1660" w:type="dxa"/>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22191.14</w:t>
            </w:r>
          </w:p>
        </w:tc>
        <w:tc>
          <w:tcPr>
            <w:tcW w:w="1572" w:type="dxa"/>
            <w:shd w:val="clear" w:color="auto" w:fill="auto"/>
            <w:noWrap/>
            <w:vAlign w:val="center"/>
          </w:tcPr>
          <w:p>
            <w:pPr>
              <w:widowControl/>
              <w:jc w:val="center"/>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4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8</w:t>
            </w:r>
          </w:p>
        </w:tc>
        <w:tc>
          <w:tcPr>
            <w:tcW w:w="1880" w:type="dxa"/>
            <w:shd w:val="clear" w:color="auto" w:fill="auto"/>
            <w:noWrap/>
            <w:vAlign w:val="center"/>
          </w:tcPr>
          <w:p>
            <w:pPr>
              <w:widowControl/>
              <w:jc w:val="center"/>
              <w:rPr>
                <w:rFonts w:ascii="Times New Roman" w:hAnsi="Times New Roman" w:eastAsia="仿宋_GB2312" w:cs="Times New Roman"/>
                <w:kern w:val="0"/>
                <w:szCs w:val="21"/>
              </w:rPr>
            </w:pPr>
          </w:p>
        </w:tc>
        <w:tc>
          <w:tcPr>
            <w:tcW w:w="3761" w:type="dxa"/>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43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22</w:t>
            </w:r>
          </w:p>
        </w:tc>
        <w:tc>
          <w:tcPr>
            <w:tcW w:w="1880" w:type="dxa"/>
            <w:shd w:val="clear" w:color="auto" w:fill="auto"/>
            <w:noWrap/>
            <w:vAlign w:val="center"/>
          </w:tcPr>
          <w:p>
            <w:pPr>
              <w:widowControl/>
              <w:jc w:val="center"/>
              <w:rPr>
                <w:rFonts w:ascii="Times New Roman" w:hAnsi="Times New Roman" w:eastAsia="仿宋_GB2312" w:cs="Times New Roman"/>
                <w:kern w:val="0"/>
                <w:szCs w:val="21"/>
              </w:rPr>
            </w:pPr>
          </w:p>
        </w:tc>
        <w:tc>
          <w:tcPr>
            <w:tcW w:w="1660" w:type="dxa"/>
            <w:shd w:val="clear" w:color="auto" w:fill="auto"/>
            <w:noWrap/>
            <w:vAlign w:val="center"/>
          </w:tcPr>
          <w:p>
            <w:pPr>
              <w:widowControl/>
              <w:jc w:val="center"/>
              <w:rPr>
                <w:rFonts w:ascii="Times New Roman" w:hAnsi="Times New Roman" w:eastAsia="仿宋_GB2312" w:cs="Times New Roman"/>
                <w:kern w:val="0"/>
                <w:szCs w:val="21"/>
              </w:rPr>
            </w:pPr>
          </w:p>
        </w:tc>
        <w:tc>
          <w:tcPr>
            <w:tcW w:w="1572" w:type="dxa"/>
            <w:shd w:val="clear" w:color="auto" w:fill="auto"/>
            <w:noWrap/>
            <w:vAlign w:val="center"/>
          </w:tcPr>
          <w:p>
            <w:pPr>
              <w:widowControl/>
              <w:jc w:val="center"/>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shd w:val="clear" w:color="auto" w:fill="auto"/>
            <w:noWrap/>
            <w:vAlign w:val="center"/>
          </w:tcPr>
          <w:p>
            <w:pPr>
              <w:widowControl/>
              <w:jc w:val="center"/>
              <w:rPr>
                <w:rFonts w:ascii="Times New Roman" w:hAnsi="Times New Roman" w:eastAsia="仿宋_GB2312" w:cs="Times New Roman"/>
                <w:b/>
                <w:bCs/>
                <w:kern w:val="0"/>
                <w:szCs w:val="21"/>
              </w:rPr>
            </w:pPr>
            <w:r>
              <w:rPr>
                <w:rFonts w:ascii="Times New Roman" w:hAnsi="Times New Roman" w:eastAsia="仿宋_GB2312" w:cs="Times New Roman"/>
                <w:b/>
                <w:bCs/>
                <w:kern w:val="0"/>
                <w:szCs w:val="21"/>
              </w:rPr>
              <w:t>本年收入合计</w:t>
            </w:r>
          </w:p>
        </w:tc>
        <w:tc>
          <w:tcPr>
            <w:tcW w:w="4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9</w:t>
            </w:r>
          </w:p>
        </w:tc>
        <w:tc>
          <w:tcPr>
            <w:tcW w:w="1880" w:type="dxa"/>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22191.14</w:t>
            </w:r>
          </w:p>
        </w:tc>
        <w:tc>
          <w:tcPr>
            <w:tcW w:w="3761" w:type="dxa"/>
            <w:shd w:val="clear" w:color="auto" w:fill="auto"/>
            <w:noWrap/>
            <w:vAlign w:val="center"/>
          </w:tcPr>
          <w:p>
            <w:pPr>
              <w:widowControl/>
              <w:jc w:val="center"/>
              <w:rPr>
                <w:rFonts w:ascii="Times New Roman" w:hAnsi="Times New Roman" w:eastAsia="仿宋_GB2312" w:cs="Times New Roman"/>
                <w:b/>
                <w:bCs/>
                <w:kern w:val="0"/>
                <w:szCs w:val="21"/>
              </w:rPr>
            </w:pPr>
            <w:r>
              <w:rPr>
                <w:rFonts w:ascii="Times New Roman" w:hAnsi="Times New Roman" w:eastAsia="仿宋_GB2312" w:cs="Times New Roman"/>
                <w:b/>
                <w:bCs/>
                <w:kern w:val="0"/>
                <w:szCs w:val="21"/>
              </w:rPr>
              <w:t>本年支出合计</w:t>
            </w:r>
          </w:p>
        </w:tc>
        <w:tc>
          <w:tcPr>
            <w:tcW w:w="43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23</w:t>
            </w:r>
          </w:p>
        </w:tc>
        <w:tc>
          <w:tcPr>
            <w:tcW w:w="1880" w:type="dxa"/>
            <w:shd w:val="clear" w:color="auto" w:fill="auto"/>
            <w:noWrap/>
            <w:vAlign w:val="center"/>
          </w:tcPr>
          <w:p>
            <w:pPr>
              <w:widowControl/>
              <w:jc w:val="center"/>
              <w:rPr>
                <w:rFonts w:ascii="Times New Roman" w:hAnsi="Times New Roman" w:eastAsia="仿宋_GB2312" w:cs="Times New Roman"/>
                <w:color w:val="auto"/>
                <w:kern w:val="0"/>
                <w:sz w:val="21"/>
                <w:szCs w:val="21"/>
                <w:lang w:val="en-US" w:eastAsia="zh-CN" w:bidi="ar-SA"/>
              </w:rPr>
            </w:pPr>
            <w:r>
              <w:rPr>
                <w:rFonts w:hint="eastAsia" w:ascii="Times New Roman" w:hAnsi="Times New Roman" w:eastAsia="仿宋_GB2312" w:cs="Times New Roman"/>
                <w:color w:val="auto"/>
                <w:kern w:val="0"/>
                <w:szCs w:val="21"/>
                <w:lang w:val="en-US" w:eastAsia="zh-CN"/>
              </w:rPr>
              <w:t>22191.14</w:t>
            </w:r>
          </w:p>
        </w:tc>
        <w:tc>
          <w:tcPr>
            <w:tcW w:w="1660" w:type="dxa"/>
            <w:shd w:val="clear" w:color="auto" w:fill="auto"/>
            <w:noWrap/>
            <w:vAlign w:val="center"/>
          </w:tcPr>
          <w:p>
            <w:pPr>
              <w:widowControl/>
              <w:jc w:val="center"/>
              <w:rPr>
                <w:rFonts w:ascii="Times New Roman" w:hAnsi="Times New Roman" w:eastAsia="仿宋_GB2312" w:cs="Times New Roman"/>
                <w:color w:val="auto"/>
                <w:kern w:val="0"/>
                <w:sz w:val="21"/>
                <w:szCs w:val="21"/>
                <w:lang w:val="en-US" w:eastAsia="zh-CN" w:bidi="ar-SA"/>
              </w:rPr>
            </w:pPr>
            <w:r>
              <w:rPr>
                <w:rFonts w:hint="eastAsia" w:ascii="Times New Roman" w:hAnsi="Times New Roman" w:eastAsia="仿宋_GB2312" w:cs="Times New Roman"/>
                <w:color w:val="auto"/>
                <w:kern w:val="0"/>
                <w:szCs w:val="21"/>
                <w:lang w:val="en-US" w:eastAsia="zh-CN"/>
              </w:rPr>
              <w:t>22191.14</w:t>
            </w:r>
          </w:p>
        </w:tc>
        <w:tc>
          <w:tcPr>
            <w:tcW w:w="1572" w:type="dxa"/>
            <w:shd w:val="clear" w:color="auto" w:fill="auto"/>
            <w:noWrap/>
            <w:vAlign w:val="center"/>
          </w:tcPr>
          <w:p>
            <w:pPr>
              <w:widowControl/>
              <w:jc w:val="center"/>
              <w:rPr>
                <w:rFonts w:ascii="Times New Roman" w:hAnsi="Times New Roman" w:eastAsia="仿宋_GB2312" w:cs="Times New Roman"/>
                <w:b/>
                <w:bCs/>
                <w:color w:val="auto"/>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年初财政拨款结转和结余</w:t>
            </w:r>
          </w:p>
        </w:tc>
        <w:tc>
          <w:tcPr>
            <w:tcW w:w="4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w:t>
            </w:r>
          </w:p>
        </w:tc>
        <w:tc>
          <w:tcPr>
            <w:tcW w:w="1880" w:type="dxa"/>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27.66</w:t>
            </w:r>
          </w:p>
        </w:tc>
        <w:tc>
          <w:tcPr>
            <w:tcW w:w="3761"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年末财政拨款结转和结余</w:t>
            </w:r>
          </w:p>
        </w:tc>
        <w:tc>
          <w:tcPr>
            <w:tcW w:w="43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24</w:t>
            </w:r>
          </w:p>
        </w:tc>
        <w:tc>
          <w:tcPr>
            <w:tcW w:w="1880" w:type="dxa"/>
            <w:shd w:val="clear" w:color="auto" w:fill="auto"/>
            <w:noWrap/>
            <w:vAlign w:val="center"/>
          </w:tcPr>
          <w:p>
            <w:pPr>
              <w:widowControl/>
              <w:jc w:val="center"/>
              <w:rPr>
                <w:rFonts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val="en-US" w:eastAsia="zh-CN"/>
              </w:rPr>
              <w:t>27.66</w:t>
            </w:r>
          </w:p>
        </w:tc>
        <w:tc>
          <w:tcPr>
            <w:tcW w:w="1660" w:type="dxa"/>
            <w:shd w:val="clear" w:color="auto" w:fill="auto"/>
            <w:noWrap/>
            <w:vAlign w:val="center"/>
          </w:tcPr>
          <w:p>
            <w:pPr>
              <w:widowControl/>
              <w:jc w:val="center"/>
              <w:rPr>
                <w:rFonts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val="en-US" w:eastAsia="zh-CN"/>
              </w:rPr>
              <w:t>27.66</w:t>
            </w:r>
          </w:p>
        </w:tc>
        <w:tc>
          <w:tcPr>
            <w:tcW w:w="1572" w:type="dxa"/>
            <w:shd w:val="clear" w:color="auto" w:fill="auto"/>
            <w:noWrap/>
            <w:vAlign w:val="center"/>
          </w:tcPr>
          <w:p>
            <w:pPr>
              <w:widowControl/>
              <w:jc w:val="center"/>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一、</w:t>
            </w:r>
            <w:r>
              <w:rPr>
                <w:rFonts w:ascii="Times New Roman" w:hAnsi="Times New Roman" w:eastAsia="仿宋_GB2312" w:cs="Times New Roman"/>
                <w:kern w:val="0"/>
                <w:szCs w:val="21"/>
              </w:rPr>
              <w:t>一般公共预算财政拨款</w:t>
            </w:r>
          </w:p>
        </w:tc>
        <w:tc>
          <w:tcPr>
            <w:tcW w:w="4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11</w:t>
            </w:r>
          </w:p>
        </w:tc>
        <w:tc>
          <w:tcPr>
            <w:tcW w:w="1880" w:type="dxa"/>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27.66</w:t>
            </w:r>
          </w:p>
        </w:tc>
        <w:tc>
          <w:tcPr>
            <w:tcW w:w="3761" w:type="dxa"/>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43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25</w:t>
            </w:r>
          </w:p>
        </w:tc>
        <w:tc>
          <w:tcPr>
            <w:tcW w:w="1880" w:type="dxa"/>
            <w:shd w:val="clear" w:color="auto" w:fill="auto"/>
            <w:noWrap/>
            <w:vAlign w:val="center"/>
          </w:tcPr>
          <w:p>
            <w:pPr>
              <w:widowControl/>
              <w:jc w:val="center"/>
              <w:rPr>
                <w:rFonts w:ascii="Times New Roman" w:hAnsi="Times New Roman" w:eastAsia="仿宋_GB2312" w:cs="Times New Roman"/>
                <w:kern w:val="0"/>
                <w:szCs w:val="21"/>
              </w:rPr>
            </w:pPr>
          </w:p>
        </w:tc>
        <w:tc>
          <w:tcPr>
            <w:tcW w:w="1660" w:type="dxa"/>
            <w:shd w:val="clear" w:color="auto" w:fill="auto"/>
            <w:noWrap/>
            <w:vAlign w:val="center"/>
          </w:tcPr>
          <w:p>
            <w:pPr>
              <w:widowControl/>
              <w:jc w:val="center"/>
              <w:rPr>
                <w:rFonts w:ascii="Times New Roman" w:hAnsi="Times New Roman" w:eastAsia="仿宋_GB2312" w:cs="Times New Roman"/>
                <w:kern w:val="0"/>
                <w:szCs w:val="21"/>
              </w:rPr>
            </w:pPr>
          </w:p>
        </w:tc>
        <w:tc>
          <w:tcPr>
            <w:tcW w:w="1572" w:type="dxa"/>
            <w:shd w:val="clear" w:color="auto" w:fill="auto"/>
            <w:noWrap/>
            <w:vAlign w:val="center"/>
          </w:tcPr>
          <w:p>
            <w:pPr>
              <w:widowControl/>
              <w:jc w:val="center"/>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二、</w:t>
            </w:r>
            <w:r>
              <w:rPr>
                <w:rFonts w:ascii="Times New Roman" w:hAnsi="Times New Roman" w:eastAsia="仿宋_GB2312" w:cs="Times New Roman"/>
                <w:kern w:val="0"/>
                <w:szCs w:val="21"/>
              </w:rPr>
              <w:t>政府性基金预算财政拨款</w:t>
            </w:r>
          </w:p>
        </w:tc>
        <w:tc>
          <w:tcPr>
            <w:tcW w:w="4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12</w:t>
            </w:r>
          </w:p>
        </w:tc>
        <w:tc>
          <w:tcPr>
            <w:tcW w:w="1880" w:type="dxa"/>
            <w:shd w:val="clear" w:color="auto" w:fill="auto"/>
            <w:noWrap/>
            <w:vAlign w:val="center"/>
          </w:tcPr>
          <w:p>
            <w:pPr>
              <w:widowControl/>
              <w:jc w:val="center"/>
              <w:rPr>
                <w:rFonts w:ascii="Times New Roman" w:hAnsi="Times New Roman" w:eastAsia="仿宋_GB2312" w:cs="Times New Roman"/>
                <w:kern w:val="0"/>
                <w:szCs w:val="21"/>
              </w:rPr>
            </w:pPr>
          </w:p>
        </w:tc>
        <w:tc>
          <w:tcPr>
            <w:tcW w:w="3761" w:type="dxa"/>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43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26</w:t>
            </w:r>
          </w:p>
        </w:tc>
        <w:tc>
          <w:tcPr>
            <w:tcW w:w="1880" w:type="dxa"/>
            <w:shd w:val="clear" w:color="auto" w:fill="auto"/>
            <w:noWrap/>
            <w:vAlign w:val="center"/>
          </w:tcPr>
          <w:p>
            <w:pPr>
              <w:widowControl/>
              <w:jc w:val="center"/>
              <w:rPr>
                <w:rFonts w:ascii="Times New Roman" w:hAnsi="Times New Roman" w:eastAsia="仿宋_GB2312" w:cs="Times New Roman"/>
                <w:kern w:val="0"/>
                <w:szCs w:val="21"/>
              </w:rPr>
            </w:pPr>
          </w:p>
        </w:tc>
        <w:tc>
          <w:tcPr>
            <w:tcW w:w="1660" w:type="dxa"/>
            <w:shd w:val="clear" w:color="auto" w:fill="auto"/>
            <w:noWrap/>
            <w:vAlign w:val="center"/>
          </w:tcPr>
          <w:p>
            <w:pPr>
              <w:widowControl/>
              <w:jc w:val="center"/>
              <w:rPr>
                <w:rFonts w:ascii="Times New Roman" w:hAnsi="Times New Roman" w:eastAsia="仿宋_GB2312" w:cs="Times New Roman"/>
                <w:kern w:val="0"/>
                <w:szCs w:val="21"/>
              </w:rPr>
            </w:pPr>
          </w:p>
        </w:tc>
        <w:tc>
          <w:tcPr>
            <w:tcW w:w="1572" w:type="dxa"/>
            <w:shd w:val="clear" w:color="auto" w:fill="auto"/>
            <w:noWrap/>
            <w:vAlign w:val="center"/>
          </w:tcPr>
          <w:p>
            <w:pPr>
              <w:widowControl/>
              <w:jc w:val="center"/>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4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13</w:t>
            </w:r>
          </w:p>
        </w:tc>
        <w:tc>
          <w:tcPr>
            <w:tcW w:w="1880" w:type="dxa"/>
            <w:shd w:val="clear" w:color="auto" w:fill="auto"/>
            <w:noWrap/>
            <w:vAlign w:val="center"/>
          </w:tcPr>
          <w:p>
            <w:pPr>
              <w:widowControl/>
              <w:jc w:val="center"/>
              <w:rPr>
                <w:rFonts w:ascii="Times New Roman" w:hAnsi="Times New Roman" w:eastAsia="仿宋_GB2312" w:cs="Times New Roman"/>
                <w:kern w:val="0"/>
                <w:szCs w:val="21"/>
              </w:rPr>
            </w:pPr>
          </w:p>
        </w:tc>
        <w:tc>
          <w:tcPr>
            <w:tcW w:w="3761" w:type="dxa"/>
            <w:shd w:val="clear" w:color="auto" w:fill="auto"/>
            <w:noWrap/>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43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27</w:t>
            </w:r>
          </w:p>
        </w:tc>
        <w:tc>
          <w:tcPr>
            <w:tcW w:w="1880" w:type="dxa"/>
            <w:shd w:val="clear" w:color="auto" w:fill="auto"/>
            <w:noWrap/>
            <w:vAlign w:val="center"/>
          </w:tcPr>
          <w:p>
            <w:pPr>
              <w:widowControl/>
              <w:jc w:val="center"/>
              <w:rPr>
                <w:rFonts w:ascii="Times New Roman" w:hAnsi="Times New Roman" w:eastAsia="仿宋_GB2312" w:cs="Times New Roman"/>
                <w:kern w:val="0"/>
                <w:szCs w:val="21"/>
              </w:rPr>
            </w:pPr>
          </w:p>
        </w:tc>
        <w:tc>
          <w:tcPr>
            <w:tcW w:w="1660" w:type="dxa"/>
            <w:shd w:val="clear" w:color="auto" w:fill="auto"/>
            <w:noWrap/>
            <w:vAlign w:val="center"/>
          </w:tcPr>
          <w:p>
            <w:pPr>
              <w:widowControl/>
              <w:jc w:val="center"/>
              <w:rPr>
                <w:rFonts w:ascii="Times New Roman" w:hAnsi="Times New Roman" w:eastAsia="仿宋_GB2312" w:cs="Times New Roman"/>
                <w:kern w:val="0"/>
                <w:szCs w:val="21"/>
              </w:rPr>
            </w:pPr>
          </w:p>
        </w:tc>
        <w:tc>
          <w:tcPr>
            <w:tcW w:w="1572" w:type="dxa"/>
            <w:shd w:val="clear" w:color="auto" w:fill="auto"/>
            <w:noWrap/>
            <w:vAlign w:val="center"/>
          </w:tcPr>
          <w:p>
            <w:pPr>
              <w:widowControl/>
              <w:jc w:val="center"/>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2" w:hRule="atLeast"/>
          <w:jc w:val="center"/>
        </w:trPr>
        <w:tc>
          <w:tcPr>
            <w:tcW w:w="2994" w:type="dxa"/>
            <w:shd w:val="clear" w:color="auto" w:fill="auto"/>
            <w:noWrap/>
            <w:vAlign w:val="center"/>
          </w:tcPr>
          <w:p>
            <w:pPr>
              <w:widowControl/>
              <w:jc w:val="center"/>
              <w:rPr>
                <w:rFonts w:ascii="Times New Roman" w:hAnsi="Times New Roman" w:eastAsia="仿宋_GB2312" w:cs="Times New Roman"/>
                <w:b/>
                <w:bCs/>
                <w:kern w:val="0"/>
                <w:szCs w:val="21"/>
              </w:rPr>
            </w:pPr>
            <w:r>
              <w:rPr>
                <w:rFonts w:ascii="Times New Roman" w:hAnsi="Times New Roman" w:eastAsia="仿宋_GB2312" w:cs="Times New Roman"/>
                <w:b/>
                <w:bCs/>
                <w:kern w:val="0"/>
                <w:szCs w:val="21"/>
              </w:rPr>
              <w:t>总计</w:t>
            </w:r>
          </w:p>
        </w:tc>
        <w:tc>
          <w:tcPr>
            <w:tcW w:w="48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14</w:t>
            </w:r>
          </w:p>
        </w:tc>
        <w:tc>
          <w:tcPr>
            <w:tcW w:w="1880" w:type="dxa"/>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22218.8</w:t>
            </w:r>
          </w:p>
        </w:tc>
        <w:tc>
          <w:tcPr>
            <w:tcW w:w="3761" w:type="dxa"/>
            <w:shd w:val="clear" w:color="auto" w:fill="auto"/>
            <w:noWrap/>
            <w:vAlign w:val="center"/>
          </w:tcPr>
          <w:p>
            <w:pPr>
              <w:widowControl/>
              <w:jc w:val="center"/>
              <w:rPr>
                <w:rFonts w:ascii="Times New Roman" w:hAnsi="Times New Roman" w:eastAsia="仿宋_GB2312" w:cs="Times New Roman"/>
                <w:b/>
                <w:bCs/>
                <w:kern w:val="0"/>
                <w:szCs w:val="21"/>
              </w:rPr>
            </w:pPr>
            <w:r>
              <w:rPr>
                <w:rFonts w:ascii="Times New Roman" w:hAnsi="Times New Roman" w:eastAsia="仿宋_GB2312" w:cs="Times New Roman"/>
                <w:b/>
                <w:bCs/>
                <w:kern w:val="0"/>
                <w:szCs w:val="21"/>
              </w:rPr>
              <w:t>总计</w:t>
            </w:r>
          </w:p>
        </w:tc>
        <w:tc>
          <w:tcPr>
            <w:tcW w:w="430" w:type="dxa"/>
            <w:shd w:val="clear" w:color="auto" w:fill="auto"/>
            <w:noWrap/>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28</w:t>
            </w:r>
          </w:p>
        </w:tc>
        <w:tc>
          <w:tcPr>
            <w:tcW w:w="1880" w:type="dxa"/>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22218.8</w:t>
            </w:r>
          </w:p>
        </w:tc>
        <w:tc>
          <w:tcPr>
            <w:tcW w:w="1660" w:type="dxa"/>
            <w:shd w:val="clear" w:color="auto" w:fill="auto"/>
            <w:noWrap/>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22218.8</w:t>
            </w:r>
          </w:p>
        </w:tc>
        <w:tc>
          <w:tcPr>
            <w:tcW w:w="1572" w:type="dxa"/>
            <w:shd w:val="clear" w:color="auto" w:fill="auto"/>
            <w:noWrap/>
            <w:vAlign w:val="center"/>
          </w:tcPr>
          <w:p>
            <w:pPr>
              <w:widowControl/>
              <w:jc w:val="center"/>
              <w:rPr>
                <w:rFonts w:ascii="Times New Roman" w:hAnsi="Times New Roman" w:eastAsia="仿宋_GB2312" w:cs="Times New Roman"/>
                <w:b/>
                <w:bCs/>
                <w:kern w:val="0"/>
                <w:szCs w:val="21"/>
              </w:rPr>
            </w:pPr>
          </w:p>
        </w:tc>
      </w:tr>
    </w:tbl>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注：本表反映部门本年度一般公共预算财政拨款和政府性基金预算财政拨款的总收支和年末结转结余情况。</w:t>
      </w:r>
    </w:p>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br w:type="page"/>
      </w:r>
    </w:p>
    <w:p>
      <w:pPr>
        <w:widowControl/>
        <w:jc w:val="center"/>
        <w:rPr>
          <w:rFonts w:ascii="Times New Roman" w:hAnsi="Times New Roman" w:eastAsia="方正小标宋_GBK" w:cs="Times New Roman"/>
          <w:kern w:val="0"/>
          <w:sz w:val="36"/>
          <w:szCs w:val="36"/>
        </w:rPr>
      </w:pPr>
      <w:bookmarkStart w:id="0" w:name="RANGE!A1:F16"/>
      <w:r>
        <w:rPr>
          <w:rFonts w:ascii="Times New Roman" w:hAnsi="Times New Roman" w:eastAsia="方正小标宋_GBK" w:cs="Times New Roman"/>
          <w:kern w:val="0"/>
          <w:sz w:val="36"/>
          <w:szCs w:val="36"/>
        </w:rPr>
        <w:t>一般公共预算财政拨款支出决算表</w:t>
      </w:r>
      <w:bookmarkEnd w:id="0"/>
    </w:p>
    <w:p>
      <w:pPr>
        <w:widowControl/>
        <w:spacing w:before="156" w:beforeLines="50"/>
        <w:jc w:val="lef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 w:val="20"/>
          <w:szCs w:val="20"/>
          <w:lang w:val="en-US" w:eastAsia="zh-CN"/>
        </w:rPr>
        <w:t>新田县医疗保障局</w:t>
      </w:r>
      <w:r>
        <w:rPr>
          <w:rFonts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 w:val="20"/>
          <w:szCs w:val="20"/>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公开05表</w:t>
      </w:r>
    </w:p>
    <w:p>
      <w:pPr>
        <w:widowControl/>
        <w:jc w:val="left"/>
        <w:rPr>
          <w:rFonts w:ascii="Times New Roman" w:hAnsi="Times New Roman" w:eastAsia="宋体" w:cs="Times New Roman"/>
          <w:color w:val="000000"/>
          <w:kern w:val="0"/>
          <w:sz w:val="20"/>
          <w:szCs w:val="20"/>
        </w:rPr>
      </w:pP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单位：万元</w:t>
      </w:r>
    </w:p>
    <w:tbl>
      <w:tblPr>
        <w:tblStyle w:val="5"/>
        <w:tblW w:w="14219" w:type="dxa"/>
        <w:jc w:val="center"/>
        <w:tblLayout w:type="autofit"/>
        <w:tblCellMar>
          <w:top w:w="0" w:type="dxa"/>
          <w:left w:w="108" w:type="dxa"/>
          <w:bottom w:w="0" w:type="dxa"/>
          <w:right w:w="108" w:type="dxa"/>
        </w:tblCellMar>
      </w:tblPr>
      <w:tblGrid>
        <w:gridCol w:w="1200"/>
        <w:gridCol w:w="3527"/>
        <w:gridCol w:w="3000"/>
        <w:gridCol w:w="3492"/>
        <w:gridCol w:w="3000"/>
      </w:tblGrid>
      <w:tr>
        <w:tblPrEx>
          <w:tblCellMar>
            <w:top w:w="0" w:type="dxa"/>
            <w:left w:w="108" w:type="dxa"/>
            <w:bottom w:w="0" w:type="dxa"/>
            <w:right w:w="108" w:type="dxa"/>
          </w:tblCellMar>
        </w:tblPrEx>
        <w:trPr>
          <w:trHeight w:val="405" w:hRule="atLeast"/>
          <w:jc w:val="center"/>
        </w:trPr>
        <w:tc>
          <w:tcPr>
            <w:tcW w:w="4727" w:type="dxa"/>
            <w:gridSpan w:val="2"/>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9492" w:type="dxa"/>
            <w:gridSpan w:val="3"/>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r>
      <w:tr>
        <w:tblPrEx>
          <w:tblCellMar>
            <w:top w:w="0" w:type="dxa"/>
            <w:left w:w="108" w:type="dxa"/>
            <w:bottom w:w="0" w:type="dxa"/>
            <w:right w:w="108" w:type="dxa"/>
          </w:tblCellMar>
        </w:tblPrEx>
        <w:trPr>
          <w:trHeight w:val="495" w:hRule="atLeast"/>
          <w:jc w:val="center"/>
        </w:trPr>
        <w:tc>
          <w:tcPr>
            <w:tcW w:w="1200" w:type="dxa"/>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352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300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3492"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基本支出</w:t>
            </w:r>
          </w:p>
        </w:tc>
        <w:tc>
          <w:tcPr>
            <w:tcW w:w="300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r>
      <w:tr>
        <w:tblPrEx>
          <w:tblCellMar>
            <w:top w:w="0" w:type="dxa"/>
            <w:left w:w="108" w:type="dxa"/>
            <w:bottom w:w="0" w:type="dxa"/>
            <w:right w:w="108" w:type="dxa"/>
          </w:tblCellMar>
        </w:tblPrEx>
        <w:trPr>
          <w:trHeight w:val="360" w:hRule="atLeast"/>
          <w:jc w:val="center"/>
        </w:trPr>
        <w:tc>
          <w:tcPr>
            <w:tcW w:w="1200"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52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49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200"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52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49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4727"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30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r>
      <w:tr>
        <w:tblPrEx>
          <w:tblCellMar>
            <w:top w:w="0" w:type="dxa"/>
            <w:left w:w="108" w:type="dxa"/>
            <w:bottom w:w="0" w:type="dxa"/>
            <w:right w:w="108" w:type="dxa"/>
          </w:tblCellMar>
        </w:tblPrEx>
        <w:trPr>
          <w:trHeight w:val="450" w:hRule="atLeast"/>
          <w:jc w:val="center"/>
        </w:trPr>
        <w:tc>
          <w:tcPr>
            <w:tcW w:w="4727"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300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22191.14</w:t>
            </w: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lang w:val="en-US"/>
              </w:rPr>
            </w:pPr>
            <w:r>
              <w:rPr>
                <w:rFonts w:hint="eastAsia" w:ascii="Times New Roman" w:hAnsi="Times New Roman" w:eastAsia="仿宋_GB2312" w:cs="Times New Roman"/>
                <w:kern w:val="0"/>
                <w:szCs w:val="21"/>
                <w:lang w:val="en-US" w:eastAsia="zh-CN"/>
              </w:rPr>
              <w:t>453.32</w:t>
            </w: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21737.82</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210</w:t>
            </w:r>
          </w:p>
        </w:tc>
        <w:tc>
          <w:tcPr>
            <w:tcW w:w="3527"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卫生健康支出</w:t>
            </w:r>
          </w:p>
        </w:tc>
        <w:tc>
          <w:tcPr>
            <w:tcW w:w="300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val="en-US" w:eastAsia="zh-CN"/>
              </w:rPr>
              <w:t>22191.14</w:t>
            </w: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453.32</w:t>
            </w: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21737.82</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21012</w:t>
            </w:r>
          </w:p>
        </w:tc>
        <w:tc>
          <w:tcPr>
            <w:tcW w:w="3527"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财政对基本医疗保险基金的补助</w:t>
            </w:r>
          </w:p>
        </w:tc>
        <w:tc>
          <w:tcPr>
            <w:tcW w:w="300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val="en-US" w:eastAsia="zh-CN"/>
              </w:rPr>
              <w:t>19861.2</w:t>
            </w: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val="en-US" w:eastAsia="zh-CN"/>
              </w:rPr>
              <w:t>19861.2</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2101202</w:t>
            </w:r>
          </w:p>
        </w:tc>
        <w:tc>
          <w:tcPr>
            <w:tcW w:w="3527"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财政对城乡居民基本医疗保险基金的补助</w:t>
            </w:r>
          </w:p>
        </w:tc>
        <w:tc>
          <w:tcPr>
            <w:tcW w:w="300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val="en-US" w:eastAsia="zh-CN"/>
              </w:rPr>
              <w:t>19861.2</w:t>
            </w: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hint="default"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val="en-US" w:eastAsia="zh-CN"/>
              </w:rPr>
              <w:t>19861.2</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21013</w:t>
            </w:r>
          </w:p>
        </w:tc>
        <w:tc>
          <w:tcPr>
            <w:tcW w:w="3527"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医疗救助</w:t>
            </w:r>
          </w:p>
        </w:tc>
        <w:tc>
          <w:tcPr>
            <w:tcW w:w="300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val="en-US" w:eastAsia="zh-CN"/>
              </w:rPr>
              <w:t>1699.94</w:t>
            </w: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hint="eastAsia"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val="en-US" w:eastAsia="zh-CN"/>
              </w:rPr>
              <w:t>1699.94</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2101301</w:t>
            </w:r>
          </w:p>
        </w:tc>
        <w:tc>
          <w:tcPr>
            <w:tcW w:w="3527"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城乡医疗救助</w:t>
            </w:r>
          </w:p>
        </w:tc>
        <w:tc>
          <w:tcPr>
            <w:tcW w:w="30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val="en-US" w:eastAsia="zh-CN"/>
              </w:rPr>
              <w:t>1699.94</w:t>
            </w: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val="en-US" w:eastAsia="zh-CN"/>
              </w:rPr>
              <w:t>1699.94</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21015</w:t>
            </w:r>
          </w:p>
        </w:tc>
        <w:tc>
          <w:tcPr>
            <w:tcW w:w="3527"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医疗保障管理事务</w:t>
            </w:r>
          </w:p>
        </w:tc>
        <w:tc>
          <w:tcPr>
            <w:tcW w:w="30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val="en-US" w:eastAsia="zh-CN"/>
              </w:rPr>
              <w:t>630</w:t>
            </w: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453.32</w:t>
            </w: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176.68</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2101501</w:t>
            </w:r>
          </w:p>
        </w:tc>
        <w:tc>
          <w:tcPr>
            <w:tcW w:w="3527" w:type="dxa"/>
            <w:tcBorders>
              <w:top w:val="nil"/>
              <w:left w:val="nil"/>
              <w:bottom w:val="single" w:color="auto" w:sz="8"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行政运行</w:t>
            </w:r>
          </w:p>
        </w:tc>
        <w:tc>
          <w:tcPr>
            <w:tcW w:w="3000"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 w:val="21"/>
                <w:szCs w:val="21"/>
                <w:lang w:val="en-US" w:eastAsia="zh-CN" w:bidi="ar-SA"/>
              </w:rPr>
            </w:pPr>
            <w:r>
              <w:rPr>
                <w:rFonts w:hint="eastAsia" w:ascii="Times New Roman" w:hAnsi="Times New Roman" w:eastAsia="仿宋_GB2312" w:cs="Times New Roman"/>
                <w:kern w:val="0"/>
                <w:szCs w:val="21"/>
                <w:lang w:val="en-US" w:eastAsia="zh-CN"/>
              </w:rPr>
              <w:t>630</w:t>
            </w:r>
          </w:p>
        </w:tc>
        <w:tc>
          <w:tcPr>
            <w:tcW w:w="3492" w:type="dxa"/>
            <w:tcBorders>
              <w:top w:val="nil"/>
              <w:left w:val="nil"/>
              <w:bottom w:val="single" w:color="auto" w:sz="8"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453.32</w:t>
            </w:r>
          </w:p>
        </w:tc>
        <w:tc>
          <w:tcPr>
            <w:tcW w:w="3000" w:type="dxa"/>
            <w:tcBorders>
              <w:top w:val="nil"/>
              <w:left w:val="nil"/>
              <w:bottom w:val="single" w:color="auto" w:sz="8"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176.68</w:t>
            </w:r>
          </w:p>
        </w:tc>
      </w:tr>
      <w:tr>
        <w:tblPrEx>
          <w:tblCellMar>
            <w:top w:w="0" w:type="dxa"/>
            <w:left w:w="108" w:type="dxa"/>
            <w:bottom w:w="0" w:type="dxa"/>
            <w:right w:w="108" w:type="dxa"/>
          </w:tblCellMar>
        </w:tblPrEx>
        <w:trPr>
          <w:trHeight w:val="645" w:hRule="atLeast"/>
          <w:jc w:val="center"/>
        </w:trPr>
        <w:tc>
          <w:tcPr>
            <w:tcW w:w="14219" w:type="dxa"/>
            <w:gridSpan w:val="5"/>
            <w:tcBorders>
              <w:top w:val="nil"/>
              <w:left w:val="nil"/>
              <w:bottom w:val="nil"/>
              <w:right w:val="nil"/>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注：本表反映部门本年度一般公共预算财政拨款支出情况。</w:t>
            </w:r>
          </w:p>
        </w:tc>
      </w:tr>
    </w:tbl>
    <w:p>
      <w:pPr>
        <w:widowControl/>
        <w:jc w:val="left"/>
        <w:rPr>
          <w:rFonts w:ascii="Times New Roman" w:hAnsi="Times New Roman" w:eastAsia="仿宋_GB2312" w:cs="Times New Roman"/>
          <w:bCs/>
          <w:kern w:val="0"/>
          <w:szCs w:val="21"/>
        </w:rPr>
      </w:pPr>
    </w:p>
    <w:p>
      <w:pPr>
        <w:widowControl/>
        <w:jc w:val="left"/>
        <w:rPr>
          <w:rFonts w:ascii="Times New Roman" w:hAnsi="Times New Roman" w:eastAsia="仿宋_GB2312" w:cs="Times New Roman"/>
          <w:bCs/>
          <w:kern w:val="0"/>
          <w:szCs w:val="21"/>
        </w:rPr>
      </w:pPr>
      <w:r>
        <w:rPr>
          <w:rFonts w:ascii="Times New Roman" w:hAnsi="Times New Roman" w:eastAsia="仿宋_GB2312" w:cs="Times New Roman"/>
          <w:bCs/>
          <w:kern w:val="0"/>
          <w:szCs w:val="21"/>
        </w:rPr>
        <w:br w:type="page"/>
      </w:r>
    </w:p>
    <w:p>
      <w:pPr>
        <w:widowControl/>
        <w:jc w:val="center"/>
        <w:rPr>
          <w:rFonts w:ascii="Times New Roman" w:hAnsi="Times New Roman" w:eastAsia="方正小标宋_GBK" w:cs="Times New Roman"/>
          <w:color w:val="000000"/>
          <w:kern w:val="0"/>
          <w:sz w:val="28"/>
          <w:szCs w:val="36"/>
        </w:rPr>
      </w:pPr>
      <w:bookmarkStart w:id="1" w:name="RANGE!A1:I39"/>
      <w:r>
        <w:rPr>
          <w:rFonts w:ascii="Times New Roman" w:hAnsi="Times New Roman" w:eastAsia="方正小标宋_GBK" w:cs="Times New Roman"/>
          <w:color w:val="000000"/>
          <w:kern w:val="0"/>
          <w:sz w:val="28"/>
          <w:szCs w:val="36"/>
        </w:rPr>
        <w:t>一般公共预算财政拨款基本支出决算表</w:t>
      </w:r>
      <w:bookmarkEnd w:id="1"/>
    </w:p>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xml:space="preserve">部门： </w:t>
      </w:r>
      <w:r>
        <w:rPr>
          <w:rFonts w:hint="eastAsia" w:ascii="Times New Roman" w:hAnsi="Times New Roman" w:eastAsia="仿宋_GB2312" w:cs="Times New Roman"/>
          <w:color w:val="000000"/>
          <w:kern w:val="0"/>
          <w:sz w:val="20"/>
          <w:szCs w:val="20"/>
          <w:lang w:val="en-US" w:eastAsia="zh-CN"/>
        </w:rPr>
        <w:t>新田县医疗保障局</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lang w:val="en-US" w:eastAsia="zh-CN"/>
        </w:rPr>
        <w:t xml:space="preserve">              </w:t>
      </w:r>
      <w:r>
        <w:rPr>
          <w:rFonts w:ascii="Times New Roman" w:hAnsi="Times New Roman" w:eastAsia="仿宋_GB2312" w:cs="Times New Roman"/>
          <w:color w:val="000000"/>
          <w:kern w:val="0"/>
          <w:szCs w:val="21"/>
        </w:rPr>
        <w:t xml:space="preserve"> 公开06表</w:t>
      </w:r>
    </w:p>
    <w:p>
      <w:pPr>
        <w:widowControl/>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5"/>
        <w:tblW w:w="0" w:type="auto"/>
        <w:tblInd w:w="93" w:type="dxa"/>
        <w:tblLayout w:type="fixed"/>
        <w:tblCellMar>
          <w:top w:w="0" w:type="dxa"/>
          <w:left w:w="108" w:type="dxa"/>
          <w:bottom w:w="0" w:type="dxa"/>
          <w:right w:w="108" w:type="dxa"/>
        </w:tblCellMar>
      </w:tblPr>
      <w:tblGrid>
        <w:gridCol w:w="1149"/>
        <w:gridCol w:w="3306"/>
        <w:gridCol w:w="856"/>
        <w:gridCol w:w="1110"/>
        <w:gridCol w:w="2297"/>
        <w:gridCol w:w="856"/>
        <w:gridCol w:w="1076"/>
        <w:gridCol w:w="4394"/>
        <w:gridCol w:w="856"/>
      </w:tblGrid>
      <w:tr>
        <w:tblPrEx>
          <w:tblCellMar>
            <w:top w:w="0" w:type="dxa"/>
            <w:left w:w="108" w:type="dxa"/>
            <w:bottom w:w="0" w:type="dxa"/>
            <w:right w:w="108" w:type="dxa"/>
          </w:tblCellMar>
        </w:tblPrEx>
        <w:trPr>
          <w:trHeight w:val="585" w:hRule="atLeast"/>
        </w:trPr>
        <w:tc>
          <w:tcPr>
            <w:tcW w:w="1149"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经济分类科目编码</w:t>
            </w:r>
          </w:p>
        </w:tc>
        <w:tc>
          <w:tcPr>
            <w:tcW w:w="3306"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科目名称</w:t>
            </w:r>
          </w:p>
        </w:tc>
        <w:tc>
          <w:tcPr>
            <w:tcW w:w="856"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决算数</w:t>
            </w:r>
          </w:p>
        </w:tc>
        <w:tc>
          <w:tcPr>
            <w:tcW w:w="1110"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经济分类科目编码</w:t>
            </w:r>
          </w:p>
        </w:tc>
        <w:tc>
          <w:tcPr>
            <w:tcW w:w="2297"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科目名称</w:t>
            </w:r>
          </w:p>
        </w:tc>
        <w:tc>
          <w:tcPr>
            <w:tcW w:w="856"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决算数</w:t>
            </w:r>
          </w:p>
        </w:tc>
        <w:tc>
          <w:tcPr>
            <w:tcW w:w="1076"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经济分类科目编码</w:t>
            </w:r>
          </w:p>
        </w:tc>
        <w:tc>
          <w:tcPr>
            <w:tcW w:w="4394"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科目名称</w:t>
            </w:r>
          </w:p>
        </w:tc>
        <w:tc>
          <w:tcPr>
            <w:tcW w:w="856"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决算数</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301</w:t>
            </w:r>
          </w:p>
        </w:tc>
        <w:tc>
          <w:tcPr>
            <w:tcW w:w="3306"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工资福利支出</w:t>
            </w:r>
          </w:p>
        </w:tc>
        <w:tc>
          <w:tcPr>
            <w:tcW w:w="856" w:type="dxa"/>
            <w:tcBorders>
              <w:top w:val="nil"/>
              <w:left w:val="nil"/>
              <w:bottom w:val="single" w:color="auto" w:sz="8" w:space="0"/>
              <w:right w:val="single" w:color="auto" w:sz="8" w:space="0"/>
            </w:tcBorders>
            <w:shd w:val="clear" w:color="auto" w:fill="auto"/>
            <w:noWrap/>
          </w:tcPr>
          <w:p>
            <w:pPr>
              <w:widowControl/>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441.58</w:t>
            </w:r>
          </w:p>
          <w:p>
            <w:pPr>
              <w:pStyle w:val="2"/>
              <w:rPr>
                <w:rFonts w:hint="default"/>
                <w:lang w:val="en-US" w:eastAsia="zh-CN"/>
              </w:rPr>
            </w:pPr>
            <w:r>
              <w:rPr>
                <w:rFonts w:hint="eastAsia" w:ascii="仿宋_GB2312" w:eastAsia="仿宋_GB2312" w:cs="宋体"/>
                <w:color w:val="000000"/>
                <w:kern w:val="0"/>
                <w:sz w:val="18"/>
                <w:szCs w:val="18"/>
                <w:lang w:val="en-US" w:eastAsia="zh-CN"/>
              </w:rPr>
              <w:t>.</w:t>
            </w:r>
          </w:p>
        </w:tc>
        <w:tc>
          <w:tcPr>
            <w:tcW w:w="1110"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w:t>
            </w:r>
          </w:p>
        </w:tc>
        <w:tc>
          <w:tcPr>
            <w:tcW w:w="2297"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商品和服务支出</w:t>
            </w:r>
          </w:p>
        </w:tc>
        <w:tc>
          <w:tcPr>
            <w:tcW w:w="856" w:type="dxa"/>
            <w:tcBorders>
              <w:top w:val="nil"/>
              <w:left w:val="nil"/>
              <w:bottom w:val="single" w:color="auto" w:sz="8" w:space="0"/>
              <w:right w:val="single" w:color="auto" w:sz="8" w:space="0"/>
            </w:tcBorders>
            <w:shd w:val="clear" w:color="auto" w:fill="auto"/>
            <w:noWrap/>
          </w:tcPr>
          <w:p>
            <w:pPr>
              <w:widowControl/>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rPr>
              <w:t>　</w:t>
            </w:r>
            <w:r>
              <w:rPr>
                <w:rFonts w:hint="eastAsia" w:ascii="仿宋_GB2312" w:hAnsi="宋体" w:eastAsia="仿宋_GB2312" w:cs="宋体"/>
                <w:color w:val="000000"/>
                <w:kern w:val="0"/>
                <w:sz w:val="18"/>
                <w:szCs w:val="18"/>
                <w:lang w:val="en-US" w:eastAsia="zh-CN"/>
              </w:rPr>
              <w:t>11.74</w:t>
            </w: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307</w:t>
            </w:r>
          </w:p>
        </w:tc>
        <w:tc>
          <w:tcPr>
            <w:tcW w:w="4394"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债务利息及费用支出</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30101</w:t>
            </w:r>
          </w:p>
        </w:tc>
        <w:tc>
          <w:tcPr>
            <w:tcW w:w="330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基本工资</w:t>
            </w:r>
          </w:p>
        </w:tc>
        <w:tc>
          <w:tcPr>
            <w:tcW w:w="856" w:type="dxa"/>
            <w:tcBorders>
              <w:top w:val="nil"/>
              <w:left w:val="nil"/>
              <w:bottom w:val="single" w:color="auto" w:sz="8" w:space="0"/>
              <w:right w:val="single" w:color="auto" w:sz="8" w:space="0"/>
            </w:tcBorders>
            <w:shd w:val="clear" w:color="auto" w:fill="auto"/>
            <w:noWrap/>
          </w:tcPr>
          <w:p>
            <w:pPr>
              <w:widowControl/>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179.82</w:t>
            </w:r>
          </w:p>
        </w:tc>
        <w:tc>
          <w:tcPr>
            <w:tcW w:w="1110"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30201</w:t>
            </w:r>
          </w:p>
        </w:tc>
        <w:tc>
          <w:tcPr>
            <w:tcW w:w="2297"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办公费</w:t>
            </w:r>
          </w:p>
        </w:tc>
        <w:tc>
          <w:tcPr>
            <w:tcW w:w="856" w:type="dxa"/>
            <w:tcBorders>
              <w:top w:val="nil"/>
              <w:left w:val="nil"/>
              <w:bottom w:val="single" w:color="auto" w:sz="8" w:space="0"/>
              <w:right w:val="single" w:color="auto" w:sz="8" w:space="0"/>
            </w:tcBorders>
            <w:shd w:val="clear" w:color="auto" w:fill="auto"/>
            <w:noWrap/>
          </w:tcPr>
          <w:p>
            <w:pPr>
              <w:widowControl/>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rPr>
              <w:t>　</w:t>
            </w:r>
            <w:r>
              <w:rPr>
                <w:rFonts w:hint="eastAsia" w:ascii="仿宋_GB2312" w:hAnsi="宋体" w:eastAsia="仿宋_GB2312" w:cs="宋体"/>
                <w:color w:val="000000"/>
                <w:kern w:val="0"/>
                <w:sz w:val="18"/>
                <w:szCs w:val="18"/>
                <w:lang w:val="en-US" w:eastAsia="zh-CN"/>
              </w:rPr>
              <w:t>0.17</w:t>
            </w: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30701</w:t>
            </w:r>
          </w:p>
        </w:tc>
        <w:tc>
          <w:tcPr>
            <w:tcW w:w="4394"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国内债务付息</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30102</w:t>
            </w:r>
          </w:p>
        </w:tc>
        <w:tc>
          <w:tcPr>
            <w:tcW w:w="330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津贴补贴</w:t>
            </w:r>
          </w:p>
        </w:tc>
        <w:tc>
          <w:tcPr>
            <w:tcW w:w="856" w:type="dxa"/>
            <w:tcBorders>
              <w:top w:val="nil"/>
              <w:left w:val="nil"/>
              <w:bottom w:val="single" w:color="auto" w:sz="8" w:space="0"/>
              <w:right w:val="single" w:color="auto" w:sz="8" w:space="0"/>
            </w:tcBorders>
            <w:shd w:val="clear" w:color="auto" w:fill="auto"/>
            <w:noWrap/>
          </w:tcPr>
          <w:p>
            <w:pPr>
              <w:widowControl/>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rPr>
              <w:t>　</w:t>
            </w:r>
            <w:r>
              <w:rPr>
                <w:rFonts w:hint="eastAsia" w:ascii="仿宋_GB2312" w:hAnsi="宋体" w:eastAsia="仿宋_GB2312" w:cs="宋体"/>
                <w:color w:val="000000"/>
                <w:kern w:val="0"/>
                <w:sz w:val="18"/>
                <w:szCs w:val="18"/>
                <w:lang w:val="en-US" w:eastAsia="zh-CN"/>
              </w:rPr>
              <w:t>2.6</w:t>
            </w:r>
          </w:p>
        </w:tc>
        <w:tc>
          <w:tcPr>
            <w:tcW w:w="1110"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30202</w:t>
            </w:r>
          </w:p>
        </w:tc>
        <w:tc>
          <w:tcPr>
            <w:tcW w:w="2297"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印刷费</w:t>
            </w:r>
          </w:p>
        </w:tc>
        <w:tc>
          <w:tcPr>
            <w:tcW w:w="856" w:type="dxa"/>
            <w:tcBorders>
              <w:top w:val="nil"/>
              <w:left w:val="nil"/>
              <w:bottom w:val="single" w:color="auto" w:sz="8" w:space="0"/>
              <w:right w:val="single" w:color="auto" w:sz="8" w:space="0"/>
            </w:tcBorders>
            <w:shd w:val="clear" w:color="auto" w:fill="auto"/>
            <w:noWrap/>
          </w:tcPr>
          <w:p>
            <w:pPr>
              <w:widowControl/>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rPr>
              <w:t>　</w:t>
            </w:r>
            <w:r>
              <w:rPr>
                <w:rFonts w:hint="eastAsia" w:ascii="仿宋_GB2312" w:hAnsi="宋体" w:eastAsia="仿宋_GB2312" w:cs="宋体"/>
                <w:color w:val="000000"/>
                <w:kern w:val="0"/>
                <w:sz w:val="18"/>
                <w:szCs w:val="18"/>
                <w:lang w:val="en-US" w:eastAsia="zh-CN"/>
              </w:rPr>
              <w:t>1.8</w:t>
            </w: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30702</w:t>
            </w:r>
          </w:p>
        </w:tc>
        <w:tc>
          <w:tcPr>
            <w:tcW w:w="4394"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国外债务付息</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30103</w:t>
            </w:r>
          </w:p>
        </w:tc>
        <w:tc>
          <w:tcPr>
            <w:tcW w:w="330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奖金</w:t>
            </w:r>
          </w:p>
        </w:tc>
        <w:tc>
          <w:tcPr>
            <w:tcW w:w="856" w:type="dxa"/>
            <w:tcBorders>
              <w:top w:val="nil"/>
              <w:left w:val="nil"/>
              <w:bottom w:val="single" w:color="auto" w:sz="8" w:space="0"/>
              <w:right w:val="single" w:color="auto" w:sz="8" w:space="0"/>
            </w:tcBorders>
            <w:shd w:val="clear" w:color="auto" w:fill="auto"/>
            <w:noWrap/>
          </w:tcPr>
          <w:p>
            <w:pPr>
              <w:widowControl/>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rPr>
              <w:t>　</w:t>
            </w:r>
            <w:r>
              <w:rPr>
                <w:rFonts w:hint="eastAsia" w:ascii="仿宋_GB2312" w:hAnsi="宋体" w:eastAsia="仿宋_GB2312" w:cs="宋体"/>
                <w:color w:val="000000"/>
                <w:kern w:val="0"/>
                <w:sz w:val="18"/>
                <w:szCs w:val="18"/>
                <w:lang w:val="en-US" w:eastAsia="zh-CN"/>
              </w:rPr>
              <w:t>14.59</w:t>
            </w:r>
          </w:p>
        </w:tc>
        <w:tc>
          <w:tcPr>
            <w:tcW w:w="1110"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30203</w:t>
            </w:r>
          </w:p>
        </w:tc>
        <w:tc>
          <w:tcPr>
            <w:tcW w:w="2297"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咨询费</w:t>
            </w:r>
          </w:p>
        </w:tc>
        <w:tc>
          <w:tcPr>
            <w:tcW w:w="856" w:type="dxa"/>
            <w:tcBorders>
              <w:top w:val="nil"/>
              <w:left w:val="nil"/>
              <w:bottom w:val="single" w:color="auto" w:sz="8" w:space="0"/>
              <w:right w:val="single" w:color="auto" w:sz="8" w:space="0"/>
            </w:tcBorders>
            <w:shd w:val="clear" w:color="auto" w:fill="auto"/>
            <w:noWrap/>
          </w:tcPr>
          <w:p>
            <w:pPr>
              <w:widowControl/>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rPr>
              <w:t>　</w:t>
            </w:r>
            <w:r>
              <w:rPr>
                <w:rFonts w:hint="eastAsia" w:ascii="仿宋_GB2312" w:hAnsi="宋体" w:eastAsia="仿宋_GB2312" w:cs="宋体"/>
                <w:color w:val="000000"/>
                <w:kern w:val="0"/>
                <w:sz w:val="18"/>
                <w:szCs w:val="18"/>
                <w:lang w:val="en-US" w:eastAsia="zh-CN"/>
              </w:rPr>
              <w:t>2.6</w:t>
            </w: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310</w:t>
            </w:r>
          </w:p>
        </w:tc>
        <w:tc>
          <w:tcPr>
            <w:tcW w:w="4394"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资本性支出</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30106</w:t>
            </w:r>
          </w:p>
        </w:tc>
        <w:tc>
          <w:tcPr>
            <w:tcW w:w="330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伙食补助费</w:t>
            </w:r>
          </w:p>
        </w:tc>
        <w:tc>
          <w:tcPr>
            <w:tcW w:w="856" w:type="dxa"/>
            <w:tcBorders>
              <w:top w:val="nil"/>
              <w:left w:val="nil"/>
              <w:bottom w:val="single" w:color="auto" w:sz="8" w:space="0"/>
              <w:right w:val="single" w:color="auto" w:sz="8" w:space="0"/>
            </w:tcBorders>
            <w:shd w:val="clear" w:color="auto" w:fill="auto"/>
            <w:noWrap/>
          </w:tcPr>
          <w:p>
            <w:pPr>
              <w:widowControl/>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rPr>
              <w:t>　</w:t>
            </w:r>
            <w:r>
              <w:rPr>
                <w:rFonts w:hint="eastAsia" w:ascii="仿宋_GB2312" w:hAnsi="宋体" w:eastAsia="仿宋_GB2312" w:cs="宋体"/>
                <w:color w:val="000000"/>
                <w:kern w:val="0"/>
                <w:sz w:val="18"/>
                <w:szCs w:val="18"/>
                <w:lang w:val="en-US" w:eastAsia="zh-CN"/>
              </w:rPr>
              <w:t>18.34</w:t>
            </w:r>
          </w:p>
        </w:tc>
        <w:tc>
          <w:tcPr>
            <w:tcW w:w="1110"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30204</w:t>
            </w:r>
          </w:p>
        </w:tc>
        <w:tc>
          <w:tcPr>
            <w:tcW w:w="2297"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手续费</w:t>
            </w:r>
          </w:p>
        </w:tc>
        <w:tc>
          <w:tcPr>
            <w:tcW w:w="856"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31001</w:t>
            </w:r>
          </w:p>
        </w:tc>
        <w:tc>
          <w:tcPr>
            <w:tcW w:w="4394"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房屋建筑物购建</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30107</w:t>
            </w:r>
          </w:p>
        </w:tc>
        <w:tc>
          <w:tcPr>
            <w:tcW w:w="330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绩效工资</w:t>
            </w:r>
          </w:p>
        </w:tc>
        <w:tc>
          <w:tcPr>
            <w:tcW w:w="856" w:type="dxa"/>
            <w:tcBorders>
              <w:top w:val="nil"/>
              <w:left w:val="nil"/>
              <w:bottom w:val="single" w:color="auto" w:sz="8" w:space="0"/>
              <w:right w:val="single" w:color="auto" w:sz="8" w:space="0"/>
            </w:tcBorders>
            <w:shd w:val="clear" w:color="auto" w:fill="auto"/>
            <w:noWrap/>
          </w:tcPr>
          <w:p>
            <w:pPr>
              <w:widowControl/>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104.84</w:t>
            </w:r>
          </w:p>
        </w:tc>
        <w:tc>
          <w:tcPr>
            <w:tcW w:w="1110"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30205</w:t>
            </w:r>
          </w:p>
        </w:tc>
        <w:tc>
          <w:tcPr>
            <w:tcW w:w="2297"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水费</w:t>
            </w:r>
          </w:p>
        </w:tc>
        <w:tc>
          <w:tcPr>
            <w:tcW w:w="856"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31002</w:t>
            </w:r>
          </w:p>
        </w:tc>
        <w:tc>
          <w:tcPr>
            <w:tcW w:w="4394"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办公设备购置</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30108</w:t>
            </w:r>
          </w:p>
        </w:tc>
        <w:tc>
          <w:tcPr>
            <w:tcW w:w="330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机关事业单位基本养老保险费</w:t>
            </w:r>
          </w:p>
        </w:tc>
        <w:tc>
          <w:tcPr>
            <w:tcW w:w="856" w:type="dxa"/>
            <w:tcBorders>
              <w:top w:val="nil"/>
              <w:left w:val="nil"/>
              <w:bottom w:val="single" w:color="auto" w:sz="8" w:space="0"/>
              <w:right w:val="single" w:color="auto" w:sz="8" w:space="0"/>
            </w:tcBorders>
            <w:shd w:val="clear" w:color="auto" w:fill="auto"/>
            <w:noWrap/>
          </w:tcPr>
          <w:p>
            <w:pPr>
              <w:widowControl/>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rPr>
              <w:t>　</w:t>
            </w:r>
            <w:r>
              <w:rPr>
                <w:rFonts w:hint="eastAsia" w:ascii="仿宋_GB2312" w:hAnsi="宋体" w:eastAsia="仿宋_GB2312" w:cs="宋体"/>
                <w:color w:val="000000"/>
                <w:kern w:val="0"/>
                <w:sz w:val="18"/>
                <w:szCs w:val="18"/>
                <w:lang w:val="en-US" w:eastAsia="zh-CN"/>
              </w:rPr>
              <w:t>63.31</w:t>
            </w:r>
          </w:p>
        </w:tc>
        <w:tc>
          <w:tcPr>
            <w:tcW w:w="1110"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30206</w:t>
            </w:r>
          </w:p>
        </w:tc>
        <w:tc>
          <w:tcPr>
            <w:tcW w:w="2297"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电费</w:t>
            </w:r>
          </w:p>
        </w:tc>
        <w:tc>
          <w:tcPr>
            <w:tcW w:w="856"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31003</w:t>
            </w:r>
          </w:p>
        </w:tc>
        <w:tc>
          <w:tcPr>
            <w:tcW w:w="4394"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专用设备购置</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30109</w:t>
            </w:r>
          </w:p>
        </w:tc>
        <w:tc>
          <w:tcPr>
            <w:tcW w:w="330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职业年金缴费</w:t>
            </w:r>
          </w:p>
        </w:tc>
        <w:tc>
          <w:tcPr>
            <w:tcW w:w="856" w:type="dxa"/>
            <w:tcBorders>
              <w:top w:val="nil"/>
              <w:left w:val="nil"/>
              <w:bottom w:val="single" w:color="auto" w:sz="8" w:space="0"/>
              <w:right w:val="single" w:color="auto" w:sz="8" w:space="0"/>
            </w:tcBorders>
            <w:shd w:val="clear" w:color="auto" w:fill="auto"/>
            <w:noWrap/>
          </w:tcPr>
          <w:p>
            <w:pPr>
              <w:widowControl/>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10.49</w:t>
            </w:r>
          </w:p>
        </w:tc>
        <w:tc>
          <w:tcPr>
            <w:tcW w:w="1110"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30207</w:t>
            </w:r>
          </w:p>
        </w:tc>
        <w:tc>
          <w:tcPr>
            <w:tcW w:w="2297"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邮电费</w:t>
            </w:r>
          </w:p>
        </w:tc>
        <w:tc>
          <w:tcPr>
            <w:tcW w:w="856" w:type="dxa"/>
            <w:tcBorders>
              <w:top w:val="nil"/>
              <w:left w:val="nil"/>
              <w:bottom w:val="single" w:color="auto" w:sz="8" w:space="0"/>
              <w:right w:val="single" w:color="auto" w:sz="8" w:space="0"/>
            </w:tcBorders>
            <w:shd w:val="clear" w:color="auto" w:fill="auto"/>
            <w:noWrap/>
          </w:tcPr>
          <w:p>
            <w:pPr>
              <w:widowControl/>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rPr>
              <w:t>　</w:t>
            </w:r>
            <w:r>
              <w:rPr>
                <w:rFonts w:hint="eastAsia" w:ascii="仿宋_GB2312" w:hAnsi="宋体" w:eastAsia="仿宋_GB2312" w:cs="宋体"/>
                <w:color w:val="000000"/>
                <w:kern w:val="0"/>
                <w:sz w:val="18"/>
                <w:szCs w:val="18"/>
                <w:lang w:val="en-US" w:eastAsia="zh-CN"/>
              </w:rPr>
              <w:t>0.3</w:t>
            </w: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31005</w:t>
            </w:r>
          </w:p>
        </w:tc>
        <w:tc>
          <w:tcPr>
            <w:tcW w:w="4394"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基础设施建设</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30110</w:t>
            </w:r>
          </w:p>
        </w:tc>
        <w:tc>
          <w:tcPr>
            <w:tcW w:w="330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职工基本医疗保险缴费</w:t>
            </w:r>
          </w:p>
        </w:tc>
        <w:tc>
          <w:tcPr>
            <w:tcW w:w="856" w:type="dxa"/>
            <w:tcBorders>
              <w:top w:val="nil"/>
              <w:left w:val="nil"/>
              <w:bottom w:val="single" w:color="auto" w:sz="8" w:space="0"/>
              <w:right w:val="single" w:color="auto" w:sz="8" w:space="0"/>
            </w:tcBorders>
            <w:shd w:val="clear" w:color="auto" w:fill="auto"/>
            <w:noWrap/>
          </w:tcPr>
          <w:p>
            <w:pPr>
              <w:widowControl/>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rPr>
              <w:t>　</w:t>
            </w:r>
            <w:r>
              <w:rPr>
                <w:rFonts w:hint="eastAsia" w:ascii="仿宋_GB2312" w:hAnsi="宋体" w:eastAsia="仿宋_GB2312" w:cs="宋体"/>
                <w:color w:val="000000"/>
                <w:kern w:val="0"/>
                <w:sz w:val="18"/>
                <w:szCs w:val="18"/>
                <w:lang w:val="en-US" w:eastAsia="zh-CN"/>
              </w:rPr>
              <w:t>21.56</w:t>
            </w:r>
          </w:p>
        </w:tc>
        <w:tc>
          <w:tcPr>
            <w:tcW w:w="1110"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30208</w:t>
            </w:r>
          </w:p>
        </w:tc>
        <w:tc>
          <w:tcPr>
            <w:tcW w:w="2297"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取暖费</w:t>
            </w:r>
          </w:p>
        </w:tc>
        <w:tc>
          <w:tcPr>
            <w:tcW w:w="856"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31006</w:t>
            </w:r>
          </w:p>
        </w:tc>
        <w:tc>
          <w:tcPr>
            <w:tcW w:w="4394"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大型修缮</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30111</w:t>
            </w:r>
          </w:p>
        </w:tc>
        <w:tc>
          <w:tcPr>
            <w:tcW w:w="330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公务员医疗补助缴费</w:t>
            </w:r>
          </w:p>
        </w:tc>
        <w:tc>
          <w:tcPr>
            <w:tcW w:w="856"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110"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30209</w:t>
            </w:r>
          </w:p>
        </w:tc>
        <w:tc>
          <w:tcPr>
            <w:tcW w:w="2297"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物业管理费</w:t>
            </w:r>
          </w:p>
        </w:tc>
        <w:tc>
          <w:tcPr>
            <w:tcW w:w="856"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31007</w:t>
            </w:r>
          </w:p>
        </w:tc>
        <w:tc>
          <w:tcPr>
            <w:tcW w:w="4394"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信息网络及软件购置更新</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30112</w:t>
            </w:r>
          </w:p>
        </w:tc>
        <w:tc>
          <w:tcPr>
            <w:tcW w:w="330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其他社会保障缴费</w:t>
            </w:r>
          </w:p>
        </w:tc>
        <w:tc>
          <w:tcPr>
            <w:tcW w:w="856" w:type="dxa"/>
            <w:tcBorders>
              <w:top w:val="nil"/>
              <w:left w:val="nil"/>
              <w:bottom w:val="single" w:color="auto" w:sz="8" w:space="0"/>
              <w:right w:val="single" w:color="auto" w:sz="8" w:space="0"/>
            </w:tcBorders>
            <w:shd w:val="clear" w:color="auto" w:fill="auto"/>
            <w:noWrap/>
          </w:tcPr>
          <w:p>
            <w:pPr>
              <w:widowControl/>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rPr>
              <w:t>　</w:t>
            </w:r>
            <w:r>
              <w:rPr>
                <w:rFonts w:hint="eastAsia" w:ascii="仿宋_GB2312" w:hAnsi="宋体" w:eastAsia="仿宋_GB2312" w:cs="宋体"/>
                <w:color w:val="000000"/>
                <w:kern w:val="0"/>
                <w:sz w:val="18"/>
                <w:szCs w:val="18"/>
                <w:lang w:val="en-US" w:eastAsia="zh-CN"/>
              </w:rPr>
              <w:t>1.08</w:t>
            </w:r>
          </w:p>
        </w:tc>
        <w:tc>
          <w:tcPr>
            <w:tcW w:w="1110"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30211</w:t>
            </w:r>
          </w:p>
        </w:tc>
        <w:tc>
          <w:tcPr>
            <w:tcW w:w="2297"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差旅费</w:t>
            </w:r>
          </w:p>
        </w:tc>
        <w:tc>
          <w:tcPr>
            <w:tcW w:w="856" w:type="dxa"/>
            <w:tcBorders>
              <w:top w:val="nil"/>
              <w:left w:val="nil"/>
              <w:bottom w:val="single" w:color="auto" w:sz="8" w:space="0"/>
              <w:right w:val="single" w:color="auto" w:sz="8" w:space="0"/>
            </w:tcBorders>
            <w:shd w:val="clear" w:color="auto" w:fill="auto"/>
            <w:noWrap/>
          </w:tcPr>
          <w:p>
            <w:pPr>
              <w:widowControl/>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rPr>
              <w:t>　</w:t>
            </w:r>
            <w:r>
              <w:rPr>
                <w:rFonts w:hint="eastAsia" w:ascii="仿宋_GB2312" w:hAnsi="宋体" w:eastAsia="仿宋_GB2312" w:cs="宋体"/>
                <w:color w:val="000000"/>
                <w:kern w:val="0"/>
                <w:sz w:val="18"/>
                <w:szCs w:val="18"/>
                <w:lang w:val="en-US" w:eastAsia="zh-CN"/>
              </w:rPr>
              <w:t>0.3</w:t>
            </w: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31008</w:t>
            </w:r>
          </w:p>
        </w:tc>
        <w:tc>
          <w:tcPr>
            <w:tcW w:w="4394"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物资储备</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30113</w:t>
            </w:r>
          </w:p>
        </w:tc>
        <w:tc>
          <w:tcPr>
            <w:tcW w:w="330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住房公积金</w:t>
            </w:r>
          </w:p>
        </w:tc>
        <w:tc>
          <w:tcPr>
            <w:tcW w:w="856"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110"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30212</w:t>
            </w:r>
          </w:p>
        </w:tc>
        <w:tc>
          <w:tcPr>
            <w:tcW w:w="2297"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因公出国（境）费用</w:t>
            </w:r>
          </w:p>
        </w:tc>
        <w:tc>
          <w:tcPr>
            <w:tcW w:w="856"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31009</w:t>
            </w:r>
          </w:p>
        </w:tc>
        <w:tc>
          <w:tcPr>
            <w:tcW w:w="4394"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土地补偿</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30114</w:t>
            </w:r>
          </w:p>
        </w:tc>
        <w:tc>
          <w:tcPr>
            <w:tcW w:w="330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医疗费</w:t>
            </w:r>
          </w:p>
        </w:tc>
        <w:tc>
          <w:tcPr>
            <w:tcW w:w="856"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110"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30213</w:t>
            </w:r>
          </w:p>
        </w:tc>
        <w:tc>
          <w:tcPr>
            <w:tcW w:w="2297"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维修（护）费</w:t>
            </w:r>
          </w:p>
        </w:tc>
        <w:tc>
          <w:tcPr>
            <w:tcW w:w="856" w:type="dxa"/>
            <w:tcBorders>
              <w:top w:val="nil"/>
              <w:left w:val="nil"/>
              <w:bottom w:val="single" w:color="auto" w:sz="8" w:space="0"/>
              <w:right w:val="single" w:color="auto" w:sz="8" w:space="0"/>
            </w:tcBorders>
            <w:shd w:val="clear" w:color="auto" w:fill="auto"/>
            <w:noWrap/>
          </w:tcPr>
          <w:p>
            <w:pPr>
              <w:widowControl/>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rPr>
              <w:t>　</w:t>
            </w:r>
            <w:r>
              <w:rPr>
                <w:rFonts w:hint="eastAsia" w:ascii="仿宋_GB2312" w:hAnsi="宋体" w:eastAsia="仿宋_GB2312" w:cs="宋体"/>
                <w:color w:val="000000"/>
                <w:kern w:val="0"/>
                <w:sz w:val="18"/>
                <w:szCs w:val="18"/>
                <w:lang w:val="en-US" w:eastAsia="zh-CN"/>
              </w:rPr>
              <w:t>0.9</w:t>
            </w: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31010</w:t>
            </w:r>
          </w:p>
        </w:tc>
        <w:tc>
          <w:tcPr>
            <w:tcW w:w="4394"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安置补助</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30199</w:t>
            </w:r>
          </w:p>
        </w:tc>
        <w:tc>
          <w:tcPr>
            <w:tcW w:w="330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其他工资福利支出</w:t>
            </w:r>
          </w:p>
        </w:tc>
        <w:tc>
          <w:tcPr>
            <w:tcW w:w="856" w:type="dxa"/>
            <w:tcBorders>
              <w:top w:val="nil"/>
              <w:left w:val="nil"/>
              <w:bottom w:val="single" w:color="auto" w:sz="8" w:space="0"/>
              <w:right w:val="single" w:color="auto" w:sz="8" w:space="0"/>
            </w:tcBorders>
            <w:shd w:val="clear" w:color="auto" w:fill="auto"/>
            <w:noWrap/>
          </w:tcPr>
          <w:p>
            <w:pPr>
              <w:widowControl/>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rPr>
              <w:t>　</w:t>
            </w:r>
            <w:r>
              <w:rPr>
                <w:rFonts w:hint="eastAsia" w:ascii="仿宋_GB2312" w:hAnsi="宋体" w:eastAsia="仿宋_GB2312" w:cs="宋体"/>
                <w:color w:val="000000"/>
                <w:kern w:val="0"/>
                <w:sz w:val="18"/>
                <w:szCs w:val="18"/>
                <w:lang w:val="en-US" w:eastAsia="zh-CN"/>
              </w:rPr>
              <w:t>10.9</w:t>
            </w:r>
          </w:p>
        </w:tc>
        <w:tc>
          <w:tcPr>
            <w:tcW w:w="1110"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30214</w:t>
            </w:r>
          </w:p>
        </w:tc>
        <w:tc>
          <w:tcPr>
            <w:tcW w:w="2297"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租赁费</w:t>
            </w:r>
          </w:p>
        </w:tc>
        <w:tc>
          <w:tcPr>
            <w:tcW w:w="856"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31011</w:t>
            </w:r>
          </w:p>
        </w:tc>
        <w:tc>
          <w:tcPr>
            <w:tcW w:w="4394"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地上附着物和青苗补偿</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303</w:t>
            </w:r>
          </w:p>
        </w:tc>
        <w:tc>
          <w:tcPr>
            <w:tcW w:w="3306"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对个人和家庭的补助</w:t>
            </w:r>
          </w:p>
        </w:tc>
        <w:tc>
          <w:tcPr>
            <w:tcW w:w="856" w:type="dxa"/>
            <w:tcBorders>
              <w:top w:val="nil"/>
              <w:left w:val="nil"/>
              <w:bottom w:val="single" w:color="auto" w:sz="8" w:space="0"/>
              <w:right w:val="single" w:color="auto" w:sz="8" w:space="0"/>
            </w:tcBorders>
            <w:shd w:val="clear" w:color="auto" w:fill="auto"/>
            <w:noWrap/>
          </w:tcPr>
          <w:p>
            <w:pPr>
              <w:widowControl/>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rPr>
              <w:t>　</w:t>
            </w:r>
            <w:r>
              <w:rPr>
                <w:rFonts w:hint="eastAsia" w:ascii="仿宋_GB2312" w:hAnsi="宋体" w:eastAsia="仿宋_GB2312" w:cs="宋体"/>
                <w:color w:val="000000"/>
                <w:kern w:val="0"/>
                <w:sz w:val="18"/>
                <w:szCs w:val="18"/>
                <w:lang w:val="en-US" w:eastAsia="zh-CN"/>
              </w:rPr>
              <w:t>14.02</w:t>
            </w:r>
          </w:p>
        </w:tc>
        <w:tc>
          <w:tcPr>
            <w:tcW w:w="1110"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30215</w:t>
            </w:r>
          </w:p>
        </w:tc>
        <w:tc>
          <w:tcPr>
            <w:tcW w:w="2297"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会议费</w:t>
            </w:r>
          </w:p>
        </w:tc>
        <w:tc>
          <w:tcPr>
            <w:tcW w:w="856"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31012</w:t>
            </w:r>
          </w:p>
        </w:tc>
        <w:tc>
          <w:tcPr>
            <w:tcW w:w="4394"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拆迁补偿</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30301</w:t>
            </w:r>
          </w:p>
        </w:tc>
        <w:tc>
          <w:tcPr>
            <w:tcW w:w="330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离休费</w:t>
            </w:r>
          </w:p>
        </w:tc>
        <w:tc>
          <w:tcPr>
            <w:tcW w:w="856"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110"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30216</w:t>
            </w:r>
          </w:p>
        </w:tc>
        <w:tc>
          <w:tcPr>
            <w:tcW w:w="2297"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培训费</w:t>
            </w:r>
          </w:p>
        </w:tc>
        <w:tc>
          <w:tcPr>
            <w:tcW w:w="856"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31013</w:t>
            </w:r>
          </w:p>
        </w:tc>
        <w:tc>
          <w:tcPr>
            <w:tcW w:w="4394"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公务用车购置</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30302</w:t>
            </w:r>
          </w:p>
        </w:tc>
        <w:tc>
          <w:tcPr>
            <w:tcW w:w="330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退休费</w:t>
            </w:r>
          </w:p>
        </w:tc>
        <w:tc>
          <w:tcPr>
            <w:tcW w:w="856" w:type="dxa"/>
            <w:tcBorders>
              <w:top w:val="nil"/>
              <w:left w:val="nil"/>
              <w:bottom w:val="single" w:color="auto" w:sz="8" w:space="0"/>
              <w:right w:val="single" w:color="auto" w:sz="8" w:space="0"/>
            </w:tcBorders>
            <w:shd w:val="clear" w:color="auto" w:fill="auto"/>
            <w:noWrap/>
          </w:tcPr>
          <w:p>
            <w:pPr>
              <w:widowControl/>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rPr>
              <w:t>　</w:t>
            </w:r>
            <w:r>
              <w:rPr>
                <w:rFonts w:hint="eastAsia" w:ascii="仿宋_GB2312" w:hAnsi="宋体" w:eastAsia="仿宋_GB2312" w:cs="宋体"/>
                <w:color w:val="000000"/>
                <w:kern w:val="0"/>
                <w:sz w:val="18"/>
                <w:szCs w:val="18"/>
                <w:lang w:val="en-US" w:eastAsia="zh-CN"/>
              </w:rPr>
              <w:t>14.02</w:t>
            </w:r>
          </w:p>
        </w:tc>
        <w:tc>
          <w:tcPr>
            <w:tcW w:w="1110"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30217</w:t>
            </w:r>
          </w:p>
        </w:tc>
        <w:tc>
          <w:tcPr>
            <w:tcW w:w="2297"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公务接待费</w:t>
            </w:r>
          </w:p>
        </w:tc>
        <w:tc>
          <w:tcPr>
            <w:tcW w:w="856" w:type="dxa"/>
            <w:tcBorders>
              <w:top w:val="nil"/>
              <w:left w:val="nil"/>
              <w:bottom w:val="single" w:color="auto" w:sz="8" w:space="0"/>
              <w:right w:val="single" w:color="auto" w:sz="8" w:space="0"/>
            </w:tcBorders>
            <w:shd w:val="clear" w:color="auto" w:fill="auto"/>
            <w:noWrap/>
          </w:tcPr>
          <w:p>
            <w:pPr>
              <w:widowControl/>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rPr>
              <w:t>　</w:t>
            </w:r>
            <w:r>
              <w:rPr>
                <w:rFonts w:hint="eastAsia" w:ascii="仿宋_GB2312" w:hAnsi="宋体" w:eastAsia="仿宋_GB2312" w:cs="宋体"/>
                <w:color w:val="000000"/>
                <w:kern w:val="0"/>
                <w:sz w:val="18"/>
                <w:szCs w:val="18"/>
                <w:lang w:val="en-US" w:eastAsia="zh-CN"/>
              </w:rPr>
              <w:t>0.6</w:t>
            </w: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31019</w:t>
            </w:r>
          </w:p>
        </w:tc>
        <w:tc>
          <w:tcPr>
            <w:tcW w:w="4394"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其他交通工具购置</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30303</w:t>
            </w:r>
          </w:p>
        </w:tc>
        <w:tc>
          <w:tcPr>
            <w:tcW w:w="330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退职（役）费</w:t>
            </w:r>
          </w:p>
        </w:tc>
        <w:tc>
          <w:tcPr>
            <w:tcW w:w="856"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110"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30218</w:t>
            </w:r>
          </w:p>
        </w:tc>
        <w:tc>
          <w:tcPr>
            <w:tcW w:w="2297"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专用材料费</w:t>
            </w:r>
          </w:p>
        </w:tc>
        <w:tc>
          <w:tcPr>
            <w:tcW w:w="856"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31021</w:t>
            </w:r>
          </w:p>
        </w:tc>
        <w:tc>
          <w:tcPr>
            <w:tcW w:w="4394"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文物和陈列品购置</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30304</w:t>
            </w:r>
          </w:p>
        </w:tc>
        <w:tc>
          <w:tcPr>
            <w:tcW w:w="330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抚恤金</w:t>
            </w:r>
          </w:p>
        </w:tc>
        <w:tc>
          <w:tcPr>
            <w:tcW w:w="856"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110"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30224</w:t>
            </w:r>
          </w:p>
        </w:tc>
        <w:tc>
          <w:tcPr>
            <w:tcW w:w="2297"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被装购置费</w:t>
            </w:r>
          </w:p>
        </w:tc>
        <w:tc>
          <w:tcPr>
            <w:tcW w:w="856"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31022</w:t>
            </w:r>
          </w:p>
        </w:tc>
        <w:tc>
          <w:tcPr>
            <w:tcW w:w="4394"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无形资产购置</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30305</w:t>
            </w:r>
          </w:p>
        </w:tc>
        <w:tc>
          <w:tcPr>
            <w:tcW w:w="330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生活补助</w:t>
            </w:r>
          </w:p>
        </w:tc>
        <w:tc>
          <w:tcPr>
            <w:tcW w:w="856"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110"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30225</w:t>
            </w:r>
          </w:p>
        </w:tc>
        <w:tc>
          <w:tcPr>
            <w:tcW w:w="2297"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专用燃料费</w:t>
            </w:r>
          </w:p>
        </w:tc>
        <w:tc>
          <w:tcPr>
            <w:tcW w:w="856"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31099</w:t>
            </w:r>
          </w:p>
        </w:tc>
        <w:tc>
          <w:tcPr>
            <w:tcW w:w="4394"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其他资本性支出</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30306</w:t>
            </w:r>
          </w:p>
        </w:tc>
        <w:tc>
          <w:tcPr>
            <w:tcW w:w="330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救济费</w:t>
            </w:r>
          </w:p>
        </w:tc>
        <w:tc>
          <w:tcPr>
            <w:tcW w:w="856"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110"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30226</w:t>
            </w:r>
          </w:p>
        </w:tc>
        <w:tc>
          <w:tcPr>
            <w:tcW w:w="2297"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劳务费</w:t>
            </w:r>
          </w:p>
        </w:tc>
        <w:tc>
          <w:tcPr>
            <w:tcW w:w="856" w:type="dxa"/>
            <w:tcBorders>
              <w:top w:val="nil"/>
              <w:left w:val="nil"/>
              <w:bottom w:val="single" w:color="auto" w:sz="8" w:space="0"/>
              <w:right w:val="single" w:color="auto" w:sz="8" w:space="0"/>
            </w:tcBorders>
            <w:shd w:val="clear" w:color="auto" w:fill="auto"/>
            <w:noWrap/>
          </w:tcPr>
          <w:p>
            <w:pPr>
              <w:widowControl/>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rPr>
              <w:t>　</w:t>
            </w:r>
            <w:r>
              <w:rPr>
                <w:rFonts w:hint="eastAsia" w:ascii="仿宋_GB2312" w:hAnsi="宋体" w:eastAsia="仿宋_GB2312" w:cs="宋体"/>
                <w:color w:val="000000"/>
                <w:kern w:val="0"/>
                <w:sz w:val="18"/>
                <w:szCs w:val="18"/>
                <w:lang w:val="en-US" w:eastAsia="zh-CN"/>
              </w:rPr>
              <w:t>0.9</w:t>
            </w: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399</w:t>
            </w:r>
          </w:p>
        </w:tc>
        <w:tc>
          <w:tcPr>
            <w:tcW w:w="4394"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其他支出</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30307</w:t>
            </w:r>
          </w:p>
        </w:tc>
        <w:tc>
          <w:tcPr>
            <w:tcW w:w="330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医疗费补助</w:t>
            </w:r>
          </w:p>
        </w:tc>
        <w:tc>
          <w:tcPr>
            <w:tcW w:w="856"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110"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30227</w:t>
            </w:r>
          </w:p>
        </w:tc>
        <w:tc>
          <w:tcPr>
            <w:tcW w:w="2297"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委托业务费</w:t>
            </w:r>
          </w:p>
        </w:tc>
        <w:tc>
          <w:tcPr>
            <w:tcW w:w="856"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39906</w:t>
            </w:r>
          </w:p>
        </w:tc>
        <w:tc>
          <w:tcPr>
            <w:tcW w:w="4394"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赠与</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2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30308</w:t>
            </w:r>
          </w:p>
        </w:tc>
        <w:tc>
          <w:tcPr>
            <w:tcW w:w="330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助学金</w:t>
            </w:r>
          </w:p>
        </w:tc>
        <w:tc>
          <w:tcPr>
            <w:tcW w:w="856"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1110"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30228</w:t>
            </w:r>
          </w:p>
        </w:tc>
        <w:tc>
          <w:tcPr>
            <w:tcW w:w="2297"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工会经费</w:t>
            </w:r>
          </w:p>
        </w:tc>
        <w:tc>
          <w:tcPr>
            <w:tcW w:w="856" w:type="dxa"/>
            <w:tcBorders>
              <w:top w:val="nil"/>
              <w:left w:val="nil"/>
              <w:bottom w:val="single" w:color="auto" w:sz="8" w:space="0"/>
              <w:right w:val="single" w:color="auto" w:sz="8" w:space="0"/>
            </w:tcBorders>
            <w:shd w:val="clear" w:color="auto" w:fill="auto"/>
            <w:noWrap/>
          </w:tcPr>
          <w:p>
            <w:pPr>
              <w:widowControl/>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rPr>
              <w:t>　</w:t>
            </w:r>
            <w:r>
              <w:rPr>
                <w:rFonts w:hint="eastAsia" w:ascii="仿宋_GB2312" w:hAnsi="宋体" w:eastAsia="仿宋_GB2312" w:cs="宋体"/>
                <w:color w:val="000000"/>
                <w:kern w:val="0"/>
                <w:sz w:val="18"/>
                <w:szCs w:val="18"/>
                <w:lang w:val="en-US" w:eastAsia="zh-CN"/>
              </w:rPr>
              <w:t>3.39</w:t>
            </w: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39907</w:t>
            </w:r>
          </w:p>
        </w:tc>
        <w:tc>
          <w:tcPr>
            <w:tcW w:w="4394"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国家赔偿费用支出</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30309</w:t>
            </w:r>
          </w:p>
        </w:tc>
        <w:tc>
          <w:tcPr>
            <w:tcW w:w="330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奖励金</w:t>
            </w:r>
          </w:p>
        </w:tc>
        <w:tc>
          <w:tcPr>
            <w:tcW w:w="85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1110"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30229</w:t>
            </w:r>
          </w:p>
        </w:tc>
        <w:tc>
          <w:tcPr>
            <w:tcW w:w="2297"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福利费</w:t>
            </w:r>
          </w:p>
        </w:tc>
        <w:tc>
          <w:tcPr>
            <w:tcW w:w="85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39908</w:t>
            </w:r>
          </w:p>
        </w:tc>
        <w:tc>
          <w:tcPr>
            <w:tcW w:w="4394"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对民间非营利组织和群众性自治组织补贴</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30310</w:t>
            </w:r>
          </w:p>
        </w:tc>
        <w:tc>
          <w:tcPr>
            <w:tcW w:w="330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个人农业生产补贴</w:t>
            </w:r>
          </w:p>
        </w:tc>
        <w:tc>
          <w:tcPr>
            <w:tcW w:w="85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1110"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30231</w:t>
            </w:r>
          </w:p>
        </w:tc>
        <w:tc>
          <w:tcPr>
            <w:tcW w:w="2297"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公务用车运行维护费</w:t>
            </w:r>
          </w:p>
        </w:tc>
        <w:tc>
          <w:tcPr>
            <w:tcW w:w="85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39999</w:t>
            </w:r>
          </w:p>
        </w:tc>
        <w:tc>
          <w:tcPr>
            <w:tcW w:w="4394"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其他支出</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single" w:color="auto" w:sz="8" w:space="0"/>
              <w:left w:val="single" w:color="auto" w:sz="8" w:space="0"/>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30399</w:t>
            </w:r>
          </w:p>
        </w:tc>
        <w:tc>
          <w:tcPr>
            <w:tcW w:w="3306" w:type="dxa"/>
            <w:tcBorders>
              <w:top w:val="single" w:color="auto" w:sz="8" w:space="0"/>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xml:space="preserve">  </w:t>
            </w:r>
            <w:r>
              <w:rPr>
                <w:rFonts w:hint="eastAsia" w:ascii="仿宋_GB2312" w:hAnsi="Times New Roman" w:eastAsia="仿宋_GB2312" w:cs="Times New Roman"/>
                <w:color w:val="000000"/>
                <w:kern w:val="0"/>
                <w:sz w:val="18"/>
                <w:szCs w:val="18"/>
              </w:rPr>
              <w:t>对其他个人和家庭的补助支出</w:t>
            </w:r>
          </w:p>
        </w:tc>
        <w:tc>
          <w:tcPr>
            <w:tcW w:w="856" w:type="dxa"/>
            <w:tcBorders>
              <w:top w:val="single" w:color="auto" w:sz="8" w:space="0"/>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1110" w:type="dxa"/>
            <w:tcBorders>
              <w:top w:val="single" w:color="auto" w:sz="8" w:space="0"/>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30239</w:t>
            </w:r>
          </w:p>
        </w:tc>
        <w:tc>
          <w:tcPr>
            <w:tcW w:w="2297" w:type="dxa"/>
            <w:tcBorders>
              <w:top w:val="single" w:color="auto" w:sz="8" w:space="0"/>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其他交通费用</w:t>
            </w:r>
          </w:p>
        </w:tc>
        <w:tc>
          <w:tcPr>
            <w:tcW w:w="856" w:type="dxa"/>
            <w:tcBorders>
              <w:top w:val="single" w:color="auto" w:sz="8" w:space="0"/>
              <w:left w:val="nil"/>
              <w:bottom w:val="single" w:color="auto" w:sz="8" w:space="0"/>
              <w:right w:val="single" w:color="auto" w:sz="8" w:space="0"/>
            </w:tcBorders>
            <w:shd w:val="clear" w:color="auto" w:fill="auto"/>
            <w:noWrap/>
          </w:tcPr>
          <w:p>
            <w:pPr>
              <w:widowControl/>
              <w:rPr>
                <w:rFonts w:hint="default" w:ascii="Times New Roman" w:hAnsi="Times New Roman" w:eastAsia="宋体" w:cs="Times New Roman"/>
                <w:color w:val="000000"/>
                <w:kern w:val="0"/>
                <w:sz w:val="18"/>
                <w:szCs w:val="18"/>
                <w:lang w:val="en-US" w:eastAsia="zh-CN"/>
              </w:rPr>
            </w:pPr>
            <w:r>
              <w:rPr>
                <w:rFonts w:ascii="Times New Roman" w:hAnsi="Times New Roman" w:eastAsia="宋体" w:cs="Times New Roman"/>
                <w:color w:val="000000"/>
                <w:kern w:val="0"/>
                <w:sz w:val="18"/>
                <w:szCs w:val="18"/>
              </w:rPr>
              <w:t>　</w:t>
            </w:r>
            <w:r>
              <w:rPr>
                <w:rFonts w:hint="eastAsia" w:ascii="Times New Roman" w:hAnsi="Times New Roman" w:eastAsia="宋体" w:cs="Times New Roman"/>
                <w:color w:val="000000"/>
                <w:kern w:val="0"/>
                <w:sz w:val="18"/>
                <w:szCs w:val="18"/>
                <w:lang w:val="en-US" w:eastAsia="zh-CN"/>
              </w:rPr>
              <w:t>0.67</w:t>
            </w:r>
          </w:p>
        </w:tc>
        <w:tc>
          <w:tcPr>
            <w:tcW w:w="1076" w:type="dxa"/>
            <w:tcBorders>
              <w:top w:val="single" w:color="auto" w:sz="8" w:space="0"/>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394" w:type="dxa"/>
            <w:tcBorders>
              <w:top w:val="single" w:color="auto" w:sz="8" w:space="0"/>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856" w:type="dxa"/>
            <w:tcBorders>
              <w:top w:val="single" w:color="auto" w:sz="8" w:space="0"/>
              <w:left w:val="nil"/>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330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85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1110"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30240</w:t>
            </w:r>
          </w:p>
        </w:tc>
        <w:tc>
          <w:tcPr>
            <w:tcW w:w="2297"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税金及附加费用</w:t>
            </w:r>
          </w:p>
        </w:tc>
        <w:tc>
          <w:tcPr>
            <w:tcW w:w="85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394"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1149" w:type="dxa"/>
            <w:tcBorders>
              <w:top w:val="nil"/>
              <w:left w:val="single" w:color="auto" w:sz="8" w:space="0"/>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330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85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1110"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30299</w:t>
            </w:r>
          </w:p>
        </w:tc>
        <w:tc>
          <w:tcPr>
            <w:tcW w:w="2297"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其他商品和服务支出</w:t>
            </w:r>
          </w:p>
        </w:tc>
        <w:tc>
          <w:tcPr>
            <w:tcW w:w="856" w:type="dxa"/>
            <w:tcBorders>
              <w:top w:val="nil"/>
              <w:left w:val="nil"/>
              <w:bottom w:val="single" w:color="auto" w:sz="8" w:space="0"/>
              <w:right w:val="single" w:color="auto" w:sz="8" w:space="0"/>
            </w:tcBorders>
            <w:shd w:val="clear" w:color="auto" w:fill="auto"/>
            <w:noWrap/>
          </w:tcPr>
          <w:p>
            <w:pPr>
              <w:widowControl/>
              <w:rPr>
                <w:rFonts w:hint="default" w:ascii="Times New Roman" w:hAnsi="Times New Roman" w:eastAsia="宋体" w:cs="Times New Roman"/>
                <w:color w:val="000000"/>
                <w:kern w:val="0"/>
                <w:sz w:val="18"/>
                <w:szCs w:val="18"/>
                <w:lang w:val="en-US" w:eastAsia="zh-CN"/>
              </w:rPr>
            </w:pPr>
            <w:r>
              <w:rPr>
                <w:rFonts w:ascii="Times New Roman" w:hAnsi="Times New Roman" w:eastAsia="宋体" w:cs="Times New Roman"/>
                <w:color w:val="000000"/>
                <w:kern w:val="0"/>
                <w:sz w:val="18"/>
                <w:szCs w:val="18"/>
              </w:rPr>
              <w:t>　</w:t>
            </w:r>
            <w:r>
              <w:rPr>
                <w:rFonts w:hint="eastAsia" w:ascii="Times New Roman" w:hAnsi="Times New Roman" w:eastAsia="宋体" w:cs="Times New Roman"/>
                <w:color w:val="000000"/>
                <w:kern w:val="0"/>
                <w:sz w:val="18"/>
                <w:szCs w:val="18"/>
                <w:lang w:val="en-US" w:eastAsia="zh-CN"/>
              </w:rPr>
              <w:t>0.16</w:t>
            </w:r>
          </w:p>
        </w:tc>
        <w:tc>
          <w:tcPr>
            <w:tcW w:w="1076" w:type="dxa"/>
            <w:tcBorders>
              <w:top w:val="nil"/>
              <w:left w:val="nil"/>
              <w:bottom w:val="single" w:color="auto" w:sz="8" w:space="0"/>
              <w:right w:val="single" w:color="auto" w:sz="8" w:space="0"/>
            </w:tcBorders>
            <w:shd w:val="clear" w:color="auto" w:fill="auto"/>
            <w:noWrap/>
          </w:tcPr>
          <w:p>
            <w:pPr>
              <w:widowControl/>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4394" w:type="dxa"/>
            <w:tcBorders>
              <w:top w:val="nil"/>
              <w:left w:val="nil"/>
              <w:bottom w:val="single" w:color="auto" w:sz="8" w:space="0"/>
              <w:right w:val="single" w:color="auto" w:sz="8" w:space="0"/>
            </w:tcBorders>
            <w:shd w:val="clear" w:color="auto" w:fill="auto"/>
            <w:noWrap/>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w:t>
            </w:r>
          </w:p>
        </w:tc>
      </w:tr>
      <w:tr>
        <w:tblPrEx>
          <w:tblCellMar>
            <w:top w:w="0" w:type="dxa"/>
            <w:left w:w="108" w:type="dxa"/>
            <w:bottom w:w="0" w:type="dxa"/>
            <w:right w:w="108" w:type="dxa"/>
          </w:tblCellMar>
        </w:tblPrEx>
        <w:trPr>
          <w:trHeight w:val="255" w:hRule="exact"/>
        </w:trPr>
        <w:tc>
          <w:tcPr>
            <w:tcW w:w="4455" w:type="dxa"/>
            <w:gridSpan w:val="2"/>
            <w:tcBorders>
              <w:top w:val="nil"/>
              <w:left w:val="single" w:color="auto" w:sz="8" w:space="0"/>
              <w:bottom w:val="single" w:color="auto" w:sz="8" w:space="0"/>
              <w:right w:val="single" w:color="auto" w:sz="8" w:space="0"/>
            </w:tcBorders>
            <w:shd w:val="clear" w:color="auto" w:fill="auto"/>
            <w:noWrap/>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人员经费合计</w:t>
            </w:r>
          </w:p>
        </w:tc>
        <w:tc>
          <w:tcPr>
            <w:tcW w:w="856" w:type="dxa"/>
            <w:tcBorders>
              <w:top w:val="nil"/>
              <w:left w:val="nil"/>
              <w:bottom w:val="single" w:color="auto" w:sz="8" w:space="0"/>
              <w:right w:val="single" w:color="auto" w:sz="8" w:space="0"/>
            </w:tcBorders>
            <w:shd w:val="clear" w:color="auto" w:fill="auto"/>
            <w:noWrap/>
            <w:vAlign w:val="center"/>
          </w:tcPr>
          <w:p>
            <w:pPr>
              <w:widowControl/>
              <w:rPr>
                <w:rFonts w:hint="default" w:ascii="Times New Roman" w:hAnsi="Times New Roman" w:eastAsia="宋体" w:cs="Times New Roman"/>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441.58</w:t>
            </w:r>
          </w:p>
        </w:tc>
        <w:tc>
          <w:tcPr>
            <w:tcW w:w="9733" w:type="dxa"/>
            <w:gridSpan w:val="5"/>
            <w:tcBorders>
              <w:top w:val="nil"/>
              <w:left w:val="nil"/>
              <w:bottom w:val="single" w:color="auto" w:sz="8" w:space="0"/>
              <w:right w:val="single" w:color="auto" w:sz="8" w:space="0"/>
            </w:tcBorders>
            <w:shd w:val="clear" w:color="auto" w:fill="auto"/>
            <w:noWrap/>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公用经费合计</w:t>
            </w:r>
          </w:p>
        </w:tc>
        <w:tc>
          <w:tcPr>
            <w:tcW w:w="856" w:type="dxa"/>
            <w:tcBorders>
              <w:top w:val="nil"/>
              <w:left w:val="nil"/>
              <w:bottom w:val="single" w:color="auto" w:sz="8" w:space="0"/>
              <w:right w:val="single" w:color="auto" w:sz="8" w:space="0"/>
            </w:tcBorders>
            <w:shd w:val="clear" w:color="auto" w:fill="auto"/>
            <w:vAlign w:val="center"/>
          </w:tcPr>
          <w:p>
            <w:pPr>
              <w:widowControl/>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lang w:val="en-US" w:eastAsia="zh-CN"/>
              </w:rPr>
              <w:t>11.74</w:t>
            </w:r>
          </w:p>
        </w:tc>
      </w:tr>
    </w:tbl>
    <w:p>
      <w:pPr>
        <w:widowControl/>
        <w:jc w:val="left"/>
        <w:rPr>
          <w:rFonts w:ascii="黑体" w:hAnsi="黑体" w:eastAsia="黑体"/>
          <w:szCs w:val="21"/>
        </w:rPr>
      </w:pPr>
      <w:r>
        <w:rPr>
          <w:rFonts w:hint="eastAsia" w:ascii="黑体" w:hAnsi="黑体" w:eastAsia="黑体"/>
          <w:szCs w:val="21"/>
        </w:rPr>
        <w:t>注：本表反映部门年度一般公共预算财政拨款基本支出明细情况。</w:t>
      </w:r>
      <w:r>
        <w:rPr>
          <w:rFonts w:ascii="黑体" w:hAnsi="黑体" w:eastAsia="黑体"/>
          <w:szCs w:val="21"/>
        </w:rPr>
        <w:br w:type="page"/>
      </w:r>
    </w:p>
    <w:p>
      <w:pPr>
        <w:widowControl/>
        <w:jc w:val="center"/>
        <w:rPr>
          <w:rFonts w:ascii="Times New Roman" w:hAnsi="Times New Roman" w:eastAsia="方正小标宋_GBK" w:cs="Times New Roman"/>
          <w:color w:val="000000"/>
          <w:kern w:val="0"/>
          <w:sz w:val="36"/>
          <w:szCs w:val="36"/>
        </w:rPr>
      </w:pPr>
      <w:r>
        <w:rPr>
          <w:rFonts w:hint="eastAsia" w:ascii="Times New Roman" w:hAnsi="Times New Roman" w:eastAsia="方正小标宋_GBK" w:cs="Times New Roman"/>
          <w:color w:val="000000"/>
          <w:kern w:val="0"/>
          <w:sz w:val="36"/>
          <w:szCs w:val="36"/>
        </w:rPr>
        <w:t>一般公共预算财政拨款“三公”经费支出决算表</w:t>
      </w:r>
    </w:p>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xml:space="preserve">部门： </w:t>
      </w:r>
      <w:r>
        <w:rPr>
          <w:rFonts w:hint="eastAsia" w:ascii="Times New Roman" w:hAnsi="Times New Roman" w:eastAsia="仿宋_GB2312" w:cs="Times New Roman"/>
          <w:color w:val="000000"/>
          <w:kern w:val="0"/>
          <w:sz w:val="20"/>
          <w:szCs w:val="20"/>
          <w:lang w:val="en-US" w:eastAsia="zh-CN"/>
        </w:rPr>
        <w:t>新田县医疗保障局</w:t>
      </w:r>
      <w:r>
        <w:rPr>
          <w:rFonts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 w:val="20"/>
          <w:szCs w:val="20"/>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w:t>
      </w:r>
      <w:r>
        <w:rPr>
          <w:rFonts w:hint="eastAsia" w:ascii="Times New Roman" w:hAnsi="Times New Roman" w:eastAsia="仿宋_GB2312" w:cs="Times New Roman"/>
          <w:color w:val="000000"/>
          <w:kern w:val="0"/>
          <w:szCs w:val="21"/>
        </w:rPr>
        <w:t>7</w:t>
      </w:r>
      <w:r>
        <w:rPr>
          <w:rFonts w:ascii="Times New Roman" w:hAnsi="Times New Roman" w:eastAsia="仿宋_GB2312" w:cs="Times New Roman"/>
          <w:color w:val="000000"/>
          <w:kern w:val="0"/>
          <w:szCs w:val="21"/>
        </w:rPr>
        <w:t>表</w:t>
      </w:r>
    </w:p>
    <w:p>
      <w:pPr>
        <w:widowControl/>
        <w:ind w:right="42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5"/>
        <w:tblW w:w="14640" w:type="dxa"/>
        <w:jc w:val="center"/>
        <w:tblLayout w:type="autofit"/>
        <w:tblCellMar>
          <w:top w:w="0" w:type="dxa"/>
          <w:left w:w="108" w:type="dxa"/>
          <w:bottom w:w="0" w:type="dxa"/>
          <w:right w:w="108" w:type="dxa"/>
        </w:tblCellMar>
      </w:tblPr>
      <w:tblGrid>
        <w:gridCol w:w="1220"/>
        <w:gridCol w:w="1220"/>
        <w:gridCol w:w="1220"/>
        <w:gridCol w:w="1220"/>
        <w:gridCol w:w="1220"/>
        <w:gridCol w:w="1220"/>
        <w:gridCol w:w="1220"/>
        <w:gridCol w:w="1220"/>
        <w:gridCol w:w="1220"/>
        <w:gridCol w:w="1220"/>
        <w:gridCol w:w="1220"/>
        <w:gridCol w:w="1220"/>
      </w:tblGrid>
      <w:tr>
        <w:tblPrEx>
          <w:tblCellMar>
            <w:top w:w="0" w:type="dxa"/>
            <w:left w:w="108" w:type="dxa"/>
            <w:bottom w:w="0" w:type="dxa"/>
            <w:right w:w="108" w:type="dxa"/>
          </w:tblCellMar>
        </w:tblPrEx>
        <w:trPr>
          <w:trHeight w:val="397" w:hRule="atLeast"/>
          <w:jc w:val="center"/>
        </w:trPr>
        <w:tc>
          <w:tcPr>
            <w:tcW w:w="7320" w:type="dxa"/>
            <w:gridSpan w:val="6"/>
            <w:tcBorders>
              <w:top w:val="single" w:color="auto" w:sz="8" w:space="0"/>
              <w:left w:val="single" w:color="auto" w:sz="8" w:space="0"/>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预算数</w:t>
            </w:r>
          </w:p>
        </w:tc>
        <w:tc>
          <w:tcPr>
            <w:tcW w:w="7320" w:type="dxa"/>
            <w:gridSpan w:val="6"/>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决算数</w:t>
            </w:r>
          </w:p>
        </w:tc>
      </w:tr>
      <w:tr>
        <w:tblPrEx>
          <w:tblCellMar>
            <w:top w:w="0" w:type="dxa"/>
            <w:left w:w="108" w:type="dxa"/>
            <w:bottom w:w="0" w:type="dxa"/>
            <w:right w:w="108" w:type="dxa"/>
          </w:tblCellMar>
        </w:tblPrEx>
        <w:trPr>
          <w:trHeight w:val="397" w:hRule="atLeast"/>
          <w:jc w:val="center"/>
        </w:trPr>
        <w:tc>
          <w:tcPr>
            <w:tcW w:w="1220" w:type="dxa"/>
            <w:vMerge w:val="restart"/>
            <w:tcBorders>
              <w:top w:val="nil"/>
              <w:left w:val="single" w:color="auto" w:sz="8"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c>
          <w:tcPr>
            <w:tcW w:w="1220" w:type="dxa"/>
            <w:vMerge w:val="restart"/>
            <w:tcBorders>
              <w:top w:val="nil"/>
              <w:left w:val="nil"/>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r>
      <w:tr>
        <w:tblPrEx>
          <w:tblCellMar>
            <w:top w:w="0" w:type="dxa"/>
            <w:left w:w="108" w:type="dxa"/>
            <w:bottom w:w="0" w:type="dxa"/>
            <w:right w:w="108" w:type="dxa"/>
          </w:tblCellMar>
        </w:tblPrEx>
        <w:trPr>
          <w:trHeight w:val="397" w:hRule="atLeast"/>
          <w:jc w:val="center"/>
        </w:trPr>
        <w:tc>
          <w:tcPr>
            <w:tcW w:w="1220" w:type="dxa"/>
            <w:vMerge w:val="continue"/>
            <w:tcBorders>
              <w:top w:val="nil"/>
              <w:left w:val="single" w:color="auto" w:sz="8"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公务用车</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公务用车</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nil"/>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公务用车</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eastAsia="zh-CN"/>
              </w:rPr>
            </w:pPr>
            <w:r>
              <w:rPr>
                <w:rFonts w:ascii="Times New Roman" w:hAnsi="Times New Roman" w:eastAsia="仿宋_GB2312" w:cs="Times New Roman"/>
                <w:kern w:val="0"/>
                <w:szCs w:val="21"/>
              </w:rPr>
              <w:t>公务用车</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8</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9</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11</w:t>
            </w:r>
          </w:p>
        </w:tc>
        <w:tc>
          <w:tcPr>
            <w:tcW w:w="122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12</w:t>
            </w: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8" w:space="0"/>
              <w:right w:val="single" w:color="auto" w:sz="4" w:space="0"/>
            </w:tcBorders>
            <w:shd w:val="clear" w:color="auto" w:fill="auto"/>
            <w:vAlign w:val="center"/>
          </w:tcPr>
          <w:p>
            <w:pPr>
              <w:widowControl/>
              <w:ind w:firstLine="420" w:firstLineChars="200"/>
              <w:jc w:val="left"/>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5.5</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hint="eastAsia"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0</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hint="eastAsia"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0</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hint="eastAsia"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0</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hint="eastAsia"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0</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 xml:space="preserve"> 5.5</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5.47</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hint="eastAsia"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0</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hint="eastAsia"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0</w:t>
            </w:r>
          </w:p>
        </w:tc>
        <w:tc>
          <w:tcPr>
            <w:tcW w:w="1220" w:type="dxa"/>
            <w:tcBorders>
              <w:top w:val="nil"/>
              <w:left w:val="nil"/>
              <w:bottom w:val="single" w:color="auto" w:sz="8" w:space="0"/>
              <w:right w:val="single" w:color="auto" w:sz="4" w:space="0"/>
            </w:tcBorders>
            <w:shd w:val="clear" w:color="auto" w:fill="auto"/>
            <w:vAlign w:val="center"/>
          </w:tcPr>
          <w:p>
            <w:pPr>
              <w:widowControl/>
              <w:jc w:val="left"/>
              <w:rPr>
                <w:rFonts w:hint="eastAsia"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0</w:t>
            </w:r>
          </w:p>
        </w:tc>
        <w:tc>
          <w:tcPr>
            <w:tcW w:w="1220" w:type="dxa"/>
            <w:tcBorders>
              <w:top w:val="nil"/>
              <w:left w:val="nil"/>
              <w:bottom w:val="single" w:color="auto" w:sz="8" w:space="0"/>
              <w:right w:val="nil"/>
            </w:tcBorders>
            <w:shd w:val="clear" w:color="auto" w:fill="auto"/>
            <w:vAlign w:val="center"/>
          </w:tcPr>
          <w:p>
            <w:pPr>
              <w:widowControl/>
              <w:jc w:val="left"/>
              <w:rPr>
                <w:rFonts w:hint="eastAsia"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0</w:t>
            </w:r>
          </w:p>
        </w:tc>
        <w:tc>
          <w:tcPr>
            <w:tcW w:w="1220" w:type="dxa"/>
            <w:tcBorders>
              <w:top w:val="nil"/>
              <w:left w:val="single" w:color="auto" w:sz="4" w:space="0"/>
              <w:bottom w:val="single" w:color="auto" w:sz="8" w:space="0"/>
              <w:right w:val="single" w:color="auto" w:sz="8" w:space="0"/>
            </w:tcBorders>
            <w:shd w:val="clear" w:color="auto" w:fill="auto"/>
            <w:vAlign w:val="center"/>
          </w:tcPr>
          <w:p>
            <w:pPr>
              <w:widowControl/>
              <w:jc w:val="left"/>
              <w:rPr>
                <w:rFonts w:hint="default"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5.47</w:t>
            </w:r>
          </w:p>
        </w:tc>
      </w:tr>
    </w:tbl>
    <w:p>
      <w:pPr>
        <w:autoSpaceDE w:val="0"/>
        <w:autoSpaceDN w:val="0"/>
        <w:adjustRightInd w:val="0"/>
        <w:ind w:left="315" w:leftChars="150"/>
        <w:jc w:val="left"/>
        <w:rPr>
          <w:rFonts w:ascii="宋体" w:eastAsia="宋体" w:cs="宋体"/>
          <w:kern w:val="0"/>
          <w:sz w:val="24"/>
          <w:szCs w:val="24"/>
        </w:rPr>
      </w:pPr>
      <w:r>
        <w:rPr>
          <w:rFonts w:hint="eastAsia" w:ascii="仿宋" w:hAnsi="仿宋" w:eastAsia="仿宋" w:cs="仿宋"/>
          <w:kern w:val="0"/>
          <w:sz w:val="24"/>
          <w:szCs w:val="24"/>
        </w:rPr>
        <w:t>注：本表反映部门本年度“三公”经费支出预决算情况。其中，预算数为“三公”经费全年预算数，反映按规定程序调整后的预算数；决算数是包括当年一般公共预算财政拨款和以前年度结转资金安排的实际支出。</w:t>
      </w:r>
    </w:p>
    <w:p>
      <w:pPr>
        <w:widowControl/>
        <w:jc w:val="left"/>
        <w:rPr>
          <w:rFonts w:ascii="宋体" w:eastAsia="宋体" w:cs="宋体"/>
          <w:kern w:val="0"/>
          <w:sz w:val="24"/>
          <w:szCs w:val="24"/>
        </w:rPr>
      </w:pPr>
      <w:r>
        <w:rPr>
          <w:rFonts w:ascii="宋体" w:eastAsia="宋体" w:cs="宋体"/>
          <w:kern w:val="0"/>
          <w:sz w:val="24"/>
          <w:szCs w:val="24"/>
        </w:rPr>
        <w:br w:type="page"/>
      </w:r>
    </w:p>
    <w:p>
      <w:pPr>
        <w:autoSpaceDE w:val="0"/>
        <w:autoSpaceDN w:val="0"/>
        <w:adjustRightInd w:val="0"/>
        <w:ind w:left="315" w:leftChars="150"/>
        <w:jc w:val="left"/>
        <w:rPr>
          <w:rFonts w:ascii="宋体" w:eastAsia="宋体" w:cs="宋体"/>
          <w:kern w:val="0"/>
          <w:sz w:val="24"/>
          <w:szCs w:val="24"/>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政府性基金预算财政拨款收入支出决算表</w:t>
      </w:r>
    </w:p>
    <w:p>
      <w:pPr>
        <w:widowControl/>
        <w:wordWrap w:val="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 xml:space="preserve">部门： </w:t>
      </w:r>
      <w:r>
        <w:rPr>
          <w:rFonts w:hint="eastAsia" w:ascii="Times New Roman" w:hAnsi="Times New Roman" w:eastAsia="仿宋_GB2312" w:cs="Times New Roman"/>
          <w:color w:val="000000"/>
          <w:kern w:val="0"/>
          <w:sz w:val="20"/>
          <w:szCs w:val="20"/>
          <w:lang w:val="en-US" w:eastAsia="zh-CN"/>
        </w:rPr>
        <w:t>新田县医疗保障局</w:t>
      </w:r>
      <w:r>
        <w:rPr>
          <w:rFonts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 w:val="20"/>
          <w:szCs w:val="20"/>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公开08表</w:t>
      </w:r>
    </w:p>
    <w:p>
      <w:pPr>
        <w:widowControl/>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5"/>
        <w:tblW w:w="1444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120"/>
        <w:gridCol w:w="1320"/>
        <w:gridCol w:w="2000"/>
        <w:gridCol w:w="2000"/>
        <w:gridCol w:w="2000"/>
        <w:gridCol w:w="2000"/>
        <w:gridCol w:w="2000"/>
        <w:gridCol w:w="200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年初结转和结余</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本年收入</w:t>
            </w:r>
          </w:p>
        </w:tc>
        <w:tc>
          <w:tcPr>
            <w:tcW w:w="6000" w:type="dxa"/>
            <w:gridSpan w:val="3"/>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年末结转和结余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13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基本支出  </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c>
          <w:tcPr>
            <w:tcW w:w="2000" w:type="dxa"/>
            <w:vMerge w:val="continue"/>
            <w:vAlign w:val="center"/>
          </w:tcPr>
          <w:p>
            <w:pPr>
              <w:widowControl/>
              <w:jc w:val="left"/>
              <w:rPr>
                <w:rFonts w:ascii="Times New Roman" w:hAnsi="Times New Roman" w:eastAsia="仿宋_GB2312" w:cs="Times New Roman"/>
                <w:b/>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bl>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注：本表反映部门本年度政府性基金预算财政拨款收入、支出及结转和结余情况</w:t>
      </w:r>
    </w:p>
    <w:p>
      <w:pPr>
        <w:widowControl/>
        <w:jc w:val="left"/>
        <w:rPr>
          <w:rFonts w:ascii="Times New Roman" w:hAnsi="Times New Roman" w:eastAsia="仿宋_GB2312" w:cs="Times New Roman"/>
          <w:color w:val="auto"/>
          <w:kern w:val="0"/>
          <w:szCs w:val="21"/>
        </w:rPr>
      </w:pPr>
      <w:r>
        <w:rPr>
          <w:rFonts w:hint="eastAsia" w:ascii="Times New Roman" w:hAnsi="Times New Roman" w:eastAsia="仿宋_GB2312" w:cs="Times New Roman"/>
          <w:color w:val="auto"/>
          <w:kern w:val="0"/>
          <w:szCs w:val="21"/>
          <w:lang w:val="en-US" w:eastAsia="zh-CN"/>
        </w:rPr>
        <w:t>新田县医疗保障局</w:t>
      </w:r>
      <w:r>
        <w:rPr>
          <w:rFonts w:hint="eastAsia" w:ascii="Times New Roman" w:hAnsi="Times New Roman" w:eastAsia="仿宋_GB2312" w:cs="Times New Roman"/>
          <w:color w:val="auto"/>
          <w:kern w:val="0"/>
          <w:szCs w:val="21"/>
        </w:rPr>
        <w:t>没有政府性基金收入，也没有使用政府性基金安排的支出，故本表无数据</w:t>
      </w:r>
      <w:r>
        <w:rPr>
          <w:rFonts w:ascii="Times New Roman" w:hAnsi="Times New Roman" w:eastAsia="仿宋_GB2312" w:cs="Times New Roman"/>
          <w:color w:val="auto"/>
          <w:kern w:val="0"/>
          <w:szCs w:val="21"/>
        </w:rPr>
        <w:t>。</w:t>
      </w:r>
    </w:p>
    <w:p>
      <w:pPr>
        <w:widowControl/>
        <w:jc w:val="left"/>
        <w:rPr>
          <w:rFonts w:ascii="黑体" w:hAnsi="黑体" w:eastAsia="黑体"/>
          <w:szCs w:val="21"/>
        </w:rPr>
      </w:pPr>
    </w:p>
    <w:p>
      <w:pPr>
        <w:widowControl/>
        <w:jc w:val="left"/>
        <w:rPr>
          <w:rFonts w:ascii="黑体" w:hAnsi="黑体" w:eastAsia="黑体"/>
          <w:szCs w:val="21"/>
        </w:rPr>
      </w:pPr>
    </w:p>
    <w:p>
      <w:pPr>
        <w:widowControl/>
        <w:jc w:val="left"/>
        <w:rPr>
          <w:rFonts w:ascii="黑体" w:hAnsi="黑体" w:eastAsia="黑体"/>
          <w:szCs w:val="21"/>
        </w:rPr>
        <w:sectPr>
          <w:pgSz w:w="16838" w:h="11906" w:orient="landscape"/>
          <w:pgMar w:top="720" w:right="720" w:bottom="720" w:left="720" w:header="851" w:footer="992" w:gutter="0"/>
          <w:cols w:space="425" w:num="1"/>
          <w:docGrid w:type="lines" w:linePitch="312" w:charSpace="0"/>
        </w:sectPr>
      </w:pPr>
      <w:r>
        <w:rPr>
          <w:rFonts w:ascii="黑体" w:hAnsi="黑体" w:eastAsia="黑体"/>
          <w:szCs w:val="21"/>
        </w:rPr>
        <w:br w:type="page"/>
      </w:r>
    </w:p>
    <w:p>
      <w:pPr>
        <w:widowControl/>
        <w:jc w:val="center"/>
        <w:rPr>
          <w:rFonts w:hint="eastAsia" w:ascii="宋体" w:hAnsi="宋体" w:eastAsia="宋体" w:cs="宋体"/>
          <w:b/>
          <w:bCs/>
          <w:i w:val="0"/>
          <w:caps w:val="0"/>
          <w:color w:val="333333"/>
          <w:spacing w:val="0"/>
          <w:sz w:val="36"/>
          <w:szCs w:val="36"/>
          <w:shd w:val="clear" w:fill="FFFFFF"/>
        </w:rPr>
      </w:pPr>
      <w:r>
        <w:rPr>
          <w:rFonts w:hint="eastAsia" w:ascii="宋体" w:hAnsi="宋体" w:eastAsia="宋体" w:cs="宋体"/>
          <w:b/>
          <w:bCs/>
          <w:i w:val="0"/>
          <w:caps w:val="0"/>
          <w:color w:val="333333"/>
          <w:spacing w:val="0"/>
          <w:sz w:val="36"/>
          <w:szCs w:val="36"/>
          <w:shd w:val="clear" w:fill="FFFFFF"/>
        </w:rPr>
        <w:t>国有资本经营预算财政拨款支出决算表</w:t>
      </w:r>
    </w:p>
    <w:tbl>
      <w:tblPr>
        <w:tblStyle w:val="5"/>
        <w:tblW w:w="14190" w:type="dxa"/>
        <w:tblInd w:w="93" w:type="dxa"/>
        <w:tblLayout w:type="autofit"/>
        <w:tblCellMar>
          <w:top w:w="0" w:type="dxa"/>
          <w:left w:w="108" w:type="dxa"/>
          <w:bottom w:w="0" w:type="dxa"/>
          <w:right w:w="108" w:type="dxa"/>
        </w:tblCellMar>
      </w:tblPr>
      <w:tblGrid>
        <w:gridCol w:w="1060"/>
        <w:gridCol w:w="560"/>
        <w:gridCol w:w="1089"/>
        <w:gridCol w:w="2126"/>
        <w:gridCol w:w="1225"/>
        <w:gridCol w:w="1326"/>
        <w:gridCol w:w="1294"/>
        <w:gridCol w:w="1683"/>
        <w:gridCol w:w="3827"/>
      </w:tblGrid>
      <w:tr>
        <w:tblPrEx>
          <w:tblCellMar>
            <w:top w:w="0" w:type="dxa"/>
            <w:left w:w="108" w:type="dxa"/>
            <w:bottom w:w="0" w:type="dxa"/>
            <w:right w:w="108" w:type="dxa"/>
          </w:tblCellMar>
        </w:tblPrEx>
        <w:trPr>
          <w:trHeight w:val="720" w:hRule="atLeast"/>
        </w:trPr>
        <w:tc>
          <w:tcPr>
            <w:tcW w:w="14190" w:type="dxa"/>
            <w:gridSpan w:val="9"/>
            <w:tcBorders>
              <w:top w:val="nil"/>
              <w:left w:val="nil"/>
              <w:bottom w:val="nil"/>
              <w:right w:val="nil"/>
            </w:tcBorders>
            <w:shd w:val="clear" w:color="000000" w:fill="FFFFFF"/>
            <w:vAlign w:val="center"/>
          </w:tcPr>
          <w:p>
            <w:pPr>
              <w:widowControl/>
              <w:jc w:val="center"/>
              <w:rPr>
                <w:rFonts w:ascii="华文中宋" w:hAnsi="华文中宋" w:eastAsia="华文中宋" w:cs="宋体"/>
                <w:kern w:val="0"/>
                <w:sz w:val="32"/>
                <w:szCs w:val="32"/>
              </w:rPr>
            </w:pPr>
            <w:r>
              <w:rPr>
                <w:rFonts w:hint="eastAsia" w:ascii="华文中宋" w:hAnsi="华文中宋" w:eastAsia="华文中宋" w:cs="宋体"/>
                <w:kern w:val="0"/>
                <w:sz w:val="32"/>
                <w:szCs w:val="32"/>
              </w:rPr>
              <w:t>国有资本经营预算财政拨款支出决算表</w:t>
            </w:r>
          </w:p>
        </w:tc>
      </w:tr>
      <w:tr>
        <w:tblPrEx>
          <w:tblCellMar>
            <w:top w:w="0" w:type="dxa"/>
            <w:left w:w="108" w:type="dxa"/>
            <w:bottom w:w="0" w:type="dxa"/>
            <w:right w:w="108" w:type="dxa"/>
          </w:tblCellMar>
        </w:tblPrEx>
        <w:trPr>
          <w:trHeight w:val="285" w:hRule="atLeast"/>
        </w:trPr>
        <w:tc>
          <w:tcPr>
            <w:tcW w:w="10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5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215" w:type="dxa"/>
            <w:gridSpan w:val="2"/>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1225"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公开09表</w:t>
            </w:r>
          </w:p>
        </w:tc>
      </w:tr>
      <w:tr>
        <w:tblPrEx>
          <w:tblCellMar>
            <w:top w:w="0" w:type="dxa"/>
            <w:left w:w="108" w:type="dxa"/>
            <w:bottom w:w="0" w:type="dxa"/>
            <w:right w:w="108" w:type="dxa"/>
          </w:tblCellMar>
        </w:tblPrEx>
        <w:trPr>
          <w:trHeight w:val="285" w:hRule="atLeast"/>
        </w:trPr>
        <w:tc>
          <w:tcPr>
            <w:tcW w:w="1060" w:type="dxa"/>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p>
        </w:tc>
        <w:tc>
          <w:tcPr>
            <w:tcW w:w="5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ascii="Times New Roman" w:hAnsi="Times New Roman" w:eastAsia="仿宋_GB2312" w:cs="Times New Roman"/>
                <w:color w:val="000000"/>
                <w:kern w:val="0"/>
                <w:szCs w:val="21"/>
              </w:rPr>
              <w:t xml:space="preserve"> </w:t>
            </w:r>
            <w:r>
              <w:rPr>
                <w:rFonts w:hint="eastAsia" w:ascii="宋体" w:hAnsi="宋体" w:eastAsia="宋体" w:cs="宋体"/>
                <w:kern w:val="0"/>
                <w:sz w:val="20"/>
                <w:szCs w:val="20"/>
              </w:rPr>
              <w:t>　</w:t>
            </w:r>
          </w:p>
        </w:tc>
        <w:tc>
          <w:tcPr>
            <w:tcW w:w="3215" w:type="dxa"/>
            <w:gridSpan w:val="2"/>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Times New Roman" w:hAnsi="Times New Roman" w:eastAsia="仿宋_GB2312" w:cs="Times New Roman"/>
                <w:color w:val="000000"/>
                <w:kern w:val="0"/>
                <w:sz w:val="20"/>
                <w:szCs w:val="20"/>
                <w:lang w:val="en-US" w:eastAsia="zh-CN"/>
              </w:rPr>
              <w:t>新田县医疗保障局</w:t>
            </w:r>
            <w:r>
              <w:rPr>
                <w:rFonts w:hint="eastAsia" w:ascii="宋体" w:hAnsi="宋体" w:eastAsia="宋体" w:cs="宋体"/>
                <w:kern w:val="0"/>
                <w:sz w:val="20"/>
                <w:szCs w:val="20"/>
              </w:rPr>
              <w:t>　</w:t>
            </w:r>
          </w:p>
        </w:tc>
        <w:tc>
          <w:tcPr>
            <w:tcW w:w="1225" w:type="dxa"/>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4835" w:type="dxa"/>
            <w:gridSpan w:val="4"/>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项 </w:t>
            </w:r>
            <w:r>
              <w:rPr>
                <w:rFonts w:hint="eastAsia" w:ascii="宋体" w:hAnsi="宋体" w:eastAsia="宋体" w:cs="宋体"/>
                <w:color w:val="000000"/>
                <w:kern w:val="0"/>
                <w:sz w:val="22"/>
              </w:rPr>
              <w:t xml:space="preserve">   </w:t>
            </w:r>
            <w:r>
              <w:rPr>
                <w:rFonts w:hint="eastAsia" w:ascii="宋体" w:hAnsi="宋体" w:eastAsia="宋体" w:cs="宋体"/>
                <w:kern w:val="0"/>
                <w:sz w:val="24"/>
                <w:szCs w:val="24"/>
              </w:rPr>
              <w:t>目</w:t>
            </w:r>
          </w:p>
        </w:tc>
        <w:tc>
          <w:tcPr>
            <w:tcW w:w="9355" w:type="dxa"/>
            <w:gridSpan w:val="5"/>
            <w:tcBorders>
              <w:top w:val="single" w:color="auto" w:sz="8"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w:t>
            </w:r>
          </w:p>
        </w:tc>
      </w:tr>
      <w:tr>
        <w:tblPrEx>
          <w:tblCellMar>
            <w:top w:w="0" w:type="dxa"/>
            <w:left w:w="108" w:type="dxa"/>
            <w:bottom w:w="0" w:type="dxa"/>
            <w:right w:w="108" w:type="dxa"/>
          </w:tblCellMar>
        </w:tblPrEx>
        <w:trPr>
          <w:trHeight w:val="402" w:hRule="atLeast"/>
        </w:trPr>
        <w:tc>
          <w:tcPr>
            <w:tcW w:w="2709" w:type="dxa"/>
            <w:gridSpan w:val="3"/>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212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255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977"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基本支出  </w:t>
            </w:r>
          </w:p>
        </w:tc>
        <w:tc>
          <w:tcPr>
            <w:tcW w:w="382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4835" w:type="dxa"/>
            <w:gridSpan w:val="4"/>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r>
      <w:tr>
        <w:tblPrEx>
          <w:tblCellMar>
            <w:top w:w="0" w:type="dxa"/>
            <w:left w:w="108" w:type="dxa"/>
            <w:bottom w:w="0" w:type="dxa"/>
            <w:right w:w="108" w:type="dxa"/>
          </w:tblCellMar>
        </w:tblPrEx>
        <w:trPr>
          <w:trHeight w:val="402" w:hRule="atLeast"/>
        </w:trPr>
        <w:tc>
          <w:tcPr>
            <w:tcW w:w="4835" w:type="dxa"/>
            <w:gridSpan w:val="4"/>
            <w:tcBorders>
              <w:top w:val="nil"/>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720" w:hRule="atLeast"/>
        </w:trPr>
        <w:tc>
          <w:tcPr>
            <w:tcW w:w="14190" w:type="dxa"/>
            <w:gridSpan w:val="9"/>
            <w:tcBorders>
              <w:top w:val="single" w:color="auto" w:sz="8" w:space="0"/>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注：本表反映部门本年度国有资本经营预算财政拨款支出情况。</w:t>
            </w:r>
          </w:p>
        </w:tc>
      </w:tr>
    </w:tbl>
    <w:p>
      <w:pPr>
        <w:bidi w:val="0"/>
        <w:rPr>
          <w:rFonts w:hint="eastAsia" w:ascii="仿宋" w:hAnsi="仿宋" w:eastAsia="仿宋" w:cs="仿宋"/>
          <w:color w:val="auto"/>
          <w:kern w:val="0"/>
          <w:sz w:val="21"/>
          <w:szCs w:val="21"/>
        </w:rPr>
      </w:pPr>
      <w:r>
        <w:rPr>
          <w:rFonts w:hint="eastAsia" w:ascii="仿宋" w:hAnsi="仿宋" w:eastAsia="仿宋" w:cs="仿宋"/>
          <w:i w:val="0"/>
          <w:color w:val="auto"/>
          <w:kern w:val="0"/>
          <w:sz w:val="21"/>
          <w:szCs w:val="21"/>
          <w:u w:val="none"/>
          <w:lang w:val="en-US" w:eastAsia="zh-CN" w:bidi="ar"/>
        </w:rPr>
        <w:t>新田县医疗保障局</w:t>
      </w:r>
      <w:r>
        <w:rPr>
          <w:rFonts w:hint="eastAsia" w:ascii="仿宋" w:hAnsi="仿宋" w:eastAsia="仿宋" w:cs="仿宋"/>
          <w:color w:val="auto"/>
          <w:kern w:val="0"/>
          <w:sz w:val="21"/>
          <w:szCs w:val="21"/>
          <w:lang w:eastAsia="zh-CN"/>
        </w:rPr>
        <w:t>无</w:t>
      </w:r>
      <w:r>
        <w:rPr>
          <w:rFonts w:hint="eastAsia" w:ascii="仿宋" w:hAnsi="仿宋" w:eastAsia="仿宋" w:cs="仿宋"/>
          <w:i w:val="0"/>
          <w:color w:val="auto"/>
          <w:kern w:val="0"/>
          <w:sz w:val="21"/>
          <w:szCs w:val="21"/>
          <w:u w:val="none"/>
          <w:lang w:val="en-US" w:eastAsia="zh-CN" w:bidi="ar"/>
        </w:rPr>
        <w:t>国有资本经营预算财政拨款支出</w:t>
      </w:r>
      <w:r>
        <w:rPr>
          <w:rFonts w:hint="eastAsia" w:ascii="仿宋" w:hAnsi="仿宋" w:eastAsia="仿宋" w:cs="仿宋"/>
          <w:color w:val="auto"/>
          <w:kern w:val="0"/>
          <w:sz w:val="21"/>
          <w:szCs w:val="21"/>
        </w:rPr>
        <w:t>，故本表无数据。</w:t>
      </w:r>
    </w:p>
    <w:p>
      <w:pPr>
        <w:tabs>
          <w:tab w:val="left" w:pos="1460"/>
        </w:tabs>
        <w:bidi w:val="0"/>
        <w:jc w:val="left"/>
        <w:rPr>
          <w:rFonts w:hint="eastAsia"/>
          <w:color w:val="auto"/>
          <w:sz w:val="21"/>
          <w:szCs w:val="21"/>
          <w:lang w:val="en-US" w:eastAsia="zh-CN"/>
        </w:rPr>
        <w:sectPr>
          <w:pgSz w:w="16838" w:h="11906" w:orient="landscape"/>
          <w:pgMar w:top="720" w:right="720" w:bottom="720" w:left="720" w:header="851" w:footer="992" w:gutter="0"/>
          <w:cols w:space="425" w:num="1"/>
          <w:docGrid w:type="lines" w:linePitch="312" w:charSpace="0"/>
        </w:sectPr>
      </w:pPr>
    </w:p>
    <w:p>
      <w:pPr>
        <w:pStyle w:val="7"/>
        <w:numPr>
          <w:ilvl w:val="0"/>
          <w:numId w:val="0"/>
        </w:numPr>
        <w:jc w:val="left"/>
        <w:rPr>
          <w:rFonts w:hint="default" w:eastAsia="黑体"/>
          <w:sz w:val="32"/>
          <w:szCs w:val="32"/>
          <w:lang w:val="en-US" w:eastAsia="zh-CN"/>
        </w:rPr>
      </w:pPr>
      <w:r>
        <w:rPr>
          <w:rFonts w:hint="eastAsia"/>
          <w:sz w:val="32"/>
          <w:szCs w:val="32"/>
          <w:lang w:eastAsia="zh-CN"/>
        </w:rPr>
        <w:t>第三部分</w:t>
      </w:r>
      <w:r>
        <w:rPr>
          <w:rFonts w:hint="eastAsia"/>
          <w:sz w:val="32"/>
          <w:szCs w:val="32"/>
          <w:lang w:val="en-US" w:eastAsia="zh-CN"/>
        </w:rPr>
        <w:t xml:space="preserve"> 2021年度部门决算情况说明</w:t>
      </w:r>
    </w:p>
    <w:p>
      <w:pPr>
        <w:pStyle w:val="7"/>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一、收入支出决算总体情况说明</w:t>
      </w:r>
    </w:p>
    <w:p>
      <w:pPr>
        <w:pStyle w:val="7"/>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eastAsia="zh-CN"/>
        </w:rPr>
        <w:t>202</w:t>
      </w:r>
      <w:r>
        <w:rPr>
          <w:rFonts w:hint="eastAsia" w:asciiTheme="minorEastAsia" w:hAnsiTheme="minorEastAsia" w:eastAsiaTheme="minorEastAsia" w:cstheme="minorEastAsia"/>
          <w:sz w:val="28"/>
          <w:szCs w:val="28"/>
          <w:lang w:val="en-US" w:eastAsia="zh-CN"/>
        </w:rPr>
        <w:t>1</w:t>
      </w: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lang w:eastAsia="zh-CN"/>
        </w:rPr>
        <w:t>年度</w:t>
      </w:r>
      <w:r>
        <w:rPr>
          <w:rFonts w:hint="eastAsia" w:asciiTheme="minorEastAsia" w:hAnsiTheme="minorEastAsia" w:eastAsiaTheme="minorEastAsia" w:cstheme="minorEastAsia"/>
          <w:sz w:val="28"/>
          <w:szCs w:val="28"/>
        </w:rPr>
        <w:t>收</w:t>
      </w:r>
      <w:r>
        <w:rPr>
          <w:rFonts w:hint="eastAsia" w:asciiTheme="minorEastAsia" w:hAnsiTheme="minorEastAsia" w:eastAsiaTheme="minorEastAsia" w:cstheme="minorEastAsia"/>
          <w:sz w:val="28"/>
          <w:szCs w:val="28"/>
          <w:lang w:val="en-US" w:eastAsia="zh-CN"/>
        </w:rPr>
        <w:t>入22191.14</w:t>
      </w:r>
      <w:r>
        <w:rPr>
          <w:rFonts w:hint="eastAsia" w:asciiTheme="minorEastAsia" w:hAnsiTheme="minorEastAsia" w:eastAsiaTheme="minorEastAsia" w:cstheme="minorEastAsia"/>
          <w:sz w:val="28"/>
          <w:szCs w:val="28"/>
          <w:lang w:eastAsia="zh-CN"/>
        </w:rPr>
        <w:t>万元，与</w:t>
      </w:r>
      <w:r>
        <w:rPr>
          <w:rFonts w:hint="eastAsia" w:asciiTheme="minorEastAsia" w:hAnsiTheme="minorEastAsia" w:eastAsiaTheme="minorEastAsia" w:cstheme="minorEastAsia"/>
          <w:sz w:val="28"/>
          <w:szCs w:val="28"/>
          <w:lang w:val="en-US" w:eastAsia="zh-CN"/>
        </w:rPr>
        <w:t>2020</w:t>
      </w:r>
      <w:r>
        <w:rPr>
          <w:rFonts w:hint="eastAsia" w:asciiTheme="minorEastAsia" w:hAnsiTheme="minorEastAsia" w:eastAsiaTheme="minorEastAsia" w:cstheme="minorEastAsia"/>
          <w:sz w:val="28"/>
          <w:szCs w:val="28"/>
          <w:lang w:eastAsia="zh-CN"/>
        </w:rPr>
        <w:t>年</w:t>
      </w:r>
      <w:r>
        <w:rPr>
          <w:rFonts w:hint="eastAsia" w:asciiTheme="minorEastAsia" w:hAnsiTheme="minorEastAsia" w:eastAsiaTheme="minorEastAsia" w:cstheme="minorEastAsia"/>
          <w:sz w:val="28"/>
          <w:szCs w:val="28"/>
          <w:lang w:val="en-US" w:eastAsia="zh-CN"/>
        </w:rPr>
        <w:t>22794.41万元</w:t>
      </w:r>
      <w:r>
        <w:rPr>
          <w:rFonts w:hint="eastAsia" w:asciiTheme="minorEastAsia" w:hAnsiTheme="minorEastAsia" w:eastAsiaTheme="minorEastAsia" w:cstheme="minorEastAsia"/>
          <w:sz w:val="28"/>
          <w:szCs w:val="28"/>
          <w:lang w:eastAsia="zh-CN"/>
        </w:rPr>
        <w:t>相比，减少</w:t>
      </w:r>
      <w:r>
        <w:rPr>
          <w:rFonts w:hint="eastAsia" w:asciiTheme="minorEastAsia" w:hAnsiTheme="minorEastAsia" w:eastAsiaTheme="minorEastAsia" w:cstheme="minorEastAsia"/>
          <w:sz w:val="28"/>
          <w:szCs w:val="28"/>
          <w:lang w:val="en-US" w:eastAsia="zh-CN"/>
        </w:rPr>
        <w:t>603.27</w:t>
      </w:r>
      <w:r>
        <w:rPr>
          <w:rFonts w:hint="eastAsia" w:asciiTheme="minorEastAsia" w:hAnsiTheme="minorEastAsia" w:eastAsiaTheme="minorEastAsia" w:cstheme="minorEastAsia"/>
          <w:sz w:val="28"/>
          <w:szCs w:val="28"/>
          <w:lang w:eastAsia="zh-CN"/>
        </w:rPr>
        <w:t>万元，减少</w:t>
      </w:r>
      <w:r>
        <w:rPr>
          <w:rFonts w:hint="eastAsia" w:asciiTheme="minorEastAsia" w:hAnsiTheme="minorEastAsia" w:eastAsiaTheme="minorEastAsia" w:cstheme="minorEastAsia"/>
          <w:sz w:val="28"/>
          <w:szCs w:val="28"/>
          <w:lang w:val="en-US" w:eastAsia="zh-CN"/>
        </w:rPr>
        <w:t>2.65</w:t>
      </w:r>
      <w:r>
        <w:rPr>
          <w:rFonts w:hint="eastAsia" w:asciiTheme="minorEastAsia" w:hAnsiTheme="minorEastAsia" w:eastAsiaTheme="minorEastAsia" w:cstheme="minorEastAsia"/>
          <w:sz w:val="28"/>
          <w:szCs w:val="28"/>
          <w:lang w:eastAsia="zh-CN"/>
        </w:rPr>
        <w:t>%，主要是因为</w:t>
      </w:r>
      <w:r>
        <w:rPr>
          <w:rFonts w:hint="eastAsia" w:asciiTheme="minorEastAsia" w:hAnsiTheme="minorEastAsia" w:eastAsiaTheme="minorEastAsia" w:cstheme="minorEastAsia"/>
          <w:sz w:val="28"/>
          <w:szCs w:val="28"/>
          <w:lang w:val="en-US" w:eastAsia="zh-CN"/>
        </w:rPr>
        <w:t>减少了</w:t>
      </w:r>
      <w:r>
        <w:rPr>
          <w:rFonts w:hint="eastAsia" w:asciiTheme="minorEastAsia" w:hAnsiTheme="minorEastAsia" w:eastAsiaTheme="minorEastAsia" w:cstheme="minorEastAsia"/>
          <w:sz w:val="28"/>
          <w:szCs w:val="28"/>
          <w:lang w:eastAsia="zh-CN"/>
        </w:rPr>
        <w:t>全县贫困人口</w:t>
      </w:r>
      <w:r>
        <w:rPr>
          <w:rFonts w:hint="eastAsia" w:asciiTheme="minorEastAsia" w:hAnsiTheme="minorEastAsia" w:eastAsiaTheme="minorEastAsia" w:cstheme="minorEastAsia"/>
          <w:sz w:val="28"/>
          <w:szCs w:val="28"/>
          <w:lang w:val="en-US" w:eastAsia="zh-CN"/>
        </w:rPr>
        <w:t>财政</w:t>
      </w:r>
      <w:r>
        <w:rPr>
          <w:rFonts w:hint="eastAsia" w:asciiTheme="minorEastAsia" w:hAnsiTheme="minorEastAsia" w:eastAsiaTheme="minorEastAsia" w:cstheme="minorEastAsia"/>
          <w:sz w:val="28"/>
          <w:szCs w:val="28"/>
          <w:lang w:eastAsia="zh-CN"/>
        </w:rPr>
        <w:t>资助资金和城乡居民财补资金。</w:t>
      </w:r>
      <w:r>
        <w:rPr>
          <w:rFonts w:hint="eastAsia" w:asciiTheme="minorEastAsia" w:hAnsiTheme="minorEastAsia" w:eastAsiaTheme="minorEastAsia" w:cstheme="minorEastAsia"/>
          <w:sz w:val="28"/>
          <w:szCs w:val="28"/>
          <w:lang w:val="en-US" w:eastAsia="zh-CN"/>
        </w:rPr>
        <w:t>2021年度支出22191.14</w:t>
      </w:r>
      <w:r>
        <w:rPr>
          <w:rFonts w:hint="eastAsia" w:asciiTheme="minorEastAsia" w:hAnsiTheme="minorEastAsia" w:eastAsiaTheme="minorEastAsia" w:cstheme="minorEastAsia"/>
          <w:sz w:val="28"/>
          <w:szCs w:val="28"/>
          <w:lang w:eastAsia="zh-CN"/>
        </w:rPr>
        <w:t>万元，与</w:t>
      </w:r>
      <w:r>
        <w:rPr>
          <w:rFonts w:hint="eastAsia" w:asciiTheme="minorEastAsia" w:hAnsiTheme="minorEastAsia" w:eastAsiaTheme="minorEastAsia" w:cstheme="minorEastAsia"/>
          <w:sz w:val="28"/>
          <w:szCs w:val="28"/>
          <w:lang w:val="en-US" w:eastAsia="zh-CN"/>
        </w:rPr>
        <w:t>2020</w:t>
      </w:r>
      <w:r>
        <w:rPr>
          <w:rFonts w:hint="eastAsia" w:asciiTheme="minorEastAsia" w:hAnsiTheme="minorEastAsia" w:eastAsiaTheme="minorEastAsia" w:cstheme="minorEastAsia"/>
          <w:sz w:val="28"/>
          <w:szCs w:val="28"/>
          <w:lang w:eastAsia="zh-CN"/>
        </w:rPr>
        <w:t>年</w:t>
      </w:r>
      <w:r>
        <w:rPr>
          <w:rFonts w:hint="eastAsia" w:asciiTheme="minorEastAsia" w:hAnsiTheme="minorEastAsia" w:eastAsiaTheme="minorEastAsia" w:cstheme="minorEastAsia"/>
          <w:sz w:val="28"/>
          <w:szCs w:val="28"/>
          <w:lang w:val="en-US" w:eastAsia="zh-CN"/>
        </w:rPr>
        <w:t>22766.74万元</w:t>
      </w:r>
      <w:r>
        <w:rPr>
          <w:rFonts w:hint="eastAsia" w:asciiTheme="minorEastAsia" w:hAnsiTheme="minorEastAsia" w:eastAsiaTheme="minorEastAsia" w:cstheme="minorEastAsia"/>
          <w:sz w:val="28"/>
          <w:szCs w:val="28"/>
          <w:lang w:eastAsia="zh-CN"/>
        </w:rPr>
        <w:t>相比</w:t>
      </w:r>
      <w:r>
        <w:rPr>
          <w:rFonts w:hint="eastAsia" w:asciiTheme="minorEastAsia" w:hAnsiTheme="minorEastAsia" w:eastAsiaTheme="minorEastAsia" w:cstheme="minorEastAsia"/>
          <w:sz w:val="28"/>
          <w:szCs w:val="28"/>
          <w:lang w:val="en-US" w:eastAsia="zh-CN"/>
        </w:rPr>
        <w:t>减少575.6万元，减少了2.5%，减少原因是：医保新系统上线，因为系统原因，导致有些数据不能及时结算。</w:t>
      </w:r>
    </w:p>
    <w:p>
      <w:pPr>
        <w:pStyle w:val="7"/>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二、收入决算情况说明</w:t>
      </w:r>
    </w:p>
    <w:p>
      <w:pPr>
        <w:pStyle w:val="7"/>
        <w:ind w:firstLine="560" w:firstLineChars="20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本年收入合计</w:t>
      </w:r>
      <w:r>
        <w:rPr>
          <w:rFonts w:hint="eastAsia" w:asciiTheme="minorEastAsia" w:hAnsiTheme="minorEastAsia" w:eastAsiaTheme="minorEastAsia" w:cstheme="minorEastAsia"/>
          <w:sz w:val="28"/>
          <w:szCs w:val="28"/>
          <w:lang w:val="en-US" w:eastAsia="zh-CN"/>
        </w:rPr>
        <w:t>22191.14</w:t>
      </w:r>
      <w:r>
        <w:rPr>
          <w:rFonts w:hint="eastAsia" w:asciiTheme="minorEastAsia" w:hAnsiTheme="minorEastAsia" w:eastAsiaTheme="minorEastAsia" w:cstheme="minorEastAsia"/>
          <w:sz w:val="28"/>
          <w:szCs w:val="28"/>
          <w:lang w:eastAsia="zh-CN"/>
        </w:rPr>
        <w:t>万元，其中：财政拨款收入</w:t>
      </w:r>
      <w:r>
        <w:rPr>
          <w:rFonts w:hint="eastAsia" w:asciiTheme="minorEastAsia" w:hAnsiTheme="minorEastAsia" w:eastAsiaTheme="minorEastAsia" w:cstheme="minorEastAsia"/>
          <w:sz w:val="28"/>
          <w:szCs w:val="28"/>
          <w:lang w:val="en-US" w:eastAsia="zh-CN"/>
        </w:rPr>
        <w:t>22191.14</w:t>
      </w:r>
      <w:r>
        <w:rPr>
          <w:rFonts w:hint="eastAsia" w:asciiTheme="minorEastAsia" w:hAnsiTheme="minorEastAsia" w:eastAsiaTheme="minorEastAsia" w:cstheme="minorEastAsia"/>
          <w:sz w:val="28"/>
          <w:szCs w:val="28"/>
          <w:lang w:eastAsia="zh-CN"/>
        </w:rPr>
        <w:t>万元，占</w:t>
      </w:r>
      <w:r>
        <w:rPr>
          <w:rFonts w:hint="eastAsia" w:asciiTheme="minorEastAsia" w:hAnsiTheme="minorEastAsia" w:eastAsiaTheme="minorEastAsia" w:cstheme="minorEastAsia"/>
          <w:sz w:val="28"/>
          <w:szCs w:val="28"/>
          <w:lang w:val="en-US" w:eastAsia="zh-CN"/>
        </w:rPr>
        <w:t>100</w:t>
      </w:r>
      <w:r>
        <w:rPr>
          <w:rFonts w:hint="eastAsia" w:asciiTheme="minorEastAsia" w:hAnsiTheme="minorEastAsia" w:eastAsiaTheme="minorEastAsia" w:cstheme="minorEastAsia"/>
          <w:sz w:val="28"/>
          <w:szCs w:val="28"/>
          <w:lang w:eastAsia="zh-CN"/>
        </w:rPr>
        <w:t>%；上级补助收入</w:t>
      </w:r>
      <w:r>
        <w:rPr>
          <w:rFonts w:hint="eastAsia" w:asciiTheme="minorEastAsia" w:hAnsiTheme="minorEastAsia" w:eastAsiaTheme="minorEastAsia" w:cstheme="minorEastAsia"/>
          <w:sz w:val="28"/>
          <w:szCs w:val="28"/>
          <w:lang w:val="en-US" w:eastAsia="zh-CN"/>
        </w:rPr>
        <w:t>0</w:t>
      </w:r>
      <w:r>
        <w:rPr>
          <w:rFonts w:hint="eastAsia" w:asciiTheme="minorEastAsia" w:hAnsiTheme="minorEastAsia" w:eastAsiaTheme="minorEastAsia" w:cstheme="minorEastAsia"/>
          <w:sz w:val="28"/>
          <w:szCs w:val="28"/>
          <w:lang w:eastAsia="zh-CN"/>
        </w:rPr>
        <w:t>万元，占</w:t>
      </w:r>
      <w:r>
        <w:rPr>
          <w:rFonts w:hint="eastAsia" w:asciiTheme="minorEastAsia" w:hAnsiTheme="minorEastAsia" w:eastAsiaTheme="minorEastAsia" w:cstheme="minorEastAsia"/>
          <w:sz w:val="28"/>
          <w:szCs w:val="28"/>
          <w:lang w:val="en-US" w:eastAsia="zh-CN"/>
        </w:rPr>
        <w:t>0</w:t>
      </w:r>
      <w:r>
        <w:rPr>
          <w:rFonts w:hint="eastAsia" w:asciiTheme="minorEastAsia" w:hAnsiTheme="minorEastAsia" w:eastAsiaTheme="minorEastAsia" w:cstheme="minorEastAsia"/>
          <w:sz w:val="28"/>
          <w:szCs w:val="28"/>
          <w:lang w:eastAsia="zh-CN"/>
        </w:rPr>
        <w:t>%；事业收入</w:t>
      </w:r>
      <w:r>
        <w:rPr>
          <w:rFonts w:hint="eastAsia" w:asciiTheme="minorEastAsia" w:hAnsiTheme="minorEastAsia" w:eastAsiaTheme="minorEastAsia" w:cstheme="minorEastAsia"/>
          <w:sz w:val="28"/>
          <w:szCs w:val="28"/>
          <w:lang w:val="en-US" w:eastAsia="zh-CN"/>
        </w:rPr>
        <w:t>0</w:t>
      </w:r>
      <w:r>
        <w:rPr>
          <w:rFonts w:hint="eastAsia" w:asciiTheme="minorEastAsia" w:hAnsiTheme="minorEastAsia" w:eastAsiaTheme="minorEastAsia" w:cstheme="minorEastAsia"/>
          <w:sz w:val="28"/>
          <w:szCs w:val="28"/>
          <w:lang w:eastAsia="zh-CN"/>
        </w:rPr>
        <w:t>万元，占</w:t>
      </w:r>
      <w:r>
        <w:rPr>
          <w:rFonts w:hint="eastAsia" w:asciiTheme="minorEastAsia" w:hAnsiTheme="minorEastAsia" w:eastAsiaTheme="minorEastAsia" w:cstheme="minorEastAsia"/>
          <w:sz w:val="28"/>
          <w:szCs w:val="28"/>
          <w:lang w:val="en-US" w:eastAsia="zh-CN"/>
        </w:rPr>
        <w:t>0</w:t>
      </w:r>
      <w:r>
        <w:rPr>
          <w:rFonts w:hint="eastAsia" w:asciiTheme="minorEastAsia" w:hAnsiTheme="minorEastAsia" w:eastAsiaTheme="minorEastAsia" w:cstheme="minorEastAsia"/>
          <w:sz w:val="28"/>
          <w:szCs w:val="28"/>
          <w:lang w:eastAsia="zh-CN"/>
        </w:rPr>
        <w:t>%；经营收入</w:t>
      </w:r>
      <w:r>
        <w:rPr>
          <w:rFonts w:hint="eastAsia" w:asciiTheme="minorEastAsia" w:hAnsiTheme="minorEastAsia" w:eastAsiaTheme="minorEastAsia" w:cstheme="minorEastAsia"/>
          <w:sz w:val="28"/>
          <w:szCs w:val="28"/>
          <w:lang w:val="en-US" w:eastAsia="zh-CN"/>
        </w:rPr>
        <w:t>0</w:t>
      </w:r>
      <w:r>
        <w:rPr>
          <w:rFonts w:hint="eastAsia" w:asciiTheme="minorEastAsia" w:hAnsiTheme="minorEastAsia" w:eastAsiaTheme="minorEastAsia" w:cstheme="minorEastAsia"/>
          <w:sz w:val="28"/>
          <w:szCs w:val="28"/>
          <w:lang w:eastAsia="zh-CN"/>
        </w:rPr>
        <w:t>万元，占</w:t>
      </w:r>
      <w:r>
        <w:rPr>
          <w:rFonts w:hint="eastAsia" w:asciiTheme="minorEastAsia" w:hAnsiTheme="minorEastAsia" w:eastAsiaTheme="minorEastAsia" w:cstheme="minorEastAsia"/>
          <w:sz w:val="28"/>
          <w:szCs w:val="28"/>
          <w:lang w:val="en-US" w:eastAsia="zh-CN"/>
        </w:rPr>
        <w:t>0</w:t>
      </w:r>
      <w:r>
        <w:rPr>
          <w:rFonts w:hint="eastAsia" w:asciiTheme="minorEastAsia" w:hAnsiTheme="minorEastAsia" w:eastAsiaTheme="minorEastAsia" w:cstheme="minorEastAsia"/>
          <w:sz w:val="28"/>
          <w:szCs w:val="28"/>
          <w:lang w:eastAsia="zh-CN"/>
        </w:rPr>
        <w:t>%；附属单位上缴收入</w:t>
      </w:r>
      <w:r>
        <w:rPr>
          <w:rFonts w:hint="eastAsia" w:asciiTheme="minorEastAsia" w:hAnsiTheme="minorEastAsia" w:eastAsiaTheme="minorEastAsia" w:cstheme="minorEastAsia"/>
          <w:sz w:val="28"/>
          <w:szCs w:val="28"/>
          <w:lang w:val="en-US" w:eastAsia="zh-CN"/>
        </w:rPr>
        <w:t>0</w:t>
      </w:r>
      <w:r>
        <w:rPr>
          <w:rFonts w:hint="eastAsia" w:asciiTheme="minorEastAsia" w:hAnsiTheme="minorEastAsia" w:eastAsiaTheme="minorEastAsia" w:cstheme="minorEastAsia"/>
          <w:sz w:val="28"/>
          <w:szCs w:val="28"/>
          <w:lang w:eastAsia="zh-CN"/>
        </w:rPr>
        <w:t>万元，占</w:t>
      </w:r>
      <w:r>
        <w:rPr>
          <w:rFonts w:hint="eastAsia" w:asciiTheme="minorEastAsia" w:hAnsiTheme="minorEastAsia" w:eastAsiaTheme="minorEastAsia" w:cstheme="minorEastAsia"/>
          <w:sz w:val="28"/>
          <w:szCs w:val="28"/>
          <w:lang w:val="en-US" w:eastAsia="zh-CN"/>
        </w:rPr>
        <w:t>0</w:t>
      </w:r>
      <w:r>
        <w:rPr>
          <w:rFonts w:hint="eastAsia" w:asciiTheme="minorEastAsia" w:hAnsiTheme="minorEastAsia" w:eastAsiaTheme="minorEastAsia" w:cstheme="minorEastAsia"/>
          <w:sz w:val="28"/>
          <w:szCs w:val="28"/>
          <w:lang w:eastAsia="zh-CN"/>
        </w:rPr>
        <w:t>%；其他收入</w:t>
      </w:r>
      <w:r>
        <w:rPr>
          <w:rFonts w:hint="eastAsia" w:asciiTheme="minorEastAsia" w:hAnsiTheme="minorEastAsia" w:eastAsiaTheme="minorEastAsia" w:cstheme="minorEastAsia"/>
          <w:sz w:val="28"/>
          <w:szCs w:val="28"/>
          <w:lang w:val="en-US" w:eastAsia="zh-CN"/>
        </w:rPr>
        <w:t>0</w:t>
      </w:r>
      <w:r>
        <w:rPr>
          <w:rFonts w:hint="eastAsia" w:asciiTheme="minorEastAsia" w:hAnsiTheme="minorEastAsia" w:eastAsiaTheme="minorEastAsia" w:cstheme="minorEastAsia"/>
          <w:sz w:val="28"/>
          <w:szCs w:val="28"/>
          <w:lang w:eastAsia="zh-CN"/>
        </w:rPr>
        <w:t>万元，占</w:t>
      </w:r>
      <w:r>
        <w:rPr>
          <w:rFonts w:hint="eastAsia" w:asciiTheme="minorEastAsia" w:hAnsiTheme="minorEastAsia" w:eastAsiaTheme="minorEastAsia" w:cstheme="minorEastAsia"/>
          <w:sz w:val="28"/>
          <w:szCs w:val="28"/>
          <w:lang w:val="en-US" w:eastAsia="zh-CN"/>
        </w:rPr>
        <w:t>0</w:t>
      </w:r>
      <w:r>
        <w:rPr>
          <w:rFonts w:hint="eastAsia" w:asciiTheme="minorEastAsia" w:hAnsiTheme="minorEastAsia" w:eastAsiaTheme="minorEastAsia" w:cstheme="minorEastAsia"/>
          <w:sz w:val="28"/>
          <w:szCs w:val="28"/>
          <w:lang w:eastAsia="zh-CN"/>
        </w:rPr>
        <w:t>%。</w:t>
      </w:r>
    </w:p>
    <w:p>
      <w:pPr>
        <w:pStyle w:val="7"/>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三、支出决算情况说明</w:t>
      </w:r>
    </w:p>
    <w:p>
      <w:pPr>
        <w:pStyle w:val="7"/>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本年支出合计22191.14万元，其中：基本支出453.32万元，占2.04%；项目支出21737.81万元，占97.96%；上缴上级支出0万元，占0%；经营支出0万元，占0%；对附属单位补助支出0万元，占0%。</w:t>
      </w:r>
    </w:p>
    <w:p>
      <w:pPr>
        <w:pStyle w:val="7"/>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四、财政拨款收入支出决算总体情况说明</w:t>
      </w:r>
    </w:p>
    <w:p>
      <w:pPr>
        <w:pStyle w:val="7"/>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eastAsia="zh-CN"/>
        </w:rPr>
        <w:t>202</w:t>
      </w:r>
      <w:r>
        <w:rPr>
          <w:rFonts w:hint="eastAsia" w:asciiTheme="minorEastAsia" w:hAnsiTheme="minorEastAsia" w:eastAsiaTheme="minorEastAsia" w:cstheme="minorEastAsia"/>
          <w:sz w:val="28"/>
          <w:szCs w:val="28"/>
          <w:lang w:val="en-US" w:eastAsia="zh-CN"/>
        </w:rPr>
        <w:t>1</w:t>
      </w:r>
      <w:r>
        <w:rPr>
          <w:rFonts w:hint="eastAsia" w:asciiTheme="minorEastAsia" w:hAnsiTheme="minorEastAsia" w:eastAsiaTheme="minorEastAsia" w:cstheme="minorEastAsia"/>
          <w:sz w:val="28"/>
          <w:szCs w:val="28"/>
          <w:lang w:eastAsia="zh-CN"/>
        </w:rPr>
        <w:t>年度财政拨款收</w:t>
      </w:r>
      <w:r>
        <w:rPr>
          <w:rFonts w:hint="eastAsia" w:asciiTheme="minorEastAsia" w:hAnsiTheme="minorEastAsia" w:eastAsiaTheme="minorEastAsia" w:cstheme="minorEastAsia"/>
          <w:sz w:val="28"/>
          <w:szCs w:val="28"/>
          <w:lang w:val="en-US" w:eastAsia="zh-CN"/>
        </w:rPr>
        <w:t>入22191.14</w:t>
      </w:r>
      <w:r>
        <w:rPr>
          <w:rFonts w:hint="eastAsia" w:asciiTheme="minorEastAsia" w:hAnsiTheme="minorEastAsia" w:eastAsiaTheme="minorEastAsia" w:cstheme="minorEastAsia"/>
          <w:sz w:val="28"/>
          <w:szCs w:val="28"/>
          <w:lang w:eastAsia="zh-CN"/>
        </w:rPr>
        <w:t>万元，与</w:t>
      </w:r>
      <w:r>
        <w:rPr>
          <w:rFonts w:hint="eastAsia" w:asciiTheme="minorEastAsia" w:hAnsiTheme="minorEastAsia" w:eastAsiaTheme="minorEastAsia" w:cstheme="minorEastAsia"/>
          <w:sz w:val="28"/>
          <w:szCs w:val="28"/>
          <w:lang w:val="en-US" w:eastAsia="zh-CN"/>
        </w:rPr>
        <w:t>2020</w:t>
      </w:r>
      <w:r>
        <w:rPr>
          <w:rFonts w:hint="eastAsia" w:asciiTheme="minorEastAsia" w:hAnsiTheme="minorEastAsia" w:eastAsiaTheme="minorEastAsia" w:cstheme="minorEastAsia"/>
          <w:sz w:val="28"/>
          <w:szCs w:val="28"/>
          <w:lang w:eastAsia="zh-CN"/>
        </w:rPr>
        <w:t>年</w:t>
      </w:r>
      <w:r>
        <w:rPr>
          <w:rFonts w:hint="eastAsia" w:asciiTheme="minorEastAsia" w:hAnsiTheme="minorEastAsia" w:eastAsiaTheme="minorEastAsia" w:cstheme="minorEastAsia"/>
          <w:sz w:val="28"/>
          <w:szCs w:val="28"/>
          <w:lang w:val="en-US" w:eastAsia="zh-CN"/>
        </w:rPr>
        <w:t>22794.41万元</w:t>
      </w:r>
      <w:r>
        <w:rPr>
          <w:rFonts w:hint="eastAsia" w:asciiTheme="minorEastAsia" w:hAnsiTheme="minorEastAsia" w:eastAsiaTheme="minorEastAsia" w:cstheme="minorEastAsia"/>
          <w:sz w:val="28"/>
          <w:szCs w:val="28"/>
          <w:lang w:eastAsia="zh-CN"/>
        </w:rPr>
        <w:t>相比，减少</w:t>
      </w:r>
      <w:r>
        <w:rPr>
          <w:rFonts w:hint="eastAsia" w:asciiTheme="minorEastAsia" w:hAnsiTheme="minorEastAsia" w:eastAsiaTheme="minorEastAsia" w:cstheme="minorEastAsia"/>
          <w:sz w:val="28"/>
          <w:szCs w:val="28"/>
          <w:lang w:val="en-US" w:eastAsia="zh-CN"/>
        </w:rPr>
        <w:t>603.27</w:t>
      </w:r>
      <w:r>
        <w:rPr>
          <w:rFonts w:hint="eastAsia" w:asciiTheme="minorEastAsia" w:hAnsiTheme="minorEastAsia" w:eastAsiaTheme="minorEastAsia" w:cstheme="minorEastAsia"/>
          <w:sz w:val="28"/>
          <w:szCs w:val="28"/>
          <w:lang w:eastAsia="zh-CN"/>
        </w:rPr>
        <w:t>万元，减少</w:t>
      </w:r>
      <w:r>
        <w:rPr>
          <w:rFonts w:hint="eastAsia" w:asciiTheme="minorEastAsia" w:hAnsiTheme="minorEastAsia" w:eastAsiaTheme="minorEastAsia" w:cstheme="minorEastAsia"/>
          <w:sz w:val="28"/>
          <w:szCs w:val="28"/>
          <w:lang w:val="en-US" w:eastAsia="zh-CN"/>
        </w:rPr>
        <w:t>2.65</w:t>
      </w:r>
      <w:r>
        <w:rPr>
          <w:rFonts w:hint="eastAsia" w:asciiTheme="minorEastAsia" w:hAnsiTheme="minorEastAsia" w:eastAsiaTheme="minorEastAsia" w:cstheme="minorEastAsia"/>
          <w:sz w:val="28"/>
          <w:szCs w:val="28"/>
          <w:lang w:eastAsia="zh-CN"/>
        </w:rPr>
        <w:t>%，主要是因为</w:t>
      </w:r>
      <w:r>
        <w:rPr>
          <w:rFonts w:hint="eastAsia" w:asciiTheme="minorEastAsia" w:hAnsiTheme="minorEastAsia" w:eastAsiaTheme="minorEastAsia" w:cstheme="minorEastAsia"/>
          <w:sz w:val="28"/>
          <w:szCs w:val="28"/>
          <w:lang w:val="en-US" w:eastAsia="zh-CN"/>
        </w:rPr>
        <w:t>减少了</w:t>
      </w:r>
      <w:r>
        <w:rPr>
          <w:rFonts w:hint="eastAsia" w:asciiTheme="minorEastAsia" w:hAnsiTheme="minorEastAsia" w:eastAsiaTheme="minorEastAsia" w:cstheme="minorEastAsia"/>
          <w:sz w:val="28"/>
          <w:szCs w:val="28"/>
          <w:lang w:eastAsia="zh-CN"/>
        </w:rPr>
        <w:t>全县贫困人口</w:t>
      </w:r>
      <w:r>
        <w:rPr>
          <w:rFonts w:hint="eastAsia" w:asciiTheme="minorEastAsia" w:hAnsiTheme="minorEastAsia" w:eastAsiaTheme="minorEastAsia" w:cstheme="minorEastAsia"/>
          <w:sz w:val="28"/>
          <w:szCs w:val="28"/>
          <w:lang w:val="en-US" w:eastAsia="zh-CN"/>
        </w:rPr>
        <w:t>财政</w:t>
      </w:r>
      <w:r>
        <w:rPr>
          <w:rFonts w:hint="eastAsia" w:asciiTheme="minorEastAsia" w:hAnsiTheme="minorEastAsia" w:eastAsiaTheme="minorEastAsia" w:cstheme="minorEastAsia"/>
          <w:sz w:val="28"/>
          <w:szCs w:val="28"/>
          <w:lang w:eastAsia="zh-CN"/>
        </w:rPr>
        <w:t>资助资金和城乡居民财补资金。</w:t>
      </w:r>
      <w:r>
        <w:rPr>
          <w:rFonts w:hint="eastAsia" w:asciiTheme="minorEastAsia" w:hAnsiTheme="minorEastAsia" w:eastAsiaTheme="minorEastAsia" w:cstheme="minorEastAsia"/>
          <w:sz w:val="28"/>
          <w:szCs w:val="28"/>
          <w:lang w:val="en-US" w:eastAsia="zh-CN"/>
        </w:rPr>
        <w:t>2021年度拨款支出22191.14</w:t>
      </w:r>
      <w:r>
        <w:rPr>
          <w:rFonts w:hint="eastAsia" w:asciiTheme="minorEastAsia" w:hAnsiTheme="minorEastAsia" w:eastAsiaTheme="minorEastAsia" w:cstheme="minorEastAsia"/>
          <w:sz w:val="28"/>
          <w:szCs w:val="28"/>
          <w:lang w:eastAsia="zh-CN"/>
        </w:rPr>
        <w:t>万元，与</w:t>
      </w:r>
      <w:r>
        <w:rPr>
          <w:rFonts w:hint="eastAsia" w:asciiTheme="minorEastAsia" w:hAnsiTheme="minorEastAsia" w:eastAsiaTheme="minorEastAsia" w:cstheme="minorEastAsia"/>
          <w:sz w:val="28"/>
          <w:szCs w:val="28"/>
          <w:lang w:val="en-US" w:eastAsia="zh-CN"/>
        </w:rPr>
        <w:t>2020</w:t>
      </w:r>
      <w:r>
        <w:rPr>
          <w:rFonts w:hint="eastAsia" w:asciiTheme="minorEastAsia" w:hAnsiTheme="minorEastAsia" w:eastAsiaTheme="minorEastAsia" w:cstheme="minorEastAsia"/>
          <w:sz w:val="28"/>
          <w:szCs w:val="28"/>
          <w:lang w:eastAsia="zh-CN"/>
        </w:rPr>
        <w:t>年</w:t>
      </w:r>
      <w:r>
        <w:rPr>
          <w:rFonts w:hint="eastAsia" w:asciiTheme="minorEastAsia" w:hAnsiTheme="minorEastAsia" w:eastAsiaTheme="minorEastAsia" w:cstheme="minorEastAsia"/>
          <w:sz w:val="28"/>
          <w:szCs w:val="28"/>
          <w:lang w:val="en-US" w:eastAsia="zh-CN"/>
        </w:rPr>
        <w:t>22766.74万元</w:t>
      </w:r>
      <w:r>
        <w:rPr>
          <w:rFonts w:hint="eastAsia" w:asciiTheme="minorEastAsia" w:hAnsiTheme="minorEastAsia" w:eastAsiaTheme="minorEastAsia" w:cstheme="minorEastAsia"/>
          <w:sz w:val="28"/>
          <w:szCs w:val="28"/>
          <w:lang w:eastAsia="zh-CN"/>
        </w:rPr>
        <w:t>相比</w:t>
      </w:r>
      <w:r>
        <w:rPr>
          <w:rFonts w:hint="eastAsia" w:asciiTheme="minorEastAsia" w:hAnsiTheme="minorEastAsia" w:eastAsiaTheme="minorEastAsia" w:cstheme="minorEastAsia"/>
          <w:sz w:val="28"/>
          <w:szCs w:val="28"/>
          <w:lang w:val="en-US" w:eastAsia="zh-CN"/>
        </w:rPr>
        <w:t>减少575.6万元，减少了2.5%，减少原因是：医保新系统上线，因为系统原因，导致有些数据不能及时结算。</w:t>
      </w:r>
    </w:p>
    <w:p>
      <w:pPr>
        <w:pStyle w:val="7"/>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五、一般公共预算财政拨款支出决算情况说明</w:t>
      </w:r>
    </w:p>
    <w:p>
      <w:pPr>
        <w:pStyle w:val="7"/>
        <w:ind w:firstLine="560" w:firstLineChars="200"/>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（一）财政拨款支出决算总体情况</w:t>
      </w:r>
    </w:p>
    <w:p>
      <w:pPr>
        <w:pStyle w:val="7"/>
        <w:ind w:firstLine="700" w:firstLineChars="250"/>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lang w:val="en-US" w:eastAsia="zh-CN"/>
        </w:rPr>
        <w:t>2021年度拨款支出22191.14</w:t>
      </w:r>
      <w:r>
        <w:rPr>
          <w:rFonts w:hint="eastAsia" w:asciiTheme="minorEastAsia" w:hAnsiTheme="minorEastAsia" w:eastAsiaTheme="minorEastAsia" w:cstheme="minorEastAsia"/>
          <w:color w:val="auto"/>
          <w:sz w:val="28"/>
          <w:szCs w:val="28"/>
          <w:lang w:eastAsia="zh-CN"/>
        </w:rPr>
        <w:t>万元，占本年支出合计的</w:t>
      </w:r>
      <w:r>
        <w:rPr>
          <w:rFonts w:hint="eastAsia" w:asciiTheme="minorEastAsia" w:hAnsiTheme="minorEastAsia" w:eastAsiaTheme="minorEastAsia" w:cstheme="minorEastAsia"/>
          <w:color w:val="auto"/>
          <w:sz w:val="28"/>
          <w:szCs w:val="28"/>
          <w:lang w:val="en-US" w:eastAsia="zh-CN"/>
        </w:rPr>
        <w:t>100</w:t>
      </w:r>
      <w:r>
        <w:rPr>
          <w:rFonts w:hint="eastAsia" w:asciiTheme="minorEastAsia" w:hAnsiTheme="minorEastAsia" w:eastAsiaTheme="minorEastAsia" w:cstheme="minorEastAsia"/>
          <w:color w:val="auto"/>
          <w:sz w:val="28"/>
          <w:szCs w:val="28"/>
          <w:lang w:eastAsia="zh-CN"/>
        </w:rPr>
        <w:t>%，与</w:t>
      </w:r>
      <w:r>
        <w:rPr>
          <w:rFonts w:hint="eastAsia" w:asciiTheme="minorEastAsia" w:hAnsiTheme="minorEastAsia" w:eastAsiaTheme="minorEastAsia" w:cstheme="minorEastAsia"/>
          <w:color w:val="auto"/>
          <w:sz w:val="28"/>
          <w:szCs w:val="28"/>
          <w:lang w:val="en-US" w:eastAsia="zh-CN"/>
        </w:rPr>
        <w:t>2020</w:t>
      </w:r>
      <w:r>
        <w:rPr>
          <w:rFonts w:hint="eastAsia" w:asciiTheme="minorEastAsia" w:hAnsiTheme="minorEastAsia" w:eastAsiaTheme="minorEastAsia" w:cstheme="minorEastAsia"/>
          <w:color w:val="auto"/>
          <w:sz w:val="28"/>
          <w:szCs w:val="28"/>
          <w:lang w:eastAsia="zh-CN"/>
        </w:rPr>
        <w:t>年相比</w:t>
      </w:r>
      <w:r>
        <w:rPr>
          <w:rFonts w:hint="eastAsia" w:asciiTheme="minorEastAsia" w:hAnsiTheme="minorEastAsia" w:eastAsiaTheme="minorEastAsia" w:cstheme="minorEastAsia"/>
          <w:color w:val="auto"/>
          <w:sz w:val="28"/>
          <w:szCs w:val="28"/>
          <w:lang w:val="en-US" w:eastAsia="zh-CN"/>
        </w:rPr>
        <w:t>减少575.6万元，减少了2.5%，减少原因是：医保新系统上线，因为系统原因，导致有些数据不能及时结算。</w:t>
      </w:r>
    </w:p>
    <w:p>
      <w:pPr>
        <w:pStyle w:val="7"/>
        <w:ind w:firstLine="420" w:firstLineChars="150"/>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（二）财政拨款支出决算结构情况</w:t>
      </w:r>
    </w:p>
    <w:p>
      <w:pPr>
        <w:pStyle w:val="7"/>
        <w:ind w:firstLine="560" w:firstLineChars="20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202</w:t>
      </w:r>
      <w:r>
        <w:rPr>
          <w:rFonts w:hint="eastAsia" w:asciiTheme="minorEastAsia" w:hAnsiTheme="minorEastAsia" w:eastAsiaTheme="minorEastAsia" w:cstheme="minorEastAsia"/>
          <w:sz w:val="28"/>
          <w:szCs w:val="28"/>
          <w:lang w:val="en-US" w:eastAsia="zh-CN"/>
        </w:rPr>
        <w:t>1</w:t>
      </w:r>
      <w:r>
        <w:rPr>
          <w:rFonts w:hint="eastAsia" w:asciiTheme="minorEastAsia" w:hAnsiTheme="minorEastAsia" w:eastAsiaTheme="minorEastAsia" w:cstheme="minorEastAsia"/>
          <w:sz w:val="28"/>
          <w:szCs w:val="28"/>
        </w:rPr>
        <w:t>年度财政拨款支出</w:t>
      </w:r>
      <w:r>
        <w:rPr>
          <w:rFonts w:hint="eastAsia" w:asciiTheme="minorEastAsia" w:hAnsiTheme="minorEastAsia" w:eastAsiaTheme="minorEastAsia" w:cstheme="minorEastAsia"/>
          <w:sz w:val="28"/>
          <w:szCs w:val="28"/>
          <w:lang w:val="en-US" w:eastAsia="zh-CN"/>
        </w:rPr>
        <w:t>22191.14</w:t>
      </w:r>
      <w:r>
        <w:rPr>
          <w:rFonts w:hint="eastAsia" w:asciiTheme="minorEastAsia" w:hAnsiTheme="minorEastAsia" w:eastAsiaTheme="minorEastAsia" w:cstheme="minorEastAsia"/>
          <w:sz w:val="28"/>
          <w:szCs w:val="28"/>
        </w:rPr>
        <w:t>万元，主要用于</w:t>
      </w:r>
      <w:r>
        <w:rPr>
          <w:rFonts w:hint="eastAsia" w:asciiTheme="minorEastAsia" w:hAnsiTheme="minorEastAsia" w:eastAsiaTheme="minorEastAsia" w:cstheme="minorEastAsia"/>
          <w:sz w:val="28"/>
          <w:szCs w:val="28"/>
          <w:lang w:val="en-US" w:eastAsia="zh-CN"/>
        </w:rPr>
        <w:t>卫生健康</w:t>
      </w:r>
      <w:r>
        <w:rPr>
          <w:rFonts w:hint="eastAsia" w:asciiTheme="minorEastAsia" w:hAnsiTheme="minorEastAsia" w:eastAsiaTheme="minorEastAsia" w:cstheme="minorEastAsia"/>
          <w:sz w:val="28"/>
          <w:szCs w:val="28"/>
        </w:rPr>
        <w:t>（类）</w:t>
      </w:r>
      <w:r>
        <w:rPr>
          <w:rFonts w:hint="eastAsia" w:asciiTheme="minorEastAsia" w:hAnsiTheme="minorEastAsia" w:eastAsiaTheme="minorEastAsia" w:cstheme="minorEastAsia"/>
          <w:sz w:val="28"/>
          <w:szCs w:val="28"/>
          <w:lang w:val="en-US" w:eastAsia="zh-CN"/>
        </w:rPr>
        <w:t>支出，</w:t>
      </w:r>
      <w:r>
        <w:rPr>
          <w:rFonts w:hint="eastAsia" w:asciiTheme="minorEastAsia" w:hAnsiTheme="minorEastAsia" w:eastAsiaTheme="minorEastAsia" w:cstheme="minorEastAsia"/>
          <w:sz w:val="28"/>
          <w:szCs w:val="28"/>
        </w:rPr>
        <w:t>占</w:t>
      </w:r>
      <w:r>
        <w:rPr>
          <w:rFonts w:hint="eastAsia" w:asciiTheme="minorEastAsia" w:hAnsiTheme="minorEastAsia" w:eastAsiaTheme="minorEastAsia" w:cstheme="minorEastAsia"/>
          <w:sz w:val="28"/>
          <w:szCs w:val="28"/>
          <w:lang w:val="en-US" w:eastAsia="zh-CN"/>
        </w:rPr>
        <w:t>100</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lang w:eastAsia="zh-CN"/>
        </w:rPr>
        <w:t>。</w:t>
      </w:r>
    </w:p>
    <w:p>
      <w:pPr>
        <w:pStyle w:val="7"/>
        <w:numPr>
          <w:ilvl w:val="0"/>
          <w:numId w:val="2"/>
        </w:numPr>
        <w:ind w:firstLine="420" w:firstLineChars="150"/>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财政拨款支出决算具体情况</w:t>
      </w:r>
    </w:p>
    <w:p>
      <w:pPr>
        <w:pStyle w:val="7"/>
        <w:ind w:firstLine="700" w:firstLineChars="250"/>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2021年度财政拨款支出年初预算数为22191.14万元，支出决算数为22191.14万元，完成年初预算的100%，其中：</w:t>
      </w:r>
    </w:p>
    <w:p>
      <w:pPr>
        <w:pStyle w:val="7"/>
        <w:ind w:firstLine="700" w:firstLineChars="250"/>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1、卫生健康支出（类）财政对基本医疗保险基金的补助（款）款财政对城乡居民基本医疗保险基金的补助（项）</w:t>
      </w:r>
    </w:p>
    <w:p>
      <w:pPr>
        <w:pStyle w:val="7"/>
        <w:numPr>
          <w:ilvl w:val="0"/>
          <w:numId w:val="0"/>
        </w:numPr>
        <w:ind w:firstLine="560" w:firstLineChars="200"/>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年初预算为19861.2万元，支出决算为19861.2万元，完成年初预算的100%。</w:t>
      </w:r>
    </w:p>
    <w:p>
      <w:pPr>
        <w:pStyle w:val="7"/>
        <w:ind w:firstLine="700" w:firstLineChars="250"/>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2、卫生健康支出（类）医疗救助（款）城乡医疗救助支出（项）</w:t>
      </w:r>
    </w:p>
    <w:p>
      <w:pPr>
        <w:pStyle w:val="7"/>
        <w:numPr>
          <w:ilvl w:val="0"/>
          <w:numId w:val="0"/>
        </w:numPr>
        <w:ind w:left="630" w:leftChars="0"/>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年初预算为1699.94万元，支出决算为1699.94万元，完成年初预算的100%。</w:t>
      </w:r>
    </w:p>
    <w:p>
      <w:pPr>
        <w:pStyle w:val="7"/>
        <w:ind w:firstLine="700" w:firstLineChars="250"/>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3、卫生健康支出（类）医疗保障管理事务（款）行政运行（项）</w:t>
      </w:r>
    </w:p>
    <w:p>
      <w:pPr>
        <w:pStyle w:val="7"/>
        <w:numPr>
          <w:ilvl w:val="0"/>
          <w:numId w:val="0"/>
        </w:numPr>
        <w:ind w:left="630" w:leftChars="0"/>
        <w:rPr>
          <w:rFonts w:hint="eastAsia" w:asciiTheme="minorEastAsia" w:hAnsiTheme="minorEastAsia" w:eastAsiaTheme="minorEastAsia" w:cstheme="minorEastAsia"/>
          <w:color w:val="auto"/>
          <w:sz w:val="28"/>
          <w:szCs w:val="28"/>
          <w:lang w:val="en-US" w:eastAsia="zh-CN"/>
        </w:rPr>
      </w:pPr>
      <w:r>
        <w:rPr>
          <w:rFonts w:hint="eastAsia" w:asciiTheme="minorEastAsia" w:hAnsiTheme="minorEastAsia" w:eastAsiaTheme="minorEastAsia" w:cstheme="minorEastAsia"/>
          <w:color w:val="auto"/>
          <w:sz w:val="28"/>
          <w:szCs w:val="28"/>
          <w:lang w:val="en-US" w:eastAsia="zh-CN"/>
        </w:rPr>
        <w:t>年初预算为630万元，支出决算为630万元，完成年初预算的100%。</w:t>
      </w:r>
    </w:p>
    <w:p>
      <w:pPr>
        <w:pStyle w:val="7"/>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六、一般公共预算财政拨款基本支出决算情况说明</w:t>
      </w:r>
    </w:p>
    <w:p>
      <w:pPr>
        <w:pStyle w:val="7"/>
        <w:ind w:firstLine="560" w:firstLineChars="200"/>
        <w:rPr>
          <w:rFonts w:hint="eastAsia" w:asciiTheme="minorEastAsia" w:hAnsiTheme="minorEastAsia" w:eastAsiaTheme="minorEastAsia" w:cstheme="minorEastAsia"/>
          <w:sz w:val="28"/>
          <w:szCs w:val="28"/>
          <w:highlight w:val="none"/>
        </w:rPr>
      </w:pPr>
      <w:r>
        <w:rPr>
          <w:rFonts w:hint="eastAsia" w:asciiTheme="minorEastAsia" w:hAnsiTheme="minorEastAsia" w:eastAsiaTheme="minorEastAsia" w:cstheme="minorEastAsia"/>
          <w:sz w:val="28"/>
          <w:szCs w:val="28"/>
          <w:highlight w:val="none"/>
          <w:lang w:eastAsia="zh-CN"/>
        </w:rPr>
        <w:t>202</w:t>
      </w:r>
      <w:r>
        <w:rPr>
          <w:rFonts w:hint="eastAsia" w:asciiTheme="minorEastAsia" w:hAnsiTheme="minorEastAsia" w:eastAsiaTheme="minorEastAsia" w:cstheme="minorEastAsia"/>
          <w:sz w:val="28"/>
          <w:szCs w:val="28"/>
          <w:highlight w:val="none"/>
          <w:lang w:val="en-US" w:eastAsia="zh-CN"/>
        </w:rPr>
        <w:t>1</w:t>
      </w:r>
      <w:r>
        <w:rPr>
          <w:rFonts w:hint="eastAsia" w:asciiTheme="minorEastAsia" w:hAnsiTheme="minorEastAsia" w:eastAsiaTheme="minorEastAsia" w:cstheme="minorEastAsia"/>
          <w:sz w:val="28"/>
          <w:szCs w:val="28"/>
          <w:highlight w:val="none"/>
        </w:rPr>
        <w:t>年度财政拨款基本支出</w:t>
      </w:r>
      <w:r>
        <w:rPr>
          <w:rFonts w:hint="eastAsia" w:asciiTheme="minorEastAsia" w:hAnsiTheme="minorEastAsia" w:eastAsiaTheme="minorEastAsia" w:cstheme="minorEastAsia"/>
          <w:sz w:val="28"/>
          <w:szCs w:val="28"/>
          <w:highlight w:val="none"/>
          <w:lang w:val="en-US" w:eastAsia="zh-CN"/>
        </w:rPr>
        <w:t>453.32</w:t>
      </w:r>
      <w:r>
        <w:rPr>
          <w:rFonts w:hint="eastAsia" w:asciiTheme="minorEastAsia" w:hAnsiTheme="minorEastAsia" w:eastAsiaTheme="minorEastAsia" w:cstheme="minorEastAsia"/>
          <w:sz w:val="28"/>
          <w:szCs w:val="28"/>
          <w:highlight w:val="none"/>
        </w:rPr>
        <w:t>万元，其中：人员经费</w:t>
      </w:r>
      <w:r>
        <w:rPr>
          <w:rFonts w:hint="eastAsia" w:asciiTheme="minorEastAsia" w:hAnsiTheme="minorEastAsia" w:eastAsiaTheme="minorEastAsia" w:cstheme="minorEastAsia"/>
          <w:sz w:val="28"/>
          <w:szCs w:val="28"/>
          <w:highlight w:val="none"/>
          <w:lang w:val="en-US" w:eastAsia="zh-CN"/>
        </w:rPr>
        <w:t>441.58</w:t>
      </w:r>
      <w:r>
        <w:rPr>
          <w:rFonts w:hint="eastAsia" w:asciiTheme="minorEastAsia" w:hAnsiTheme="minorEastAsia" w:eastAsiaTheme="minorEastAsia" w:cstheme="minorEastAsia"/>
          <w:sz w:val="28"/>
          <w:szCs w:val="28"/>
          <w:highlight w:val="none"/>
        </w:rPr>
        <w:t>万元，占基本支出的</w:t>
      </w:r>
      <w:r>
        <w:rPr>
          <w:rFonts w:hint="eastAsia" w:asciiTheme="minorEastAsia" w:hAnsiTheme="minorEastAsia" w:eastAsiaTheme="minorEastAsia" w:cstheme="minorEastAsia"/>
          <w:sz w:val="28"/>
          <w:szCs w:val="28"/>
          <w:highlight w:val="none"/>
          <w:lang w:val="en-US" w:eastAsia="zh-CN"/>
        </w:rPr>
        <w:t>97.41</w:t>
      </w:r>
      <w:r>
        <w:rPr>
          <w:rFonts w:hint="eastAsia" w:asciiTheme="minorEastAsia" w:hAnsiTheme="minorEastAsia" w:eastAsiaTheme="minorEastAsia" w:cstheme="minorEastAsia"/>
          <w:sz w:val="28"/>
          <w:szCs w:val="28"/>
          <w:highlight w:val="none"/>
        </w:rPr>
        <w:t>%,主要包括基本工资、津贴补贴、奖金、伙食补助费</w:t>
      </w:r>
      <w:r>
        <w:rPr>
          <w:rFonts w:hint="eastAsia" w:asciiTheme="minorEastAsia" w:hAnsiTheme="minorEastAsia" w:eastAsiaTheme="minorEastAsia" w:cstheme="minorEastAsia"/>
          <w:sz w:val="28"/>
          <w:szCs w:val="28"/>
          <w:highlight w:val="none"/>
          <w:lang w:eastAsia="zh-CN"/>
        </w:rPr>
        <w:t>，</w:t>
      </w:r>
      <w:r>
        <w:rPr>
          <w:rFonts w:hint="eastAsia" w:asciiTheme="minorEastAsia" w:hAnsiTheme="minorEastAsia" w:eastAsiaTheme="minorEastAsia" w:cstheme="minorEastAsia"/>
          <w:sz w:val="28"/>
          <w:szCs w:val="28"/>
          <w:highlight w:val="none"/>
          <w:lang w:val="en-US" w:eastAsia="zh-CN"/>
        </w:rPr>
        <w:t>绩效工资，机关养老保险，职业年金，职工医疗保险，其他社会保障缴费，其他工资福利支出</w:t>
      </w:r>
      <w:r>
        <w:rPr>
          <w:rFonts w:hint="eastAsia" w:asciiTheme="minorEastAsia" w:hAnsiTheme="minorEastAsia" w:eastAsiaTheme="minorEastAsia" w:cstheme="minorEastAsia"/>
          <w:sz w:val="28"/>
          <w:szCs w:val="28"/>
          <w:highlight w:val="none"/>
        </w:rPr>
        <w:t>；公用经费</w:t>
      </w:r>
      <w:r>
        <w:rPr>
          <w:rFonts w:hint="eastAsia" w:asciiTheme="minorEastAsia" w:hAnsiTheme="minorEastAsia" w:eastAsiaTheme="minorEastAsia" w:cstheme="minorEastAsia"/>
          <w:sz w:val="28"/>
          <w:szCs w:val="28"/>
          <w:highlight w:val="none"/>
          <w:lang w:val="en-US" w:eastAsia="zh-CN"/>
        </w:rPr>
        <w:t>11.74</w:t>
      </w:r>
      <w:r>
        <w:rPr>
          <w:rFonts w:hint="eastAsia" w:asciiTheme="minorEastAsia" w:hAnsiTheme="minorEastAsia" w:eastAsiaTheme="minorEastAsia" w:cstheme="minorEastAsia"/>
          <w:sz w:val="28"/>
          <w:szCs w:val="28"/>
          <w:highlight w:val="none"/>
        </w:rPr>
        <w:t>万元，占基本支出的</w:t>
      </w:r>
      <w:r>
        <w:rPr>
          <w:rFonts w:hint="eastAsia" w:asciiTheme="minorEastAsia" w:hAnsiTheme="minorEastAsia" w:eastAsiaTheme="minorEastAsia" w:cstheme="minorEastAsia"/>
          <w:sz w:val="28"/>
          <w:szCs w:val="28"/>
          <w:highlight w:val="none"/>
          <w:lang w:val="en-US" w:eastAsia="zh-CN"/>
        </w:rPr>
        <w:t>2.59</w:t>
      </w:r>
      <w:r>
        <w:rPr>
          <w:rFonts w:hint="eastAsia" w:asciiTheme="minorEastAsia" w:hAnsiTheme="minorEastAsia" w:eastAsiaTheme="minorEastAsia" w:cstheme="minorEastAsia"/>
          <w:sz w:val="28"/>
          <w:szCs w:val="28"/>
          <w:highlight w:val="none"/>
        </w:rPr>
        <w:t>%，主要包括办公费、印刷费、咨询费、手续费</w:t>
      </w:r>
      <w:r>
        <w:rPr>
          <w:rFonts w:hint="eastAsia" w:asciiTheme="minorEastAsia" w:hAnsiTheme="minorEastAsia" w:eastAsiaTheme="minorEastAsia" w:cstheme="minorEastAsia"/>
          <w:sz w:val="28"/>
          <w:szCs w:val="28"/>
          <w:highlight w:val="none"/>
          <w:lang w:eastAsia="zh-CN"/>
        </w:rPr>
        <w:t>，</w:t>
      </w:r>
      <w:r>
        <w:rPr>
          <w:rFonts w:hint="eastAsia" w:asciiTheme="minorEastAsia" w:hAnsiTheme="minorEastAsia" w:eastAsiaTheme="minorEastAsia" w:cstheme="minorEastAsia"/>
          <w:sz w:val="28"/>
          <w:szCs w:val="28"/>
          <w:highlight w:val="none"/>
          <w:lang w:val="en-US" w:eastAsia="zh-CN"/>
        </w:rPr>
        <w:t>邮电费，差旅费，维护费，公务接待，劳务费，工会经费，其他交通费用，其他商品和服务支出</w:t>
      </w:r>
      <w:r>
        <w:rPr>
          <w:rFonts w:hint="eastAsia" w:asciiTheme="minorEastAsia" w:hAnsiTheme="minorEastAsia" w:eastAsiaTheme="minorEastAsia" w:cstheme="minorEastAsia"/>
          <w:sz w:val="28"/>
          <w:szCs w:val="28"/>
          <w:highlight w:val="none"/>
        </w:rPr>
        <w:t>。</w:t>
      </w:r>
    </w:p>
    <w:p>
      <w:pPr>
        <w:pStyle w:val="7"/>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七、一般公共预算财政拨款三公经费支出决算情况说明</w:t>
      </w:r>
    </w:p>
    <w:p>
      <w:pPr>
        <w:pStyle w:val="7"/>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（一）“三公”经费财政拨款支出决算总体情况说明</w:t>
      </w:r>
    </w:p>
    <w:p>
      <w:pPr>
        <w:pStyle w:val="7"/>
        <w:ind w:firstLine="700" w:firstLineChars="25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“三公”经费财政拨款支出预算为</w:t>
      </w:r>
      <w:r>
        <w:rPr>
          <w:rFonts w:hint="eastAsia" w:asciiTheme="minorEastAsia" w:hAnsiTheme="minorEastAsia" w:eastAsiaTheme="minorEastAsia" w:cstheme="minorEastAsia"/>
          <w:sz w:val="28"/>
          <w:szCs w:val="28"/>
          <w:lang w:val="en-US" w:eastAsia="zh-CN"/>
        </w:rPr>
        <w:t>5.5</w:t>
      </w:r>
      <w:r>
        <w:rPr>
          <w:rFonts w:hint="eastAsia" w:asciiTheme="minorEastAsia" w:hAnsiTheme="minorEastAsia" w:eastAsiaTheme="minorEastAsia" w:cstheme="minorEastAsia"/>
          <w:sz w:val="28"/>
          <w:szCs w:val="28"/>
        </w:rPr>
        <w:t>万元，支出决算为</w:t>
      </w:r>
      <w:r>
        <w:rPr>
          <w:rFonts w:hint="eastAsia" w:asciiTheme="minorEastAsia" w:hAnsiTheme="minorEastAsia" w:eastAsiaTheme="minorEastAsia" w:cstheme="minorEastAsia"/>
          <w:sz w:val="28"/>
          <w:szCs w:val="28"/>
          <w:lang w:val="en-US" w:eastAsia="zh-CN"/>
        </w:rPr>
        <w:t>5.47</w:t>
      </w:r>
      <w:r>
        <w:rPr>
          <w:rFonts w:hint="eastAsia" w:asciiTheme="minorEastAsia" w:hAnsiTheme="minorEastAsia" w:eastAsiaTheme="minorEastAsia" w:cstheme="minorEastAsia"/>
          <w:sz w:val="28"/>
          <w:szCs w:val="28"/>
        </w:rPr>
        <w:t>万元，完成预算的</w:t>
      </w:r>
      <w:r>
        <w:rPr>
          <w:rFonts w:hint="eastAsia" w:asciiTheme="minorEastAsia" w:hAnsiTheme="minorEastAsia" w:eastAsiaTheme="minorEastAsia" w:cstheme="minorEastAsia"/>
          <w:sz w:val="28"/>
          <w:szCs w:val="28"/>
          <w:lang w:val="en-US" w:eastAsia="zh-CN"/>
        </w:rPr>
        <w:t>99.45</w:t>
      </w:r>
      <w:r>
        <w:rPr>
          <w:rFonts w:hint="eastAsia" w:asciiTheme="minorEastAsia" w:hAnsiTheme="minorEastAsia" w:eastAsiaTheme="minorEastAsia" w:cstheme="minorEastAsia"/>
          <w:sz w:val="28"/>
          <w:szCs w:val="28"/>
        </w:rPr>
        <w:t>%，其中：</w:t>
      </w:r>
    </w:p>
    <w:p>
      <w:pPr>
        <w:pStyle w:val="7"/>
        <w:ind w:firstLine="700" w:firstLineChars="25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因公出国(境)费支出预算为0万元，支出决算为 0万元，因预算数为 0，无法计算预算完成百分比。决算数与预算数一致，与上年相比持平，原因是上年及本年均无出国出境情况，无相关费用支出。</w:t>
      </w:r>
    </w:p>
    <w:p>
      <w:pPr>
        <w:pStyle w:val="7"/>
        <w:ind w:firstLine="700" w:firstLineChars="25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公务接待费支出预算为</w:t>
      </w:r>
      <w:r>
        <w:rPr>
          <w:rFonts w:hint="eastAsia" w:asciiTheme="minorEastAsia" w:hAnsiTheme="minorEastAsia" w:eastAsiaTheme="minorEastAsia" w:cstheme="minorEastAsia"/>
          <w:sz w:val="28"/>
          <w:szCs w:val="28"/>
          <w:lang w:val="en-US" w:eastAsia="zh-CN"/>
        </w:rPr>
        <w:t>5.5</w:t>
      </w:r>
      <w:r>
        <w:rPr>
          <w:rFonts w:hint="eastAsia" w:asciiTheme="minorEastAsia" w:hAnsiTheme="minorEastAsia" w:eastAsiaTheme="minorEastAsia" w:cstheme="minorEastAsia"/>
          <w:sz w:val="28"/>
          <w:szCs w:val="28"/>
        </w:rPr>
        <w:t>万元，支出决算为</w:t>
      </w:r>
      <w:r>
        <w:rPr>
          <w:rFonts w:hint="eastAsia" w:asciiTheme="minorEastAsia" w:hAnsiTheme="minorEastAsia" w:eastAsiaTheme="minorEastAsia" w:cstheme="minorEastAsia"/>
          <w:sz w:val="28"/>
          <w:szCs w:val="28"/>
          <w:lang w:val="en-US" w:eastAsia="zh-CN"/>
        </w:rPr>
        <w:t>5.47</w:t>
      </w:r>
      <w:r>
        <w:rPr>
          <w:rFonts w:hint="eastAsia" w:asciiTheme="minorEastAsia" w:hAnsiTheme="minorEastAsia" w:eastAsiaTheme="minorEastAsia" w:cstheme="minorEastAsia"/>
          <w:sz w:val="28"/>
          <w:szCs w:val="28"/>
        </w:rPr>
        <w:t>万元，完成预算的</w:t>
      </w:r>
      <w:r>
        <w:rPr>
          <w:rFonts w:hint="eastAsia" w:asciiTheme="minorEastAsia" w:hAnsiTheme="minorEastAsia" w:eastAsiaTheme="minorEastAsia" w:cstheme="minorEastAsia"/>
          <w:sz w:val="28"/>
          <w:szCs w:val="28"/>
          <w:lang w:val="en-US" w:eastAsia="zh-CN"/>
        </w:rPr>
        <w:t>99.45</w:t>
      </w:r>
      <w:r>
        <w:rPr>
          <w:rFonts w:hint="eastAsia" w:asciiTheme="minorEastAsia" w:hAnsiTheme="minorEastAsia" w:eastAsiaTheme="minorEastAsia" w:cstheme="minorEastAsia"/>
          <w:sz w:val="28"/>
          <w:szCs w:val="28"/>
        </w:rPr>
        <w:t>%，决算数小于年初预算数的主要原因是</w:t>
      </w:r>
      <w:r>
        <w:rPr>
          <w:rFonts w:hint="eastAsia" w:asciiTheme="minorEastAsia" w:hAnsiTheme="minorEastAsia" w:eastAsiaTheme="minorEastAsia" w:cstheme="minorEastAsia"/>
          <w:sz w:val="28"/>
          <w:szCs w:val="28"/>
          <w:lang w:val="en-US" w:eastAsia="zh-CN"/>
        </w:rPr>
        <w:t>严格按照新接待政策</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lang w:val="en-US" w:eastAsia="zh-CN"/>
        </w:rPr>
        <w:t>减少接待</w:t>
      </w:r>
      <w:r>
        <w:rPr>
          <w:rFonts w:hint="eastAsia" w:asciiTheme="minorEastAsia" w:hAnsiTheme="minorEastAsia" w:eastAsiaTheme="minorEastAsia" w:cstheme="minorEastAsia"/>
          <w:sz w:val="28"/>
          <w:szCs w:val="28"/>
        </w:rPr>
        <w:t>。</w:t>
      </w:r>
    </w:p>
    <w:p>
      <w:pPr>
        <w:pStyle w:val="7"/>
        <w:ind w:firstLine="700" w:firstLineChars="25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公务用车购置费及运行维护费支出预算为0万元，支出决算为0万元，因预算数为0，无法计算预算完成百分比。决算数与预算数一致，与上年相比持平，原因是上年及本年均无公务用车购置费</w:t>
      </w:r>
      <w:r>
        <w:rPr>
          <w:rFonts w:hint="eastAsia" w:asciiTheme="minorEastAsia" w:hAnsiTheme="minorEastAsia" w:eastAsiaTheme="minorEastAsia" w:cstheme="minorEastAsia"/>
          <w:sz w:val="28"/>
          <w:szCs w:val="28"/>
          <w:lang w:eastAsia="zh-CN"/>
        </w:rPr>
        <w:t>及运行维护费</w:t>
      </w:r>
      <w:bookmarkStart w:id="2" w:name="_GoBack"/>
      <w:bookmarkEnd w:id="2"/>
      <w:r>
        <w:rPr>
          <w:rFonts w:hint="eastAsia" w:asciiTheme="minorEastAsia" w:hAnsiTheme="minorEastAsia" w:eastAsiaTheme="minorEastAsia" w:cstheme="minorEastAsia"/>
          <w:sz w:val="28"/>
          <w:szCs w:val="28"/>
        </w:rPr>
        <w:t>支出。</w:t>
      </w:r>
    </w:p>
    <w:p>
      <w:pPr>
        <w:pStyle w:val="7"/>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（二）“三公”经费财政拨款支出决算具体情况说明</w:t>
      </w:r>
    </w:p>
    <w:p>
      <w:pPr>
        <w:pStyle w:val="7"/>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202</w:t>
      </w:r>
      <w:r>
        <w:rPr>
          <w:rFonts w:hint="eastAsia" w:asciiTheme="minorEastAsia" w:hAnsiTheme="minorEastAsia" w:eastAsiaTheme="minorEastAsia" w:cstheme="minorEastAsia"/>
          <w:sz w:val="28"/>
          <w:szCs w:val="28"/>
          <w:lang w:val="en-US" w:eastAsia="zh-CN"/>
        </w:rPr>
        <w:t>1</w:t>
      </w:r>
      <w:r>
        <w:rPr>
          <w:rFonts w:hint="eastAsia" w:asciiTheme="minorEastAsia" w:hAnsiTheme="minorEastAsia" w:eastAsiaTheme="minorEastAsia" w:cstheme="minorEastAsia"/>
          <w:sz w:val="28"/>
          <w:szCs w:val="28"/>
        </w:rPr>
        <w:t>年度“三公”经费财政拨款支出决算中，公务接待费支出决算</w:t>
      </w:r>
      <w:r>
        <w:rPr>
          <w:rFonts w:hint="eastAsia" w:asciiTheme="minorEastAsia" w:hAnsiTheme="minorEastAsia" w:eastAsiaTheme="minorEastAsia" w:cstheme="minorEastAsia"/>
          <w:sz w:val="28"/>
          <w:szCs w:val="28"/>
          <w:lang w:val="en-US" w:eastAsia="zh-CN"/>
        </w:rPr>
        <w:t>5.47</w:t>
      </w:r>
      <w:r>
        <w:rPr>
          <w:rFonts w:hint="eastAsia" w:asciiTheme="minorEastAsia" w:hAnsiTheme="minorEastAsia" w:eastAsiaTheme="minorEastAsia" w:cstheme="minorEastAsia"/>
          <w:sz w:val="28"/>
          <w:szCs w:val="28"/>
        </w:rPr>
        <w:t>万元，占</w:t>
      </w:r>
      <w:r>
        <w:rPr>
          <w:rFonts w:hint="eastAsia" w:asciiTheme="minorEastAsia" w:hAnsiTheme="minorEastAsia" w:eastAsiaTheme="minorEastAsia" w:cstheme="minorEastAsia"/>
          <w:sz w:val="28"/>
          <w:szCs w:val="28"/>
          <w:lang w:val="en-US" w:eastAsia="zh-CN"/>
        </w:rPr>
        <w:t>100</w:t>
      </w:r>
      <w:r>
        <w:rPr>
          <w:rFonts w:hint="eastAsia" w:asciiTheme="minorEastAsia" w:hAnsiTheme="minorEastAsia" w:eastAsiaTheme="minorEastAsia" w:cstheme="minorEastAsia"/>
          <w:sz w:val="28"/>
          <w:szCs w:val="28"/>
        </w:rPr>
        <w:t>%,因公出国（境）费支出决算</w:t>
      </w:r>
      <w:r>
        <w:rPr>
          <w:rFonts w:hint="eastAsia" w:asciiTheme="minorEastAsia" w:hAnsiTheme="minorEastAsia" w:eastAsiaTheme="minorEastAsia" w:cstheme="minorEastAsia"/>
          <w:sz w:val="28"/>
          <w:szCs w:val="28"/>
          <w:lang w:val="en-US" w:eastAsia="zh-CN"/>
        </w:rPr>
        <w:t>0</w:t>
      </w:r>
      <w:r>
        <w:rPr>
          <w:rFonts w:hint="eastAsia" w:asciiTheme="minorEastAsia" w:hAnsiTheme="minorEastAsia" w:eastAsiaTheme="minorEastAsia" w:cstheme="minorEastAsia"/>
          <w:sz w:val="28"/>
          <w:szCs w:val="28"/>
        </w:rPr>
        <w:t>万元，占</w:t>
      </w:r>
      <w:r>
        <w:rPr>
          <w:rFonts w:hint="eastAsia" w:asciiTheme="minorEastAsia" w:hAnsiTheme="minorEastAsia" w:eastAsiaTheme="minorEastAsia" w:cstheme="minorEastAsia"/>
          <w:sz w:val="28"/>
          <w:szCs w:val="28"/>
          <w:lang w:val="en-US" w:eastAsia="zh-CN"/>
        </w:rPr>
        <w:t>0</w:t>
      </w:r>
      <w:r>
        <w:rPr>
          <w:rFonts w:hint="eastAsia" w:asciiTheme="minorEastAsia" w:hAnsiTheme="minorEastAsia" w:eastAsiaTheme="minorEastAsia" w:cstheme="minorEastAsia"/>
          <w:sz w:val="28"/>
          <w:szCs w:val="28"/>
        </w:rPr>
        <w:t>%,公务用车购置费及运行维护费支出决算</w:t>
      </w:r>
      <w:r>
        <w:rPr>
          <w:rFonts w:hint="eastAsia" w:asciiTheme="minorEastAsia" w:hAnsiTheme="minorEastAsia" w:eastAsiaTheme="minorEastAsia" w:cstheme="minorEastAsia"/>
          <w:sz w:val="28"/>
          <w:szCs w:val="28"/>
          <w:lang w:val="en-US" w:eastAsia="zh-CN"/>
        </w:rPr>
        <w:t>0</w:t>
      </w:r>
      <w:r>
        <w:rPr>
          <w:rFonts w:hint="eastAsia" w:asciiTheme="minorEastAsia" w:hAnsiTheme="minorEastAsia" w:eastAsiaTheme="minorEastAsia" w:cstheme="minorEastAsia"/>
          <w:sz w:val="28"/>
          <w:szCs w:val="28"/>
        </w:rPr>
        <w:t>万元，占</w:t>
      </w:r>
      <w:r>
        <w:rPr>
          <w:rFonts w:hint="eastAsia" w:asciiTheme="minorEastAsia" w:hAnsiTheme="minorEastAsia" w:eastAsiaTheme="minorEastAsia" w:cstheme="minorEastAsia"/>
          <w:sz w:val="28"/>
          <w:szCs w:val="28"/>
          <w:lang w:val="en-US" w:eastAsia="zh-CN"/>
        </w:rPr>
        <w:t>0</w:t>
      </w:r>
      <w:r>
        <w:rPr>
          <w:rFonts w:hint="eastAsia" w:asciiTheme="minorEastAsia" w:hAnsiTheme="minorEastAsia" w:eastAsiaTheme="minorEastAsia" w:cstheme="minorEastAsia"/>
          <w:sz w:val="28"/>
          <w:szCs w:val="28"/>
        </w:rPr>
        <w:t>%。其中：</w:t>
      </w:r>
    </w:p>
    <w:p>
      <w:pPr>
        <w:pStyle w:val="7"/>
        <w:ind w:firstLine="560" w:firstLineChars="200"/>
        <w:rPr>
          <w:rFonts w:hint="eastAsia" w:asciiTheme="minorEastAsia" w:hAnsiTheme="minorEastAsia" w:eastAsiaTheme="minorEastAsia" w:cstheme="minorEastAsia"/>
          <w:b/>
          <w:sz w:val="28"/>
          <w:szCs w:val="28"/>
          <w:lang w:eastAsia="zh-CN"/>
        </w:rPr>
      </w:pPr>
      <w:r>
        <w:rPr>
          <w:rFonts w:hint="eastAsia" w:asciiTheme="minorEastAsia" w:hAnsiTheme="minorEastAsia" w:eastAsiaTheme="minorEastAsia" w:cstheme="minorEastAsia"/>
          <w:sz w:val="28"/>
          <w:szCs w:val="28"/>
        </w:rPr>
        <w:t>1、因公出国（境）费支出决算为</w:t>
      </w:r>
      <w:r>
        <w:rPr>
          <w:rFonts w:hint="eastAsia" w:asciiTheme="minorEastAsia" w:hAnsiTheme="minorEastAsia" w:eastAsiaTheme="minorEastAsia" w:cstheme="minorEastAsia"/>
          <w:sz w:val="28"/>
          <w:szCs w:val="28"/>
          <w:lang w:val="en-US" w:eastAsia="zh-CN"/>
        </w:rPr>
        <w:t>0</w:t>
      </w:r>
      <w:r>
        <w:rPr>
          <w:rFonts w:hint="eastAsia" w:asciiTheme="minorEastAsia" w:hAnsiTheme="minorEastAsia" w:eastAsiaTheme="minorEastAsia" w:cstheme="minorEastAsia"/>
          <w:sz w:val="28"/>
          <w:szCs w:val="28"/>
        </w:rPr>
        <w:t>万元，全年安排因公出国（境）团组</w:t>
      </w:r>
      <w:r>
        <w:rPr>
          <w:rFonts w:hint="eastAsia" w:asciiTheme="minorEastAsia" w:hAnsiTheme="minorEastAsia" w:eastAsiaTheme="minorEastAsia" w:cstheme="minorEastAsia"/>
          <w:sz w:val="28"/>
          <w:szCs w:val="28"/>
          <w:lang w:val="en-US" w:eastAsia="zh-CN"/>
        </w:rPr>
        <w:t>0</w:t>
      </w:r>
      <w:r>
        <w:rPr>
          <w:rFonts w:hint="eastAsia" w:asciiTheme="minorEastAsia" w:hAnsiTheme="minorEastAsia" w:eastAsiaTheme="minorEastAsia" w:cstheme="minorEastAsia"/>
          <w:sz w:val="28"/>
          <w:szCs w:val="28"/>
        </w:rPr>
        <w:t>个，累计</w:t>
      </w:r>
      <w:r>
        <w:rPr>
          <w:rFonts w:hint="eastAsia" w:asciiTheme="minorEastAsia" w:hAnsiTheme="minorEastAsia" w:eastAsiaTheme="minorEastAsia" w:cstheme="minorEastAsia"/>
          <w:sz w:val="28"/>
          <w:szCs w:val="28"/>
          <w:lang w:val="en-US" w:eastAsia="zh-CN"/>
        </w:rPr>
        <w:t>0</w:t>
      </w:r>
      <w:r>
        <w:rPr>
          <w:rFonts w:hint="eastAsia" w:asciiTheme="minorEastAsia" w:hAnsiTheme="minorEastAsia" w:eastAsiaTheme="minorEastAsia" w:cstheme="minorEastAsia"/>
          <w:sz w:val="28"/>
          <w:szCs w:val="28"/>
        </w:rPr>
        <w:t>人次,开支内容无该项支出</w:t>
      </w:r>
      <w:r>
        <w:rPr>
          <w:rFonts w:hint="eastAsia" w:asciiTheme="minorEastAsia" w:hAnsiTheme="minorEastAsia" w:eastAsiaTheme="minorEastAsia" w:cstheme="minorEastAsia"/>
          <w:sz w:val="28"/>
          <w:szCs w:val="28"/>
          <w:lang w:eastAsia="zh-CN"/>
        </w:rPr>
        <w:t>。</w:t>
      </w:r>
    </w:p>
    <w:p>
      <w:pPr>
        <w:pStyle w:val="7"/>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2、公务接待费支出决算为</w:t>
      </w:r>
      <w:r>
        <w:rPr>
          <w:rFonts w:hint="eastAsia" w:asciiTheme="minorEastAsia" w:hAnsiTheme="minorEastAsia" w:eastAsiaTheme="minorEastAsia" w:cstheme="minorEastAsia"/>
          <w:sz w:val="28"/>
          <w:szCs w:val="28"/>
          <w:lang w:val="en-US" w:eastAsia="zh-CN"/>
        </w:rPr>
        <w:t>5.47</w:t>
      </w:r>
      <w:r>
        <w:rPr>
          <w:rFonts w:hint="eastAsia" w:asciiTheme="minorEastAsia" w:hAnsiTheme="minorEastAsia" w:eastAsiaTheme="minorEastAsia" w:cstheme="minorEastAsia"/>
          <w:sz w:val="28"/>
          <w:szCs w:val="28"/>
        </w:rPr>
        <w:t>万元，全年共接待来访团组</w:t>
      </w:r>
      <w:r>
        <w:rPr>
          <w:rFonts w:hint="eastAsia" w:asciiTheme="minorEastAsia" w:hAnsiTheme="minorEastAsia" w:eastAsiaTheme="minorEastAsia" w:cstheme="minorEastAsia"/>
          <w:sz w:val="28"/>
          <w:szCs w:val="28"/>
          <w:lang w:val="en-US" w:eastAsia="zh-CN"/>
        </w:rPr>
        <w:t>58</w:t>
      </w:r>
      <w:r>
        <w:rPr>
          <w:rFonts w:hint="eastAsia" w:asciiTheme="minorEastAsia" w:hAnsiTheme="minorEastAsia" w:eastAsiaTheme="minorEastAsia" w:cstheme="minorEastAsia"/>
          <w:sz w:val="28"/>
          <w:szCs w:val="28"/>
        </w:rPr>
        <w:t>个、来宾</w:t>
      </w:r>
      <w:r>
        <w:rPr>
          <w:rFonts w:hint="eastAsia" w:asciiTheme="minorEastAsia" w:hAnsiTheme="minorEastAsia" w:eastAsiaTheme="minorEastAsia" w:cstheme="minorEastAsia"/>
          <w:sz w:val="28"/>
          <w:szCs w:val="28"/>
          <w:lang w:val="en-US" w:eastAsia="zh-CN"/>
        </w:rPr>
        <w:t>416</w:t>
      </w:r>
      <w:r>
        <w:rPr>
          <w:rFonts w:hint="eastAsia" w:asciiTheme="minorEastAsia" w:hAnsiTheme="minorEastAsia" w:eastAsiaTheme="minorEastAsia" w:cstheme="minorEastAsia"/>
          <w:sz w:val="28"/>
          <w:szCs w:val="28"/>
        </w:rPr>
        <w:t>人次，主要是</w:t>
      </w:r>
      <w:r>
        <w:rPr>
          <w:rFonts w:hint="eastAsia" w:asciiTheme="minorEastAsia" w:hAnsiTheme="minorEastAsia" w:eastAsiaTheme="minorEastAsia" w:cstheme="minorEastAsia"/>
          <w:sz w:val="28"/>
          <w:szCs w:val="28"/>
          <w:lang w:val="en-US" w:eastAsia="zh-CN"/>
        </w:rPr>
        <w:t>业务培训，业务交流，飞行检查，督查监管</w:t>
      </w:r>
      <w:r>
        <w:rPr>
          <w:rFonts w:hint="eastAsia" w:asciiTheme="minorEastAsia" w:hAnsiTheme="minorEastAsia" w:eastAsiaTheme="minorEastAsia" w:cstheme="minorEastAsia"/>
          <w:sz w:val="28"/>
          <w:szCs w:val="28"/>
        </w:rPr>
        <w:t>发生的接待支出。</w:t>
      </w:r>
    </w:p>
    <w:p>
      <w:pPr>
        <w:pStyle w:val="7"/>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rPr>
        <w:t>3、公务用车购置费及运行维护费支出决算为</w:t>
      </w:r>
      <w:r>
        <w:rPr>
          <w:rFonts w:hint="eastAsia" w:asciiTheme="minorEastAsia" w:hAnsiTheme="minorEastAsia" w:eastAsiaTheme="minorEastAsia" w:cstheme="minorEastAsia"/>
          <w:sz w:val="28"/>
          <w:szCs w:val="28"/>
          <w:lang w:val="en-US" w:eastAsia="zh-CN"/>
        </w:rPr>
        <w:t>0</w:t>
      </w:r>
      <w:r>
        <w:rPr>
          <w:rFonts w:hint="eastAsia" w:asciiTheme="minorEastAsia" w:hAnsiTheme="minorEastAsia" w:eastAsiaTheme="minorEastAsia" w:cstheme="minorEastAsia"/>
          <w:sz w:val="28"/>
          <w:szCs w:val="28"/>
        </w:rPr>
        <w:t>万元，其中：公务用车购置费</w:t>
      </w:r>
      <w:r>
        <w:rPr>
          <w:rFonts w:hint="eastAsia" w:asciiTheme="minorEastAsia" w:hAnsiTheme="minorEastAsia" w:eastAsiaTheme="minorEastAsia" w:cstheme="minorEastAsia"/>
          <w:sz w:val="28"/>
          <w:szCs w:val="28"/>
          <w:lang w:val="en-US" w:eastAsia="zh-CN"/>
        </w:rPr>
        <w:t>0</w:t>
      </w:r>
      <w:r>
        <w:rPr>
          <w:rFonts w:hint="eastAsia" w:asciiTheme="minorEastAsia" w:hAnsiTheme="minorEastAsia" w:eastAsiaTheme="minorEastAsia" w:cstheme="minorEastAsia"/>
          <w:sz w:val="28"/>
          <w:szCs w:val="28"/>
        </w:rPr>
        <w:t>万元，</w:t>
      </w:r>
      <w:r>
        <w:rPr>
          <w:rFonts w:hint="eastAsia" w:asciiTheme="minorEastAsia" w:hAnsiTheme="minorEastAsia" w:eastAsiaTheme="minorEastAsia" w:cstheme="minorEastAsia"/>
          <w:bCs/>
          <w:kern w:val="0"/>
          <w:sz w:val="28"/>
          <w:szCs w:val="28"/>
          <w:lang w:val="en-US" w:eastAsia="zh-CN" w:bidi="ar-SA"/>
        </w:rPr>
        <w:t>新田县医疗保障局本级及所属单位医疗保障事务中心</w:t>
      </w:r>
      <w:r>
        <w:rPr>
          <w:rFonts w:hint="eastAsia" w:asciiTheme="minorEastAsia" w:hAnsiTheme="minorEastAsia" w:eastAsiaTheme="minorEastAsia" w:cstheme="minorEastAsia"/>
          <w:color w:val="auto"/>
          <w:sz w:val="28"/>
          <w:szCs w:val="28"/>
        </w:rPr>
        <w:t>更新公务用车</w:t>
      </w:r>
      <w:r>
        <w:rPr>
          <w:rFonts w:hint="eastAsia" w:asciiTheme="minorEastAsia" w:hAnsiTheme="minorEastAsia" w:eastAsiaTheme="minorEastAsia" w:cstheme="minorEastAsia"/>
          <w:color w:val="auto"/>
          <w:sz w:val="28"/>
          <w:szCs w:val="28"/>
          <w:lang w:val="en-US" w:eastAsia="zh-CN"/>
        </w:rPr>
        <w:t>0</w:t>
      </w:r>
      <w:r>
        <w:rPr>
          <w:rFonts w:hint="eastAsia" w:asciiTheme="minorEastAsia" w:hAnsiTheme="minorEastAsia" w:eastAsiaTheme="minorEastAsia" w:cstheme="minorEastAsia"/>
          <w:color w:val="auto"/>
          <w:sz w:val="28"/>
          <w:szCs w:val="28"/>
        </w:rPr>
        <w:t>辆</w:t>
      </w:r>
      <w:r>
        <w:rPr>
          <w:rFonts w:hint="eastAsia" w:asciiTheme="minorEastAsia" w:hAnsiTheme="minorEastAsia" w:eastAsiaTheme="minorEastAsia" w:cstheme="minorEastAsia"/>
          <w:color w:val="0000FF"/>
          <w:sz w:val="28"/>
          <w:szCs w:val="28"/>
        </w:rPr>
        <w:t>。</w:t>
      </w:r>
      <w:r>
        <w:rPr>
          <w:rFonts w:hint="eastAsia" w:asciiTheme="minorEastAsia" w:hAnsiTheme="minorEastAsia" w:eastAsiaTheme="minorEastAsia" w:cstheme="minorEastAsia"/>
          <w:sz w:val="28"/>
          <w:szCs w:val="28"/>
        </w:rPr>
        <w:t>公务用车运行维护费</w:t>
      </w:r>
      <w:r>
        <w:rPr>
          <w:rFonts w:hint="eastAsia" w:asciiTheme="minorEastAsia" w:hAnsiTheme="minorEastAsia" w:eastAsiaTheme="minorEastAsia" w:cstheme="minorEastAsia"/>
          <w:sz w:val="28"/>
          <w:szCs w:val="28"/>
          <w:lang w:val="en-US" w:eastAsia="zh-CN"/>
        </w:rPr>
        <w:t>0</w:t>
      </w:r>
      <w:r>
        <w:rPr>
          <w:rFonts w:hint="eastAsia" w:asciiTheme="minorEastAsia" w:hAnsiTheme="minorEastAsia" w:eastAsiaTheme="minorEastAsia" w:cstheme="minorEastAsia"/>
          <w:sz w:val="28"/>
          <w:szCs w:val="28"/>
        </w:rPr>
        <w:t>万元，主要是本单位无该项支出，截止</w:t>
      </w:r>
      <w:r>
        <w:rPr>
          <w:rFonts w:hint="eastAsia" w:asciiTheme="minorEastAsia" w:hAnsiTheme="minorEastAsia" w:eastAsiaTheme="minorEastAsia" w:cstheme="minorEastAsia"/>
          <w:sz w:val="28"/>
          <w:szCs w:val="28"/>
          <w:lang w:eastAsia="zh-CN"/>
        </w:rPr>
        <w:t>202</w:t>
      </w:r>
      <w:r>
        <w:rPr>
          <w:rFonts w:hint="eastAsia" w:asciiTheme="minorEastAsia" w:hAnsiTheme="minorEastAsia" w:eastAsiaTheme="minorEastAsia" w:cstheme="minorEastAsia"/>
          <w:sz w:val="28"/>
          <w:szCs w:val="28"/>
          <w:lang w:val="en-US" w:eastAsia="zh-CN"/>
        </w:rPr>
        <w:t>1</w:t>
      </w:r>
      <w:r>
        <w:rPr>
          <w:rFonts w:hint="eastAsia" w:asciiTheme="minorEastAsia" w:hAnsiTheme="minorEastAsia" w:eastAsiaTheme="minorEastAsia" w:cstheme="minorEastAsia"/>
          <w:sz w:val="28"/>
          <w:szCs w:val="28"/>
        </w:rPr>
        <w:t>年12月31日，我单位开支财政拨款的公务用车保有量为</w:t>
      </w:r>
      <w:r>
        <w:rPr>
          <w:rFonts w:hint="eastAsia" w:asciiTheme="minorEastAsia" w:hAnsiTheme="minorEastAsia" w:eastAsiaTheme="minorEastAsia" w:cstheme="minorEastAsia"/>
          <w:sz w:val="28"/>
          <w:szCs w:val="28"/>
          <w:lang w:val="en-US" w:eastAsia="zh-CN"/>
        </w:rPr>
        <w:t>0</w:t>
      </w:r>
      <w:r>
        <w:rPr>
          <w:rFonts w:hint="eastAsia" w:asciiTheme="minorEastAsia" w:hAnsiTheme="minorEastAsia" w:eastAsiaTheme="minorEastAsia" w:cstheme="minorEastAsia"/>
          <w:sz w:val="28"/>
          <w:szCs w:val="28"/>
        </w:rPr>
        <w:t>辆。</w:t>
      </w:r>
    </w:p>
    <w:p>
      <w:pPr>
        <w:pStyle w:val="7"/>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八、政府性基金预算收入支出决算情况</w:t>
      </w:r>
    </w:p>
    <w:p>
      <w:pPr>
        <w:pStyle w:val="7"/>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本单位无政府性基金收支</w:t>
      </w:r>
    </w:p>
    <w:p>
      <w:pPr>
        <w:pStyle w:val="7"/>
        <w:rPr>
          <w:rFonts w:hint="eastAsia"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九、</w:t>
      </w:r>
      <w:r>
        <w:rPr>
          <w:rFonts w:hint="eastAsia" w:ascii="宋体" w:hAnsi="宋体" w:eastAsia="宋体" w:cs="宋体"/>
          <w:b/>
          <w:bCs/>
          <w:i w:val="0"/>
          <w:caps w:val="0"/>
          <w:color w:val="333333"/>
          <w:spacing w:val="0"/>
          <w:sz w:val="28"/>
          <w:szCs w:val="28"/>
          <w:shd w:val="clear" w:fill="FFFFFF"/>
        </w:rPr>
        <w:t>国有资本经营预算财政拨款支出决算情况</w:t>
      </w:r>
    </w:p>
    <w:p>
      <w:pPr>
        <w:pStyle w:val="7"/>
        <w:ind w:firstLine="560" w:firstLineChars="200"/>
        <w:rPr>
          <w:rFonts w:hint="default"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rPr>
        <w:t>本单位无国有资本经营预算财政拨款支出</w:t>
      </w:r>
    </w:p>
    <w:p>
      <w:pPr>
        <w:ind w:firstLine="420" w:firstLineChars="150"/>
        <w:rPr>
          <w:rFonts w:hint="eastAsia" w:asciiTheme="minorEastAsia" w:hAnsiTheme="minorEastAsia" w:eastAsiaTheme="minorEastAsia" w:cstheme="minorEastAsia"/>
          <w:b/>
          <w:color w:val="000000"/>
          <w:kern w:val="0"/>
          <w:sz w:val="28"/>
          <w:szCs w:val="28"/>
        </w:rPr>
      </w:pPr>
      <w:r>
        <w:rPr>
          <w:rFonts w:hint="eastAsia" w:asciiTheme="minorEastAsia" w:hAnsiTheme="minorEastAsia" w:cstheme="minorEastAsia"/>
          <w:b/>
          <w:sz w:val="28"/>
          <w:szCs w:val="28"/>
          <w:lang w:eastAsia="zh-CN"/>
        </w:rPr>
        <w:t>十</w:t>
      </w:r>
      <w:r>
        <w:rPr>
          <w:rFonts w:hint="eastAsia" w:asciiTheme="minorEastAsia" w:hAnsiTheme="minorEastAsia" w:eastAsiaTheme="minorEastAsia" w:cstheme="minorEastAsia"/>
          <w:b/>
          <w:sz w:val="28"/>
          <w:szCs w:val="28"/>
        </w:rPr>
        <w:t>、</w:t>
      </w:r>
      <w:r>
        <w:rPr>
          <w:rFonts w:hint="eastAsia" w:asciiTheme="minorEastAsia" w:hAnsiTheme="minorEastAsia" w:eastAsiaTheme="minorEastAsia" w:cstheme="minorEastAsia"/>
          <w:b/>
          <w:color w:val="000000"/>
          <w:kern w:val="0"/>
          <w:sz w:val="28"/>
          <w:szCs w:val="28"/>
        </w:rPr>
        <w:t>机关运行经费支出情况</w:t>
      </w:r>
    </w:p>
    <w:p>
      <w:pPr>
        <w:ind w:firstLine="560" w:firstLineChars="200"/>
        <w:rPr>
          <w:rFonts w:hint="eastAsia" w:asciiTheme="minorEastAsia" w:hAnsiTheme="minorEastAsia" w:cstheme="minorEastAsia"/>
          <w:color w:val="000000"/>
          <w:kern w:val="0"/>
          <w:sz w:val="28"/>
          <w:szCs w:val="28"/>
          <w:lang w:val="en-US" w:eastAsia="zh-CN"/>
        </w:rPr>
      </w:pPr>
      <w:r>
        <w:rPr>
          <w:rFonts w:hint="eastAsia" w:asciiTheme="minorEastAsia" w:hAnsiTheme="minorEastAsia" w:eastAsiaTheme="minorEastAsia" w:cstheme="minorEastAsia"/>
          <w:color w:val="000000"/>
          <w:kern w:val="0"/>
          <w:sz w:val="28"/>
          <w:szCs w:val="28"/>
        </w:rPr>
        <w:t>本部门</w:t>
      </w:r>
      <w:r>
        <w:rPr>
          <w:rFonts w:hint="eastAsia" w:asciiTheme="minorEastAsia" w:hAnsiTheme="minorEastAsia" w:cstheme="minorEastAsia"/>
          <w:color w:val="000000"/>
          <w:kern w:val="0"/>
          <w:sz w:val="28"/>
          <w:szCs w:val="28"/>
          <w:lang w:eastAsia="zh-CN"/>
        </w:rPr>
        <w:t>202</w:t>
      </w:r>
      <w:r>
        <w:rPr>
          <w:rFonts w:hint="eastAsia" w:asciiTheme="minorEastAsia" w:hAnsiTheme="minorEastAsia" w:cstheme="minorEastAsia"/>
          <w:color w:val="000000"/>
          <w:kern w:val="0"/>
          <w:sz w:val="28"/>
          <w:szCs w:val="28"/>
          <w:lang w:val="en-US" w:eastAsia="zh-CN"/>
        </w:rPr>
        <w:t>1</w:t>
      </w:r>
      <w:r>
        <w:rPr>
          <w:rFonts w:hint="eastAsia" w:asciiTheme="minorEastAsia" w:hAnsiTheme="minorEastAsia" w:eastAsiaTheme="minorEastAsia" w:cstheme="minorEastAsia"/>
          <w:color w:val="000000"/>
          <w:kern w:val="0"/>
          <w:sz w:val="28"/>
          <w:szCs w:val="28"/>
        </w:rPr>
        <w:t xml:space="preserve"> 年度机关运行经费支出</w:t>
      </w:r>
      <w:r>
        <w:rPr>
          <w:rFonts w:hint="eastAsia" w:asciiTheme="minorEastAsia" w:hAnsiTheme="minorEastAsia" w:cstheme="minorEastAsia"/>
          <w:color w:val="000000"/>
          <w:kern w:val="0"/>
          <w:sz w:val="28"/>
          <w:szCs w:val="28"/>
          <w:lang w:val="en-US" w:eastAsia="zh-CN"/>
        </w:rPr>
        <w:t>11.74</w:t>
      </w:r>
      <w:r>
        <w:rPr>
          <w:rFonts w:hint="eastAsia" w:asciiTheme="minorEastAsia" w:hAnsiTheme="minorEastAsia" w:eastAsiaTheme="minorEastAsia" w:cstheme="minorEastAsia"/>
          <w:color w:val="000000"/>
          <w:kern w:val="0"/>
          <w:sz w:val="28"/>
          <w:szCs w:val="28"/>
        </w:rPr>
        <w:t>万元，比年初预算数增加</w:t>
      </w:r>
      <w:r>
        <w:rPr>
          <w:rFonts w:hint="eastAsia" w:asciiTheme="minorEastAsia" w:hAnsiTheme="minorEastAsia" w:cstheme="minorEastAsia"/>
          <w:color w:val="000000"/>
          <w:kern w:val="0"/>
          <w:sz w:val="28"/>
          <w:szCs w:val="28"/>
          <w:lang w:val="en-US" w:eastAsia="zh-CN"/>
        </w:rPr>
        <w:t>0.77</w:t>
      </w:r>
      <w:r>
        <w:rPr>
          <w:rFonts w:hint="eastAsia" w:asciiTheme="minorEastAsia" w:hAnsiTheme="minorEastAsia" w:eastAsiaTheme="minorEastAsia" w:cstheme="minorEastAsia"/>
          <w:color w:val="000000"/>
          <w:kern w:val="0"/>
          <w:sz w:val="28"/>
          <w:szCs w:val="28"/>
        </w:rPr>
        <w:t>万元，增长</w:t>
      </w:r>
      <w:r>
        <w:rPr>
          <w:rFonts w:hint="eastAsia" w:asciiTheme="minorEastAsia" w:hAnsiTheme="minorEastAsia" w:cstheme="minorEastAsia"/>
          <w:color w:val="000000"/>
          <w:kern w:val="0"/>
          <w:sz w:val="28"/>
          <w:szCs w:val="28"/>
          <w:lang w:val="en-US" w:eastAsia="zh-CN"/>
        </w:rPr>
        <w:t>6.56</w:t>
      </w:r>
      <w:r>
        <w:rPr>
          <w:rFonts w:hint="eastAsia" w:asciiTheme="minorEastAsia" w:hAnsiTheme="minorEastAsia" w:eastAsiaTheme="minorEastAsia" w:cstheme="minorEastAsia"/>
          <w:color w:val="000000"/>
          <w:kern w:val="0"/>
          <w:sz w:val="28"/>
          <w:szCs w:val="28"/>
        </w:rPr>
        <w:t>%。主要原因是：</w:t>
      </w:r>
      <w:r>
        <w:rPr>
          <w:rFonts w:hint="eastAsia" w:asciiTheme="minorEastAsia" w:hAnsiTheme="minorEastAsia" w:cstheme="minorEastAsia"/>
          <w:color w:val="000000"/>
          <w:kern w:val="0"/>
          <w:sz w:val="28"/>
          <w:szCs w:val="28"/>
          <w:lang w:val="en-US" w:eastAsia="zh-CN"/>
        </w:rPr>
        <w:t>上年度退休人员的退休费未纳入进来。</w:t>
      </w:r>
    </w:p>
    <w:p>
      <w:pPr>
        <w:ind w:firstLine="560" w:firstLineChars="200"/>
        <w:rPr>
          <w:rFonts w:hint="eastAsia" w:asciiTheme="minorEastAsia" w:hAnsiTheme="minorEastAsia" w:eastAsiaTheme="minorEastAsia" w:cstheme="minorEastAsia"/>
          <w:b/>
          <w:color w:val="000000"/>
          <w:kern w:val="0"/>
          <w:sz w:val="28"/>
          <w:szCs w:val="28"/>
        </w:rPr>
      </w:pPr>
      <w:r>
        <w:rPr>
          <w:rFonts w:hint="eastAsia" w:asciiTheme="minorEastAsia" w:hAnsiTheme="minorEastAsia" w:cstheme="minorEastAsia"/>
          <w:b/>
          <w:sz w:val="28"/>
          <w:szCs w:val="28"/>
          <w:lang w:eastAsia="zh-CN"/>
        </w:rPr>
        <w:t>十一</w:t>
      </w:r>
      <w:r>
        <w:rPr>
          <w:rFonts w:hint="eastAsia" w:asciiTheme="minorEastAsia" w:hAnsiTheme="minorEastAsia" w:eastAsiaTheme="minorEastAsia" w:cstheme="minorEastAsia"/>
          <w:b/>
          <w:sz w:val="28"/>
          <w:szCs w:val="28"/>
        </w:rPr>
        <w:t>、</w:t>
      </w:r>
      <w:r>
        <w:rPr>
          <w:rFonts w:hint="eastAsia" w:asciiTheme="minorEastAsia" w:hAnsiTheme="minorEastAsia" w:eastAsiaTheme="minorEastAsia" w:cstheme="minorEastAsia"/>
          <w:b/>
          <w:color w:val="000000"/>
          <w:kern w:val="0"/>
          <w:sz w:val="28"/>
          <w:szCs w:val="28"/>
        </w:rPr>
        <w:t>一般性支出情况</w:t>
      </w:r>
    </w:p>
    <w:p>
      <w:pPr>
        <w:ind w:firstLine="560" w:firstLineChars="200"/>
        <w:rPr>
          <w:rFonts w:hint="eastAsia" w:asciiTheme="minorEastAsia" w:hAnsiTheme="minorEastAsia" w:eastAsiaTheme="minorEastAsia" w:cstheme="minorEastAsia"/>
          <w:color w:val="000000"/>
          <w:kern w:val="0"/>
          <w:sz w:val="28"/>
          <w:szCs w:val="28"/>
          <w:lang w:eastAsia="zh-CN"/>
        </w:rPr>
      </w:pPr>
      <w:r>
        <w:rPr>
          <w:rFonts w:hint="eastAsia" w:asciiTheme="minorEastAsia" w:hAnsiTheme="minorEastAsia" w:cstheme="minorEastAsia"/>
          <w:color w:val="000000"/>
          <w:kern w:val="0"/>
          <w:sz w:val="28"/>
          <w:szCs w:val="28"/>
          <w:lang w:eastAsia="zh-CN"/>
        </w:rPr>
        <w:t>202</w:t>
      </w:r>
      <w:r>
        <w:rPr>
          <w:rFonts w:hint="eastAsia" w:asciiTheme="minorEastAsia" w:hAnsiTheme="minorEastAsia" w:cstheme="minorEastAsia"/>
          <w:color w:val="000000"/>
          <w:kern w:val="0"/>
          <w:sz w:val="28"/>
          <w:szCs w:val="28"/>
          <w:lang w:val="en-US" w:eastAsia="zh-CN"/>
        </w:rPr>
        <w:t>1</w:t>
      </w:r>
      <w:r>
        <w:rPr>
          <w:rFonts w:hint="eastAsia" w:asciiTheme="minorEastAsia" w:hAnsiTheme="minorEastAsia" w:eastAsiaTheme="minorEastAsia" w:cstheme="minorEastAsia"/>
          <w:color w:val="000000"/>
          <w:kern w:val="0"/>
          <w:sz w:val="28"/>
          <w:szCs w:val="28"/>
        </w:rPr>
        <w:t>年本部门开支会议费</w:t>
      </w:r>
      <w:r>
        <w:rPr>
          <w:rFonts w:hint="eastAsia" w:asciiTheme="minorEastAsia" w:hAnsiTheme="minorEastAsia" w:cstheme="minorEastAsia"/>
          <w:color w:val="000000"/>
          <w:kern w:val="0"/>
          <w:sz w:val="28"/>
          <w:szCs w:val="28"/>
          <w:lang w:val="en-US" w:eastAsia="zh-CN"/>
        </w:rPr>
        <w:t>0</w:t>
      </w:r>
      <w:r>
        <w:rPr>
          <w:rFonts w:hint="eastAsia" w:asciiTheme="minorEastAsia" w:hAnsiTheme="minorEastAsia" w:eastAsiaTheme="minorEastAsia" w:cstheme="minorEastAsia"/>
          <w:color w:val="000000"/>
          <w:kern w:val="0"/>
          <w:sz w:val="28"/>
          <w:szCs w:val="28"/>
        </w:rPr>
        <w:t>万元，用于召开</w:t>
      </w:r>
      <w:r>
        <w:rPr>
          <w:rFonts w:hint="eastAsia" w:asciiTheme="minorEastAsia" w:hAnsiTheme="minorEastAsia" w:cstheme="minorEastAsia"/>
          <w:color w:val="000000"/>
          <w:kern w:val="0"/>
          <w:sz w:val="28"/>
          <w:szCs w:val="28"/>
          <w:lang w:val="en-US" w:eastAsia="zh-CN"/>
        </w:rPr>
        <w:t>0</w:t>
      </w:r>
      <w:r>
        <w:rPr>
          <w:rFonts w:hint="eastAsia" w:asciiTheme="minorEastAsia" w:hAnsiTheme="minorEastAsia" w:eastAsiaTheme="minorEastAsia" w:cstheme="minorEastAsia"/>
          <w:color w:val="000000"/>
          <w:kern w:val="0"/>
          <w:sz w:val="28"/>
          <w:szCs w:val="28"/>
        </w:rPr>
        <w:t>会议，人数</w:t>
      </w:r>
      <w:r>
        <w:rPr>
          <w:rFonts w:hint="eastAsia" w:asciiTheme="minorEastAsia" w:hAnsiTheme="minorEastAsia" w:cstheme="minorEastAsia"/>
          <w:color w:val="000000"/>
          <w:kern w:val="0"/>
          <w:sz w:val="28"/>
          <w:szCs w:val="28"/>
          <w:lang w:val="en-US" w:eastAsia="zh-CN"/>
        </w:rPr>
        <w:t>0</w:t>
      </w:r>
      <w:r>
        <w:rPr>
          <w:rFonts w:hint="eastAsia" w:asciiTheme="minorEastAsia" w:hAnsiTheme="minorEastAsia" w:eastAsiaTheme="minorEastAsia" w:cstheme="minorEastAsia"/>
          <w:color w:val="000000"/>
          <w:kern w:val="0"/>
          <w:sz w:val="28"/>
          <w:szCs w:val="28"/>
        </w:rPr>
        <w:t>人，；开支培训费</w:t>
      </w:r>
      <w:r>
        <w:rPr>
          <w:rFonts w:hint="eastAsia" w:asciiTheme="minorEastAsia" w:hAnsiTheme="minorEastAsia" w:cstheme="minorEastAsia"/>
          <w:color w:val="000000"/>
          <w:kern w:val="0"/>
          <w:sz w:val="28"/>
          <w:szCs w:val="28"/>
          <w:lang w:val="en-US" w:eastAsia="zh-CN"/>
        </w:rPr>
        <w:t>0</w:t>
      </w:r>
      <w:r>
        <w:rPr>
          <w:rFonts w:hint="eastAsia" w:asciiTheme="minorEastAsia" w:hAnsiTheme="minorEastAsia" w:eastAsiaTheme="minorEastAsia" w:cstheme="minorEastAsia"/>
          <w:color w:val="000000"/>
          <w:kern w:val="0"/>
          <w:sz w:val="28"/>
          <w:szCs w:val="28"/>
        </w:rPr>
        <w:t>万元，人数</w:t>
      </w:r>
      <w:r>
        <w:rPr>
          <w:rFonts w:hint="eastAsia" w:asciiTheme="minorEastAsia" w:hAnsiTheme="minorEastAsia" w:cstheme="minorEastAsia"/>
          <w:color w:val="000000"/>
          <w:kern w:val="0"/>
          <w:sz w:val="28"/>
          <w:szCs w:val="28"/>
          <w:lang w:val="en-US" w:eastAsia="zh-CN"/>
        </w:rPr>
        <w:t>0</w:t>
      </w:r>
      <w:r>
        <w:rPr>
          <w:rFonts w:hint="eastAsia" w:asciiTheme="minorEastAsia" w:hAnsiTheme="minorEastAsia" w:eastAsiaTheme="minorEastAsia" w:cstheme="minorEastAsia"/>
          <w:color w:val="000000"/>
          <w:kern w:val="0"/>
          <w:sz w:val="28"/>
          <w:szCs w:val="28"/>
        </w:rPr>
        <w:t>人</w:t>
      </w:r>
      <w:r>
        <w:rPr>
          <w:rFonts w:hint="eastAsia" w:asciiTheme="minorEastAsia" w:hAnsiTheme="minorEastAsia" w:cstheme="minorEastAsia"/>
          <w:color w:val="000000"/>
          <w:kern w:val="0"/>
          <w:sz w:val="28"/>
          <w:szCs w:val="28"/>
          <w:lang w:eastAsia="zh-CN"/>
        </w:rPr>
        <w:t>，</w:t>
      </w:r>
      <w:r>
        <w:rPr>
          <w:rFonts w:hint="eastAsia" w:asciiTheme="minorEastAsia" w:hAnsiTheme="minorEastAsia" w:cstheme="minorEastAsia"/>
          <w:color w:val="auto"/>
          <w:kern w:val="0"/>
          <w:sz w:val="28"/>
          <w:szCs w:val="28"/>
          <w:highlight w:val="none"/>
          <w:lang w:eastAsia="zh-CN"/>
        </w:rPr>
        <w:t>未</w:t>
      </w:r>
      <w:r>
        <w:rPr>
          <w:rFonts w:hint="eastAsia" w:asciiTheme="minorEastAsia" w:hAnsiTheme="minorEastAsia" w:cstheme="minorEastAsia"/>
          <w:color w:val="auto"/>
          <w:kern w:val="0"/>
          <w:sz w:val="28"/>
          <w:szCs w:val="28"/>
          <w:highlight w:val="none"/>
        </w:rPr>
        <w:t>举办节庆、晚会、论坛、赛事</w:t>
      </w:r>
      <w:r>
        <w:rPr>
          <w:rFonts w:hint="eastAsia" w:asciiTheme="minorEastAsia" w:hAnsiTheme="minorEastAsia" w:cstheme="minorEastAsia"/>
          <w:color w:val="auto"/>
          <w:kern w:val="0"/>
          <w:sz w:val="28"/>
          <w:szCs w:val="28"/>
          <w:highlight w:val="none"/>
          <w:lang w:eastAsia="zh-CN"/>
        </w:rPr>
        <w:t>等</w:t>
      </w:r>
      <w:r>
        <w:rPr>
          <w:rFonts w:hint="eastAsia" w:asciiTheme="minorEastAsia" w:hAnsiTheme="minorEastAsia" w:cstheme="minorEastAsia"/>
          <w:color w:val="auto"/>
          <w:kern w:val="0"/>
          <w:sz w:val="28"/>
          <w:szCs w:val="28"/>
          <w:highlight w:val="none"/>
        </w:rPr>
        <w:t>活动</w:t>
      </w:r>
      <w:r>
        <w:rPr>
          <w:rFonts w:hint="eastAsia" w:asciiTheme="minorEastAsia" w:hAnsiTheme="minorEastAsia" w:cstheme="minorEastAsia"/>
          <w:color w:val="auto"/>
          <w:kern w:val="0"/>
          <w:sz w:val="28"/>
          <w:szCs w:val="28"/>
          <w:highlight w:val="none"/>
          <w:lang w:eastAsia="zh-CN"/>
        </w:rPr>
        <w:t>。</w:t>
      </w:r>
    </w:p>
    <w:p>
      <w:pPr>
        <w:ind w:firstLine="560" w:firstLineChars="200"/>
        <w:rPr>
          <w:rFonts w:hint="eastAsia" w:asciiTheme="minorEastAsia" w:hAnsiTheme="minorEastAsia" w:eastAsiaTheme="minorEastAsia" w:cstheme="minorEastAsia"/>
          <w:b/>
          <w:color w:val="000000"/>
          <w:kern w:val="0"/>
          <w:sz w:val="28"/>
          <w:szCs w:val="28"/>
        </w:rPr>
      </w:pPr>
      <w:r>
        <w:rPr>
          <w:rFonts w:hint="eastAsia" w:asciiTheme="minorEastAsia" w:hAnsiTheme="minorEastAsia" w:cstheme="minorEastAsia"/>
          <w:b/>
          <w:color w:val="000000"/>
          <w:kern w:val="0"/>
          <w:sz w:val="28"/>
          <w:szCs w:val="28"/>
          <w:lang w:eastAsia="zh-CN"/>
        </w:rPr>
        <w:t>十二、</w:t>
      </w:r>
      <w:r>
        <w:rPr>
          <w:rFonts w:hint="eastAsia" w:asciiTheme="minorEastAsia" w:hAnsiTheme="minorEastAsia" w:eastAsiaTheme="minorEastAsia" w:cstheme="minorEastAsia"/>
          <w:b/>
          <w:color w:val="000000"/>
          <w:kern w:val="0"/>
          <w:sz w:val="28"/>
          <w:szCs w:val="28"/>
        </w:rPr>
        <w:t>政府采购支出情况</w:t>
      </w:r>
    </w:p>
    <w:p>
      <w:pPr>
        <w:ind w:firstLine="560" w:firstLineChars="200"/>
        <w:rPr>
          <w:rFonts w:hint="eastAsia" w:asciiTheme="minorEastAsia" w:hAnsiTheme="minorEastAsia" w:eastAsiaTheme="minorEastAsia" w:cstheme="minorEastAsia"/>
          <w:i/>
          <w:color w:val="FF0000"/>
          <w:kern w:val="0"/>
          <w:sz w:val="28"/>
          <w:szCs w:val="28"/>
        </w:rPr>
      </w:pPr>
      <w:r>
        <w:rPr>
          <w:rFonts w:hint="eastAsia" w:asciiTheme="minorEastAsia" w:hAnsiTheme="minorEastAsia" w:eastAsiaTheme="minorEastAsia" w:cstheme="minorEastAsia"/>
          <w:color w:val="000000"/>
          <w:kern w:val="0"/>
          <w:sz w:val="28"/>
          <w:szCs w:val="28"/>
          <w:highlight w:val="none"/>
        </w:rPr>
        <w:t>本部门</w:t>
      </w:r>
      <w:r>
        <w:rPr>
          <w:rFonts w:hint="eastAsia" w:asciiTheme="minorEastAsia" w:hAnsiTheme="minorEastAsia" w:cstheme="minorEastAsia"/>
          <w:color w:val="000000"/>
          <w:kern w:val="0"/>
          <w:sz w:val="28"/>
          <w:szCs w:val="28"/>
          <w:highlight w:val="none"/>
          <w:lang w:eastAsia="zh-CN"/>
        </w:rPr>
        <w:t>202</w:t>
      </w:r>
      <w:r>
        <w:rPr>
          <w:rFonts w:hint="eastAsia" w:asciiTheme="minorEastAsia" w:hAnsiTheme="minorEastAsia" w:cstheme="minorEastAsia"/>
          <w:color w:val="000000"/>
          <w:kern w:val="0"/>
          <w:sz w:val="28"/>
          <w:szCs w:val="28"/>
          <w:highlight w:val="none"/>
          <w:lang w:val="en-US" w:eastAsia="zh-CN"/>
        </w:rPr>
        <w:t>1</w:t>
      </w:r>
      <w:r>
        <w:rPr>
          <w:rFonts w:hint="eastAsia" w:asciiTheme="minorEastAsia" w:hAnsiTheme="minorEastAsia" w:eastAsiaTheme="minorEastAsia" w:cstheme="minorEastAsia"/>
          <w:color w:val="000000"/>
          <w:kern w:val="0"/>
          <w:sz w:val="28"/>
          <w:szCs w:val="28"/>
          <w:highlight w:val="none"/>
        </w:rPr>
        <w:t>年度政府采购支出总额</w:t>
      </w:r>
      <w:r>
        <w:rPr>
          <w:rFonts w:hint="eastAsia" w:asciiTheme="minorEastAsia" w:hAnsiTheme="minorEastAsia" w:cstheme="minorEastAsia"/>
          <w:color w:val="000000"/>
          <w:kern w:val="0"/>
          <w:sz w:val="28"/>
          <w:szCs w:val="28"/>
          <w:highlight w:val="none"/>
          <w:lang w:val="en-US" w:eastAsia="zh-CN"/>
        </w:rPr>
        <w:t>0</w:t>
      </w:r>
      <w:r>
        <w:rPr>
          <w:rFonts w:hint="eastAsia" w:asciiTheme="minorEastAsia" w:hAnsiTheme="minorEastAsia" w:eastAsiaTheme="minorEastAsia" w:cstheme="minorEastAsia"/>
          <w:color w:val="000000"/>
          <w:kern w:val="0"/>
          <w:sz w:val="28"/>
          <w:szCs w:val="28"/>
          <w:highlight w:val="none"/>
        </w:rPr>
        <w:t>万元，其中：政府采购货物支出</w:t>
      </w:r>
      <w:r>
        <w:rPr>
          <w:rFonts w:hint="eastAsia" w:asciiTheme="minorEastAsia" w:hAnsiTheme="minorEastAsia" w:cstheme="minorEastAsia"/>
          <w:color w:val="000000"/>
          <w:kern w:val="0"/>
          <w:sz w:val="28"/>
          <w:szCs w:val="28"/>
          <w:highlight w:val="none"/>
          <w:lang w:val="en-US" w:eastAsia="zh-CN"/>
        </w:rPr>
        <w:t>0</w:t>
      </w:r>
      <w:r>
        <w:rPr>
          <w:rFonts w:hint="eastAsia" w:asciiTheme="minorEastAsia" w:hAnsiTheme="minorEastAsia" w:eastAsiaTheme="minorEastAsia" w:cstheme="minorEastAsia"/>
          <w:color w:val="000000"/>
          <w:kern w:val="0"/>
          <w:sz w:val="28"/>
          <w:szCs w:val="28"/>
          <w:highlight w:val="none"/>
        </w:rPr>
        <w:t>万元、政府采购工程支出</w:t>
      </w:r>
      <w:r>
        <w:rPr>
          <w:rFonts w:hint="eastAsia" w:asciiTheme="minorEastAsia" w:hAnsiTheme="minorEastAsia" w:cstheme="minorEastAsia"/>
          <w:color w:val="000000"/>
          <w:kern w:val="0"/>
          <w:sz w:val="28"/>
          <w:szCs w:val="28"/>
          <w:highlight w:val="none"/>
          <w:lang w:val="en-US" w:eastAsia="zh-CN"/>
        </w:rPr>
        <w:t>0</w:t>
      </w:r>
      <w:r>
        <w:rPr>
          <w:rFonts w:hint="eastAsia" w:asciiTheme="minorEastAsia" w:hAnsiTheme="minorEastAsia" w:eastAsiaTheme="minorEastAsia" w:cstheme="minorEastAsia"/>
          <w:color w:val="000000"/>
          <w:kern w:val="0"/>
          <w:sz w:val="28"/>
          <w:szCs w:val="28"/>
          <w:highlight w:val="none"/>
        </w:rPr>
        <w:t>万元、政府采购服务支出</w:t>
      </w:r>
      <w:r>
        <w:rPr>
          <w:rFonts w:hint="eastAsia" w:asciiTheme="minorEastAsia" w:hAnsiTheme="minorEastAsia" w:cstheme="minorEastAsia"/>
          <w:color w:val="000000"/>
          <w:kern w:val="0"/>
          <w:sz w:val="28"/>
          <w:szCs w:val="28"/>
          <w:highlight w:val="none"/>
          <w:lang w:val="en-US" w:eastAsia="zh-CN"/>
        </w:rPr>
        <w:t>0</w:t>
      </w:r>
      <w:r>
        <w:rPr>
          <w:rFonts w:hint="eastAsia" w:asciiTheme="minorEastAsia" w:hAnsiTheme="minorEastAsia" w:eastAsiaTheme="minorEastAsia" w:cstheme="minorEastAsia"/>
          <w:color w:val="000000"/>
          <w:kern w:val="0"/>
          <w:sz w:val="28"/>
          <w:szCs w:val="28"/>
          <w:highlight w:val="none"/>
        </w:rPr>
        <w:t>万元。授予中小企业合同金额</w:t>
      </w:r>
      <w:r>
        <w:rPr>
          <w:rFonts w:hint="eastAsia" w:asciiTheme="minorEastAsia" w:hAnsiTheme="minorEastAsia" w:cstheme="minorEastAsia"/>
          <w:color w:val="000000"/>
          <w:kern w:val="0"/>
          <w:sz w:val="28"/>
          <w:szCs w:val="28"/>
          <w:highlight w:val="none"/>
          <w:lang w:val="en-US" w:eastAsia="zh-CN"/>
        </w:rPr>
        <w:t>0</w:t>
      </w:r>
      <w:r>
        <w:rPr>
          <w:rFonts w:hint="eastAsia" w:asciiTheme="minorEastAsia" w:hAnsiTheme="minorEastAsia" w:eastAsiaTheme="minorEastAsia" w:cstheme="minorEastAsia"/>
          <w:color w:val="000000"/>
          <w:kern w:val="0"/>
          <w:sz w:val="28"/>
          <w:szCs w:val="28"/>
          <w:highlight w:val="none"/>
        </w:rPr>
        <w:t>万元，占政府采购支出总额的</w:t>
      </w:r>
      <w:r>
        <w:rPr>
          <w:rFonts w:hint="eastAsia" w:asciiTheme="minorEastAsia" w:hAnsiTheme="minorEastAsia" w:cstheme="minorEastAsia"/>
          <w:color w:val="000000"/>
          <w:kern w:val="0"/>
          <w:sz w:val="28"/>
          <w:szCs w:val="28"/>
          <w:highlight w:val="none"/>
          <w:lang w:val="en-US" w:eastAsia="zh-CN"/>
        </w:rPr>
        <w:t>0</w:t>
      </w:r>
      <w:r>
        <w:rPr>
          <w:rFonts w:hint="eastAsia" w:asciiTheme="minorEastAsia" w:hAnsiTheme="minorEastAsia" w:eastAsiaTheme="minorEastAsia" w:cstheme="minorEastAsia"/>
          <w:color w:val="000000"/>
          <w:kern w:val="0"/>
          <w:sz w:val="28"/>
          <w:szCs w:val="28"/>
          <w:highlight w:val="none"/>
        </w:rPr>
        <w:t>%，其中：授予小微企业合同金额</w:t>
      </w:r>
      <w:r>
        <w:rPr>
          <w:rFonts w:hint="eastAsia" w:asciiTheme="minorEastAsia" w:hAnsiTheme="minorEastAsia" w:cstheme="minorEastAsia"/>
          <w:color w:val="000000"/>
          <w:kern w:val="0"/>
          <w:sz w:val="28"/>
          <w:szCs w:val="28"/>
          <w:highlight w:val="none"/>
          <w:lang w:val="en-US" w:eastAsia="zh-CN"/>
        </w:rPr>
        <w:t>0</w:t>
      </w:r>
      <w:r>
        <w:rPr>
          <w:rFonts w:hint="eastAsia" w:asciiTheme="minorEastAsia" w:hAnsiTheme="minorEastAsia" w:eastAsiaTheme="minorEastAsia" w:cstheme="minorEastAsia"/>
          <w:color w:val="000000"/>
          <w:kern w:val="0"/>
          <w:sz w:val="28"/>
          <w:szCs w:val="28"/>
          <w:highlight w:val="none"/>
        </w:rPr>
        <w:t>万元，占政府采购支出总额的</w:t>
      </w:r>
      <w:r>
        <w:rPr>
          <w:rFonts w:hint="eastAsia" w:asciiTheme="minorEastAsia" w:hAnsiTheme="minorEastAsia" w:cstheme="minorEastAsia"/>
          <w:color w:val="000000"/>
          <w:kern w:val="0"/>
          <w:sz w:val="28"/>
          <w:szCs w:val="28"/>
          <w:highlight w:val="none"/>
          <w:lang w:val="en-US" w:eastAsia="zh-CN"/>
        </w:rPr>
        <w:t>0</w:t>
      </w:r>
      <w:r>
        <w:rPr>
          <w:rFonts w:hint="eastAsia" w:asciiTheme="minorEastAsia" w:hAnsiTheme="minorEastAsia" w:eastAsiaTheme="minorEastAsia" w:cstheme="minorEastAsia"/>
          <w:color w:val="000000"/>
          <w:kern w:val="0"/>
          <w:sz w:val="28"/>
          <w:szCs w:val="28"/>
          <w:highlight w:val="none"/>
        </w:rPr>
        <w:t>%。</w:t>
      </w:r>
    </w:p>
    <w:p>
      <w:pPr>
        <w:ind w:firstLine="420" w:firstLineChars="150"/>
        <w:rPr>
          <w:rFonts w:hint="eastAsia" w:asciiTheme="minorEastAsia" w:hAnsiTheme="minorEastAsia" w:eastAsiaTheme="minorEastAsia" w:cstheme="minorEastAsia"/>
          <w:b/>
          <w:color w:val="000000"/>
          <w:kern w:val="0"/>
          <w:sz w:val="28"/>
          <w:szCs w:val="28"/>
        </w:rPr>
      </w:pPr>
      <w:r>
        <w:rPr>
          <w:rFonts w:hint="eastAsia" w:asciiTheme="minorEastAsia" w:hAnsiTheme="minorEastAsia" w:cstheme="minorEastAsia"/>
          <w:b/>
          <w:color w:val="000000"/>
          <w:kern w:val="0"/>
          <w:sz w:val="28"/>
          <w:szCs w:val="28"/>
          <w:lang w:eastAsia="zh-CN"/>
        </w:rPr>
        <w:t>十三、</w:t>
      </w:r>
      <w:r>
        <w:rPr>
          <w:rFonts w:hint="eastAsia" w:asciiTheme="minorEastAsia" w:hAnsiTheme="minorEastAsia" w:eastAsiaTheme="minorEastAsia" w:cstheme="minorEastAsia"/>
          <w:b/>
          <w:color w:val="000000"/>
          <w:kern w:val="0"/>
          <w:sz w:val="28"/>
          <w:szCs w:val="28"/>
        </w:rPr>
        <w:t>国有资产占用情况</w:t>
      </w:r>
    </w:p>
    <w:p>
      <w:pPr>
        <w:ind w:firstLine="560" w:firstLineChars="200"/>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截至</w:t>
      </w:r>
      <w:r>
        <w:rPr>
          <w:rFonts w:hint="eastAsia" w:asciiTheme="minorEastAsia" w:hAnsiTheme="minorEastAsia" w:cstheme="minorEastAsia"/>
          <w:color w:val="000000"/>
          <w:kern w:val="0"/>
          <w:sz w:val="28"/>
          <w:szCs w:val="28"/>
          <w:lang w:eastAsia="zh-CN"/>
        </w:rPr>
        <w:t>202</w:t>
      </w:r>
      <w:r>
        <w:rPr>
          <w:rFonts w:hint="eastAsia" w:asciiTheme="minorEastAsia" w:hAnsiTheme="minorEastAsia" w:cstheme="minorEastAsia"/>
          <w:color w:val="000000"/>
          <w:kern w:val="0"/>
          <w:sz w:val="28"/>
          <w:szCs w:val="28"/>
          <w:lang w:val="en-US" w:eastAsia="zh-CN"/>
        </w:rPr>
        <w:t>1</w:t>
      </w:r>
      <w:r>
        <w:rPr>
          <w:rFonts w:hint="eastAsia" w:asciiTheme="minorEastAsia" w:hAnsiTheme="minorEastAsia" w:eastAsiaTheme="minorEastAsia" w:cstheme="minorEastAsia"/>
          <w:color w:val="000000"/>
          <w:kern w:val="0"/>
          <w:sz w:val="28"/>
          <w:szCs w:val="28"/>
        </w:rPr>
        <w:t>年12月31日，本单位共有车辆</w:t>
      </w:r>
      <w:r>
        <w:rPr>
          <w:rFonts w:hint="eastAsia" w:asciiTheme="minorEastAsia" w:hAnsiTheme="minorEastAsia" w:cstheme="minorEastAsia"/>
          <w:color w:val="000000"/>
          <w:kern w:val="0"/>
          <w:sz w:val="28"/>
          <w:szCs w:val="28"/>
          <w:lang w:val="en-US" w:eastAsia="zh-CN"/>
        </w:rPr>
        <w:t>0</w:t>
      </w:r>
      <w:r>
        <w:rPr>
          <w:rFonts w:hint="eastAsia" w:asciiTheme="minorEastAsia" w:hAnsiTheme="minorEastAsia" w:eastAsiaTheme="minorEastAsia" w:cstheme="minorEastAsia"/>
          <w:color w:val="000000"/>
          <w:kern w:val="0"/>
          <w:sz w:val="28"/>
          <w:szCs w:val="28"/>
        </w:rPr>
        <w:t>辆，其中，领导干部用车</w:t>
      </w:r>
      <w:r>
        <w:rPr>
          <w:rFonts w:hint="eastAsia" w:asciiTheme="minorEastAsia" w:hAnsiTheme="minorEastAsia" w:cstheme="minorEastAsia"/>
          <w:color w:val="000000"/>
          <w:kern w:val="0"/>
          <w:sz w:val="28"/>
          <w:szCs w:val="28"/>
          <w:lang w:val="en-US" w:eastAsia="zh-CN"/>
        </w:rPr>
        <w:t>0</w:t>
      </w:r>
      <w:r>
        <w:rPr>
          <w:rFonts w:hint="eastAsia" w:asciiTheme="minorEastAsia" w:hAnsiTheme="minorEastAsia" w:eastAsiaTheme="minorEastAsia" w:cstheme="minorEastAsia"/>
          <w:color w:val="000000"/>
          <w:kern w:val="0"/>
          <w:sz w:val="28"/>
          <w:szCs w:val="28"/>
        </w:rPr>
        <w:t>辆、机要通信用车</w:t>
      </w:r>
      <w:r>
        <w:rPr>
          <w:rFonts w:hint="eastAsia" w:asciiTheme="minorEastAsia" w:hAnsiTheme="minorEastAsia" w:cstheme="minorEastAsia"/>
          <w:color w:val="000000"/>
          <w:kern w:val="0"/>
          <w:sz w:val="28"/>
          <w:szCs w:val="28"/>
          <w:lang w:val="en-US" w:eastAsia="zh-CN"/>
        </w:rPr>
        <w:t>0</w:t>
      </w:r>
      <w:r>
        <w:rPr>
          <w:rFonts w:hint="eastAsia" w:asciiTheme="minorEastAsia" w:hAnsiTheme="minorEastAsia" w:eastAsiaTheme="minorEastAsia" w:cstheme="minorEastAsia"/>
          <w:color w:val="000000"/>
          <w:kern w:val="0"/>
          <w:sz w:val="28"/>
          <w:szCs w:val="28"/>
        </w:rPr>
        <w:t>辆、应急保障用车</w:t>
      </w:r>
      <w:r>
        <w:rPr>
          <w:rFonts w:hint="eastAsia" w:asciiTheme="minorEastAsia" w:hAnsiTheme="minorEastAsia" w:cstheme="minorEastAsia"/>
          <w:color w:val="000000"/>
          <w:kern w:val="0"/>
          <w:sz w:val="28"/>
          <w:szCs w:val="28"/>
          <w:lang w:val="en-US" w:eastAsia="zh-CN"/>
        </w:rPr>
        <w:t>0</w:t>
      </w:r>
      <w:r>
        <w:rPr>
          <w:rFonts w:hint="eastAsia" w:asciiTheme="minorEastAsia" w:hAnsiTheme="minorEastAsia" w:eastAsiaTheme="minorEastAsia" w:cstheme="minorEastAsia"/>
          <w:color w:val="000000"/>
          <w:kern w:val="0"/>
          <w:sz w:val="28"/>
          <w:szCs w:val="28"/>
        </w:rPr>
        <w:t>辆、执法执勤用车</w:t>
      </w:r>
      <w:r>
        <w:rPr>
          <w:rFonts w:hint="eastAsia" w:asciiTheme="minorEastAsia" w:hAnsiTheme="minorEastAsia" w:cstheme="minorEastAsia"/>
          <w:color w:val="000000"/>
          <w:kern w:val="0"/>
          <w:sz w:val="28"/>
          <w:szCs w:val="28"/>
          <w:lang w:val="en-US" w:eastAsia="zh-CN"/>
        </w:rPr>
        <w:t>0</w:t>
      </w:r>
      <w:r>
        <w:rPr>
          <w:rFonts w:hint="eastAsia" w:asciiTheme="minorEastAsia" w:hAnsiTheme="minorEastAsia" w:eastAsiaTheme="minorEastAsia" w:cstheme="minorEastAsia"/>
          <w:color w:val="000000"/>
          <w:kern w:val="0"/>
          <w:sz w:val="28"/>
          <w:szCs w:val="28"/>
        </w:rPr>
        <w:t>辆、特种专业技术用车</w:t>
      </w:r>
      <w:r>
        <w:rPr>
          <w:rFonts w:hint="eastAsia" w:asciiTheme="minorEastAsia" w:hAnsiTheme="minorEastAsia" w:cstheme="minorEastAsia"/>
          <w:color w:val="000000"/>
          <w:kern w:val="0"/>
          <w:sz w:val="28"/>
          <w:szCs w:val="28"/>
          <w:lang w:val="en-US" w:eastAsia="zh-CN"/>
        </w:rPr>
        <w:t>0</w:t>
      </w:r>
      <w:r>
        <w:rPr>
          <w:rFonts w:hint="eastAsia" w:asciiTheme="minorEastAsia" w:hAnsiTheme="minorEastAsia" w:eastAsiaTheme="minorEastAsia" w:cstheme="minorEastAsia"/>
          <w:color w:val="000000"/>
          <w:kern w:val="0"/>
          <w:sz w:val="28"/>
          <w:szCs w:val="28"/>
        </w:rPr>
        <w:t>辆、其他用车</w:t>
      </w:r>
      <w:r>
        <w:rPr>
          <w:rFonts w:hint="eastAsia" w:asciiTheme="minorEastAsia" w:hAnsiTheme="minorEastAsia" w:cstheme="minorEastAsia"/>
          <w:color w:val="000000"/>
          <w:kern w:val="0"/>
          <w:sz w:val="28"/>
          <w:szCs w:val="28"/>
          <w:lang w:val="en-US" w:eastAsia="zh-CN"/>
        </w:rPr>
        <w:t>0</w:t>
      </w:r>
      <w:r>
        <w:rPr>
          <w:rFonts w:hint="eastAsia" w:asciiTheme="minorEastAsia" w:hAnsiTheme="minorEastAsia" w:eastAsiaTheme="minorEastAsia" w:cstheme="minorEastAsia"/>
          <w:color w:val="000000"/>
          <w:kern w:val="0"/>
          <w:sz w:val="28"/>
          <w:szCs w:val="28"/>
        </w:rPr>
        <w:t>辆；单位价值50万元以上通用设备</w:t>
      </w:r>
      <w:r>
        <w:rPr>
          <w:rFonts w:hint="eastAsia" w:asciiTheme="minorEastAsia" w:hAnsiTheme="minorEastAsia" w:cstheme="minorEastAsia"/>
          <w:color w:val="000000"/>
          <w:kern w:val="0"/>
          <w:sz w:val="28"/>
          <w:szCs w:val="28"/>
          <w:lang w:val="en-US" w:eastAsia="zh-CN"/>
        </w:rPr>
        <w:t>0</w:t>
      </w:r>
      <w:r>
        <w:rPr>
          <w:rFonts w:hint="eastAsia" w:asciiTheme="minorEastAsia" w:hAnsiTheme="minorEastAsia" w:eastAsiaTheme="minorEastAsia" w:cstheme="minorEastAsia"/>
          <w:color w:val="000000"/>
          <w:kern w:val="0"/>
          <w:sz w:val="28"/>
          <w:szCs w:val="28"/>
        </w:rPr>
        <w:t>台（套）；单位价值100万元以上专用设备</w:t>
      </w:r>
      <w:r>
        <w:rPr>
          <w:rFonts w:hint="eastAsia" w:asciiTheme="minorEastAsia" w:hAnsiTheme="minorEastAsia" w:cstheme="minorEastAsia"/>
          <w:color w:val="000000"/>
          <w:kern w:val="0"/>
          <w:sz w:val="28"/>
          <w:szCs w:val="28"/>
          <w:lang w:val="en-US" w:eastAsia="zh-CN"/>
        </w:rPr>
        <w:t>0</w:t>
      </w:r>
      <w:r>
        <w:rPr>
          <w:rFonts w:hint="eastAsia" w:asciiTheme="minorEastAsia" w:hAnsiTheme="minorEastAsia" w:eastAsiaTheme="minorEastAsia" w:cstheme="minorEastAsia"/>
          <w:color w:val="000000"/>
          <w:kern w:val="0"/>
          <w:sz w:val="28"/>
          <w:szCs w:val="28"/>
        </w:rPr>
        <w:t>台（套）。</w:t>
      </w:r>
    </w:p>
    <w:p>
      <w:pPr>
        <w:pStyle w:val="7"/>
        <w:rPr>
          <w:rFonts w:hint="eastAsia" w:asciiTheme="minorEastAsia" w:hAnsiTheme="minorEastAsia" w:eastAsiaTheme="minorEastAsia" w:cstheme="minorEastAsia"/>
          <w:b/>
          <w:sz w:val="28"/>
          <w:szCs w:val="28"/>
        </w:rPr>
      </w:pPr>
      <w:r>
        <w:rPr>
          <w:rFonts w:hint="eastAsia" w:asciiTheme="minorEastAsia" w:hAnsiTheme="minorEastAsia" w:cstheme="minorEastAsia"/>
          <w:b/>
          <w:color w:val="000000"/>
          <w:kern w:val="0"/>
          <w:sz w:val="28"/>
          <w:szCs w:val="28"/>
          <w:lang w:eastAsia="zh-CN"/>
        </w:rPr>
        <w:t>十四、</w:t>
      </w:r>
      <w:r>
        <w:rPr>
          <w:rFonts w:hint="eastAsia" w:asciiTheme="minorEastAsia" w:hAnsiTheme="minorEastAsia" w:eastAsiaTheme="minorEastAsia" w:cstheme="minorEastAsia"/>
          <w:b/>
          <w:sz w:val="28"/>
          <w:szCs w:val="28"/>
          <w:lang w:val="en-US" w:eastAsia="zh-CN"/>
        </w:rPr>
        <w:t>2021</w:t>
      </w:r>
      <w:r>
        <w:rPr>
          <w:rFonts w:hint="eastAsia" w:asciiTheme="minorEastAsia" w:hAnsiTheme="minorEastAsia" w:eastAsiaTheme="minorEastAsia" w:cstheme="minorEastAsia"/>
          <w:b/>
          <w:sz w:val="28"/>
          <w:szCs w:val="28"/>
        </w:rPr>
        <w:t>年度预算绩效情况说明</w:t>
      </w:r>
    </w:p>
    <w:p>
      <w:pPr>
        <w:autoSpaceDE w:val="0"/>
        <w:autoSpaceDN w:val="0"/>
        <w:adjustRightInd w:val="0"/>
        <w:ind w:firstLine="640" w:firstLineChars="200"/>
        <w:jc w:val="left"/>
        <w:rPr>
          <w:rFonts w:cs="黑体" w:asciiTheme="minorEastAsia" w:hAnsiTheme="minorEastAsia"/>
          <w:color w:val="000000"/>
          <w:kern w:val="0"/>
          <w:sz w:val="32"/>
          <w:szCs w:val="32"/>
          <w:highlight w:val="none"/>
        </w:rPr>
      </w:pPr>
      <w:r>
        <w:rPr>
          <w:rFonts w:hint="eastAsia" w:cs="黑体" w:asciiTheme="minorEastAsia" w:hAnsiTheme="minorEastAsia"/>
          <w:b/>
          <w:color w:val="000000"/>
          <w:kern w:val="0"/>
          <w:sz w:val="32"/>
          <w:szCs w:val="32"/>
          <w:highlight w:val="none"/>
        </w:rPr>
        <w:t>（1）绩效管理评价工作开展情况</w:t>
      </w:r>
      <w:r>
        <w:rPr>
          <w:rFonts w:hint="eastAsia" w:cs="黑体" w:asciiTheme="minorEastAsia" w:hAnsiTheme="minorEastAsia"/>
          <w:color w:val="000000"/>
          <w:kern w:val="0"/>
          <w:sz w:val="32"/>
          <w:szCs w:val="32"/>
          <w:highlight w:val="none"/>
        </w:rPr>
        <w:t>。</w:t>
      </w:r>
    </w:p>
    <w:p>
      <w:pPr>
        <w:autoSpaceDE w:val="0"/>
        <w:autoSpaceDN w:val="0"/>
        <w:adjustRightInd w:val="0"/>
        <w:ind w:firstLine="560" w:firstLineChars="200"/>
        <w:jc w:val="left"/>
        <w:rPr>
          <w:rFonts w:cs="黑体" w:asciiTheme="minorEastAsia" w:hAnsiTheme="minorEastAsia"/>
          <w:color w:val="000000"/>
          <w:kern w:val="0"/>
          <w:sz w:val="28"/>
          <w:szCs w:val="28"/>
          <w:highlight w:val="none"/>
        </w:rPr>
      </w:pPr>
      <w:r>
        <w:rPr>
          <w:rFonts w:hint="eastAsia" w:cs="黑体" w:asciiTheme="minorEastAsia" w:hAnsiTheme="minorEastAsia"/>
          <w:color w:val="000000"/>
          <w:kern w:val="0"/>
          <w:sz w:val="28"/>
          <w:szCs w:val="28"/>
          <w:highlight w:val="none"/>
        </w:rPr>
        <w:t>根据预算绩效管理要求，我部门组织对</w:t>
      </w:r>
      <w:r>
        <w:rPr>
          <w:rFonts w:cs="黑体" w:asciiTheme="minorEastAsia" w:hAnsiTheme="minorEastAsia"/>
          <w:color w:val="000000"/>
          <w:kern w:val="0"/>
          <w:sz w:val="28"/>
          <w:szCs w:val="28"/>
          <w:highlight w:val="none"/>
        </w:rPr>
        <w:t xml:space="preserve">2021 </w:t>
      </w:r>
      <w:r>
        <w:rPr>
          <w:rFonts w:hint="eastAsia" w:cs="黑体" w:asciiTheme="minorEastAsia" w:hAnsiTheme="minorEastAsia"/>
          <w:color w:val="000000"/>
          <w:kern w:val="0"/>
          <w:sz w:val="28"/>
          <w:szCs w:val="28"/>
          <w:highlight w:val="none"/>
        </w:rPr>
        <w:t>年度一般公共预算项目支出全面开展绩效自评，其中，一级项目</w:t>
      </w:r>
      <w:r>
        <w:rPr>
          <w:rFonts w:hint="eastAsia" w:cs="黑体" w:asciiTheme="minorEastAsia" w:hAnsiTheme="minorEastAsia"/>
          <w:color w:val="000000"/>
          <w:kern w:val="0"/>
          <w:sz w:val="28"/>
          <w:szCs w:val="28"/>
          <w:highlight w:val="none"/>
          <w:lang w:val="en-US" w:eastAsia="zh-CN"/>
        </w:rPr>
        <w:t>1</w:t>
      </w:r>
      <w:r>
        <w:rPr>
          <w:rFonts w:hint="eastAsia" w:cs="黑体" w:asciiTheme="minorEastAsia" w:hAnsiTheme="minorEastAsia"/>
          <w:color w:val="000000"/>
          <w:kern w:val="0"/>
          <w:sz w:val="28"/>
          <w:szCs w:val="28"/>
          <w:highlight w:val="none"/>
        </w:rPr>
        <w:t>个，二级项目</w:t>
      </w:r>
      <w:r>
        <w:rPr>
          <w:rFonts w:hint="eastAsia" w:cs="黑体" w:asciiTheme="minorEastAsia" w:hAnsiTheme="minorEastAsia"/>
          <w:color w:val="000000"/>
          <w:kern w:val="0"/>
          <w:sz w:val="28"/>
          <w:szCs w:val="28"/>
          <w:highlight w:val="none"/>
          <w:lang w:val="en-US" w:eastAsia="zh-CN"/>
        </w:rPr>
        <w:t>3</w:t>
      </w:r>
      <w:r>
        <w:rPr>
          <w:rFonts w:hint="eastAsia" w:cs="黑体" w:asciiTheme="minorEastAsia" w:hAnsiTheme="minorEastAsia"/>
          <w:color w:val="000000"/>
          <w:kern w:val="0"/>
          <w:sz w:val="28"/>
          <w:szCs w:val="28"/>
          <w:highlight w:val="none"/>
        </w:rPr>
        <w:t>个，共涉及资金</w:t>
      </w:r>
      <w:r>
        <w:rPr>
          <w:rFonts w:hint="eastAsia" w:cs="黑体" w:asciiTheme="minorEastAsia" w:hAnsiTheme="minorEastAsia"/>
          <w:color w:val="000000"/>
          <w:kern w:val="0"/>
          <w:sz w:val="28"/>
          <w:szCs w:val="28"/>
          <w:highlight w:val="none"/>
          <w:lang w:val="en-US" w:eastAsia="zh-CN"/>
        </w:rPr>
        <w:t>21737.81</w:t>
      </w:r>
      <w:r>
        <w:rPr>
          <w:rFonts w:hint="eastAsia" w:cs="黑体" w:asciiTheme="minorEastAsia" w:hAnsiTheme="minorEastAsia"/>
          <w:color w:val="000000"/>
          <w:kern w:val="0"/>
          <w:sz w:val="28"/>
          <w:szCs w:val="28"/>
          <w:highlight w:val="none"/>
        </w:rPr>
        <w:t>万元，占一般公共预算项目支出总额的</w:t>
      </w:r>
      <w:r>
        <w:rPr>
          <w:rFonts w:hint="eastAsia" w:cs="黑体" w:asciiTheme="minorEastAsia" w:hAnsiTheme="minorEastAsia"/>
          <w:color w:val="000000"/>
          <w:kern w:val="0"/>
          <w:sz w:val="28"/>
          <w:szCs w:val="28"/>
          <w:highlight w:val="none"/>
          <w:lang w:val="en-US" w:eastAsia="zh-CN"/>
        </w:rPr>
        <w:t>97.96</w:t>
      </w:r>
      <w:r>
        <w:rPr>
          <w:rFonts w:cs="黑体" w:asciiTheme="minorEastAsia" w:hAnsiTheme="minorEastAsia"/>
          <w:color w:val="000000"/>
          <w:kern w:val="0"/>
          <w:sz w:val="28"/>
          <w:szCs w:val="28"/>
          <w:highlight w:val="none"/>
        </w:rPr>
        <w:t>%</w:t>
      </w:r>
      <w:r>
        <w:rPr>
          <w:rFonts w:hint="eastAsia" w:cs="黑体" w:asciiTheme="minorEastAsia" w:hAnsiTheme="minorEastAsia"/>
          <w:color w:val="000000"/>
          <w:kern w:val="0"/>
          <w:sz w:val="28"/>
          <w:szCs w:val="28"/>
          <w:highlight w:val="none"/>
        </w:rPr>
        <w:t>。组织对</w:t>
      </w:r>
      <w:r>
        <w:rPr>
          <w:rFonts w:cs="黑体" w:asciiTheme="minorEastAsia" w:hAnsiTheme="minorEastAsia"/>
          <w:color w:val="000000"/>
          <w:kern w:val="0"/>
          <w:sz w:val="28"/>
          <w:szCs w:val="28"/>
          <w:highlight w:val="none"/>
        </w:rPr>
        <w:t>2021</w:t>
      </w:r>
      <w:r>
        <w:rPr>
          <w:rFonts w:hint="eastAsia" w:cs="黑体" w:asciiTheme="minorEastAsia" w:hAnsiTheme="minorEastAsia"/>
          <w:color w:val="000000"/>
          <w:kern w:val="0"/>
          <w:sz w:val="28"/>
          <w:szCs w:val="28"/>
          <w:highlight w:val="none"/>
        </w:rPr>
        <w:t>年度政府性基金预算项目支出开展绩效自评，共涉及资金</w:t>
      </w:r>
      <w:r>
        <w:rPr>
          <w:rFonts w:hint="eastAsia" w:cs="黑体" w:asciiTheme="minorEastAsia" w:hAnsiTheme="minorEastAsia"/>
          <w:color w:val="000000"/>
          <w:kern w:val="0"/>
          <w:sz w:val="28"/>
          <w:szCs w:val="28"/>
          <w:highlight w:val="none"/>
          <w:lang w:val="en-US" w:eastAsia="zh-CN"/>
        </w:rPr>
        <w:t>0</w:t>
      </w:r>
      <w:r>
        <w:rPr>
          <w:rFonts w:hint="eastAsia" w:cs="黑体" w:asciiTheme="minorEastAsia" w:hAnsiTheme="minorEastAsia"/>
          <w:color w:val="000000"/>
          <w:kern w:val="0"/>
          <w:sz w:val="28"/>
          <w:szCs w:val="28"/>
          <w:highlight w:val="none"/>
        </w:rPr>
        <w:t>万元，占政府性基金预算项目支出总额的</w:t>
      </w:r>
      <w:r>
        <w:rPr>
          <w:rFonts w:hint="eastAsia" w:cs="黑体" w:asciiTheme="minorEastAsia" w:hAnsiTheme="minorEastAsia"/>
          <w:color w:val="000000"/>
          <w:kern w:val="0"/>
          <w:sz w:val="28"/>
          <w:szCs w:val="28"/>
          <w:highlight w:val="none"/>
          <w:lang w:val="en-US" w:eastAsia="zh-CN"/>
        </w:rPr>
        <w:t>0</w:t>
      </w:r>
      <w:r>
        <w:rPr>
          <w:rFonts w:cs="黑体" w:asciiTheme="minorEastAsia" w:hAnsiTheme="minorEastAsia"/>
          <w:color w:val="000000"/>
          <w:kern w:val="0"/>
          <w:sz w:val="28"/>
          <w:szCs w:val="28"/>
          <w:highlight w:val="none"/>
        </w:rPr>
        <w:t>%</w:t>
      </w:r>
      <w:r>
        <w:rPr>
          <w:rFonts w:hint="eastAsia" w:cs="黑体" w:asciiTheme="minorEastAsia" w:hAnsiTheme="minorEastAsia"/>
          <w:color w:val="000000"/>
          <w:kern w:val="0"/>
          <w:sz w:val="28"/>
          <w:szCs w:val="28"/>
          <w:highlight w:val="none"/>
        </w:rPr>
        <w:t>。组织对</w:t>
      </w:r>
      <w:r>
        <w:rPr>
          <w:rFonts w:cs="黑体" w:asciiTheme="minorEastAsia" w:hAnsiTheme="minorEastAsia"/>
          <w:color w:val="000000"/>
          <w:kern w:val="0"/>
          <w:sz w:val="28"/>
          <w:szCs w:val="28"/>
          <w:highlight w:val="none"/>
        </w:rPr>
        <w:t>2021</w:t>
      </w:r>
      <w:r>
        <w:rPr>
          <w:rFonts w:hint="eastAsia" w:cs="黑体" w:asciiTheme="minorEastAsia" w:hAnsiTheme="minorEastAsia"/>
          <w:color w:val="000000"/>
          <w:kern w:val="0"/>
          <w:sz w:val="28"/>
          <w:szCs w:val="28"/>
          <w:highlight w:val="none"/>
        </w:rPr>
        <w:t>年度国有资本经营预算项目支出开展绩效自评，共涉及资金</w:t>
      </w:r>
      <w:r>
        <w:rPr>
          <w:rFonts w:hint="eastAsia" w:cs="黑体" w:asciiTheme="minorEastAsia" w:hAnsiTheme="minorEastAsia"/>
          <w:color w:val="000000"/>
          <w:kern w:val="0"/>
          <w:sz w:val="28"/>
          <w:szCs w:val="28"/>
          <w:highlight w:val="none"/>
          <w:lang w:val="en-US" w:eastAsia="zh-CN"/>
        </w:rPr>
        <w:t>0</w:t>
      </w:r>
      <w:r>
        <w:rPr>
          <w:rFonts w:hint="eastAsia" w:cs="黑体" w:asciiTheme="minorEastAsia" w:hAnsiTheme="minorEastAsia"/>
          <w:color w:val="000000"/>
          <w:kern w:val="0"/>
          <w:sz w:val="28"/>
          <w:szCs w:val="28"/>
          <w:highlight w:val="none"/>
        </w:rPr>
        <w:t>万元，占国有资本经营预算项目支出总额的</w:t>
      </w:r>
      <w:r>
        <w:rPr>
          <w:rFonts w:hint="eastAsia" w:cs="黑体" w:asciiTheme="minorEastAsia" w:hAnsiTheme="minorEastAsia"/>
          <w:color w:val="000000"/>
          <w:kern w:val="0"/>
          <w:sz w:val="28"/>
          <w:szCs w:val="28"/>
          <w:highlight w:val="none"/>
          <w:lang w:val="en-US" w:eastAsia="zh-CN"/>
        </w:rPr>
        <w:t>0</w:t>
      </w:r>
      <w:r>
        <w:rPr>
          <w:rFonts w:cs="黑体" w:asciiTheme="minorEastAsia" w:hAnsiTheme="minorEastAsia"/>
          <w:color w:val="000000"/>
          <w:kern w:val="0"/>
          <w:sz w:val="28"/>
          <w:szCs w:val="28"/>
          <w:highlight w:val="none"/>
        </w:rPr>
        <w:t>%</w:t>
      </w:r>
      <w:r>
        <w:rPr>
          <w:rFonts w:hint="eastAsia" w:cs="黑体" w:asciiTheme="minorEastAsia" w:hAnsiTheme="minorEastAsia"/>
          <w:color w:val="000000"/>
          <w:kern w:val="0"/>
          <w:sz w:val="28"/>
          <w:szCs w:val="28"/>
          <w:highlight w:val="none"/>
        </w:rPr>
        <w:t>。</w:t>
      </w:r>
    </w:p>
    <w:p>
      <w:pPr>
        <w:autoSpaceDE w:val="0"/>
        <w:autoSpaceDN w:val="0"/>
        <w:adjustRightInd w:val="0"/>
        <w:ind w:firstLine="560" w:firstLineChars="200"/>
        <w:jc w:val="left"/>
        <w:rPr>
          <w:rFonts w:hint="eastAsia" w:cs="黑体" w:asciiTheme="minorEastAsia" w:hAnsiTheme="minorEastAsia"/>
          <w:color w:val="000000"/>
          <w:kern w:val="0"/>
          <w:sz w:val="28"/>
          <w:szCs w:val="28"/>
          <w:highlight w:val="none"/>
        </w:rPr>
      </w:pPr>
      <w:r>
        <w:rPr>
          <w:rFonts w:hint="eastAsia" w:cs="黑体" w:asciiTheme="minorEastAsia" w:hAnsiTheme="minorEastAsia"/>
          <w:color w:val="000000"/>
          <w:kern w:val="0"/>
          <w:sz w:val="28"/>
          <w:szCs w:val="28"/>
          <w:highlight w:val="none"/>
        </w:rPr>
        <w:t>组织对</w:t>
      </w:r>
      <w:r>
        <w:rPr>
          <w:rFonts w:hint="eastAsia" w:cs="黑体" w:asciiTheme="minorEastAsia" w:hAnsiTheme="minorEastAsia"/>
          <w:color w:val="000000"/>
          <w:kern w:val="0"/>
          <w:sz w:val="28"/>
          <w:szCs w:val="28"/>
          <w:highlight w:val="none"/>
          <w:lang w:val="en-US" w:eastAsia="zh-CN"/>
        </w:rPr>
        <w:t>0</w:t>
      </w:r>
      <w:r>
        <w:rPr>
          <w:rFonts w:hint="eastAsia" w:cs="黑体" w:asciiTheme="minorEastAsia" w:hAnsiTheme="minorEastAsia"/>
          <w:color w:val="000000"/>
          <w:kern w:val="0"/>
          <w:sz w:val="28"/>
          <w:szCs w:val="28"/>
          <w:highlight w:val="none"/>
        </w:rPr>
        <w:t>个项目开展了部门评价，涉及一般公共预算支出</w:t>
      </w:r>
      <w:r>
        <w:rPr>
          <w:rFonts w:hint="eastAsia" w:cs="黑体" w:asciiTheme="minorEastAsia" w:hAnsiTheme="minorEastAsia"/>
          <w:color w:val="000000"/>
          <w:kern w:val="0"/>
          <w:sz w:val="28"/>
          <w:szCs w:val="28"/>
          <w:highlight w:val="none"/>
          <w:lang w:val="en-US" w:eastAsia="zh-CN"/>
        </w:rPr>
        <w:t>0</w:t>
      </w:r>
      <w:r>
        <w:rPr>
          <w:rFonts w:hint="eastAsia" w:cs="黑体" w:asciiTheme="minorEastAsia" w:hAnsiTheme="minorEastAsia"/>
          <w:color w:val="000000"/>
          <w:kern w:val="0"/>
          <w:sz w:val="28"/>
          <w:szCs w:val="28"/>
          <w:highlight w:val="none"/>
        </w:rPr>
        <w:t>万元，政府性基金预算支出</w:t>
      </w:r>
      <w:r>
        <w:rPr>
          <w:rFonts w:hint="eastAsia" w:cs="黑体" w:asciiTheme="minorEastAsia" w:hAnsiTheme="minorEastAsia"/>
          <w:color w:val="000000"/>
          <w:kern w:val="0"/>
          <w:sz w:val="28"/>
          <w:szCs w:val="28"/>
          <w:highlight w:val="none"/>
          <w:lang w:val="en-US" w:eastAsia="zh-CN"/>
        </w:rPr>
        <w:t>0</w:t>
      </w:r>
      <w:r>
        <w:rPr>
          <w:rFonts w:hint="eastAsia" w:cs="黑体" w:asciiTheme="minorEastAsia" w:hAnsiTheme="minorEastAsia"/>
          <w:color w:val="000000"/>
          <w:kern w:val="0"/>
          <w:sz w:val="28"/>
          <w:szCs w:val="28"/>
          <w:highlight w:val="none"/>
        </w:rPr>
        <w:t>万元，国有资本经营预算支出</w:t>
      </w:r>
      <w:r>
        <w:rPr>
          <w:rFonts w:hint="eastAsia" w:cs="黑体" w:asciiTheme="minorEastAsia" w:hAnsiTheme="minorEastAsia"/>
          <w:color w:val="000000"/>
          <w:kern w:val="0"/>
          <w:sz w:val="28"/>
          <w:szCs w:val="28"/>
          <w:highlight w:val="none"/>
          <w:lang w:val="en-US" w:eastAsia="zh-CN"/>
        </w:rPr>
        <w:t>0</w:t>
      </w:r>
      <w:r>
        <w:rPr>
          <w:rFonts w:cs="黑体" w:asciiTheme="minorEastAsia" w:hAnsiTheme="minorEastAsia"/>
          <w:color w:val="000000"/>
          <w:kern w:val="0"/>
          <w:sz w:val="28"/>
          <w:szCs w:val="28"/>
          <w:highlight w:val="none"/>
        </w:rPr>
        <w:t xml:space="preserve"> </w:t>
      </w:r>
      <w:r>
        <w:rPr>
          <w:rFonts w:hint="eastAsia" w:cs="黑体" w:asciiTheme="minorEastAsia" w:hAnsiTheme="minorEastAsia"/>
          <w:color w:val="000000"/>
          <w:kern w:val="0"/>
          <w:sz w:val="28"/>
          <w:szCs w:val="28"/>
          <w:highlight w:val="none"/>
        </w:rPr>
        <w:t>万元。</w:t>
      </w:r>
    </w:p>
    <w:p>
      <w:pPr>
        <w:autoSpaceDE w:val="0"/>
        <w:autoSpaceDN w:val="0"/>
        <w:adjustRightInd w:val="0"/>
        <w:ind w:firstLine="560" w:firstLineChars="200"/>
        <w:jc w:val="left"/>
        <w:rPr>
          <w:rFonts w:hint="eastAsia" w:cs="黑体" w:asciiTheme="minorEastAsia" w:hAnsiTheme="minorEastAsia"/>
          <w:color w:val="000000"/>
          <w:kern w:val="0"/>
          <w:sz w:val="28"/>
          <w:szCs w:val="28"/>
          <w:highlight w:val="none"/>
        </w:rPr>
      </w:pPr>
      <w:r>
        <w:rPr>
          <w:rFonts w:hint="eastAsia" w:cs="黑体" w:asciiTheme="minorEastAsia" w:hAnsiTheme="minorEastAsia"/>
          <w:color w:val="000000"/>
          <w:kern w:val="0"/>
          <w:sz w:val="28"/>
          <w:szCs w:val="28"/>
          <w:highlight w:val="none"/>
        </w:rPr>
        <w:t>组织对“</w:t>
      </w:r>
      <w:r>
        <w:rPr>
          <w:rFonts w:hint="eastAsia" w:cs="黑体" w:asciiTheme="minorEastAsia" w:hAnsiTheme="minorEastAsia"/>
          <w:color w:val="000000"/>
          <w:kern w:val="0"/>
          <w:sz w:val="28"/>
          <w:szCs w:val="28"/>
          <w:highlight w:val="none"/>
          <w:lang w:val="en-US" w:eastAsia="zh-CN"/>
        </w:rPr>
        <w:t>新田县医疗保障局</w:t>
      </w:r>
      <w:r>
        <w:rPr>
          <w:rFonts w:hint="eastAsia" w:cs="黑体" w:asciiTheme="minorEastAsia" w:hAnsiTheme="minorEastAsia"/>
          <w:color w:val="000000"/>
          <w:kern w:val="0"/>
          <w:sz w:val="28"/>
          <w:szCs w:val="28"/>
          <w:highlight w:val="none"/>
        </w:rPr>
        <w:t>”等</w:t>
      </w:r>
      <w:r>
        <w:rPr>
          <w:rFonts w:hint="eastAsia" w:cs="黑体" w:asciiTheme="minorEastAsia" w:hAnsiTheme="minorEastAsia"/>
          <w:color w:val="000000"/>
          <w:kern w:val="0"/>
          <w:sz w:val="28"/>
          <w:szCs w:val="28"/>
          <w:highlight w:val="none"/>
          <w:lang w:val="en-US" w:eastAsia="zh-CN"/>
        </w:rPr>
        <w:t>1</w:t>
      </w:r>
      <w:r>
        <w:rPr>
          <w:rFonts w:hint="eastAsia" w:cs="黑体" w:asciiTheme="minorEastAsia" w:hAnsiTheme="minorEastAsia"/>
          <w:color w:val="000000"/>
          <w:kern w:val="0"/>
          <w:sz w:val="28"/>
          <w:szCs w:val="28"/>
          <w:highlight w:val="none"/>
        </w:rPr>
        <w:t>个单位开展整体支出绩效评价，涉及一般公共预算支出</w:t>
      </w:r>
      <w:r>
        <w:rPr>
          <w:rFonts w:hint="eastAsia" w:cs="黑体" w:asciiTheme="minorEastAsia" w:hAnsiTheme="minorEastAsia"/>
          <w:color w:val="000000"/>
          <w:kern w:val="0"/>
          <w:sz w:val="28"/>
          <w:szCs w:val="28"/>
          <w:highlight w:val="none"/>
          <w:lang w:val="en-US" w:eastAsia="zh-CN"/>
        </w:rPr>
        <w:t>22191.14</w:t>
      </w:r>
      <w:r>
        <w:rPr>
          <w:rFonts w:cs="黑体" w:asciiTheme="minorEastAsia" w:hAnsiTheme="minorEastAsia"/>
          <w:color w:val="000000"/>
          <w:kern w:val="0"/>
          <w:sz w:val="28"/>
          <w:szCs w:val="28"/>
          <w:highlight w:val="none"/>
        </w:rPr>
        <w:t xml:space="preserve"> </w:t>
      </w:r>
      <w:r>
        <w:rPr>
          <w:rFonts w:hint="eastAsia" w:cs="黑体" w:asciiTheme="minorEastAsia" w:hAnsiTheme="minorEastAsia"/>
          <w:color w:val="000000"/>
          <w:kern w:val="0"/>
          <w:sz w:val="28"/>
          <w:szCs w:val="28"/>
          <w:highlight w:val="none"/>
        </w:rPr>
        <w:t>万元，政府性基金预算支出</w:t>
      </w:r>
      <w:r>
        <w:rPr>
          <w:rFonts w:hint="eastAsia" w:cs="黑体" w:asciiTheme="minorEastAsia" w:hAnsiTheme="minorEastAsia"/>
          <w:color w:val="000000"/>
          <w:kern w:val="0"/>
          <w:sz w:val="28"/>
          <w:szCs w:val="28"/>
          <w:highlight w:val="none"/>
          <w:lang w:val="en-US" w:eastAsia="zh-CN"/>
        </w:rPr>
        <w:t>0</w:t>
      </w:r>
      <w:r>
        <w:rPr>
          <w:rFonts w:hint="eastAsia" w:cs="黑体" w:asciiTheme="minorEastAsia" w:hAnsiTheme="minorEastAsia"/>
          <w:color w:val="000000"/>
          <w:kern w:val="0"/>
          <w:sz w:val="28"/>
          <w:szCs w:val="28"/>
          <w:highlight w:val="none"/>
        </w:rPr>
        <w:t>万元。从评价情况来看，严格按照绩效评估的原则来规划和使用预算</w:t>
      </w:r>
      <w:r>
        <w:rPr>
          <w:rFonts w:hint="eastAsia" w:cs="黑体" w:asciiTheme="minorEastAsia" w:hAnsiTheme="minorEastAsia"/>
          <w:color w:val="000000"/>
          <w:kern w:val="0"/>
          <w:sz w:val="28"/>
          <w:szCs w:val="28"/>
          <w:highlight w:val="none"/>
          <w:lang w:val="en-US" w:eastAsia="zh-CN"/>
        </w:rPr>
        <w:t>资金</w:t>
      </w:r>
      <w:r>
        <w:rPr>
          <w:rFonts w:hint="eastAsia" w:cs="黑体" w:asciiTheme="minorEastAsia" w:hAnsiTheme="minorEastAsia"/>
          <w:color w:val="000000"/>
          <w:kern w:val="0"/>
          <w:sz w:val="28"/>
          <w:szCs w:val="28"/>
          <w:highlight w:val="none"/>
        </w:rPr>
        <w:t>。</w:t>
      </w:r>
    </w:p>
    <w:p>
      <w:pPr>
        <w:autoSpaceDE w:val="0"/>
        <w:autoSpaceDN w:val="0"/>
        <w:adjustRightInd w:val="0"/>
        <w:ind w:firstLine="560" w:firstLineChars="200"/>
        <w:jc w:val="left"/>
        <w:rPr>
          <w:rFonts w:cs="黑体" w:asciiTheme="minorEastAsia" w:hAnsiTheme="minorEastAsia"/>
          <w:b/>
          <w:color w:val="000000"/>
          <w:kern w:val="0"/>
          <w:sz w:val="28"/>
          <w:szCs w:val="28"/>
          <w:highlight w:val="none"/>
        </w:rPr>
      </w:pPr>
      <w:r>
        <w:rPr>
          <w:rFonts w:hint="eastAsia" w:cs="黑体" w:asciiTheme="minorEastAsia" w:hAnsiTheme="minorEastAsia"/>
          <w:b/>
          <w:color w:val="000000"/>
          <w:kern w:val="0"/>
          <w:sz w:val="28"/>
          <w:szCs w:val="28"/>
          <w:highlight w:val="none"/>
        </w:rPr>
        <w:t>（2）部门决算中项目绩效自评结果。</w:t>
      </w:r>
    </w:p>
    <w:p>
      <w:pPr>
        <w:keepNext w:val="0"/>
        <w:keepLines w:val="0"/>
        <w:pageBreakBefore w:val="0"/>
        <w:kinsoku/>
        <w:wordWrap/>
        <w:overflowPunct/>
        <w:topLinePunct w:val="0"/>
        <w:bidi w:val="0"/>
        <w:snapToGrid w:val="0"/>
        <w:spacing w:line="540" w:lineRule="exact"/>
        <w:ind w:left="0" w:leftChars="0" w:firstLine="560" w:firstLineChars="200"/>
        <w:textAlignment w:val="auto"/>
        <w:rPr>
          <w:rFonts w:hint="eastAsia" w:cs="黑体" w:asciiTheme="minorEastAsia" w:hAnsiTheme="minorEastAsia"/>
          <w:color w:val="000000"/>
          <w:kern w:val="0"/>
          <w:sz w:val="28"/>
          <w:szCs w:val="28"/>
          <w:highlight w:val="none"/>
        </w:rPr>
      </w:pPr>
      <w:r>
        <w:rPr>
          <w:rFonts w:hint="eastAsia" w:cs="黑体" w:asciiTheme="minorEastAsia" w:hAnsiTheme="minorEastAsia"/>
          <w:color w:val="000000"/>
          <w:kern w:val="0"/>
          <w:sz w:val="28"/>
          <w:szCs w:val="28"/>
          <w:highlight w:val="none"/>
          <w:lang w:val="en-US" w:eastAsia="zh-CN"/>
        </w:rPr>
        <w:t>新田县医疗保障局</w:t>
      </w:r>
      <w:r>
        <w:rPr>
          <w:rFonts w:hint="eastAsia" w:cs="黑体" w:asciiTheme="minorEastAsia" w:hAnsiTheme="minorEastAsia"/>
          <w:color w:val="000000"/>
          <w:kern w:val="0"/>
          <w:sz w:val="28"/>
          <w:szCs w:val="28"/>
          <w:highlight w:val="none"/>
        </w:rPr>
        <w:t xml:space="preserve">项目绩效自评综述：根据年初设定的绩效目标，项目绩效自评得分为 </w:t>
      </w:r>
      <w:r>
        <w:rPr>
          <w:rFonts w:hint="eastAsia" w:cs="黑体" w:asciiTheme="minorEastAsia" w:hAnsiTheme="minorEastAsia"/>
          <w:color w:val="000000"/>
          <w:kern w:val="0"/>
          <w:sz w:val="28"/>
          <w:szCs w:val="28"/>
          <w:highlight w:val="none"/>
          <w:lang w:val="en-US" w:eastAsia="zh-CN"/>
        </w:rPr>
        <w:t>100</w:t>
      </w:r>
      <w:r>
        <w:rPr>
          <w:rFonts w:hint="eastAsia" w:cs="黑体" w:asciiTheme="minorEastAsia" w:hAnsiTheme="minorEastAsia"/>
          <w:color w:val="000000"/>
          <w:kern w:val="0"/>
          <w:sz w:val="28"/>
          <w:szCs w:val="28"/>
          <w:highlight w:val="none"/>
        </w:rPr>
        <w:t>分。项目全年预算数为</w:t>
      </w:r>
      <w:r>
        <w:rPr>
          <w:rFonts w:hint="eastAsia" w:cs="黑体" w:asciiTheme="minorEastAsia" w:hAnsiTheme="minorEastAsia"/>
          <w:color w:val="000000"/>
          <w:kern w:val="0"/>
          <w:sz w:val="28"/>
          <w:szCs w:val="28"/>
          <w:highlight w:val="none"/>
          <w:lang w:val="en-US" w:eastAsia="zh-CN"/>
        </w:rPr>
        <w:t>21737.81</w:t>
      </w:r>
      <w:r>
        <w:rPr>
          <w:rFonts w:hint="eastAsia" w:cs="黑体" w:asciiTheme="minorEastAsia" w:hAnsiTheme="minorEastAsia"/>
          <w:color w:val="000000"/>
          <w:kern w:val="0"/>
          <w:sz w:val="28"/>
          <w:szCs w:val="28"/>
          <w:highlight w:val="none"/>
        </w:rPr>
        <w:t xml:space="preserve"> 万元，执行数为</w:t>
      </w:r>
      <w:r>
        <w:rPr>
          <w:rFonts w:hint="eastAsia" w:cs="黑体" w:asciiTheme="minorEastAsia" w:hAnsiTheme="minorEastAsia"/>
          <w:color w:val="000000"/>
          <w:kern w:val="0"/>
          <w:sz w:val="28"/>
          <w:szCs w:val="28"/>
          <w:highlight w:val="none"/>
          <w:lang w:val="en-US" w:eastAsia="zh-CN"/>
        </w:rPr>
        <w:t>21737.81</w:t>
      </w:r>
      <w:r>
        <w:rPr>
          <w:rFonts w:hint="eastAsia" w:cs="黑体" w:asciiTheme="minorEastAsia" w:hAnsiTheme="minorEastAsia"/>
          <w:color w:val="000000"/>
          <w:kern w:val="0"/>
          <w:sz w:val="28"/>
          <w:szCs w:val="28"/>
          <w:highlight w:val="none"/>
        </w:rPr>
        <w:t>万元，完成预算的</w:t>
      </w:r>
      <w:r>
        <w:rPr>
          <w:rFonts w:hint="eastAsia" w:cs="黑体" w:asciiTheme="minorEastAsia" w:hAnsiTheme="minorEastAsia"/>
          <w:color w:val="000000"/>
          <w:kern w:val="0"/>
          <w:sz w:val="28"/>
          <w:szCs w:val="28"/>
          <w:highlight w:val="none"/>
          <w:lang w:val="en-US" w:eastAsia="zh-CN"/>
        </w:rPr>
        <w:t>100</w:t>
      </w:r>
      <w:r>
        <w:rPr>
          <w:rFonts w:hint="eastAsia" w:cs="黑体" w:asciiTheme="minorEastAsia" w:hAnsiTheme="minorEastAsia"/>
          <w:color w:val="000000"/>
          <w:kern w:val="0"/>
          <w:sz w:val="28"/>
          <w:szCs w:val="28"/>
          <w:highlight w:val="none"/>
        </w:rPr>
        <w:t>%。项目绩效目标完成情况：一是</w:t>
      </w:r>
      <w:r>
        <w:rPr>
          <w:rFonts w:hint="eastAsia" w:cs="黑体" w:asciiTheme="minorEastAsia" w:hAnsiTheme="minorEastAsia"/>
          <w:color w:val="000000"/>
          <w:kern w:val="0"/>
          <w:sz w:val="28"/>
          <w:szCs w:val="28"/>
          <w:highlight w:val="none"/>
          <w:lang w:val="en-US" w:eastAsia="zh-CN"/>
        </w:rPr>
        <w:t>常住人口基本医疗保险参保率达到108.25%</w:t>
      </w:r>
      <w:r>
        <w:rPr>
          <w:rFonts w:hint="eastAsia" w:cs="黑体" w:asciiTheme="minorEastAsia" w:hAnsiTheme="minorEastAsia"/>
          <w:color w:val="000000"/>
          <w:kern w:val="0"/>
          <w:sz w:val="28"/>
          <w:szCs w:val="28"/>
          <w:highlight w:val="none"/>
        </w:rPr>
        <w:t>；二是打击欺诈骗保工作取得</w:t>
      </w:r>
      <w:r>
        <w:rPr>
          <w:rFonts w:hint="eastAsia" w:cs="黑体" w:asciiTheme="minorEastAsia" w:hAnsiTheme="minorEastAsia"/>
          <w:color w:val="000000"/>
          <w:kern w:val="0"/>
          <w:sz w:val="28"/>
          <w:szCs w:val="28"/>
          <w:highlight w:val="none"/>
          <w:lang w:val="en-US" w:eastAsia="zh-CN"/>
        </w:rPr>
        <w:t>新成效</w:t>
      </w:r>
      <w:r>
        <w:rPr>
          <w:rFonts w:hint="eastAsia" w:cs="黑体" w:asciiTheme="minorEastAsia" w:hAnsiTheme="minorEastAsia"/>
          <w:color w:val="000000"/>
          <w:kern w:val="0"/>
          <w:sz w:val="28"/>
          <w:szCs w:val="28"/>
          <w:highlight w:val="none"/>
        </w:rPr>
        <w:t>。发现的主要问题及原因：一是</w:t>
      </w:r>
      <w:r>
        <w:rPr>
          <w:rFonts w:hint="eastAsia" w:cs="黑体" w:asciiTheme="minorEastAsia" w:hAnsiTheme="minorEastAsia"/>
          <w:color w:val="000000"/>
          <w:kern w:val="0"/>
          <w:sz w:val="28"/>
          <w:szCs w:val="28"/>
          <w:highlight w:val="none"/>
          <w:lang w:val="en-US" w:eastAsia="zh-CN"/>
        </w:rPr>
        <w:t>政策宣传力度不够</w:t>
      </w:r>
      <w:r>
        <w:rPr>
          <w:rFonts w:hint="eastAsia" w:cs="黑体" w:asciiTheme="minorEastAsia" w:hAnsiTheme="minorEastAsia"/>
          <w:color w:val="000000"/>
          <w:kern w:val="0"/>
          <w:sz w:val="28"/>
          <w:szCs w:val="28"/>
          <w:highlight w:val="none"/>
        </w:rPr>
        <w:t>；二是</w:t>
      </w:r>
      <w:r>
        <w:rPr>
          <w:rFonts w:hint="eastAsia" w:cs="黑体" w:asciiTheme="minorEastAsia" w:hAnsiTheme="minorEastAsia"/>
          <w:color w:val="000000"/>
          <w:kern w:val="0"/>
          <w:sz w:val="28"/>
          <w:szCs w:val="28"/>
          <w:highlight w:val="none"/>
          <w:lang w:val="en-US" w:eastAsia="zh-CN"/>
        </w:rPr>
        <w:t>医保基金监管乏力</w:t>
      </w:r>
      <w:r>
        <w:rPr>
          <w:rFonts w:hint="eastAsia" w:cs="黑体" w:asciiTheme="minorEastAsia" w:hAnsiTheme="minorEastAsia"/>
          <w:color w:val="000000"/>
          <w:kern w:val="0"/>
          <w:sz w:val="28"/>
          <w:szCs w:val="28"/>
          <w:highlight w:val="none"/>
        </w:rPr>
        <w:t>。下一步改进措施：一是加大</w:t>
      </w:r>
      <w:r>
        <w:rPr>
          <w:rFonts w:hint="eastAsia" w:cs="黑体" w:asciiTheme="minorEastAsia" w:hAnsiTheme="minorEastAsia"/>
          <w:color w:val="000000"/>
          <w:kern w:val="0"/>
          <w:sz w:val="28"/>
          <w:szCs w:val="28"/>
          <w:highlight w:val="none"/>
          <w:lang w:val="en-US" w:eastAsia="zh-CN"/>
        </w:rPr>
        <w:t>政策宣传</w:t>
      </w:r>
      <w:r>
        <w:rPr>
          <w:rFonts w:hint="eastAsia" w:cs="黑体" w:asciiTheme="minorEastAsia" w:hAnsiTheme="minorEastAsia"/>
          <w:color w:val="000000"/>
          <w:kern w:val="0"/>
          <w:sz w:val="28"/>
          <w:szCs w:val="28"/>
          <w:highlight w:val="none"/>
        </w:rPr>
        <w:t>，提高</w:t>
      </w:r>
      <w:r>
        <w:rPr>
          <w:rFonts w:hint="eastAsia" w:cs="黑体" w:asciiTheme="minorEastAsia" w:hAnsiTheme="minorEastAsia"/>
          <w:color w:val="000000"/>
          <w:kern w:val="0"/>
          <w:sz w:val="28"/>
          <w:szCs w:val="28"/>
          <w:highlight w:val="none"/>
          <w:lang w:val="en-US" w:eastAsia="zh-CN"/>
        </w:rPr>
        <w:t>参保意识</w:t>
      </w:r>
      <w:r>
        <w:rPr>
          <w:rFonts w:hint="eastAsia" w:cs="黑体" w:asciiTheme="minorEastAsia" w:hAnsiTheme="minorEastAsia"/>
          <w:color w:val="000000"/>
          <w:kern w:val="0"/>
          <w:sz w:val="28"/>
          <w:szCs w:val="28"/>
          <w:highlight w:val="none"/>
        </w:rPr>
        <w:t>；二是强化</w:t>
      </w:r>
      <w:r>
        <w:rPr>
          <w:rFonts w:hint="eastAsia" w:cs="黑体" w:asciiTheme="minorEastAsia" w:hAnsiTheme="minorEastAsia"/>
          <w:color w:val="000000"/>
          <w:kern w:val="0"/>
          <w:sz w:val="28"/>
          <w:szCs w:val="28"/>
          <w:highlight w:val="none"/>
          <w:lang w:val="en-US" w:eastAsia="zh-CN"/>
        </w:rPr>
        <w:t>医保</w:t>
      </w:r>
      <w:r>
        <w:rPr>
          <w:rFonts w:hint="eastAsia" w:cs="黑体" w:asciiTheme="minorEastAsia" w:hAnsiTheme="minorEastAsia"/>
          <w:color w:val="000000"/>
          <w:kern w:val="0"/>
          <w:sz w:val="28"/>
          <w:szCs w:val="28"/>
          <w:highlight w:val="none"/>
        </w:rPr>
        <w:t>监管，</w:t>
      </w:r>
      <w:r>
        <w:rPr>
          <w:rFonts w:hint="eastAsia" w:cs="黑体" w:asciiTheme="minorEastAsia" w:hAnsiTheme="minorEastAsia"/>
          <w:color w:val="000000"/>
          <w:kern w:val="0"/>
          <w:sz w:val="28"/>
          <w:szCs w:val="28"/>
          <w:highlight w:val="none"/>
          <w:lang w:val="en-US" w:eastAsia="zh-CN"/>
        </w:rPr>
        <w:t>筑牢基金防护网</w:t>
      </w:r>
      <w:r>
        <w:rPr>
          <w:rFonts w:hint="eastAsia" w:cs="黑体" w:asciiTheme="minorEastAsia" w:hAnsiTheme="minorEastAsia"/>
          <w:color w:val="000000"/>
          <w:kern w:val="0"/>
          <w:sz w:val="28"/>
          <w:szCs w:val="28"/>
          <w:highlight w:val="none"/>
        </w:rPr>
        <w:t>。</w:t>
      </w:r>
    </w:p>
    <w:p>
      <w:pPr>
        <w:keepNext w:val="0"/>
        <w:keepLines w:val="0"/>
        <w:pageBreakBefore w:val="0"/>
        <w:kinsoku/>
        <w:wordWrap/>
        <w:overflowPunct/>
        <w:topLinePunct w:val="0"/>
        <w:bidi w:val="0"/>
        <w:snapToGrid w:val="0"/>
        <w:spacing w:line="540" w:lineRule="exact"/>
        <w:ind w:left="0" w:leftChars="0" w:firstLine="560" w:firstLineChars="200"/>
        <w:textAlignment w:val="auto"/>
        <w:rPr>
          <w:rFonts w:hint="eastAsia" w:cs="黑体" w:asciiTheme="minorEastAsia" w:hAnsiTheme="minorEastAsia"/>
          <w:color w:val="000000"/>
          <w:kern w:val="0"/>
          <w:sz w:val="28"/>
          <w:szCs w:val="28"/>
          <w:highlight w:val="none"/>
        </w:rPr>
      </w:pPr>
      <w:r>
        <w:rPr>
          <w:rFonts w:hint="eastAsia" w:cs="黑体" w:asciiTheme="minorEastAsia" w:hAnsiTheme="minorEastAsia"/>
          <w:color w:val="000000"/>
          <w:kern w:val="0"/>
          <w:sz w:val="28"/>
          <w:szCs w:val="28"/>
          <w:highlight w:val="none"/>
          <w:lang w:val="en-US" w:eastAsia="zh-CN"/>
        </w:rPr>
        <w:t>新田县医疗保障局</w:t>
      </w:r>
      <w:r>
        <w:rPr>
          <w:rFonts w:hint="eastAsia" w:cs="黑体" w:asciiTheme="minorEastAsia" w:hAnsiTheme="minorEastAsia"/>
          <w:color w:val="000000"/>
          <w:kern w:val="0"/>
          <w:sz w:val="28"/>
          <w:szCs w:val="28"/>
          <w:highlight w:val="none"/>
        </w:rPr>
        <w:t>项目绩效自评综述：严格按照绩效评估的原则来规划和使用预算</w:t>
      </w:r>
      <w:r>
        <w:rPr>
          <w:rFonts w:hint="eastAsia" w:cs="黑体" w:asciiTheme="minorEastAsia" w:hAnsiTheme="minorEastAsia"/>
          <w:color w:val="000000"/>
          <w:kern w:val="0"/>
          <w:sz w:val="28"/>
          <w:szCs w:val="28"/>
          <w:highlight w:val="none"/>
          <w:lang w:val="en-US" w:eastAsia="zh-CN"/>
        </w:rPr>
        <w:t>资金，较好的完成了年初目标</w:t>
      </w:r>
      <w:r>
        <w:rPr>
          <w:rFonts w:hint="eastAsia" w:cs="黑体" w:asciiTheme="minorEastAsia" w:hAnsiTheme="minorEastAsia"/>
          <w:color w:val="000000"/>
          <w:kern w:val="0"/>
          <w:sz w:val="28"/>
          <w:szCs w:val="28"/>
          <w:highlight w:val="none"/>
        </w:rPr>
        <w:t>。</w:t>
      </w:r>
    </w:p>
    <w:p>
      <w:pPr>
        <w:autoSpaceDE w:val="0"/>
        <w:autoSpaceDN w:val="0"/>
        <w:adjustRightInd w:val="0"/>
        <w:ind w:firstLine="560" w:firstLineChars="200"/>
        <w:jc w:val="left"/>
        <w:rPr>
          <w:rFonts w:hint="eastAsia" w:cs="黑体" w:asciiTheme="minorEastAsia" w:hAnsiTheme="minorEastAsia"/>
          <w:b/>
          <w:color w:val="000000"/>
          <w:kern w:val="0"/>
          <w:sz w:val="28"/>
          <w:szCs w:val="28"/>
          <w:highlight w:val="none"/>
          <w:lang w:val="en-US" w:eastAsia="zh-CN"/>
        </w:rPr>
      </w:pPr>
      <w:r>
        <w:rPr>
          <w:rFonts w:hint="eastAsia" w:cs="黑体" w:asciiTheme="minorEastAsia" w:hAnsiTheme="minorEastAsia"/>
          <w:b/>
          <w:color w:val="000000"/>
          <w:kern w:val="0"/>
          <w:sz w:val="28"/>
          <w:szCs w:val="28"/>
          <w:highlight w:val="none"/>
          <w:lang w:eastAsia="zh-CN"/>
        </w:rPr>
        <w:t>（</w:t>
      </w:r>
      <w:r>
        <w:rPr>
          <w:rFonts w:hint="eastAsia" w:cs="黑体" w:asciiTheme="minorEastAsia" w:hAnsiTheme="minorEastAsia"/>
          <w:b/>
          <w:color w:val="000000"/>
          <w:kern w:val="0"/>
          <w:sz w:val="28"/>
          <w:szCs w:val="28"/>
          <w:highlight w:val="none"/>
          <w:lang w:val="en-US" w:eastAsia="zh-CN"/>
        </w:rPr>
        <w:t>3</w:t>
      </w:r>
      <w:r>
        <w:rPr>
          <w:rFonts w:hint="eastAsia" w:cs="黑体" w:asciiTheme="minorEastAsia" w:hAnsiTheme="minorEastAsia"/>
          <w:b/>
          <w:color w:val="000000"/>
          <w:kern w:val="0"/>
          <w:sz w:val="28"/>
          <w:szCs w:val="28"/>
          <w:highlight w:val="none"/>
          <w:lang w:eastAsia="zh-CN"/>
        </w:rPr>
        <w:t>）</w:t>
      </w:r>
      <w:r>
        <w:rPr>
          <w:rFonts w:hint="eastAsia" w:cs="黑体" w:asciiTheme="minorEastAsia" w:hAnsiTheme="minorEastAsia"/>
          <w:b/>
          <w:color w:val="000000"/>
          <w:kern w:val="0"/>
          <w:sz w:val="28"/>
          <w:szCs w:val="28"/>
          <w:highlight w:val="none"/>
        </w:rPr>
        <w:t>部门评价项目绩效评价结果。</w:t>
      </w:r>
    </w:p>
    <w:p>
      <w:pPr>
        <w:numPr>
          <w:ilvl w:val="0"/>
          <w:numId w:val="0"/>
        </w:numPr>
        <w:autoSpaceDE w:val="0"/>
        <w:autoSpaceDN w:val="0"/>
        <w:adjustRightInd w:val="0"/>
        <w:ind w:firstLine="560" w:firstLineChars="200"/>
        <w:jc w:val="left"/>
        <w:rPr>
          <w:rFonts w:hint="eastAsia" w:cs="黑体" w:asciiTheme="minorEastAsia" w:hAnsiTheme="minorEastAsia" w:eastAsiaTheme="minorEastAsia"/>
          <w:color w:val="000000"/>
          <w:kern w:val="0"/>
          <w:sz w:val="28"/>
          <w:szCs w:val="28"/>
          <w:highlight w:val="none"/>
          <w:lang w:val="en-US" w:eastAsia="zh-CN" w:bidi="ar-SA"/>
        </w:rPr>
      </w:pPr>
      <w:r>
        <w:rPr>
          <w:rFonts w:hint="eastAsia" w:cs="黑体" w:asciiTheme="minorEastAsia" w:hAnsiTheme="minorEastAsia" w:eastAsiaTheme="minorEastAsia"/>
          <w:color w:val="000000"/>
          <w:kern w:val="0"/>
          <w:sz w:val="28"/>
          <w:szCs w:val="28"/>
          <w:highlight w:val="none"/>
          <w:lang w:val="en-US" w:eastAsia="zh-CN" w:bidi="ar-SA"/>
        </w:rPr>
        <w:t>本单位已开展项目绩效自评，</w:t>
      </w:r>
      <w:r>
        <w:rPr>
          <w:rFonts w:hint="eastAsia" w:cs="黑体" w:asciiTheme="minorEastAsia" w:hAnsiTheme="minorEastAsia"/>
          <w:color w:val="000000"/>
          <w:kern w:val="0"/>
          <w:sz w:val="28"/>
          <w:szCs w:val="28"/>
          <w:highlight w:val="none"/>
          <w:lang w:val="en-US" w:eastAsia="zh-CN" w:bidi="ar-SA"/>
        </w:rPr>
        <w:t>未</w:t>
      </w:r>
      <w:r>
        <w:rPr>
          <w:rFonts w:hint="eastAsia" w:cs="黑体" w:asciiTheme="minorEastAsia" w:hAnsiTheme="minorEastAsia" w:eastAsiaTheme="minorEastAsia"/>
          <w:color w:val="000000"/>
          <w:kern w:val="0"/>
          <w:sz w:val="28"/>
          <w:szCs w:val="28"/>
          <w:highlight w:val="none"/>
          <w:lang w:val="en-US" w:eastAsia="zh-CN" w:bidi="ar-SA"/>
        </w:rPr>
        <w:t>开展部门评价，因此无部门评价项目绩效评价结果。整体支出绩效评价已作为附件公开。</w:t>
      </w:r>
    </w:p>
    <w:p>
      <w:pPr>
        <w:pStyle w:val="7"/>
        <w:jc w:val="both"/>
        <w:rPr>
          <w:rFonts w:hint="eastAsia" w:ascii="黑体" w:hAnsi="黑体" w:eastAsia="黑体" w:cs="黑体"/>
          <w:color w:val="000000"/>
          <w:kern w:val="0"/>
          <w:sz w:val="32"/>
          <w:szCs w:val="32"/>
        </w:rPr>
      </w:pPr>
      <w:r>
        <w:rPr>
          <w:rFonts w:hint="eastAsia" w:ascii="黑体" w:hAnsi="黑体" w:eastAsia="黑体" w:cs="黑体"/>
          <w:sz w:val="32"/>
          <w:szCs w:val="32"/>
        </w:rPr>
        <w:t>第四部分</w:t>
      </w:r>
      <w:r>
        <w:rPr>
          <w:rFonts w:hint="eastAsia" w:ascii="黑体" w:hAnsi="黑体" w:eastAsia="黑体" w:cs="黑体"/>
          <w:sz w:val="32"/>
          <w:szCs w:val="32"/>
          <w:lang w:val="en-US" w:eastAsia="zh-CN"/>
        </w:rPr>
        <w:t xml:space="preserve"> </w:t>
      </w:r>
      <w:r>
        <w:rPr>
          <w:rFonts w:hint="eastAsia" w:ascii="黑体" w:hAnsi="黑体" w:eastAsia="黑体" w:cs="黑体"/>
          <w:color w:val="000000"/>
          <w:kern w:val="0"/>
          <w:sz w:val="32"/>
          <w:szCs w:val="32"/>
        </w:rPr>
        <w:t>名词解释</w:t>
      </w:r>
    </w:p>
    <w:p>
      <w:pPr>
        <w:pStyle w:val="7"/>
        <w:ind w:firstLine="560" w:firstLineChars="200"/>
        <w:jc w:val="both"/>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一、收入科目</w:t>
      </w:r>
    </w:p>
    <w:p>
      <w:pPr>
        <w:pStyle w:val="7"/>
        <w:ind w:firstLine="560" w:firstLineChars="200"/>
        <w:jc w:val="both"/>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财政拨款收入：指财政当年拨付的资金。</w:t>
      </w:r>
    </w:p>
    <w:p>
      <w:pPr>
        <w:pStyle w:val="7"/>
        <w:ind w:firstLine="560" w:firstLineChars="200"/>
        <w:jc w:val="both"/>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二、支出科目</w:t>
      </w:r>
    </w:p>
    <w:p>
      <w:pPr>
        <w:pStyle w:val="7"/>
        <w:ind w:firstLine="560" w:firstLineChars="200"/>
        <w:jc w:val="both"/>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1.基本支出：指为保障机构正常运转、完成日常工作任务而发生的人员支出和公用支出。</w:t>
      </w:r>
    </w:p>
    <w:p>
      <w:pPr>
        <w:pStyle w:val="7"/>
        <w:ind w:firstLine="560" w:firstLineChars="200"/>
        <w:jc w:val="both"/>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2.项目支出：指在基本支出之外为完成特定行政任务和事业发展目标所发生的支出。</w:t>
      </w:r>
    </w:p>
    <w:p>
      <w:pPr>
        <w:pStyle w:val="7"/>
        <w:ind w:firstLine="560" w:firstLineChars="200"/>
        <w:jc w:val="both"/>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3.年末结转和结余：指本年度或以前年度预算安排、因客观条件发生变化无法按原计划实施，需延迟到以后年度按有关规定继续使用的资金。</w:t>
      </w:r>
    </w:p>
    <w:p>
      <w:pPr>
        <w:pStyle w:val="7"/>
        <w:ind w:firstLine="560" w:firstLineChars="200"/>
        <w:jc w:val="both"/>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三、“三公”经费</w:t>
      </w:r>
    </w:p>
    <w:p>
      <w:pPr>
        <w:pStyle w:val="7"/>
        <w:ind w:firstLine="560" w:firstLineChars="200"/>
        <w:jc w:val="both"/>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纳入省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食宿费等支出。</w:t>
      </w:r>
    </w:p>
    <w:p>
      <w:pPr>
        <w:pStyle w:val="7"/>
        <w:ind w:firstLine="560" w:firstLineChars="200"/>
        <w:jc w:val="both"/>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四、机关运行经费</w:t>
      </w:r>
    </w:p>
    <w:p>
      <w:pPr>
        <w:pStyle w:val="7"/>
        <w:ind w:firstLine="560" w:firstLineChars="200"/>
        <w:jc w:val="both"/>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是指各部门的公用经费，包括办公及印刷费、邮电费、差旅费、会议费、福利费、日常维修费、专用资料及一般设备购置费、办公用房水电费、网络租赁费、办公用房取暖费、办公用房物业管理费、公务用车运行维护费以及其他费用。</w:t>
      </w:r>
    </w:p>
    <w:p>
      <w:pPr>
        <w:pStyle w:val="7"/>
        <w:ind w:firstLine="640" w:firstLineChars="200"/>
        <w:jc w:val="both"/>
        <w:rPr>
          <w:rFonts w:hint="eastAsia" w:ascii="黑体" w:hAnsi="黑体" w:eastAsia="黑体" w:cs="黑体"/>
          <w:color w:val="000000"/>
          <w:kern w:val="0"/>
          <w:sz w:val="32"/>
          <w:szCs w:val="32"/>
        </w:rPr>
      </w:pPr>
      <w:r>
        <w:rPr>
          <w:rFonts w:hint="eastAsia" w:ascii="黑体" w:hAnsi="黑体" w:eastAsia="黑体" w:cs="黑体"/>
          <w:sz w:val="32"/>
          <w:szCs w:val="32"/>
        </w:rPr>
        <w:t>第五部分</w:t>
      </w:r>
      <w:r>
        <w:rPr>
          <w:rFonts w:hint="eastAsia" w:ascii="黑体" w:hAnsi="黑体" w:eastAsia="黑体" w:cs="黑体"/>
          <w:sz w:val="32"/>
          <w:szCs w:val="32"/>
          <w:lang w:val="en-US" w:eastAsia="zh-CN"/>
        </w:rPr>
        <w:t xml:space="preserve"> </w:t>
      </w:r>
      <w:r>
        <w:rPr>
          <w:rFonts w:hint="eastAsia" w:ascii="黑体" w:hAnsi="黑体" w:eastAsia="黑体" w:cs="黑体"/>
          <w:color w:val="000000"/>
          <w:kern w:val="0"/>
          <w:sz w:val="32"/>
          <w:szCs w:val="32"/>
        </w:rPr>
        <w:t>附件</w:t>
      </w:r>
    </w:p>
    <w:p>
      <w:pPr>
        <w:ind w:firstLine="560" w:firstLineChars="200"/>
        <w:jc w:val="center"/>
        <w:rPr>
          <w:rFonts w:hint="eastAsia" w:asciiTheme="minorEastAsia" w:hAnsiTheme="minorEastAsia" w:eastAsiaTheme="minorEastAsia" w:cstheme="minorEastAsia"/>
          <w:b/>
          <w:color w:val="000000"/>
          <w:kern w:val="0"/>
          <w:sz w:val="28"/>
          <w:szCs w:val="28"/>
        </w:rPr>
      </w:pPr>
      <w:r>
        <w:rPr>
          <w:rFonts w:hint="eastAsia" w:asciiTheme="minorEastAsia" w:hAnsiTheme="minorEastAsia" w:cstheme="minorEastAsia"/>
          <w:b/>
          <w:color w:val="000000"/>
          <w:kern w:val="0"/>
          <w:sz w:val="28"/>
          <w:szCs w:val="28"/>
          <w:lang w:eastAsia="zh-CN"/>
        </w:rPr>
        <w:t>202</w:t>
      </w:r>
      <w:r>
        <w:rPr>
          <w:rFonts w:hint="eastAsia" w:asciiTheme="minorEastAsia" w:hAnsiTheme="minorEastAsia" w:cstheme="minorEastAsia"/>
          <w:b/>
          <w:color w:val="000000"/>
          <w:kern w:val="0"/>
          <w:sz w:val="28"/>
          <w:szCs w:val="28"/>
          <w:lang w:val="en-US" w:eastAsia="zh-CN"/>
        </w:rPr>
        <w:t>1</w:t>
      </w:r>
      <w:r>
        <w:rPr>
          <w:rFonts w:hint="eastAsia" w:asciiTheme="minorEastAsia" w:hAnsiTheme="minorEastAsia" w:eastAsiaTheme="minorEastAsia" w:cstheme="minorEastAsia"/>
          <w:b/>
          <w:color w:val="000000"/>
          <w:kern w:val="0"/>
          <w:sz w:val="28"/>
          <w:szCs w:val="28"/>
        </w:rPr>
        <w:t>年度部门整体支出绩效评价报告</w:t>
      </w:r>
    </w:p>
    <w:p>
      <w:pPr>
        <w:pStyle w:val="7"/>
        <w:ind w:firstLine="560" w:firstLineChars="200"/>
        <w:jc w:val="both"/>
        <w:rPr>
          <w:rFonts w:hint="eastAsia" w:asciiTheme="minorEastAsia" w:hAnsiTheme="minorEastAsia" w:eastAsiaTheme="minorEastAsia" w:cstheme="minorEastAsia"/>
          <w:color w:val="000000"/>
          <w:kern w:val="0"/>
          <w:sz w:val="28"/>
          <w:szCs w:val="28"/>
          <w:lang w:val="en-US" w:eastAsia="zh-CN"/>
        </w:rPr>
      </w:pPr>
      <w:r>
        <w:rPr>
          <w:rFonts w:hint="eastAsia" w:asciiTheme="minorEastAsia" w:hAnsiTheme="minorEastAsia" w:eastAsiaTheme="minorEastAsia" w:cstheme="minorEastAsia"/>
          <w:color w:val="000000"/>
          <w:kern w:val="0"/>
          <w:sz w:val="28"/>
          <w:szCs w:val="28"/>
        </w:rPr>
        <w:t>今年以来，新田县医疗保障局在县委、县政府的正确领导下，在</w:t>
      </w:r>
      <w:r>
        <w:rPr>
          <w:rFonts w:hint="eastAsia" w:asciiTheme="minorEastAsia" w:hAnsiTheme="minorEastAsia" w:eastAsiaTheme="minorEastAsia" w:cstheme="minorEastAsia"/>
          <w:color w:val="000000"/>
          <w:kern w:val="0"/>
          <w:sz w:val="28"/>
          <w:szCs w:val="28"/>
          <w:lang w:val="en-US" w:eastAsia="zh-CN"/>
        </w:rPr>
        <w:t>省</w:t>
      </w:r>
      <w:r>
        <w:rPr>
          <w:rFonts w:hint="eastAsia" w:asciiTheme="minorEastAsia" w:hAnsiTheme="minorEastAsia" w:eastAsiaTheme="minorEastAsia" w:cstheme="minorEastAsia"/>
          <w:color w:val="000000"/>
          <w:kern w:val="0"/>
          <w:sz w:val="28"/>
          <w:szCs w:val="28"/>
        </w:rPr>
        <w:t>市医保</w:t>
      </w:r>
      <w:r>
        <w:rPr>
          <w:rFonts w:hint="eastAsia" w:asciiTheme="minorEastAsia" w:hAnsiTheme="minorEastAsia" w:eastAsiaTheme="minorEastAsia" w:cstheme="minorEastAsia"/>
          <w:color w:val="000000"/>
          <w:kern w:val="0"/>
          <w:sz w:val="28"/>
          <w:szCs w:val="28"/>
          <w:lang w:val="en-US" w:eastAsia="zh-CN"/>
        </w:rPr>
        <w:t>部门</w:t>
      </w:r>
      <w:r>
        <w:rPr>
          <w:rFonts w:hint="eastAsia" w:asciiTheme="minorEastAsia" w:hAnsiTheme="minorEastAsia" w:eastAsiaTheme="minorEastAsia" w:cstheme="minorEastAsia"/>
          <w:color w:val="000000"/>
          <w:kern w:val="0"/>
          <w:sz w:val="28"/>
          <w:szCs w:val="28"/>
        </w:rPr>
        <w:t>的有力指导下，坚持以习近平新时代中国特色社会</w:t>
      </w:r>
      <w:r>
        <w:rPr>
          <w:rFonts w:hint="eastAsia" w:asciiTheme="minorEastAsia" w:hAnsiTheme="minorEastAsia" w:eastAsiaTheme="minorEastAsia" w:cstheme="minorEastAsia"/>
          <w:color w:val="000000"/>
          <w:kern w:val="0"/>
          <w:sz w:val="28"/>
          <w:szCs w:val="28"/>
          <w:lang w:val="en-US" w:eastAsia="zh-CN"/>
        </w:rPr>
        <w:t>主义思想为指导，贯彻落实十九大精神及十九届二中、三中、四中、五中、六中全会精神和习近平总书记系列重要讲话指示精神，紧紧围绕县委、县政府中心工作和上级医保部门的重点工作任务，坚持稳中求进工作总基调，继续贯彻落实疫情防控，深入实施巩固拓展脱贫攻坚成果同乡村振兴有效衔接战略、巩固参保覆盖面、加大打击欺诈骗保力度、药品集中带量采购等重点工作，着力在改进工作作风、狠抓工作落实上下功夫，不断推进医保工作迈上新台阶。</w:t>
      </w:r>
    </w:p>
    <w:p>
      <w:pPr>
        <w:keepNext w:val="0"/>
        <w:keepLines w:val="0"/>
        <w:pageBreakBefore w:val="0"/>
        <w:kinsoku/>
        <w:wordWrap/>
        <w:overflowPunct/>
        <w:topLinePunct w:val="0"/>
        <w:bidi w:val="0"/>
        <w:snapToGrid w:val="0"/>
        <w:spacing w:line="540" w:lineRule="exact"/>
        <w:ind w:left="0" w:leftChars="0" w:firstLine="640" w:firstLineChars="200"/>
        <w:textAlignment w:val="auto"/>
        <w:rPr>
          <w:rFonts w:hint="eastAsia" w:ascii="楷体_GB2312" w:hAnsi="楷体_GB2312" w:eastAsia="楷体_GB2312" w:cs="楷体_GB2312"/>
          <w:b/>
          <w:bCs w:val="0"/>
          <w:sz w:val="32"/>
          <w:szCs w:val="32"/>
          <w:lang w:val="en-US" w:eastAsia="zh-CN"/>
        </w:rPr>
      </w:pPr>
      <w:r>
        <w:rPr>
          <w:rFonts w:hint="eastAsia" w:ascii="楷体_GB2312" w:hAnsi="楷体_GB2312" w:eastAsia="楷体_GB2312" w:cs="楷体_GB2312"/>
          <w:b/>
          <w:bCs w:val="0"/>
          <w:sz w:val="32"/>
          <w:szCs w:val="32"/>
        </w:rPr>
        <w:t>（一）</w:t>
      </w:r>
      <w:r>
        <w:rPr>
          <w:rFonts w:hint="eastAsia" w:ascii="楷体_GB2312" w:hAnsi="楷体_GB2312" w:eastAsia="楷体_GB2312" w:cs="楷体_GB2312"/>
          <w:b/>
          <w:bCs w:val="0"/>
          <w:sz w:val="32"/>
          <w:szCs w:val="32"/>
          <w:lang w:val="en-US" w:eastAsia="zh-CN"/>
        </w:rPr>
        <w:t>加强</w:t>
      </w:r>
      <w:r>
        <w:rPr>
          <w:rFonts w:hint="eastAsia" w:ascii="楷体_GB2312" w:hAnsi="楷体_GB2312" w:eastAsia="楷体_GB2312" w:cs="楷体_GB2312"/>
          <w:b/>
          <w:bCs w:val="0"/>
          <w:sz w:val="32"/>
          <w:szCs w:val="32"/>
        </w:rPr>
        <w:t>机关政治</w:t>
      </w:r>
      <w:r>
        <w:rPr>
          <w:rFonts w:hint="eastAsia" w:ascii="楷体_GB2312" w:hAnsi="楷体_GB2312" w:eastAsia="楷体_GB2312" w:cs="楷体_GB2312"/>
          <w:b/>
          <w:bCs w:val="0"/>
          <w:sz w:val="32"/>
          <w:szCs w:val="32"/>
          <w:lang w:val="en-US" w:eastAsia="zh-CN"/>
        </w:rPr>
        <w:t>建设</w:t>
      </w:r>
      <w:r>
        <w:rPr>
          <w:rFonts w:hint="eastAsia" w:ascii="楷体_GB2312" w:hAnsi="楷体_GB2312" w:eastAsia="楷体_GB2312" w:cs="楷体_GB2312"/>
          <w:b/>
          <w:bCs w:val="0"/>
          <w:sz w:val="32"/>
          <w:szCs w:val="32"/>
        </w:rPr>
        <w:t>，</w:t>
      </w:r>
      <w:r>
        <w:rPr>
          <w:rFonts w:hint="eastAsia" w:ascii="楷体_GB2312" w:hAnsi="楷体_GB2312" w:eastAsia="楷体_GB2312" w:cs="楷体_GB2312"/>
          <w:b/>
          <w:bCs w:val="0"/>
          <w:sz w:val="32"/>
          <w:szCs w:val="32"/>
          <w:lang w:val="en-US" w:eastAsia="zh-CN"/>
        </w:rPr>
        <w:t>夯实医保人才队伍</w:t>
      </w:r>
    </w:p>
    <w:p>
      <w:pPr>
        <w:pStyle w:val="7"/>
        <w:ind w:firstLine="560" w:firstLineChars="200"/>
        <w:jc w:val="both"/>
        <w:rPr>
          <w:rFonts w:hint="eastAsia" w:asciiTheme="minorEastAsia" w:hAnsiTheme="minorEastAsia" w:eastAsiaTheme="minorEastAsia" w:cstheme="minorEastAsia"/>
          <w:color w:val="000000"/>
          <w:kern w:val="0"/>
          <w:sz w:val="28"/>
          <w:szCs w:val="28"/>
        </w:rPr>
      </w:pPr>
      <w:r>
        <w:rPr>
          <w:rFonts w:hint="eastAsia" w:asciiTheme="minorEastAsia" w:hAnsiTheme="minorEastAsia" w:eastAsiaTheme="minorEastAsia" w:cstheme="minorEastAsia"/>
          <w:color w:val="000000"/>
          <w:kern w:val="0"/>
          <w:sz w:val="28"/>
          <w:szCs w:val="28"/>
        </w:rPr>
        <w:t>一是旗帜鲜明</w:t>
      </w:r>
      <w:r>
        <w:rPr>
          <w:rFonts w:hint="eastAsia" w:asciiTheme="minorEastAsia" w:hAnsiTheme="minorEastAsia" w:eastAsiaTheme="minorEastAsia" w:cstheme="minorEastAsia"/>
          <w:color w:val="000000"/>
          <w:kern w:val="0"/>
          <w:sz w:val="28"/>
          <w:szCs w:val="28"/>
          <w:lang w:eastAsia="zh-CN"/>
        </w:rPr>
        <w:t>“</w:t>
      </w:r>
      <w:r>
        <w:rPr>
          <w:rFonts w:hint="eastAsia" w:asciiTheme="minorEastAsia" w:hAnsiTheme="minorEastAsia" w:eastAsiaTheme="minorEastAsia" w:cstheme="minorEastAsia"/>
          <w:color w:val="000000"/>
          <w:kern w:val="0"/>
          <w:sz w:val="28"/>
          <w:szCs w:val="28"/>
        </w:rPr>
        <w:t>讲政治</w:t>
      </w:r>
      <w:r>
        <w:rPr>
          <w:rFonts w:hint="eastAsia" w:asciiTheme="minorEastAsia" w:hAnsiTheme="minorEastAsia" w:eastAsiaTheme="minorEastAsia" w:cstheme="minorEastAsia"/>
          <w:color w:val="000000"/>
          <w:kern w:val="0"/>
          <w:sz w:val="28"/>
          <w:szCs w:val="28"/>
          <w:lang w:eastAsia="zh-CN"/>
        </w:rPr>
        <w:t>”，</w:t>
      </w:r>
      <w:r>
        <w:rPr>
          <w:rFonts w:hint="eastAsia" w:asciiTheme="minorEastAsia" w:hAnsiTheme="minorEastAsia" w:eastAsiaTheme="minorEastAsia" w:cstheme="minorEastAsia"/>
          <w:color w:val="000000"/>
          <w:kern w:val="0"/>
          <w:sz w:val="28"/>
          <w:szCs w:val="28"/>
          <w:lang w:val="en-US" w:eastAsia="zh-CN"/>
        </w:rPr>
        <w:t>政治站位有“高度”。注重顺应新时代要求，把全面从严治党部署转化为推动机关党建的思路和举措，第一时间传达中央最新精神，把推动机关党建高质量发展作为增强</w:t>
      </w:r>
      <w:r>
        <w:rPr>
          <w:rFonts w:hint="eastAsia" w:asciiTheme="minorEastAsia" w:hAnsiTheme="minorEastAsia" w:eastAsiaTheme="minorEastAsia" w:cstheme="minorEastAsia"/>
          <w:color w:val="000000"/>
          <w:kern w:val="0"/>
          <w:sz w:val="28"/>
          <w:szCs w:val="28"/>
        </w:rPr>
        <w:t>“四个意识”</w:t>
      </w:r>
      <w:r>
        <w:rPr>
          <w:rFonts w:hint="eastAsia" w:asciiTheme="minorEastAsia" w:hAnsiTheme="minorEastAsia" w:eastAsiaTheme="minorEastAsia" w:cstheme="minorEastAsia"/>
          <w:color w:val="000000"/>
          <w:kern w:val="0"/>
          <w:sz w:val="28"/>
          <w:szCs w:val="28"/>
          <w:lang w:eastAsia="zh-CN"/>
        </w:rPr>
        <w:t>、</w:t>
      </w:r>
      <w:r>
        <w:rPr>
          <w:rFonts w:hint="eastAsia" w:asciiTheme="minorEastAsia" w:hAnsiTheme="minorEastAsia" w:eastAsiaTheme="minorEastAsia" w:cstheme="minorEastAsia"/>
          <w:color w:val="000000"/>
          <w:kern w:val="0"/>
          <w:sz w:val="28"/>
          <w:szCs w:val="28"/>
        </w:rPr>
        <w:t>坚定“四个自信”</w:t>
      </w:r>
      <w:r>
        <w:rPr>
          <w:rFonts w:hint="eastAsia" w:asciiTheme="minorEastAsia" w:hAnsiTheme="minorEastAsia" w:eastAsiaTheme="minorEastAsia" w:cstheme="minorEastAsia"/>
          <w:color w:val="000000"/>
          <w:kern w:val="0"/>
          <w:sz w:val="28"/>
          <w:szCs w:val="28"/>
          <w:lang w:eastAsia="zh-CN"/>
        </w:rPr>
        <w:t>、</w:t>
      </w:r>
      <w:r>
        <w:rPr>
          <w:rFonts w:hint="eastAsia" w:asciiTheme="minorEastAsia" w:hAnsiTheme="minorEastAsia" w:eastAsiaTheme="minorEastAsia" w:cstheme="minorEastAsia"/>
          <w:color w:val="000000"/>
          <w:kern w:val="0"/>
          <w:sz w:val="28"/>
          <w:szCs w:val="28"/>
        </w:rPr>
        <w:t>做到“两个维护”</w:t>
      </w:r>
      <w:r>
        <w:rPr>
          <w:rFonts w:hint="eastAsia" w:asciiTheme="minorEastAsia" w:hAnsiTheme="minorEastAsia" w:eastAsiaTheme="minorEastAsia" w:cstheme="minorEastAsia"/>
          <w:color w:val="000000"/>
          <w:kern w:val="0"/>
          <w:sz w:val="28"/>
          <w:szCs w:val="28"/>
          <w:lang w:val="en-US" w:eastAsia="zh-CN"/>
        </w:rPr>
        <w:t>的具体体现</w:t>
      </w:r>
      <w:r>
        <w:rPr>
          <w:rFonts w:hint="eastAsia" w:asciiTheme="minorEastAsia" w:hAnsiTheme="minorEastAsia" w:eastAsiaTheme="minorEastAsia" w:cstheme="minorEastAsia"/>
          <w:color w:val="000000"/>
          <w:kern w:val="0"/>
          <w:sz w:val="28"/>
          <w:szCs w:val="28"/>
        </w:rPr>
        <w:t>，构建起系统完善的党建责任体系。二是</w:t>
      </w:r>
      <w:r>
        <w:rPr>
          <w:rFonts w:hint="eastAsia" w:asciiTheme="minorEastAsia" w:hAnsiTheme="minorEastAsia" w:eastAsiaTheme="minorEastAsia" w:cstheme="minorEastAsia"/>
          <w:color w:val="000000"/>
          <w:kern w:val="0"/>
          <w:sz w:val="28"/>
          <w:szCs w:val="28"/>
          <w:lang w:val="en-US" w:eastAsia="zh-CN"/>
        </w:rPr>
        <w:t>从严从实“保清廉”，</w:t>
      </w:r>
      <w:r>
        <w:rPr>
          <w:rFonts w:hint="eastAsia" w:asciiTheme="minorEastAsia" w:hAnsiTheme="minorEastAsia" w:eastAsiaTheme="minorEastAsia" w:cstheme="minorEastAsia"/>
          <w:color w:val="000000"/>
          <w:kern w:val="0"/>
          <w:sz w:val="28"/>
          <w:szCs w:val="28"/>
        </w:rPr>
        <w:t>廉政</w:t>
      </w:r>
      <w:r>
        <w:rPr>
          <w:rFonts w:hint="eastAsia" w:asciiTheme="minorEastAsia" w:hAnsiTheme="minorEastAsia" w:eastAsiaTheme="minorEastAsia" w:cstheme="minorEastAsia"/>
          <w:color w:val="000000"/>
          <w:kern w:val="0"/>
          <w:sz w:val="28"/>
          <w:szCs w:val="28"/>
          <w:lang w:val="en-US" w:eastAsia="zh-CN"/>
        </w:rPr>
        <w:t>建设有“力度”</w:t>
      </w:r>
      <w:r>
        <w:rPr>
          <w:rFonts w:hint="eastAsia" w:asciiTheme="minorEastAsia" w:hAnsiTheme="minorEastAsia" w:eastAsiaTheme="minorEastAsia" w:cstheme="minorEastAsia"/>
          <w:color w:val="000000"/>
          <w:kern w:val="0"/>
          <w:sz w:val="28"/>
          <w:szCs w:val="28"/>
          <w:lang w:eastAsia="zh-CN"/>
        </w:rPr>
        <w:t>。</w:t>
      </w:r>
      <w:r>
        <w:rPr>
          <w:rFonts w:hint="eastAsia" w:asciiTheme="minorEastAsia" w:hAnsiTheme="minorEastAsia" w:eastAsiaTheme="minorEastAsia" w:cstheme="minorEastAsia"/>
          <w:color w:val="000000"/>
          <w:kern w:val="0"/>
          <w:sz w:val="28"/>
          <w:szCs w:val="28"/>
        </w:rPr>
        <w:t>主要负责同志切实担负起党风廉政建设第一责任人责任，并切实督导班子成员履行好“一岗双责”。三是</w:t>
      </w:r>
      <w:r>
        <w:rPr>
          <w:rFonts w:hint="eastAsia" w:asciiTheme="minorEastAsia" w:hAnsiTheme="minorEastAsia" w:eastAsiaTheme="minorEastAsia" w:cstheme="minorEastAsia"/>
          <w:color w:val="000000"/>
          <w:kern w:val="0"/>
          <w:sz w:val="28"/>
          <w:szCs w:val="28"/>
          <w:lang w:val="en-US" w:eastAsia="zh-CN"/>
        </w:rPr>
        <w:t>建章立制“强内控”，</w:t>
      </w:r>
      <w:r>
        <w:rPr>
          <w:rFonts w:hint="eastAsia" w:asciiTheme="minorEastAsia" w:hAnsiTheme="minorEastAsia" w:eastAsiaTheme="minorEastAsia" w:cstheme="minorEastAsia"/>
          <w:color w:val="000000"/>
          <w:kern w:val="0"/>
          <w:sz w:val="28"/>
          <w:szCs w:val="28"/>
        </w:rPr>
        <w:t>内控机制</w:t>
      </w:r>
      <w:r>
        <w:rPr>
          <w:rFonts w:hint="eastAsia" w:asciiTheme="minorEastAsia" w:hAnsiTheme="minorEastAsia" w:eastAsiaTheme="minorEastAsia" w:cstheme="minorEastAsia"/>
          <w:color w:val="000000"/>
          <w:kern w:val="0"/>
          <w:sz w:val="28"/>
          <w:szCs w:val="28"/>
          <w:lang w:val="en-US" w:eastAsia="zh-CN"/>
        </w:rPr>
        <w:t>有“精度”</w:t>
      </w:r>
      <w:r>
        <w:rPr>
          <w:rFonts w:hint="eastAsia" w:asciiTheme="minorEastAsia" w:hAnsiTheme="minorEastAsia" w:eastAsiaTheme="minorEastAsia" w:cstheme="minorEastAsia"/>
          <w:color w:val="000000"/>
          <w:kern w:val="0"/>
          <w:sz w:val="28"/>
          <w:szCs w:val="28"/>
          <w:lang w:eastAsia="zh-CN"/>
        </w:rPr>
        <w:t>。</w:t>
      </w:r>
      <w:r>
        <w:rPr>
          <w:rFonts w:hint="eastAsia" w:asciiTheme="minorEastAsia" w:hAnsiTheme="minorEastAsia" w:eastAsiaTheme="minorEastAsia" w:cstheme="minorEastAsia"/>
          <w:color w:val="000000"/>
          <w:kern w:val="0"/>
          <w:sz w:val="28"/>
          <w:szCs w:val="28"/>
        </w:rPr>
        <w:t>明确职责分工，建立制度管人管事管权的机制，建立起有错必纠、有责必问、有违必惩的问责追究体系。</w:t>
      </w:r>
      <w:r>
        <w:rPr>
          <w:rFonts w:hint="eastAsia" w:asciiTheme="minorEastAsia" w:hAnsiTheme="minorEastAsia" w:eastAsiaTheme="minorEastAsia" w:cstheme="minorEastAsia"/>
          <w:color w:val="000000"/>
          <w:kern w:val="0"/>
          <w:sz w:val="28"/>
          <w:szCs w:val="28"/>
          <w:lang w:val="en-US" w:eastAsia="zh-CN"/>
        </w:rPr>
        <w:t>四是多措并举“重防控”，风险防控有“温度”。</w:t>
      </w:r>
      <w:r>
        <w:rPr>
          <w:rFonts w:hint="eastAsia" w:asciiTheme="minorEastAsia" w:hAnsiTheme="minorEastAsia" w:eastAsiaTheme="minorEastAsia" w:cstheme="minorEastAsia"/>
          <w:color w:val="000000"/>
          <w:kern w:val="0"/>
          <w:sz w:val="28"/>
          <w:szCs w:val="28"/>
        </w:rPr>
        <w:t>建立廉政风险防控制度，全面分析</w:t>
      </w:r>
      <w:r>
        <w:rPr>
          <w:rFonts w:hint="eastAsia" w:asciiTheme="minorEastAsia" w:hAnsiTheme="minorEastAsia" w:eastAsiaTheme="minorEastAsia" w:cstheme="minorEastAsia"/>
          <w:color w:val="000000"/>
          <w:kern w:val="0"/>
          <w:sz w:val="28"/>
          <w:szCs w:val="28"/>
          <w:lang w:val="en-US" w:eastAsia="zh-CN"/>
        </w:rPr>
        <w:t>本</w:t>
      </w:r>
      <w:r>
        <w:rPr>
          <w:rFonts w:hint="eastAsia" w:asciiTheme="minorEastAsia" w:hAnsiTheme="minorEastAsia" w:eastAsiaTheme="minorEastAsia" w:cstheme="minorEastAsia"/>
          <w:color w:val="000000"/>
          <w:kern w:val="0"/>
          <w:sz w:val="28"/>
          <w:szCs w:val="28"/>
        </w:rPr>
        <w:t>部门存在的廉政风险防控点，提出有针对性的防控措施，完善了《新田县医疗保障局廉政风险防控手册》。严格落实廉洁谈话制度，开展廉政专题党课，以案说法，增强党员干部廉洁自律意识。定期开展业务知识培训，组织干部职工进行法律知识、专业知识培训，提升综合素质。</w:t>
      </w:r>
    </w:p>
    <w:p>
      <w:pPr>
        <w:keepNext w:val="0"/>
        <w:keepLines w:val="0"/>
        <w:pageBreakBefore w:val="0"/>
        <w:kinsoku/>
        <w:wordWrap/>
        <w:overflowPunct/>
        <w:topLinePunct w:val="0"/>
        <w:bidi w:val="0"/>
        <w:snapToGrid w:val="0"/>
        <w:spacing w:line="540" w:lineRule="exact"/>
        <w:ind w:left="0" w:leftChars="0" w:firstLine="640" w:firstLineChars="200"/>
        <w:textAlignment w:val="auto"/>
        <w:rPr>
          <w:rFonts w:hint="eastAsia" w:ascii="楷体_GB2312" w:hAnsi="楷体_GB2312" w:eastAsia="楷体_GB2312" w:cs="楷体_GB2312"/>
          <w:b/>
          <w:bCs w:val="0"/>
          <w:sz w:val="32"/>
          <w:szCs w:val="32"/>
        </w:rPr>
      </w:pPr>
      <w:r>
        <w:rPr>
          <w:rFonts w:hint="eastAsia" w:ascii="楷体_GB2312" w:hAnsi="楷体_GB2312" w:eastAsia="楷体_GB2312" w:cs="楷体_GB2312"/>
          <w:b/>
          <w:bCs w:val="0"/>
          <w:sz w:val="32"/>
          <w:szCs w:val="32"/>
        </w:rPr>
        <w:t>（二）</w:t>
      </w:r>
      <w:r>
        <w:rPr>
          <w:rFonts w:hint="eastAsia" w:ascii="楷体_GB2312" w:hAnsi="楷体_GB2312" w:eastAsia="楷体_GB2312" w:cs="楷体_GB2312"/>
          <w:b/>
          <w:bCs w:val="0"/>
          <w:sz w:val="32"/>
          <w:szCs w:val="32"/>
          <w:lang w:val="en-US" w:eastAsia="zh-CN"/>
        </w:rPr>
        <w:t>扩大参保覆盖面</w:t>
      </w:r>
      <w:r>
        <w:rPr>
          <w:rFonts w:hint="eastAsia" w:ascii="楷体_GB2312" w:hAnsi="楷体_GB2312" w:eastAsia="楷体_GB2312" w:cs="楷体_GB2312"/>
          <w:b/>
          <w:bCs w:val="0"/>
          <w:sz w:val="32"/>
          <w:szCs w:val="32"/>
        </w:rPr>
        <w:t>，医保基金稳步运行</w:t>
      </w:r>
    </w:p>
    <w:p>
      <w:pPr>
        <w:pStyle w:val="7"/>
        <w:ind w:firstLine="560" w:firstLineChars="200"/>
        <w:jc w:val="both"/>
        <w:rPr>
          <w:rFonts w:hint="default" w:asciiTheme="minorEastAsia" w:hAnsiTheme="minorEastAsia" w:eastAsiaTheme="minorEastAsia" w:cstheme="minorEastAsia"/>
          <w:color w:val="000000"/>
          <w:kern w:val="0"/>
          <w:sz w:val="28"/>
          <w:szCs w:val="28"/>
          <w:lang w:val="en-US" w:eastAsia="zh-CN"/>
        </w:rPr>
      </w:pPr>
      <w:r>
        <w:rPr>
          <w:rFonts w:hint="eastAsia" w:asciiTheme="minorEastAsia" w:hAnsiTheme="minorEastAsia" w:eastAsiaTheme="minorEastAsia" w:cstheme="minorEastAsia"/>
          <w:color w:val="000000"/>
          <w:kern w:val="0"/>
          <w:sz w:val="28"/>
          <w:szCs w:val="28"/>
          <w:lang w:val="en-US" w:eastAsia="zh-CN"/>
        </w:rPr>
        <w:t>常住人口基本医疗保险参保率达到108.25%，同比提高2%，完成本地参加医疗保险人数稳定在常住人口总数的95%以上的工作目标。坚持“以收定支、收支平衡、略有结余”的原则，医保基金收支平衡。</w:t>
      </w:r>
    </w:p>
    <w:p>
      <w:pPr>
        <w:pStyle w:val="7"/>
        <w:ind w:firstLine="560" w:firstLineChars="200"/>
        <w:jc w:val="both"/>
        <w:rPr>
          <w:rFonts w:hint="eastAsia" w:asciiTheme="minorEastAsia" w:hAnsiTheme="minorEastAsia" w:eastAsiaTheme="minorEastAsia" w:cstheme="minorEastAsia"/>
          <w:color w:val="000000"/>
          <w:kern w:val="0"/>
          <w:sz w:val="28"/>
          <w:szCs w:val="28"/>
          <w:lang w:val="en-US" w:eastAsia="zh-CN"/>
        </w:rPr>
      </w:pPr>
      <w:r>
        <w:rPr>
          <w:rFonts w:hint="eastAsia" w:asciiTheme="minorEastAsia" w:hAnsiTheme="minorEastAsia" w:eastAsiaTheme="minorEastAsia" w:cstheme="minorEastAsia"/>
          <w:b/>
          <w:bCs/>
          <w:color w:val="000000"/>
          <w:kern w:val="0"/>
          <w:sz w:val="28"/>
          <w:szCs w:val="28"/>
          <w:lang w:val="en-US" w:eastAsia="zh-CN"/>
        </w:rPr>
        <w:t>1.开展城乡居民医疗保险。</w:t>
      </w:r>
      <w:r>
        <w:rPr>
          <w:rFonts w:hint="eastAsia" w:asciiTheme="minorEastAsia" w:hAnsiTheme="minorEastAsia" w:eastAsiaTheme="minorEastAsia" w:cstheme="minorEastAsia"/>
          <w:color w:val="000000"/>
          <w:kern w:val="0"/>
          <w:sz w:val="28"/>
          <w:szCs w:val="28"/>
          <w:lang w:val="en-US" w:eastAsia="zh-CN"/>
        </w:rPr>
        <w:t>2021年，全县城乡居民参加基本医疗保险353278人，连续三年完成参保目标任务，征收城乡居民基本医保基金28907万元，其中个人缴费收入8770万元，各级财政补助18658万元，城乡医疗救助资助1162万元，利息214万元，其他收入103万元。截至目前，城乡居民基本医疗保险支出16773万元，其中住院支出9889万元，门诊支出1625万元，大病保险支出1073万元，疫苗接种支出4186万元。</w:t>
      </w:r>
    </w:p>
    <w:p>
      <w:pPr>
        <w:pStyle w:val="7"/>
        <w:ind w:firstLine="560" w:firstLineChars="200"/>
        <w:jc w:val="both"/>
        <w:rPr>
          <w:rFonts w:hint="default" w:asciiTheme="minorEastAsia" w:hAnsiTheme="minorEastAsia" w:eastAsiaTheme="minorEastAsia" w:cstheme="minorEastAsia"/>
          <w:color w:val="000000"/>
          <w:kern w:val="0"/>
          <w:sz w:val="28"/>
          <w:szCs w:val="28"/>
          <w:lang w:val="en-US" w:eastAsia="zh-CN"/>
        </w:rPr>
      </w:pPr>
      <w:r>
        <w:rPr>
          <w:rFonts w:hint="eastAsia" w:asciiTheme="minorEastAsia" w:hAnsiTheme="minorEastAsia" w:eastAsiaTheme="minorEastAsia" w:cstheme="minorEastAsia"/>
          <w:b/>
          <w:bCs/>
          <w:color w:val="000000"/>
          <w:kern w:val="0"/>
          <w:sz w:val="28"/>
          <w:szCs w:val="28"/>
          <w:lang w:val="en-US" w:eastAsia="zh-CN"/>
        </w:rPr>
        <w:t>2.落实城镇职工医疗保险。</w:t>
      </w:r>
      <w:r>
        <w:rPr>
          <w:rFonts w:hint="eastAsia" w:asciiTheme="minorEastAsia" w:hAnsiTheme="minorEastAsia" w:eastAsiaTheme="minorEastAsia" w:cstheme="minorEastAsia"/>
          <w:color w:val="000000"/>
          <w:kern w:val="0"/>
          <w:sz w:val="28"/>
          <w:szCs w:val="28"/>
          <w:lang w:val="en-US" w:eastAsia="zh-CN"/>
        </w:rPr>
        <w:t>2021年，我县已有18100人参加城镇职工基本医疗保险，征缴职工医疗保险费5310.73万元，其中统筹收入3448.38万元，个人账户收入1862.35万元。截至目前，城镇职工基本医疗保险支出4052万元，其中统筹基金待遇支出2053万元，个人账户基金支出1999万元。</w:t>
      </w:r>
    </w:p>
    <w:p>
      <w:pPr>
        <w:pStyle w:val="7"/>
        <w:ind w:firstLine="560" w:firstLineChars="200"/>
        <w:jc w:val="both"/>
        <w:rPr>
          <w:rFonts w:hint="eastAsia" w:asciiTheme="minorEastAsia" w:hAnsiTheme="minorEastAsia" w:eastAsiaTheme="minorEastAsia" w:cstheme="minorEastAsia"/>
          <w:color w:val="000000"/>
          <w:kern w:val="0"/>
          <w:sz w:val="28"/>
          <w:szCs w:val="28"/>
          <w:lang w:val="en-US" w:eastAsia="zh-CN"/>
        </w:rPr>
      </w:pPr>
      <w:r>
        <w:rPr>
          <w:rFonts w:hint="eastAsia" w:asciiTheme="minorEastAsia" w:hAnsiTheme="minorEastAsia" w:eastAsiaTheme="minorEastAsia" w:cstheme="minorEastAsia"/>
          <w:b/>
          <w:bCs/>
          <w:color w:val="000000"/>
          <w:kern w:val="0"/>
          <w:sz w:val="28"/>
          <w:szCs w:val="28"/>
          <w:lang w:val="en-US" w:eastAsia="zh-CN"/>
        </w:rPr>
        <w:t>3.确保医疗救助落到实处。</w:t>
      </w:r>
      <w:r>
        <w:rPr>
          <w:rFonts w:hint="eastAsia" w:asciiTheme="minorEastAsia" w:hAnsiTheme="minorEastAsia" w:eastAsiaTheme="minorEastAsia" w:cstheme="minorEastAsia"/>
          <w:color w:val="000000"/>
          <w:kern w:val="0"/>
          <w:sz w:val="28"/>
          <w:szCs w:val="28"/>
          <w:lang w:val="en-US" w:eastAsia="zh-CN"/>
        </w:rPr>
        <w:t>2021年度，医疗救助资金收入2286.67万元，医疗救助支出1156.31万元，其中住院513.88万元，门诊189.69万元，参保资助453.34万元。</w:t>
      </w:r>
    </w:p>
    <w:p>
      <w:pPr>
        <w:keepNext w:val="0"/>
        <w:keepLines w:val="0"/>
        <w:pageBreakBefore w:val="0"/>
        <w:kinsoku/>
        <w:wordWrap/>
        <w:overflowPunct/>
        <w:topLinePunct w:val="0"/>
        <w:bidi w:val="0"/>
        <w:snapToGrid w:val="0"/>
        <w:spacing w:line="540" w:lineRule="exact"/>
        <w:ind w:left="0" w:leftChars="0" w:firstLine="640" w:firstLineChars="200"/>
        <w:textAlignment w:val="auto"/>
        <w:rPr>
          <w:rFonts w:hint="eastAsia" w:ascii="楷体_GB2312" w:hAnsi="楷体_GB2312" w:eastAsia="楷体_GB2312" w:cs="楷体_GB2312"/>
          <w:b/>
          <w:bCs w:val="0"/>
          <w:sz w:val="32"/>
          <w:szCs w:val="32"/>
        </w:rPr>
      </w:pPr>
      <w:r>
        <w:rPr>
          <w:rFonts w:hint="eastAsia" w:ascii="楷体_GB2312" w:hAnsi="楷体_GB2312" w:eastAsia="楷体_GB2312" w:cs="楷体_GB2312"/>
          <w:b/>
          <w:bCs w:val="0"/>
          <w:sz w:val="32"/>
          <w:szCs w:val="32"/>
        </w:rPr>
        <w:t>（三）统筹兼顾真抓实干，重点工作推进有效</w:t>
      </w:r>
    </w:p>
    <w:p>
      <w:pPr>
        <w:pStyle w:val="7"/>
        <w:ind w:firstLine="560" w:firstLineChars="200"/>
        <w:jc w:val="both"/>
        <w:rPr>
          <w:rFonts w:hint="eastAsia" w:asciiTheme="minorEastAsia" w:hAnsiTheme="minorEastAsia" w:eastAsiaTheme="minorEastAsia" w:cstheme="minorEastAsia"/>
          <w:color w:val="000000"/>
          <w:kern w:val="0"/>
          <w:sz w:val="28"/>
          <w:szCs w:val="28"/>
          <w:lang w:val="en-US" w:eastAsia="zh-CN"/>
        </w:rPr>
      </w:pPr>
      <w:r>
        <w:rPr>
          <w:rFonts w:hint="eastAsia" w:asciiTheme="minorEastAsia" w:hAnsiTheme="minorEastAsia" w:eastAsiaTheme="minorEastAsia" w:cstheme="minorEastAsia"/>
          <w:b/>
          <w:bCs/>
          <w:color w:val="000000"/>
          <w:kern w:val="0"/>
          <w:sz w:val="28"/>
          <w:szCs w:val="28"/>
          <w:lang w:val="en-US" w:eastAsia="zh-CN"/>
        </w:rPr>
        <w:t>1.实施巩固拓展医疗保障脱贫攻坚成果与乡村振兴战略成效显著。</w:t>
      </w:r>
      <w:r>
        <w:rPr>
          <w:rFonts w:hint="eastAsia" w:asciiTheme="minorEastAsia" w:hAnsiTheme="minorEastAsia" w:eastAsiaTheme="minorEastAsia" w:cstheme="minorEastAsia"/>
          <w:color w:val="000000"/>
          <w:kern w:val="0"/>
          <w:sz w:val="28"/>
          <w:szCs w:val="28"/>
          <w:lang w:val="en-US" w:eastAsia="zh-CN"/>
        </w:rPr>
        <w:t>我局始终把巩固拓展医疗保障脱贫攻坚成果、实施“乡村振兴战略”放在工作重要位置，把巩固拓展医疗保障脱贫攻坚成果有效衔接乡村振兴战略工作列为全局重点工作任务狠抓落实，成立了新田县医疗保障局巩固拓展医疗保障脱贫攻坚成果有效衔接乡村振兴战略工作领导小组，制定了《新田县医疗保障局巩固拓展医疗保障脱贫攻坚成果有效衔接乡村振兴战略的实施方案》，建立信息资源互联共享机制，每月定期主动对接县民政局、县乡村振兴局、县税务局、县卫健局、县财政局和县残联等部门，确保数据信息互通有无。截止9月30日，我县纳入参保监测范围的特困人员、相关部门监测的其他低农村低收入人口、稳定脱贫人口等困难群众90001人已全部参加2021年城乡居民医疗保险，参保率达到100%。按照《新田县2021年度城乡居民医保参保缴费工作实施方案》的缴费方式和标准，我县采取直接减免的资助方式，安排专职工作人员对接税务系统，对全县所有困难群众的身份进行标识，共计资助困难群众参加2021年城乡居民医疗保险90001人，1279.88万元。困难群众住院完成“一站式”结算17017人次，发生总医疗费用10493.8万元，各项保障资金支付8007.49万元，实际报销比例达76.31%（其中困难群众县域内“一站式”结算14584人次，总费用6574.59万元，各项基金总支付5620.74万元，报销比例达85.49%）。</w:t>
      </w:r>
    </w:p>
    <w:p>
      <w:pPr>
        <w:pStyle w:val="7"/>
        <w:ind w:firstLine="560" w:firstLineChars="200"/>
        <w:jc w:val="both"/>
        <w:rPr>
          <w:rFonts w:hint="default" w:asciiTheme="minorEastAsia" w:hAnsiTheme="minorEastAsia" w:eastAsiaTheme="minorEastAsia" w:cstheme="minorEastAsia"/>
          <w:color w:val="000000"/>
          <w:kern w:val="0"/>
          <w:sz w:val="28"/>
          <w:szCs w:val="28"/>
          <w:lang w:val="en-US" w:eastAsia="zh-CN"/>
        </w:rPr>
      </w:pPr>
      <w:r>
        <w:rPr>
          <w:rFonts w:hint="eastAsia" w:asciiTheme="minorEastAsia" w:hAnsiTheme="minorEastAsia" w:eastAsiaTheme="minorEastAsia" w:cstheme="minorEastAsia"/>
          <w:b/>
          <w:bCs/>
          <w:color w:val="000000"/>
          <w:kern w:val="0"/>
          <w:sz w:val="28"/>
          <w:szCs w:val="28"/>
          <w:lang w:val="en-US" w:eastAsia="zh-CN"/>
        </w:rPr>
        <w:t>2.疫情防控工作取得新突破。一是落实医疗救治经费。</w:t>
      </w:r>
      <w:r>
        <w:rPr>
          <w:rFonts w:hint="eastAsia" w:asciiTheme="minorEastAsia" w:hAnsiTheme="minorEastAsia" w:eastAsiaTheme="minorEastAsia" w:cstheme="minorEastAsia"/>
          <w:color w:val="000000"/>
          <w:kern w:val="0"/>
          <w:sz w:val="28"/>
          <w:szCs w:val="28"/>
          <w:lang w:val="en-US" w:eastAsia="zh-CN"/>
        </w:rPr>
        <w:t>2月我局预拨县人民医院新型冠状病毒感染的肺炎防治先行垫付资金200万元，县中医医院100万元；二是助力疫苗接种。认真贯彻国家、省、市、县关于新冠疫苗和接种费用保障工作的指示精神，切实保障疫苗及接种费用及时、足额到位，以2020年底参保人数为基数，按人均疫苗费用180元和人均接种费用20元核算疫苗费用及接种费用预算专项资金（其中接种费用每剂次10元），截至2021年9月底，我局及时上解新冠疫苗专项资金3711.76万元（其中城镇职工部分181.17万元，城乡居民部分3530.59万元），支付定点医疗机构新冠疫苗接种费用475万元；三是及时完成清算。2020年度我县新冠肺炎确诊病例和疑似病例人员共结算4人次，医疗总费用9548.07元，医保支付5042.41元，地方财政补助4505.66元，今年我局对2020年度新冠肺炎疫情防控专项资金预拨款进行了清算，将2020年度剩余的疫情防控资金全部返还医保基金。</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textAlignment w:val="auto"/>
        <w:rPr>
          <w:rFonts w:hint="eastAsia" w:asciiTheme="minorEastAsia" w:hAnsiTheme="minorEastAsia" w:eastAsiaTheme="minorEastAsia" w:cstheme="minorEastAsia"/>
          <w:b/>
          <w:bCs/>
          <w:color w:val="000000"/>
          <w:kern w:val="0"/>
          <w:sz w:val="28"/>
          <w:szCs w:val="28"/>
          <w:lang w:val="en-US" w:eastAsia="zh-CN" w:bidi="ar-SA"/>
        </w:rPr>
      </w:pPr>
      <w:r>
        <w:rPr>
          <w:rFonts w:hint="eastAsia" w:asciiTheme="minorEastAsia" w:hAnsiTheme="minorEastAsia" w:eastAsiaTheme="minorEastAsia" w:cstheme="minorEastAsia"/>
          <w:b/>
          <w:bCs/>
          <w:color w:val="000000"/>
          <w:kern w:val="0"/>
          <w:sz w:val="28"/>
          <w:szCs w:val="28"/>
          <w:lang w:val="en-US" w:eastAsia="zh-CN" w:bidi="ar-SA"/>
        </w:rPr>
        <w:t>3.打击欺诈骗保工作取得新成效。</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textAlignment w:val="auto"/>
        <w:rPr>
          <w:rFonts w:hint="eastAsia" w:asciiTheme="minorEastAsia" w:hAnsiTheme="minorEastAsia" w:eastAsiaTheme="minorEastAsia" w:cstheme="minorEastAsia"/>
          <w:color w:val="000000"/>
          <w:kern w:val="0"/>
          <w:sz w:val="28"/>
          <w:szCs w:val="28"/>
          <w:lang w:val="en-US" w:eastAsia="zh-CN" w:bidi="ar-SA"/>
        </w:rPr>
      </w:pPr>
      <w:r>
        <w:rPr>
          <w:rFonts w:hint="eastAsia" w:asciiTheme="minorEastAsia" w:hAnsiTheme="minorEastAsia" w:eastAsiaTheme="minorEastAsia" w:cstheme="minorEastAsia"/>
          <w:b/>
          <w:bCs/>
          <w:color w:val="000000"/>
          <w:kern w:val="0"/>
          <w:sz w:val="28"/>
          <w:szCs w:val="28"/>
          <w:lang w:val="en-US" w:eastAsia="zh-CN" w:bidi="ar-SA"/>
        </w:rPr>
        <w:t>一是优化队伍，充实基金监管力量。</w:t>
      </w:r>
      <w:r>
        <w:rPr>
          <w:rFonts w:hint="eastAsia" w:asciiTheme="minorEastAsia" w:hAnsiTheme="minorEastAsia" w:eastAsiaTheme="minorEastAsia" w:cstheme="minorEastAsia"/>
          <w:color w:val="000000"/>
          <w:kern w:val="0"/>
          <w:sz w:val="28"/>
          <w:szCs w:val="28"/>
          <w:lang w:val="en-US" w:eastAsia="zh-CN" w:bidi="ar-SA"/>
        </w:rPr>
        <w:t>一是积极与人社、编办等部门沟通汇报，加大人才引进力度，公开招聘医学大类人才。同时将精干力量调入基金监管股，充实基金监管力量。二是强化对基金监管政策的培训，定期组织干部职工认真学习《医疗保障基金使用监督管理条例》《医疗保障行政处罚程序暂行规定》《规范医疗保障基金使用监督管理行政处罚裁量权办法》等法律法规，在全局上下掀起学习医保法律法规的热潮。三是在全市率先对全县所有开展血液透析治疗的医疗机构的血透室实行全方位无死角的电子监管，安装了24小时实时监控和人脸识别打卡设备，引进智能监管系统，实施大数据比对分析，提高发现问题的能力。四是强化硬件实施建设，添置了执法仪、录音笔、手提电脑、移动打印终端等执法设备，提高基金监管能力。</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560" w:firstLineChars="200"/>
        <w:textAlignment w:val="auto"/>
        <w:rPr>
          <w:rFonts w:hint="eastAsia" w:ascii="仿宋_GB2312" w:hAnsi="仿宋_GB2312" w:eastAsia="仿宋_GB2312" w:cs="仿宋_GB2312"/>
          <w:sz w:val="32"/>
          <w:szCs w:val="32"/>
        </w:rPr>
      </w:pPr>
      <w:r>
        <w:rPr>
          <w:rFonts w:hint="eastAsia" w:asciiTheme="minorEastAsia" w:hAnsiTheme="minorEastAsia" w:eastAsiaTheme="minorEastAsia" w:cstheme="minorEastAsia"/>
          <w:b/>
          <w:bCs/>
          <w:color w:val="000000"/>
          <w:kern w:val="0"/>
          <w:sz w:val="28"/>
          <w:szCs w:val="28"/>
          <w:lang w:val="en-US" w:eastAsia="zh-CN" w:bidi="ar-SA"/>
        </w:rPr>
        <w:t>二是联合发力，加强部门协调联动。</w:t>
      </w:r>
      <w:r>
        <w:rPr>
          <w:rFonts w:hint="eastAsia" w:asciiTheme="minorEastAsia" w:hAnsiTheme="minorEastAsia" w:eastAsiaTheme="minorEastAsia" w:cstheme="minorEastAsia"/>
          <w:color w:val="000000"/>
          <w:kern w:val="0"/>
          <w:sz w:val="28"/>
          <w:szCs w:val="28"/>
          <w:lang w:val="en-US" w:eastAsia="zh-CN" w:bidi="ar-SA"/>
        </w:rPr>
        <w:t>一是今年4月份联合县公安局、卫生健康局，召开新田县打击欺诈骗保专项整治行动暨“宣传贯彻条例 加强基金监管”集中宣传月启动会，对全县所有定点医疗机构开展打击欺诈骗保专项治理行动进行了安排部署，制定并下发了《关于开展打击欺诈骗保专项整治行动的工作方案》。动员会后，各协议医药机构按照文件要求，认真组织开展了全面的自查自纠，通过自查自纠，共有11家医院主动退回违规医保基金21.11万元。对市飞行检查的3家医院的违规问题进行了复核，查实并追回违规金额50.88万元，行政处罚24.83万元。二是今年7月份我局制定并下发《新田县关于尿毒症血液透析治疗专项检查方案》，对全县4家开展尿毒症血液透析治疗的医院进行了专项检查，查实并追回违规金额14.55万元，行政处罚35.02万元。三是今年9月3日县人民政府县长黄永英组织召开了全县打击欺诈骗保套保挪用贪占医保基金集中整治部署会，印发了《新田县开展打击欺诈骗保套保挪用贪占医保基金集中整治实施方案》（新政办函〔2021〕24号），明确了由县政府分管领导牵头开展集中整治工作；印发《医疗保障经办机构集中整治实施方案》等12个配套方案，确保集中整治工作有序推进。我局与县公安局、人民法院、卫健局、市场监督管理局等12个部门成立了县集中整治工作协调机制办公室，抽调专职人员办公，联合开展打击欺诈骗保套保挪用贪占医保基金集中整治工作。建立了作战挂图表，明确责任领导、责任股室和责任人员，健全联络机制、畅通沟通渠道，建立集中整治工作群，明确12项整治工作信息联络员，每周收集最新工作动态，加强信息情况反馈，确保各部门形成工作合力。各协议医药机构按照集中整治工作的要求，再次开展了全面的自查自纠，共有6家医院主动退回违规基金17.13万元。今年，追回14人次“一票多报”金额38837.38元，追回死亡人员仍享受医保特门待遇5人次金额0.47万元，追回死亡人员仍享受医保个人账户待遇40人金额0.99万，追回服刑人员在服刑期间享受医保待遇7人金额1.33万元。四是加强案件移送。对虚记多记药品、医用耗材、医疗服务项目、编造就诊记录或住院病历等违法违规行为进行重点打击。今年以来，向县卫健局移送6家次定点医疗机构违规问题线索，向县纪委监委驻卫健局纪检监察组移送3家次定点公立医疗机构违规问题线索，向县公安局移送1家次定点医疗机构违规问题线索。同时，加大对欺诈骗保典型案例的曝光力度，做到发现一起，处理一起，曝光一起，不护短、不遮丑，截至11月9日我县在新田新闻网和政府门户网站上曝光本县欺诈骗保典型案例6例。</w:t>
      </w:r>
    </w:p>
    <w:p>
      <w:pPr>
        <w:pStyle w:val="9"/>
        <w:keepNext w:val="0"/>
        <w:keepLines w:val="0"/>
        <w:pageBreakBefore w:val="0"/>
        <w:kinsoku/>
        <w:wordWrap/>
        <w:overflowPunct/>
        <w:topLinePunct w:val="0"/>
        <w:bidi w:val="0"/>
        <w:snapToGrid/>
        <w:spacing w:before="0" w:beforeAutospacing="0" w:after="0" w:afterAutospacing="0" w:line="540" w:lineRule="exact"/>
        <w:ind w:left="0" w:leftChars="0" w:firstLine="560" w:firstLineChars="200"/>
        <w:jc w:val="both"/>
        <w:textAlignment w:val="baseline"/>
        <w:rPr>
          <w:rFonts w:hint="eastAsia" w:asciiTheme="minorEastAsia" w:hAnsiTheme="minorEastAsia" w:eastAsiaTheme="minorEastAsia" w:cstheme="minorEastAsia"/>
          <w:color w:val="000000"/>
          <w:kern w:val="0"/>
          <w:sz w:val="28"/>
          <w:szCs w:val="28"/>
          <w:lang w:val="en-US" w:eastAsia="zh-CN" w:bidi="ar-SA"/>
        </w:rPr>
      </w:pPr>
      <w:r>
        <w:rPr>
          <w:rFonts w:hint="eastAsia" w:asciiTheme="minorEastAsia" w:hAnsiTheme="minorEastAsia" w:eastAsiaTheme="minorEastAsia" w:cstheme="minorEastAsia"/>
          <w:b/>
          <w:bCs/>
          <w:color w:val="000000"/>
          <w:kern w:val="0"/>
          <w:sz w:val="28"/>
          <w:szCs w:val="28"/>
          <w:lang w:val="en-US" w:eastAsia="zh-CN" w:bidi="ar-SA"/>
        </w:rPr>
        <w:t>4.药品带量采购和医药服务价格政策落地见效。</w:t>
      </w:r>
      <w:r>
        <w:rPr>
          <w:rFonts w:hint="eastAsia" w:asciiTheme="minorEastAsia" w:hAnsiTheme="minorEastAsia" w:eastAsiaTheme="minorEastAsia" w:cstheme="minorEastAsia"/>
          <w:color w:val="000000"/>
          <w:kern w:val="0"/>
          <w:sz w:val="28"/>
          <w:szCs w:val="28"/>
          <w:lang w:val="en-US" w:eastAsia="zh-CN" w:bidi="ar-SA"/>
        </w:rPr>
        <w:t>我县紧紧围绕国家、省、市医保局决策部署，稳步推进药品带量采购惠民工程落地落实，医药费用明显降低。今年以来，我局共组织参加了一、二、三、四、五批国家集中采购中选药品采购、省抗菌类药物专项集中采购和五省联采第一批常用药品联合带量采购，低值高值耗材的报量采购，共采购中选药品349种，总金额572.32万元，平均降幅 52%以上，按采购量测算共计为全县患者降低医药费用约500万元。一是我局严格执行“一月一调度、一季一督查”的常态化制度，对全县参加带量采购的24家公立定点医疗机构、4家民营医院、11家定点药店进行管理和督导，有效遏制了药品流通环节回扣、药品进医院“走后门”等违法违规行为的出现。开展医疗服务价格监测，规范医疗机构收费标准。二是我局对全县定点医疗机构的医药服务价格进行了严密的日常监测，重点对县内二级公立医疗机构和民营医疗机构的各类检查项目、手术项目进行了定期和不定期监测，采取直接进入定点医疗机构临床科室内调取费用清单的方式，逐项核查收费项目和收费标准，起到了很好的警示效果。一年来，全县各级各类医疗机构没有违反医疗服务价格的情况发生，参保人得到的质优价廉的医疗服务。</w:t>
      </w:r>
    </w:p>
    <w:p>
      <w:pPr>
        <w:pStyle w:val="9"/>
        <w:keepNext w:val="0"/>
        <w:keepLines w:val="0"/>
        <w:pageBreakBefore w:val="0"/>
        <w:kinsoku/>
        <w:wordWrap/>
        <w:overflowPunct/>
        <w:topLinePunct w:val="0"/>
        <w:bidi w:val="0"/>
        <w:snapToGrid/>
        <w:spacing w:before="0" w:beforeAutospacing="0" w:after="0" w:afterAutospacing="0" w:line="540" w:lineRule="exact"/>
        <w:ind w:left="0" w:leftChars="0" w:firstLine="560" w:firstLineChars="200"/>
        <w:jc w:val="both"/>
        <w:textAlignment w:val="baseline"/>
        <w:rPr>
          <w:rFonts w:hint="eastAsia" w:asciiTheme="minorEastAsia" w:hAnsiTheme="minorEastAsia" w:eastAsiaTheme="minorEastAsia" w:cstheme="minorEastAsia"/>
          <w:color w:val="000000"/>
          <w:kern w:val="0"/>
          <w:sz w:val="28"/>
          <w:szCs w:val="28"/>
          <w:lang w:val="en-US" w:eastAsia="zh-CN" w:bidi="ar-SA"/>
        </w:rPr>
      </w:pPr>
      <w:r>
        <w:rPr>
          <w:rFonts w:hint="eastAsia" w:asciiTheme="minorEastAsia" w:hAnsiTheme="minorEastAsia" w:eastAsiaTheme="minorEastAsia" w:cstheme="minorEastAsia"/>
          <w:b/>
          <w:bCs/>
          <w:color w:val="000000"/>
          <w:kern w:val="0"/>
          <w:sz w:val="28"/>
          <w:szCs w:val="28"/>
          <w:lang w:val="en-US" w:eastAsia="zh-CN" w:bidi="ar-SA"/>
        </w:rPr>
        <w:t>5.经办服务能力稳步提升。</w:t>
      </w:r>
      <w:r>
        <w:rPr>
          <w:rFonts w:hint="eastAsia" w:asciiTheme="minorEastAsia" w:hAnsiTheme="minorEastAsia" w:eastAsiaTheme="minorEastAsia" w:cstheme="minorEastAsia"/>
          <w:color w:val="000000"/>
          <w:kern w:val="0"/>
          <w:sz w:val="28"/>
          <w:szCs w:val="28"/>
          <w:lang w:val="en-US" w:eastAsia="zh-CN" w:bidi="ar-SA"/>
        </w:rPr>
        <w:t>今年以来，我局始终坚持以人民为中心，将提升群众满意度摆在首要位置，积极推行“一窗受理、集成服务”改革模式，大力创新工作方式方法，充分发挥“互联网+医保”作用，“让数据多跑路、让群众少跑腿”，提高医保业务经办效率，全力打造满意医保。</w:t>
      </w:r>
    </w:p>
    <w:p>
      <w:pPr>
        <w:pStyle w:val="9"/>
        <w:keepNext w:val="0"/>
        <w:keepLines w:val="0"/>
        <w:pageBreakBefore w:val="0"/>
        <w:kinsoku/>
        <w:wordWrap/>
        <w:overflowPunct/>
        <w:topLinePunct w:val="0"/>
        <w:bidi w:val="0"/>
        <w:snapToGrid/>
        <w:spacing w:before="0" w:beforeAutospacing="0" w:after="0" w:afterAutospacing="0" w:line="540" w:lineRule="exact"/>
        <w:ind w:left="0" w:leftChars="0" w:firstLine="560" w:firstLineChars="200"/>
        <w:jc w:val="both"/>
        <w:textAlignment w:val="baseline"/>
        <w:rPr>
          <w:rFonts w:hint="eastAsia" w:asciiTheme="minorEastAsia" w:hAnsiTheme="minorEastAsia" w:eastAsiaTheme="minorEastAsia" w:cstheme="minorEastAsia"/>
          <w:color w:val="000000"/>
          <w:kern w:val="0"/>
          <w:sz w:val="28"/>
          <w:szCs w:val="28"/>
          <w:lang w:val="en-US" w:eastAsia="zh-CN" w:bidi="ar-SA"/>
        </w:rPr>
      </w:pPr>
      <w:r>
        <w:rPr>
          <w:rFonts w:hint="eastAsia" w:asciiTheme="minorEastAsia" w:hAnsiTheme="minorEastAsia" w:eastAsiaTheme="minorEastAsia" w:cstheme="minorEastAsia"/>
          <w:b/>
          <w:bCs/>
          <w:color w:val="000000"/>
          <w:kern w:val="0"/>
          <w:sz w:val="28"/>
          <w:szCs w:val="28"/>
          <w:lang w:val="en-US" w:eastAsia="zh-CN" w:bidi="ar-SA"/>
        </w:rPr>
        <w:t>一是落实“一件事一次办”，打造“便民”医保。</w:t>
      </w:r>
      <w:r>
        <w:rPr>
          <w:rFonts w:hint="eastAsia" w:asciiTheme="minorEastAsia" w:hAnsiTheme="minorEastAsia" w:eastAsiaTheme="minorEastAsia" w:cstheme="minorEastAsia"/>
          <w:color w:val="000000"/>
          <w:kern w:val="0"/>
          <w:sz w:val="28"/>
          <w:szCs w:val="28"/>
          <w:lang w:val="en-US" w:eastAsia="zh-CN" w:bidi="ar-SA"/>
        </w:rPr>
        <w:t>积极推行“互联网+政务服务”工作模式，认真落实政务服务“一件事一次办”要求，推出“不见面”“零接触”服务，依托“智汇办”引导企业和个人通过“掌上办、网上办、电话办、邮寄办”等方式足不出户办理各项医保业务。同时对照省、市医保局政务服务事项清单进行自查完善，医保经办规范化水平进一步提升；梳理“最多跑一次”医保服务事项91项，医保经办高频事项100%实现“最多跑一次”，100%实现“网上办”“掌上办”。</w:t>
      </w:r>
    </w:p>
    <w:p>
      <w:pPr>
        <w:pStyle w:val="9"/>
        <w:keepNext w:val="0"/>
        <w:keepLines w:val="0"/>
        <w:pageBreakBefore w:val="0"/>
        <w:kinsoku/>
        <w:wordWrap/>
        <w:overflowPunct/>
        <w:topLinePunct w:val="0"/>
        <w:bidi w:val="0"/>
        <w:snapToGrid/>
        <w:spacing w:before="0" w:beforeAutospacing="0" w:after="0" w:afterAutospacing="0" w:line="540" w:lineRule="exact"/>
        <w:ind w:left="0" w:leftChars="0" w:firstLine="560" w:firstLineChars="200"/>
        <w:jc w:val="both"/>
        <w:textAlignment w:val="baseline"/>
        <w:rPr>
          <w:rFonts w:hint="eastAsia" w:asciiTheme="minorEastAsia" w:hAnsiTheme="minorEastAsia" w:eastAsiaTheme="minorEastAsia" w:cstheme="minorEastAsia"/>
          <w:color w:val="000000"/>
          <w:kern w:val="0"/>
          <w:sz w:val="28"/>
          <w:szCs w:val="28"/>
          <w:lang w:val="en-US" w:eastAsia="zh-CN" w:bidi="ar-SA"/>
        </w:rPr>
      </w:pPr>
      <w:r>
        <w:rPr>
          <w:rFonts w:hint="eastAsia" w:asciiTheme="minorEastAsia" w:hAnsiTheme="minorEastAsia" w:eastAsiaTheme="minorEastAsia" w:cstheme="minorEastAsia"/>
          <w:b/>
          <w:bCs/>
          <w:color w:val="000000"/>
          <w:kern w:val="0"/>
          <w:sz w:val="28"/>
          <w:szCs w:val="28"/>
          <w:lang w:val="en-US" w:eastAsia="zh-CN" w:bidi="ar-SA"/>
        </w:rPr>
        <w:t>二是深化医保窗口效能建设，打造“暖心”医保。</w:t>
      </w:r>
      <w:r>
        <w:rPr>
          <w:rFonts w:hint="eastAsia" w:asciiTheme="minorEastAsia" w:hAnsiTheme="minorEastAsia" w:eastAsiaTheme="minorEastAsia" w:cstheme="minorEastAsia"/>
          <w:color w:val="000000"/>
          <w:kern w:val="0"/>
          <w:sz w:val="28"/>
          <w:szCs w:val="28"/>
          <w:lang w:val="en-US" w:eastAsia="zh-CN" w:bidi="ar-SA"/>
        </w:rPr>
        <w:t>2021年我局取消100余项证明材料，实行32项服务事项办事材料容缺受理，加强窗口人员力量配备，持续开展业务培训，梳理岗位职责，优化办事流程，建立延时服务、定期回访、一次性告知等制度，局领导每月轮流在大厅窗口带班；推行“文明窗口服务岗”，挂牌上岗，规范礼貌用语，提升服务意识，展现医保工作者良好形象，多次被评为“文明示范窗口”称号。窗口效能得到显著提升，据统计，今年以来，我局政务服务事项办件量稳居第一，办事材料精简40%，人均排队时间缩短50%，人均办事时间缩短50%，办事承诺时限压缩20%，事件即办率达到85%，法定提速率达到90%，全面提升了群众办事体验。</w:t>
      </w:r>
    </w:p>
    <w:p>
      <w:pPr>
        <w:pStyle w:val="9"/>
        <w:keepNext w:val="0"/>
        <w:keepLines w:val="0"/>
        <w:pageBreakBefore w:val="0"/>
        <w:kinsoku/>
        <w:wordWrap/>
        <w:overflowPunct/>
        <w:topLinePunct w:val="0"/>
        <w:bidi w:val="0"/>
        <w:snapToGrid/>
        <w:spacing w:before="0" w:beforeAutospacing="0" w:after="0" w:afterAutospacing="0" w:line="540" w:lineRule="exact"/>
        <w:ind w:left="0" w:leftChars="0" w:firstLine="560" w:firstLineChars="200"/>
        <w:jc w:val="both"/>
        <w:textAlignment w:val="baseline"/>
        <w:rPr>
          <w:rFonts w:hint="eastAsia" w:asciiTheme="minorEastAsia" w:hAnsiTheme="minorEastAsia" w:eastAsiaTheme="minorEastAsia" w:cstheme="minorEastAsia"/>
          <w:color w:val="000000"/>
          <w:kern w:val="0"/>
          <w:sz w:val="28"/>
          <w:szCs w:val="28"/>
          <w:lang w:val="en-US" w:eastAsia="zh-CN" w:bidi="ar-SA"/>
        </w:rPr>
      </w:pPr>
      <w:r>
        <w:rPr>
          <w:rFonts w:hint="eastAsia" w:asciiTheme="minorEastAsia" w:hAnsiTheme="minorEastAsia" w:eastAsiaTheme="minorEastAsia" w:cstheme="minorEastAsia"/>
          <w:b/>
          <w:bCs/>
          <w:color w:val="000000"/>
          <w:kern w:val="0"/>
          <w:sz w:val="28"/>
          <w:szCs w:val="28"/>
          <w:lang w:val="en-US" w:eastAsia="zh-CN" w:bidi="ar-SA"/>
        </w:rPr>
        <w:t>三是多渠道推行异地联网结算，打造“无忧”医保。</w:t>
      </w:r>
      <w:r>
        <w:rPr>
          <w:rFonts w:hint="eastAsia" w:asciiTheme="minorEastAsia" w:hAnsiTheme="minorEastAsia" w:eastAsiaTheme="minorEastAsia" w:cstheme="minorEastAsia"/>
          <w:color w:val="000000"/>
          <w:kern w:val="0"/>
          <w:sz w:val="28"/>
          <w:szCs w:val="28"/>
          <w:lang w:val="en-US" w:eastAsia="zh-CN" w:bidi="ar-SA"/>
        </w:rPr>
        <w:t>全面推行异地联网结算，县人民医院成功实现跨省门诊异地直接结算。将异地转诊权限下放至县人民医院和中医医院，并实行多渠道开通异地就医结算备案，群众可在智慧人社APP、湘医保APP、国家异地备案微信小程序、政务中心医保窗口和使用电话申请异地就医备案。2021年1-5月21日，共办理转诊3518人次，完成3707人次异地就医联网直接结算。</w:t>
      </w:r>
    </w:p>
    <w:p>
      <w:pPr>
        <w:pStyle w:val="9"/>
        <w:keepNext w:val="0"/>
        <w:keepLines w:val="0"/>
        <w:pageBreakBefore w:val="0"/>
        <w:kinsoku/>
        <w:wordWrap/>
        <w:overflowPunct/>
        <w:topLinePunct w:val="0"/>
        <w:bidi w:val="0"/>
        <w:snapToGrid/>
        <w:spacing w:before="0" w:beforeAutospacing="0" w:after="0" w:afterAutospacing="0" w:line="540" w:lineRule="exact"/>
        <w:ind w:left="0" w:leftChars="0" w:firstLine="560" w:firstLineChars="200"/>
        <w:jc w:val="both"/>
        <w:textAlignment w:val="baseline"/>
        <w:rPr>
          <w:rFonts w:hint="eastAsia" w:asciiTheme="minorEastAsia" w:hAnsiTheme="minorEastAsia" w:eastAsiaTheme="minorEastAsia" w:cstheme="minorEastAsia"/>
          <w:color w:val="000000"/>
          <w:kern w:val="0"/>
          <w:sz w:val="28"/>
          <w:szCs w:val="28"/>
          <w:lang w:val="en-US" w:eastAsia="zh-CN" w:bidi="ar-SA"/>
        </w:rPr>
      </w:pPr>
      <w:r>
        <w:rPr>
          <w:rFonts w:hint="eastAsia" w:asciiTheme="minorEastAsia" w:hAnsiTheme="minorEastAsia" w:eastAsiaTheme="minorEastAsia" w:cstheme="minorEastAsia"/>
          <w:b/>
          <w:bCs/>
          <w:color w:val="000000"/>
          <w:kern w:val="0"/>
          <w:sz w:val="28"/>
          <w:szCs w:val="28"/>
          <w:lang w:val="en-US" w:eastAsia="zh-CN" w:bidi="ar-SA"/>
        </w:rPr>
        <w:t>四是严抓内控建设，打造“放心”医保。</w:t>
      </w:r>
      <w:r>
        <w:rPr>
          <w:rFonts w:hint="eastAsia" w:asciiTheme="minorEastAsia" w:hAnsiTheme="minorEastAsia" w:eastAsiaTheme="minorEastAsia" w:cstheme="minorEastAsia"/>
          <w:color w:val="000000"/>
          <w:kern w:val="0"/>
          <w:sz w:val="28"/>
          <w:szCs w:val="28"/>
          <w:lang w:val="en-US" w:eastAsia="zh-CN" w:bidi="ar-SA"/>
        </w:rPr>
        <w:t>自我局成立以来，一直保持刀刃向内的勇气和壮士断腕的决心，强化内部控制措施，成立了事务监督委员会，在年初出台了年度检查方案，定期开展内部控制检查，并建立内部控制检查台账，推动轮岗制和“一事两岗两审”，做到分工合理、权责统一、不相容职务相互分离、相互监督，从制度上保证了基金安全和提升了服务效率。</w:t>
      </w:r>
    </w:p>
    <w:p>
      <w:pPr>
        <w:pStyle w:val="9"/>
        <w:keepNext w:val="0"/>
        <w:keepLines w:val="0"/>
        <w:pageBreakBefore w:val="0"/>
        <w:kinsoku/>
        <w:wordWrap/>
        <w:overflowPunct/>
        <w:topLinePunct w:val="0"/>
        <w:bidi w:val="0"/>
        <w:snapToGrid/>
        <w:spacing w:before="0" w:beforeAutospacing="0" w:after="0" w:afterAutospacing="0" w:line="540" w:lineRule="exact"/>
        <w:ind w:left="0" w:leftChars="0" w:firstLine="560" w:firstLineChars="200"/>
        <w:jc w:val="both"/>
        <w:textAlignment w:val="baseline"/>
        <w:rPr>
          <w:rFonts w:hint="eastAsia" w:asciiTheme="minorEastAsia" w:hAnsiTheme="minorEastAsia" w:eastAsiaTheme="minorEastAsia" w:cstheme="minorEastAsia"/>
          <w:color w:val="000000"/>
          <w:kern w:val="0"/>
          <w:sz w:val="28"/>
          <w:szCs w:val="28"/>
          <w:lang w:val="en-US" w:eastAsia="zh-CN" w:bidi="ar-SA"/>
        </w:rPr>
      </w:pPr>
      <w:r>
        <w:rPr>
          <w:rFonts w:hint="eastAsia" w:asciiTheme="minorEastAsia" w:hAnsiTheme="minorEastAsia" w:eastAsiaTheme="minorEastAsia" w:cstheme="minorEastAsia"/>
          <w:color w:val="000000"/>
          <w:kern w:val="0"/>
          <w:sz w:val="28"/>
          <w:szCs w:val="28"/>
          <w:lang w:val="en-US" w:eastAsia="zh-CN" w:bidi="ar-SA"/>
        </w:rPr>
        <w:t>6.国家医保信息平台日趋完善。今年4月20日，市医保局召开了国家医疗保障信息平台永州上线工作会议，我局于4月20日下午召集税务、卫健、相关网络运营商及信息公司召开了全省统一医保信息平台上线工作推进会，6月8日组织全县两定机构召开了国家医保信息平台上线工作部署会，按照要求做好本县新医保系统上线前期两定医药机构三目匹配、接口改造、接口验收工作，及时处理身份证重复与错误数据、在途业务，广泛宣传新医保系统上线工作，全面推进试点工作落地落实。6月16日，全国统一的医保信息平台在永州正式上线运行，永州市成为湖南省第一批首个上线城市。随着新平台的上线，全县参保群众的医保电子凭证（医保码）应用场景进一步扩增，就医购药将更方便；新平台采用分布式计算，老百姓单笔结算将更快捷；新平台全部采用安可替代产品，医保数据将更安全；医保报销目录全部采用国家标准化赋码，并逐步对接医药机构HIS系统，医保基金管理将更规范。我县依托国家医保标准化信息平台，通过大数据分析及数据有序共享，推行精细化管理服务，大幅提升医保公共服务和医保监管治理能力水平，严厉打击欺诈骗保行为，为全县参保群众提供更加便捷、高效、安全的医疗保障服务。目前，本县区所有定点医药机构已完成全部接口改造和贯标工作。率先在全市完成首例定点零售药店对账工作，已完成74家定点药店对账；国家医保信息平台趋于完善。</w:t>
      </w:r>
    </w:p>
    <w:p>
      <w:pPr>
        <w:pStyle w:val="2"/>
        <w:rPr>
          <w:rFonts w:hint="eastAsia"/>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0840E6"/>
    <w:multiLevelType w:val="singleLevel"/>
    <w:tmpl w:val="1F0840E6"/>
    <w:lvl w:ilvl="0" w:tentative="0">
      <w:start w:val="3"/>
      <w:numFmt w:val="chineseCounting"/>
      <w:suff w:val="nothing"/>
      <w:lvlText w:val="（%1）"/>
      <w:lvlJc w:val="left"/>
      <w:rPr>
        <w:rFonts w:hint="eastAsia"/>
      </w:rPr>
    </w:lvl>
  </w:abstractNum>
  <w:abstractNum w:abstractNumId="1">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E1M2FmNTY1MzE3ZGJiZGNmOTk1YjhlM2UyODhkZmIifQ=="/>
  </w:docVars>
  <w:rsids>
    <w:rsidRoot w:val="196D3D59"/>
    <w:rsid w:val="00300D6E"/>
    <w:rsid w:val="00A4746C"/>
    <w:rsid w:val="01002710"/>
    <w:rsid w:val="01B75A7F"/>
    <w:rsid w:val="03542401"/>
    <w:rsid w:val="063D14D3"/>
    <w:rsid w:val="06983C28"/>
    <w:rsid w:val="06FF4665"/>
    <w:rsid w:val="07106873"/>
    <w:rsid w:val="07D93108"/>
    <w:rsid w:val="09443C6A"/>
    <w:rsid w:val="0AB96FC8"/>
    <w:rsid w:val="0C1666D9"/>
    <w:rsid w:val="0D3F756A"/>
    <w:rsid w:val="0DA16476"/>
    <w:rsid w:val="0EA92EB4"/>
    <w:rsid w:val="0F144A26"/>
    <w:rsid w:val="0F343528"/>
    <w:rsid w:val="0F8D0424"/>
    <w:rsid w:val="104B78A3"/>
    <w:rsid w:val="10BB784F"/>
    <w:rsid w:val="10FE629D"/>
    <w:rsid w:val="12291603"/>
    <w:rsid w:val="13AD63F3"/>
    <w:rsid w:val="17253C74"/>
    <w:rsid w:val="1780534F"/>
    <w:rsid w:val="17CF1E32"/>
    <w:rsid w:val="18C86816"/>
    <w:rsid w:val="18EB5447"/>
    <w:rsid w:val="196D3D59"/>
    <w:rsid w:val="199F72DD"/>
    <w:rsid w:val="19FA13E8"/>
    <w:rsid w:val="1CE75528"/>
    <w:rsid w:val="1D187DD7"/>
    <w:rsid w:val="1D6B7F07"/>
    <w:rsid w:val="1E957931"/>
    <w:rsid w:val="1ECB1743"/>
    <w:rsid w:val="1F6139A9"/>
    <w:rsid w:val="20AE3724"/>
    <w:rsid w:val="24224705"/>
    <w:rsid w:val="25C26B32"/>
    <w:rsid w:val="27675BE3"/>
    <w:rsid w:val="277D6EB5"/>
    <w:rsid w:val="2BE6546E"/>
    <w:rsid w:val="2E3031D3"/>
    <w:rsid w:val="2F9236F2"/>
    <w:rsid w:val="2F9874C3"/>
    <w:rsid w:val="2FA21EAE"/>
    <w:rsid w:val="30A9726C"/>
    <w:rsid w:val="30AE4883"/>
    <w:rsid w:val="312D1C4B"/>
    <w:rsid w:val="31490108"/>
    <w:rsid w:val="334F40FB"/>
    <w:rsid w:val="35F76384"/>
    <w:rsid w:val="36DC4165"/>
    <w:rsid w:val="383F5EE0"/>
    <w:rsid w:val="3A465B2C"/>
    <w:rsid w:val="3BB0562F"/>
    <w:rsid w:val="3C033CD5"/>
    <w:rsid w:val="3C352D5D"/>
    <w:rsid w:val="3C8F7316"/>
    <w:rsid w:val="3CD81175"/>
    <w:rsid w:val="3D260600"/>
    <w:rsid w:val="40425CD5"/>
    <w:rsid w:val="40AF442B"/>
    <w:rsid w:val="40D00E00"/>
    <w:rsid w:val="43ED5FD3"/>
    <w:rsid w:val="43F8341E"/>
    <w:rsid w:val="45A100BA"/>
    <w:rsid w:val="462008E0"/>
    <w:rsid w:val="4766336A"/>
    <w:rsid w:val="47FD5A57"/>
    <w:rsid w:val="4841003D"/>
    <w:rsid w:val="48A71E8C"/>
    <w:rsid w:val="4A66686F"/>
    <w:rsid w:val="4AEB2504"/>
    <w:rsid w:val="4C481290"/>
    <w:rsid w:val="4C8E2E4B"/>
    <w:rsid w:val="4D4A6024"/>
    <w:rsid w:val="4D970721"/>
    <w:rsid w:val="50A53155"/>
    <w:rsid w:val="522602C5"/>
    <w:rsid w:val="525941F7"/>
    <w:rsid w:val="52D224D0"/>
    <w:rsid w:val="5313200B"/>
    <w:rsid w:val="55003E7E"/>
    <w:rsid w:val="5753429D"/>
    <w:rsid w:val="579218A2"/>
    <w:rsid w:val="580E5609"/>
    <w:rsid w:val="58613E05"/>
    <w:rsid w:val="5D177188"/>
    <w:rsid w:val="5E7F3237"/>
    <w:rsid w:val="5EE9089A"/>
    <w:rsid w:val="5F903222"/>
    <w:rsid w:val="5FB567E4"/>
    <w:rsid w:val="60B66CB8"/>
    <w:rsid w:val="61D56BFA"/>
    <w:rsid w:val="645D172D"/>
    <w:rsid w:val="647C3596"/>
    <w:rsid w:val="649674FD"/>
    <w:rsid w:val="64DD0CB7"/>
    <w:rsid w:val="65630AED"/>
    <w:rsid w:val="6626043C"/>
    <w:rsid w:val="669B6734"/>
    <w:rsid w:val="66C7577B"/>
    <w:rsid w:val="67615500"/>
    <w:rsid w:val="6BE648F5"/>
    <w:rsid w:val="6D12171A"/>
    <w:rsid w:val="6D321D6B"/>
    <w:rsid w:val="6E4E01BB"/>
    <w:rsid w:val="6FA56875"/>
    <w:rsid w:val="71062E85"/>
    <w:rsid w:val="71D419FC"/>
    <w:rsid w:val="72BC05F0"/>
    <w:rsid w:val="732458EB"/>
    <w:rsid w:val="752E4C17"/>
    <w:rsid w:val="758807CB"/>
    <w:rsid w:val="75994786"/>
    <w:rsid w:val="76307B4E"/>
    <w:rsid w:val="771E0391"/>
    <w:rsid w:val="772159C3"/>
    <w:rsid w:val="78120820"/>
    <w:rsid w:val="78F805A5"/>
    <w:rsid w:val="790A7FD0"/>
    <w:rsid w:val="7950713C"/>
    <w:rsid w:val="797352EE"/>
    <w:rsid w:val="79B53EAF"/>
    <w:rsid w:val="7A0F3269"/>
    <w:rsid w:val="7BD76009"/>
    <w:rsid w:val="7C815F74"/>
    <w:rsid w:val="7D2C6D56"/>
    <w:rsid w:val="7E232498"/>
    <w:rsid w:val="7FDD79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99"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widowControl/>
      <w:spacing w:before="100" w:beforeAutospacing="1" w:after="100" w:afterAutospacing="1"/>
      <w:jc w:val="left"/>
    </w:pPr>
    <w:rPr>
      <w:rFonts w:ascii="宋体" w:hAnsi="宋体" w:cs="宋体"/>
      <w:kern w:val="0"/>
      <w:sz w:val="24"/>
    </w:rPr>
  </w:style>
  <w:style w:type="paragraph" w:styleId="3">
    <w:name w:val="toc 5"/>
    <w:basedOn w:val="1"/>
    <w:next w:val="1"/>
    <w:semiHidden/>
    <w:qFormat/>
    <w:uiPriority w:val="99"/>
    <w:pPr>
      <w:ind w:left="1680" w:leftChars="800"/>
    </w:p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7">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8">
    <w:name w:val="List Paragraph"/>
    <w:basedOn w:val="1"/>
    <w:qFormat/>
    <w:uiPriority w:val="34"/>
    <w:pPr>
      <w:ind w:firstLine="420" w:firstLineChars="200"/>
    </w:pPr>
  </w:style>
  <w:style w:type="paragraph" w:customStyle="1" w:styleId="9">
    <w:name w:val="TOC5"/>
    <w:basedOn w:val="1"/>
    <w:next w:val="1"/>
    <w:semiHidden/>
    <w:qFormat/>
    <w:uiPriority w:val="0"/>
    <w:pPr>
      <w:ind w:left="1680" w:leftChars="800"/>
      <w:jc w:val="both"/>
      <w:textAlignment w:val="baseline"/>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25</Pages>
  <Words>12655</Words>
  <Characters>14442</Characters>
  <Lines>0</Lines>
  <Paragraphs>0</Paragraphs>
  <TotalTime>0</TotalTime>
  <ScaleCrop>false</ScaleCrop>
  <LinksUpToDate>false</LinksUpToDate>
  <CharactersWithSpaces>15898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2022-10-13T07:39:00Z</dcterms:created>
  <dc:creator>Administrator</dc:creator>
  <cp:lastModifiedBy>Administrator</cp:lastModifiedBy>
  <dcterms:modified xsi:type="dcterms:W3CDTF">2023-09-26T09:29:47Z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0F4DB0F269404825B35FF303867E94D9_13</vt:lpwstr>
  </property>
</Properties>
</file>