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ind w:firstLine="3360" w:firstLineChars="700"/>
        <w:jc w:val="both"/>
        <w:rPr>
          <w:rFonts w:hint="eastAsia"/>
          <w:sz w:val="48"/>
          <w:szCs w:val="48"/>
          <w:lang w:eastAsia="zh-CN"/>
        </w:rPr>
      </w:pPr>
    </w:p>
    <w:p>
      <w:pPr>
        <w:pStyle w:val="20"/>
        <w:ind w:firstLine="1920" w:firstLineChars="400"/>
        <w:jc w:val="both"/>
        <w:rPr>
          <w:rFonts w:hint="eastAsia"/>
          <w:sz w:val="48"/>
          <w:szCs w:val="48"/>
          <w:lang w:eastAsia="zh-CN"/>
        </w:rPr>
      </w:pPr>
      <w:r>
        <w:rPr>
          <w:rFonts w:hint="eastAsia"/>
          <w:sz w:val="48"/>
          <w:szCs w:val="48"/>
          <w:lang w:eastAsia="zh-CN"/>
        </w:rPr>
        <w:t>新田县</w:t>
      </w:r>
      <w:r>
        <w:rPr>
          <w:rFonts w:hint="eastAsia"/>
          <w:sz w:val="48"/>
          <w:szCs w:val="48"/>
          <w:lang w:val="en-US" w:eastAsia="zh-CN"/>
        </w:rPr>
        <w:t>人力资源和社会保障局2022</w:t>
      </w:r>
      <w:r>
        <w:rPr>
          <w:rFonts w:hint="eastAsia"/>
          <w:sz w:val="48"/>
          <w:szCs w:val="48"/>
          <w:lang w:eastAsia="zh-CN"/>
        </w:rPr>
        <w:t>年度部门决算公开</w:t>
      </w:r>
    </w:p>
    <w:p>
      <w:pPr>
        <w:pStyle w:val="20"/>
        <w:spacing w:line="500" w:lineRule="exact"/>
        <w:ind w:firstLine="6144" w:firstLineChars="1700"/>
        <w:jc w:val="both"/>
        <w:rPr>
          <w:rFonts w:hint="eastAsia"/>
          <w:b/>
          <w:sz w:val="36"/>
          <w:szCs w:val="28"/>
        </w:rPr>
      </w:pPr>
    </w:p>
    <w:p>
      <w:pPr>
        <w:pStyle w:val="20"/>
        <w:spacing w:line="500" w:lineRule="exact"/>
        <w:ind w:firstLine="6626" w:firstLineChars="1500"/>
        <w:jc w:val="both"/>
        <w:rPr>
          <w:b/>
          <w:sz w:val="36"/>
          <w:szCs w:val="28"/>
        </w:rPr>
      </w:pPr>
      <w:r>
        <w:rPr>
          <w:rFonts w:hint="eastAsia"/>
          <w:b/>
          <w:sz w:val="44"/>
          <w:szCs w:val="44"/>
        </w:rPr>
        <w:t>目录</w:t>
      </w:r>
    </w:p>
    <w:p>
      <w:pPr>
        <w:pStyle w:val="20"/>
        <w:spacing w:line="500" w:lineRule="exact"/>
        <w:rPr>
          <w:rFonts w:hint="eastAsia" w:ascii="黑体" w:hAnsi="黑体" w:eastAsia="黑体" w:cs="黑体"/>
          <w:b w:val="0"/>
          <w:bCs/>
          <w:sz w:val="28"/>
          <w:szCs w:val="28"/>
        </w:rPr>
      </w:pPr>
    </w:p>
    <w:p>
      <w:pPr>
        <w:pStyle w:val="2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lang w:eastAsia="zh-CN"/>
        </w:rPr>
        <w:t>新田县</w:t>
      </w:r>
      <w:r>
        <w:rPr>
          <w:rFonts w:hint="eastAsia" w:ascii="黑体" w:hAnsi="黑体" w:eastAsia="黑体" w:cs="黑体"/>
          <w:b/>
          <w:bCs w:val="0"/>
          <w:sz w:val="28"/>
          <w:szCs w:val="28"/>
          <w:lang w:val="en-US" w:eastAsia="zh-CN"/>
        </w:rPr>
        <w:t>人力资源和社会保障局</w:t>
      </w:r>
      <w:r>
        <w:rPr>
          <w:rFonts w:hint="eastAsia" w:ascii="黑体" w:hAnsi="黑体" w:eastAsia="黑体" w:cs="黑体"/>
          <w:b/>
          <w:bCs w:val="0"/>
          <w:sz w:val="28"/>
          <w:szCs w:val="28"/>
        </w:rPr>
        <w:t>概况</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2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20"/>
        <w:spacing w:line="500" w:lineRule="exact"/>
        <w:rPr>
          <w:rFonts w:hint="eastAsia" w:ascii="黑体" w:hAnsi="黑体" w:eastAsia="黑体" w:cs="黑体"/>
          <w:b w:val="0"/>
          <w:bCs/>
          <w:sz w:val="28"/>
          <w:szCs w:val="28"/>
        </w:rPr>
      </w:pPr>
    </w:p>
    <w:p>
      <w:pPr>
        <w:pStyle w:val="2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20"/>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20"/>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20"/>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新田县</w:t>
      </w:r>
      <w:r>
        <w:rPr>
          <w:rFonts w:hint="eastAsia" w:ascii="黑体" w:hAnsi="黑体" w:eastAsia="黑体" w:cs="黑体"/>
          <w:b/>
          <w:bCs/>
          <w:sz w:val="32"/>
          <w:szCs w:val="32"/>
          <w:lang w:val="en-US" w:eastAsia="zh-CN"/>
        </w:rPr>
        <w:t>人力资源和社会保障局</w:t>
      </w:r>
      <w:r>
        <w:rPr>
          <w:rFonts w:hint="eastAsia" w:ascii="黑体" w:hAnsi="黑体" w:eastAsia="黑体" w:cs="黑体"/>
          <w:b/>
          <w:bCs/>
          <w:sz w:val="32"/>
          <w:szCs w:val="32"/>
        </w:rPr>
        <w:t>概况</w:t>
      </w:r>
    </w:p>
    <w:p>
      <w:pPr>
        <w:pStyle w:val="21"/>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（一）贯彻执行国家和省、市、县人力资源和社会保障工作方针政策、法律法规，起草有关规范性文件草案，拟订全县人力资源和社会保障事业发展规划并组织实施和监督检查。</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（二）贯彻落实人力资源流动政策，拟订并组织实施全县人力资源市场发展规划，建立统一规范的人力资源市场，促进人力资源合理流动、有效配置。</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三）负责促进就业工作，贯彻落实统筹城乡就业发展规划和政策，完善公共就业服务体系，健全就业援助制度，贯彻执行职业资格制度相关政策，统筹建立面向城乡劳动者的职业培训制度；贯彻执行高校毕业生就业政策，会同有关部门拟订高技能人才、农村实用人才培养和激励规定及办法。</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四）统筹建立覆盖城乡的社会保障体系。贯彻落实城乡社会保险及其补充保险政策和标准，统筹落实机关企事业单位基本养老保险政策。会同有关部门拟订社会保险及其补充保险基金管理和监督办法并实施监督，编制全县社会保障基金预决算草案。</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（五）负责全县就业、失业、社会保险基金预测预警和信息引导，拟订应对预案，实施预防、调节和控制，保持就业形势稳定和社会保险基金总体收支平衡。</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六）会同有关部门拟订机关、事业单位人员工资收入分配规范性文件并组织实施；建立机关企事业单位人员工资正常增长和支付保障机制，配合相关部门审核纳入县级财政统一发放工资范围的同级党政机关、事业单位及人员的工资、奖金、津补贴标准和离退休费；贯彻落实机关企事业单位人员福利和离退休政策。</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七）会同有关部门指导事业单位人事制度改革；拟订事业单位人员和机关工勤人员管理规范性文件；参与人才管理工作，综合管理全县专业技术人员和专业技术队伍建设工作；综合管理全县专业技术人员和机关事业单位工勤人员的培训和继续教育工作；牵头推进深化职称制度改革，归口管理专业技术人员的职称工作；执行事业单位有关人员调配政策和特殊人员安置政策；会同有关部门实施高层次专业技术人才选拨、培养和引进工作。</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（八）会同有关部门拟订并实施政府奖励制度，综合管理全县行政奖励表彰工作。</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九）负责组织实施新型农村养老保险政策；指导建立健全新型农村养老保险制度及服务体系；参与被征地农民社会保障政策实施和服务体系的建立；会同有关部门拟订农民工工作综合性规范性文件和规划，推动农民工相关政策的落实，配合协调解决重点难点问题，维护农民工合法权益。</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统筹实施劳动、人事争议调解仲裁制度，贯彻执行劳动关系政策，完善劳动关系协调机制；监督落实消除非法使用童工政策和女工、未成年工的特殊劳动保护政策；组织实施劳动监察，协调劳动者维权工作，依法查处相关重大案件。</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（十一）完成县委、县政府交办的其他任务。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atLeast"/>
        <w:ind w:firstLine="627"/>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（一）内设机构设置。人社局单位内设机构包括： 根据编委核定，人社局内设股室16个，内设股室分别是：办公室、法规信访股、规划财务股、社会保险基金监督股、就业促进与失业保险股、人才开发和人力资源市场管理股、劳动关系股、事业单位人事管理股、专业技术人员管理股、工资福利股、养老保险股、工伤保险股、城乡居民社会养老保险股、政工人事股、农民工工作股、行政审批股。</w:t>
      </w:r>
    </w:p>
    <w:p>
      <w:pPr>
        <w:widowControl/>
        <w:spacing w:line="600" w:lineRule="atLeast"/>
        <w:ind w:firstLine="627"/>
        <w:jc w:val="lef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人社局</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人社局</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人社局所属事业单位</w:t>
      </w:r>
      <w:r>
        <w:rPr>
          <w:rFonts w:hint="eastAsia" w:ascii="Times New Roman" w:hAnsi="Times New Roman" w:eastAsia="仿宋_GB2312" w:cs="仿宋_GB2312"/>
          <w:bCs/>
          <w:kern w:val="0"/>
          <w:sz w:val="32"/>
          <w:szCs w:val="32"/>
          <w:lang w:val="en-US" w:eastAsia="zh-CN"/>
        </w:rPr>
        <w:t>劳动保障监察大队、社会保险服务中心、就业服务中心、工伤保险服务中心、人事考试中心、劳动人事争议仲裁院、人力资源服务中心</w:t>
      </w:r>
      <w:r>
        <w:rPr>
          <w:rFonts w:hint="eastAsia" w:ascii="Times New Roman" w:hAnsi="Times New Roman" w:eastAsia="仿宋_GB2312" w:cs="仿宋_GB2312"/>
          <w:bCs/>
          <w:kern w:val="0"/>
          <w:sz w:val="32"/>
          <w:szCs w:val="32"/>
        </w:rPr>
        <w:t>分别单独编制了部门决算并自行公开</w:t>
      </w:r>
      <w:r>
        <w:rPr>
          <w:rFonts w:hint="eastAsia" w:ascii="Times New Roman" w:hAnsi="Times New Roman" w:eastAsia="仿宋_GB2312" w:cs="仿宋_GB2312"/>
          <w:bCs/>
          <w:kern w:val="0"/>
          <w:sz w:val="32"/>
          <w:szCs w:val="32"/>
          <w:lang w:eastAsia="zh-CN"/>
        </w:rPr>
        <w:t>。</w:t>
      </w: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p>
      <w:pPr>
        <w:pStyle w:val="2"/>
        <w:rPr>
          <w:rFonts w:hint="eastAsia" w:ascii="仿宋" w:hAnsi="仿宋" w:eastAsia="仿宋" w:cs="仿宋"/>
          <w:color w:val="000000"/>
          <w:kern w:val="0"/>
          <w:sz w:val="32"/>
          <w:szCs w:val="32"/>
          <w:lang w:eastAsia="zh-CN"/>
        </w:rPr>
      </w:pPr>
    </w:p>
    <w:tbl>
      <w:tblPr>
        <w:tblStyle w:val="9"/>
        <w:tblW w:w="15737" w:type="dxa"/>
        <w:tblInd w:w="317" w:type="dxa"/>
        <w:tblLayout w:type="autofit"/>
        <w:tblCellMar>
          <w:top w:w="0" w:type="dxa"/>
          <w:left w:w="0" w:type="dxa"/>
          <w:bottom w:w="0" w:type="dxa"/>
          <w:right w:w="0" w:type="dxa"/>
        </w:tblCellMar>
      </w:tblPr>
      <w:tblGrid>
        <w:gridCol w:w="255"/>
        <w:gridCol w:w="545"/>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629"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7"/>
              <w:gridCol w:w="616"/>
              <w:gridCol w:w="1256"/>
              <w:gridCol w:w="5256"/>
              <w:gridCol w:w="1170"/>
              <w:gridCol w:w="465"/>
              <w:gridCol w:w="471"/>
              <w:gridCol w:w="1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42"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9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02"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85"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7"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0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85"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7"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2"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部门：新田县人力资源和社会保障局</w:t>
                  </w:r>
                </w:p>
              </w:tc>
              <w:tc>
                <w:tcPr>
                  <w:tcW w:w="19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02"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85"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7"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7" w:type="pct"/>
                <w:trHeight w:val="397" w:hRule="atLeast"/>
              </w:trPr>
              <w:tc>
                <w:tcPr>
                  <w:tcW w:w="204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60"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705.27</w:t>
                  </w:r>
                </w:p>
              </w:tc>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r>
                    <w:rPr>
                      <w:rFonts w:hint="eastAsia" w:cs="Arial"/>
                      <w:color w:val="000000"/>
                      <w:sz w:val="22"/>
                    </w:rPr>
                    <w:t>八、社会保障和就业支出</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745.92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705.27</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745.92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40.65</w:t>
                  </w:r>
                </w:p>
              </w:tc>
              <w:tc>
                <w:tcPr>
                  <w:tcW w:w="1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7" w:type="pct"/>
                <w:trHeight w:val="397" w:hRule="atLeast"/>
              </w:trPr>
              <w:tc>
                <w:tcPr>
                  <w:tcW w:w="144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745.92</w:t>
                  </w:r>
                </w:p>
              </w:tc>
              <w:tc>
                <w:tcPr>
                  <w:tcW w:w="16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745.92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5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384" w:hRule="atLeast"/>
        </w:trPr>
        <w:tc>
          <w:tcPr>
            <w:tcW w:w="4482"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新田县人力资源和社会保障局</w:t>
            </w:r>
            <w:r>
              <w:rPr>
                <w:rFonts w:ascii="Times New Roman" w:hAnsi="Times New Roman" w:eastAsia="仿宋_GB2312" w:cs="Times New Roman"/>
                <w:color w:val="000000"/>
                <w:kern w:val="0"/>
                <w:szCs w:val="21"/>
              </w:rPr>
              <w:t xml:space="preserve"> </w:t>
            </w:r>
            <w:r>
              <w:rPr>
                <w:rFonts w:hint="eastAsia"/>
              </w:rPr>
              <w:t>　</w:t>
            </w:r>
          </w:p>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745"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8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8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74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74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705.27</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705.27</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208</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社会保障和就业支出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705.27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705.27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20801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rPr>
            </w:pP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人力资源和社会保障管理事务</w:t>
            </w:r>
          </w:p>
          <w:p>
            <w:pPr>
              <w:widowControl/>
              <w:jc w:val="left"/>
              <w:rPr>
                <w:rFonts w:hint="eastAsia" w:ascii="宋体" w:hAnsi="宋体" w:eastAsia="宋体" w:cs="宋体"/>
                <w:kern w:val="0"/>
                <w:sz w:val="21"/>
                <w:szCs w:val="21"/>
                <w:lang w:val="en-US" w:eastAsia="zh-CN" w:bidi="ar-SA"/>
              </w:rPr>
            </w:pP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705.27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705.27</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2080101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rPr>
            </w:pPr>
          </w:p>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行政运行</w:t>
            </w:r>
          </w:p>
          <w:p>
            <w:pPr>
              <w:widowControl/>
              <w:jc w:val="left"/>
              <w:rPr>
                <w:rFonts w:hint="eastAsia" w:ascii="宋体" w:hAnsi="宋体" w:eastAsia="宋体" w:cs="宋体"/>
                <w:kern w:val="0"/>
                <w:sz w:val="21"/>
                <w:szCs w:val="21"/>
                <w:lang w:val="en-US" w:eastAsia="zh-CN" w:bidi="ar-SA"/>
              </w:rPr>
            </w:pP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372.20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372.20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2080102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一般行政管理事务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29.34</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29.34</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2080104</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综合业务管理</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303.73</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宋体" w:cstheme="minorBidi"/>
                <w:color w:val="000000"/>
                <w:kern w:val="2"/>
                <w:sz w:val="22"/>
                <w:szCs w:val="24"/>
                <w:lang w:val="en-US" w:eastAsia="zh-CN" w:bidi="ar-SA"/>
              </w:rPr>
            </w:pPr>
            <w:r>
              <w:rPr>
                <w:rFonts w:hint="default" w:ascii="ËÎÌå" w:hAnsi="ËÎÌå" w:eastAsia="ËÎÌå"/>
                <w:color w:val="000000"/>
                <w:sz w:val="22"/>
                <w:szCs w:val="24"/>
              </w:rPr>
              <w:t xml:space="preserve"> </w:t>
            </w:r>
            <w:r>
              <w:rPr>
                <w:rFonts w:hint="eastAsia" w:ascii="ËÎÌå" w:hAnsi="ËÎÌå" w:eastAsia="宋体"/>
                <w:color w:val="000000"/>
                <w:sz w:val="22"/>
                <w:szCs w:val="24"/>
                <w:lang w:val="en-US" w:eastAsia="zh-CN"/>
              </w:rPr>
              <w:t>303.73</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629"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5640" w:type="dxa"/>
            <w:gridSpan w:val="9"/>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新田县人力资源和社会保障局</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单位：万元</w:t>
            </w:r>
            <w:r>
              <w:rPr>
                <w:rFonts w:hint="eastAsia" w:ascii="宋体" w:hAnsi="宋体" w:eastAsia="宋体" w:cs="宋体"/>
                <w:color w:val="000000"/>
                <w:kern w:val="0"/>
                <w:sz w:val="20"/>
                <w:szCs w:val="20"/>
                <w:lang w:val="en-US" w:eastAsia="zh-CN"/>
              </w:rPr>
              <w:t xml:space="preserve">                                                                                                                               </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745.92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745.92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745.92</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745.92</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人力资源和社会保障管理事务</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745.92</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745.92</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2080101</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372.20</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372.20</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2080102</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一般行政管理事务</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70.00</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70.00</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2080104</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综合业务管理</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303.73</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303.73</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新田县人力资源和社会保障局</w:t>
            </w:r>
            <w:r>
              <w:rPr>
                <w:rFonts w:ascii="Times New Roman" w:hAnsi="Times New Roman" w:eastAsia="仿宋_GB2312" w:cs="Times New Roman"/>
                <w:color w:val="000000"/>
                <w:kern w:val="0"/>
                <w:szCs w:val="21"/>
              </w:rPr>
              <w:t xml:space="preserve">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705.27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r>
              <w:rPr>
                <w:rFonts w:hint="eastAsia" w:cs="Arial"/>
                <w:color w:val="00000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745.92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745.92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705.27</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745.92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745.92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40.65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40.65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745.92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745.92</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745.92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新田县人力资源和社会保障局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             </w:t>
      </w:r>
      <w:r>
        <w:rPr>
          <w:rFonts w:hint="eastAsia" w:ascii="Times New Roman" w:hAnsi="Times New Roman" w:eastAsia="仿宋_GB2312" w:cs="Times New Roman"/>
          <w:color w:val="000000"/>
          <w:kern w:val="0"/>
          <w:szCs w:val="21"/>
          <w:lang w:val="en-US" w:eastAsia="zh-CN"/>
        </w:rPr>
        <w:t xml:space="preserve">   </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745.92</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745.92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745.92</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745.92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人力资源和社会保障管理事务</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745.92</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745.92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2080101</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372.20</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372.20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2080102</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一般行政管理事务</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70.00</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70.00</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2080104</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综合业务管理</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303.73</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303.73</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67"/>
        <w:gridCol w:w="239"/>
        <w:gridCol w:w="91"/>
        <w:gridCol w:w="1257"/>
        <w:gridCol w:w="1974"/>
        <w:gridCol w:w="78"/>
        <w:gridCol w:w="964"/>
        <w:gridCol w:w="980"/>
        <w:gridCol w:w="297"/>
        <w:gridCol w:w="1923"/>
        <w:gridCol w:w="138"/>
        <w:gridCol w:w="827"/>
        <w:gridCol w:w="1005"/>
        <w:gridCol w:w="345"/>
        <w:gridCol w:w="2032"/>
        <w:gridCol w:w="1440"/>
        <w:gridCol w:w="724"/>
        <w:gridCol w:w="333"/>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hint="eastAsia"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新田县人力资源和社会保障局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公开06表</w:t>
            </w:r>
          </w:p>
          <w:p>
            <w:pPr>
              <w:widowControl/>
              <w:ind w:firstLine="14280" w:firstLineChars="6800"/>
              <w:jc w:val="both"/>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 xml:space="preserve">单位：万元                                                                                                                       </w:t>
            </w:r>
          </w:p>
        </w:tc>
      </w:tr>
      <w:tr>
        <w:tblPrEx>
          <w:tblCellMar>
            <w:top w:w="0" w:type="dxa"/>
            <w:left w:w="108" w:type="dxa"/>
            <w:bottom w:w="0" w:type="dxa"/>
            <w:right w:w="108" w:type="dxa"/>
          </w:tblCellMar>
        </w:tblPrEx>
        <w:trPr>
          <w:trHeight w:val="113" w:hRule="atLeast"/>
        </w:trPr>
        <w:tc>
          <w:tcPr>
            <w:tcW w:w="12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1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429.55</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286.08</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148.52</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51.41</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28.31</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53.19</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87.89</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17.85</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11.24</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31.64</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17.85</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53.06</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8.32</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8.12</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26.62</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10.94</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11.34</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22.49</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0.51</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12.44</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3.14</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10.47</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12.44</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7.42</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28.74</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18.60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10.17</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42"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29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6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78.48</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5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p>
        </w:tc>
      </w:tr>
      <w:tr>
        <w:tblPrEx>
          <w:tblCellMar>
            <w:top w:w="0" w:type="dxa"/>
            <w:left w:w="108" w:type="dxa"/>
            <w:bottom w:w="0" w:type="dxa"/>
            <w:right w:w="108" w:type="dxa"/>
          </w:tblCellMar>
        </w:tblPrEx>
        <w:trPr>
          <w:trHeight w:val="284" w:hRule="exact"/>
        </w:trPr>
        <w:tc>
          <w:tcPr>
            <w:tcW w:w="452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4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441.99</w:t>
            </w:r>
          </w:p>
        </w:tc>
        <w:tc>
          <w:tcPr>
            <w:tcW w:w="8987"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5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303.93</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690" w:hRule="atLeast"/>
        </w:trPr>
        <w:tc>
          <w:tcPr>
            <w:tcW w:w="15281"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345" w:hRule="atLeast"/>
        </w:trPr>
        <w:tc>
          <w:tcPr>
            <w:tcW w:w="96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48"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52"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41"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61"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77"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32"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64"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690" w:hRule="atLeast"/>
        </w:trPr>
        <w:tc>
          <w:tcPr>
            <w:tcW w:w="15281" w:type="dxa"/>
            <w:gridSpan w:val="1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部门：新田县人力资源和社会保障局</w:t>
            </w:r>
            <w:r>
              <w:rPr>
                <w:rFonts w:ascii="Times New Roman" w:hAnsi="Times New Roman" w:eastAsia="仿宋_GB2312" w:cs="Times New Roman"/>
                <w:color w:val="000000"/>
                <w:kern w:val="0"/>
                <w:szCs w:val="21"/>
              </w:rPr>
              <w:t xml:space="preserve">  </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459" w:hRule="atLeast"/>
        </w:trPr>
        <w:tc>
          <w:tcPr>
            <w:tcW w:w="2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23"/>
                <w:lang w:val="en-US" w:eastAsia="zh-CN" w:bidi="ar"/>
              </w:rPr>
              <w:t xml:space="preserve">   </w:t>
            </w:r>
            <w:r>
              <w:rPr>
                <w:rStyle w:val="24"/>
                <w:lang w:val="en-US" w:eastAsia="zh-CN" w:bidi="ar"/>
              </w:rPr>
              <w:t>目</w:t>
            </w:r>
          </w:p>
        </w:tc>
        <w:tc>
          <w:tcPr>
            <w:tcW w:w="20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609" w:hRule="atLeast"/>
        </w:trPr>
        <w:tc>
          <w:tcPr>
            <w:tcW w:w="12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409" w:hRule="atLeast"/>
        </w:trPr>
        <w:tc>
          <w:tcPr>
            <w:tcW w:w="12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509" w:hRule="atLeast"/>
        </w:trPr>
        <w:tc>
          <w:tcPr>
            <w:tcW w:w="12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509" w:hRule="atLeast"/>
        </w:trPr>
        <w:tc>
          <w:tcPr>
            <w:tcW w:w="2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509" w:hRule="atLeast"/>
        </w:trPr>
        <w:tc>
          <w:tcPr>
            <w:tcW w:w="2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509" w:hRule="atLeast"/>
        </w:trPr>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33" w:type="dxa"/>
          <w:trHeight w:val="725" w:hRule="atLeast"/>
        </w:trPr>
        <w:tc>
          <w:tcPr>
            <w:tcW w:w="15281"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6"/>
        <w:gridCol w:w="677"/>
        <w:gridCol w:w="2202"/>
        <w:gridCol w:w="3174"/>
        <w:gridCol w:w="3174"/>
        <w:gridCol w:w="4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86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7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17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17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745" w:type="dxa"/>
            <w:gridSpan w:val="3"/>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部门：新田县人力资源和社会保障局</w:t>
            </w:r>
            <w:r>
              <w:rPr>
                <w:rFonts w:ascii="Times New Roman" w:hAnsi="Times New Roman" w:eastAsia="仿宋_GB2312" w:cs="Times New Roman"/>
                <w:color w:val="000000"/>
                <w:kern w:val="0"/>
                <w:szCs w:val="21"/>
              </w:rPr>
              <w:t xml:space="preserve">  </w:t>
            </w:r>
          </w:p>
        </w:tc>
        <w:tc>
          <w:tcPr>
            <w:tcW w:w="317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17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5"/>
                <w:lang w:val="en-US" w:eastAsia="zh-CN" w:bidi="ar"/>
              </w:rPr>
              <w:t>目</w:t>
            </w:r>
          </w:p>
        </w:tc>
        <w:tc>
          <w:tcPr>
            <w:tcW w:w="10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6"/>
        <w:gridCol w:w="1226"/>
        <w:gridCol w:w="1187"/>
        <w:gridCol w:w="1187"/>
        <w:gridCol w:w="1187"/>
        <w:gridCol w:w="1217"/>
        <w:gridCol w:w="1217"/>
        <w:gridCol w:w="1227"/>
        <w:gridCol w:w="1187"/>
        <w:gridCol w:w="1187"/>
        <w:gridCol w:w="1187"/>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6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79" w:type="dxa"/>
            <w:gridSpan w:val="3"/>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部门：新田县人力资源和社会保障局</w:t>
            </w:r>
            <w:r>
              <w:rPr>
                <w:rFonts w:ascii="Times New Roman" w:hAnsi="Times New Roman" w:eastAsia="仿宋_GB2312" w:cs="Times New Roman"/>
                <w:color w:val="000000"/>
                <w:kern w:val="0"/>
                <w:szCs w:val="21"/>
              </w:rPr>
              <w:t xml:space="preserve">  </w:t>
            </w: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8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8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2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5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10.47</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10.47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10.47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20"/>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20"/>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入总计</w:t>
      </w:r>
      <w:r>
        <w:rPr>
          <w:rFonts w:hint="eastAsia" w:ascii="Times New Roman" w:hAnsi="Times New Roman" w:eastAsia="仿宋_GB2312"/>
          <w:sz w:val="32"/>
          <w:szCs w:val="32"/>
          <w:lang w:val="en-US" w:eastAsia="zh-CN"/>
        </w:rPr>
        <w:t>705.27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highlight w:val="none"/>
        </w:rPr>
        <w:t>与上年相比，增加</w:t>
      </w:r>
      <w:r>
        <w:rPr>
          <w:rFonts w:hint="eastAsia" w:ascii="Times New Roman" w:hAnsi="Times New Roman" w:eastAsia="仿宋_GB2312"/>
          <w:sz w:val="32"/>
          <w:szCs w:val="32"/>
          <w:highlight w:val="none"/>
          <w:lang w:val="en-US" w:eastAsia="zh-CN"/>
        </w:rPr>
        <w:t>188.68</w:t>
      </w:r>
      <w:r>
        <w:rPr>
          <w:rFonts w:hint="eastAsia" w:ascii="Times New Roman" w:hAnsi="Times New Roman" w:eastAsia="仿宋_GB2312"/>
          <w:sz w:val="32"/>
          <w:szCs w:val="32"/>
          <w:highlight w:val="none"/>
        </w:rPr>
        <w:t>万元，增长</w:t>
      </w:r>
      <w:r>
        <w:rPr>
          <w:rFonts w:hint="eastAsia" w:ascii="Times New Roman" w:hAnsi="Times New Roman" w:eastAsia="仿宋_GB2312"/>
          <w:sz w:val="32"/>
          <w:szCs w:val="32"/>
          <w:highlight w:val="none"/>
          <w:lang w:val="en-US" w:eastAsia="zh-CN"/>
        </w:rPr>
        <w:t>36</w:t>
      </w:r>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val="en-US" w:eastAsia="zh-CN"/>
        </w:rPr>
        <w:t>年中追加收入支出。</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745.92</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与上年相比，增加</w:t>
      </w:r>
      <w:r>
        <w:rPr>
          <w:rFonts w:hint="eastAsia" w:ascii="Times New Roman" w:hAnsi="Times New Roman" w:eastAsia="仿宋_GB2312"/>
          <w:sz w:val="32"/>
          <w:szCs w:val="32"/>
          <w:highlight w:val="none"/>
          <w:lang w:val="en-US" w:eastAsia="zh-CN"/>
        </w:rPr>
        <w:t>53.21</w:t>
      </w:r>
      <w:r>
        <w:rPr>
          <w:rFonts w:hint="eastAsia" w:ascii="Times New Roman" w:hAnsi="Times New Roman" w:eastAsia="仿宋_GB2312"/>
          <w:sz w:val="32"/>
          <w:szCs w:val="32"/>
          <w:highlight w:val="none"/>
        </w:rPr>
        <w:t>万元，增长</w:t>
      </w: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val="en-US" w:eastAsia="zh-CN"/>
        </w:rPr>
        <w:t>年中追加收入支出。</w:t>
      </w:r>
    </w:p>
    <w:p>
      <w:pPr>
        <w:pStyle w:val="20"/>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705.27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705.27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745.92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745.92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highlight w:val="none"/>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入总计</w:t>
      </w:r>
      <w:r>
        <w:rPr>
          <w:rFonts w:hint="eastAsia" w:ascii="Times New Roman" w:hAnsi="Times New Roman" w:eastAsia="仿宋_GB2312"/>
          <w:sz w:val="32"/>
          <w:szCs w:val="32"/>
          <w:lang w:val="en-US" w:eastAsia="zh-CN"/>
        </w:rPr>
        <w:t>705.27</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highlight w:val="none"/>
        </w:rPr>
        <w:t>与上年相比，增加</w:t>
      </w:r>
      <w:r>
        <w:rPr>
          <w:rFonts w:hint="eastAsia" w:ascii="Times New Roman" w:hAnsi="Times New Roman" w:eastAsia="仿宋_GB2312"/>
          <w:sz w:val="32"/>
          <w:szCs w:val="32"/>
          <w:highlight w:val="none"/>
          <w:lang w:val="en-US" w:eastAsia="zh-CN"/>
        </w:rPr>
        <w:t>188.68</w:t>
      </w:r>
      <w:r>
        <w:rPr>
          <w:rFonts w:hint="eastAsia" w:ascii="Times New Roman" w:hAnsi="Times New Roman" w:eastAsia="仿宋_GB2312"/>
          <w:sz w:val="32"/>
          <w:szCs w:val="32"/>
          <w:highlight w:val="none"/>
        </w:rPr>
        <w:t>万元，增长</w:t>
      </w:r>
      <w:r>
        <w:rPr>
          <w:rFonts w:hint="eastAsia" w:ascii="Times New Roman" w:hAnsi="Times New Roman" w:eastAsia="仿宋_GB2312"/>
          <w:sz w:val="32"/>
          <w:szCs w:val="32"/>
          <w:highlight w:val="none"/>
          <w:lang w:val="en-US" w:eastAsia="zh-CN"/>
        </w:rPr>
        <w:t>36</w:t>
      </w:r>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val="en-US" w:eastAsia="zh-CN"/>
        </w:rPr>
        <w:t>年中追加收入支出。</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highlight w:val="none"/>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745.92</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与上年相比，增加</w:t>
      </w:r>
      <w:r>
        <w:rPr>
          <w:rFonts w:hint="eastAsia" w:ascii="Times New Roman" w:hAnsi="Times New Roman" w:eastAsia="仿宋_GB2312"/>
          <w:sz w:val="32"/>
          <w:szCs w:val="32"/>
          <w:highlight w:val="none"/>
          <w:lang w:val="en-US" w:eastAsia="zh-CN"/>
        </w:rPr>
        <w:t>53.21</w:t>
      </w:r>
      <w:r>
        <w:rPr>
          <w:rFonts w:hint="eastAsia" w:ascii="Times New Roman" w:hAnsi="Times New Roman" w:eastAsia="仿宋_GB2312"/>
          <w:sz w:val="32"/>
          <w:szCs w:val="32"/>
          <w:highlight w:val="none"/>
        </w:rPr>
        <w:t>万元，增长</w:t>
      </w:r>
      <w:r>
        <w:rPr>
          <w:rFonts w:hint="eastAsia" w:ascii="Times New Roman" w:hAnsi="Times New Roman" w:eastAsia="仿宋_GB2312"/>
          <w:sz w:val="32"/>
          <w:szCs w:val="32"/>
          <w:highlight w:val="none"/>
          <w:lang w:val="en-US" w:eastAsia="zh-CN"/>
        </w:rPr>
        <w:t>8</w:t>
      </w:r>
      <w:r>
        <w:rPr>
          <w:rFonts w:hint="eastAsia" w:ascii="Times New Roman" w:hAnsi="Times New Roman" w:eastAsia="仿宋_GB2312"/>
          <w:sz w:val="32"/>
          <w:szCs w:val="32"/>
          <w:highlight w:val="none"/>
        </w:rPr>
        <w:t>%，主要是因为</w:t>
      </w:r>
      <w:r>
        <w:rPr>
          <w:rFonts w:hint="eastAsia" w:ascii="Times New Roman" w:hAnsi="Times New Roman" w:eastAsia="仿宋_GB2312"/>
          <w:sz w:val="32"/>
          <w:szCs w:val="32"/>
          <w:highlight w:val="none"/>
          <w:lang w:val="en-US" w:eastAsia="zh-CN"/>
        </w:rPr>
        <w:t>年中追加收入支出。</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745.92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53.21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支出增加。</w:t>
      </w:r>
    </w:p>
    <w:p>
      <w:pPr>
        <w:pStyle w:val="20"/>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745.92</w:t>
      </w:r>
      <w:r>
        <w:rPr>
          <w:rFonts w:hint="eastAsia" w:ascii="Times New Roman" w:hAnsi="Times New Roman" w:eastAsia="仿宋_GB2312"/>
          <w:sz w:val="32"/>
          <w:szCs w:val="32"/>
        </w:rPr>
        <w:t>万元，主要用于以下方面：社会保障和就业支出</w:t>
      </w:r>
      <w:r>
        <w:rPr>
          <w:rFonts w:hint="eastAsia" w:ascii="Times New Roman" w:hAnsi="Times New Roman" w:eastAsia="仿宋_GB2312"/>
          <w:sz w:val="32"/>
          <w:szCs w:val="32"/>
          <w:lang w:val="en-US" w:eastAsia="zh-CN"/>
        </w:rPr>
        <w:t>745.92</w:t>
      </w:r>
      <w:r>
        <w:rPr>
          <w:rFonts w:hint="eastAsia" w:ascii="Times New Roman" w:hAnsi="Times New Roman" w:eastAsia="仿宋_GB2312"/>
          <w:sz w:val="32"/>
          <w:szCs w:val="32"/>
        </w:rPr>
        <w:t>万元，占100%。</w:t>
      </w:r>
    </w:p>
    <w:p>
      <w:pPr>
        <w:pStyle w:val="2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spacing w:after="120" w:afterLines="50" w:line="520" w:lineRule="exact"/>
        <w:jc w:val="left"/>
        <w:outlineLvl w:val="1"/>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cs="黑体"/>
          <w:color w:val="000000"/>
          <w:kern w:val="0"/>
          <w:sz w:val="32"/>
          <w:szCs w:val="32"/>
          <w:lang w:val="en-US" w:eastAsia="zh-CN" w:bidi="ar-SA"/>
        </w:rPr>
        <w:t>2022年度财政拨款支出年初预算数为577.84万元，预算调整后为745.92万元，支出决算数为745.92万元，完成年初预算的129%，完成调整预算数的100%，其中：</w:t>
      </w:r>
    </w:p>
    <w:p>
      <w:pPr>
        <w:pStyle w:val="2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仿宋" w:hAnsi="仿宋" w:eastAsia="仿宋" w:cs="仿宋"/>
          <w:color w:val="000000"/>
          <w:sz w:val="32"/>
          <w:szCs w:val="32"/>
        </w:rPr>
        <w:t>人力资源和社会保障管理事务</w:t>
      </w:r>
      <w:r>
        <w:rPr>
          <w:rFonts w:hint="eastAsia" w:ascii="Times New Roman" w:hAnsi="Times New Roman" w:eastAsia="仿宋_GB2312"/>
          <w:sz w:val="32"/>
          <w:szCs w:val="32"/>
        </w:rPr>
        <w:t>（款）</w:t>
      </w:r>
      <w:r>
        <w:rPr>
          <w:rFonts w:hint="eastAsia" w:ascii="仿宋" w:hAnsi="仿宋" w:eastAsia="仿宋" w:cs="仿宋"/>
          <w:color w:val="000000"/>
          <w:sz w:val="32"/>
          <w:szCs w:val="32"/>
        </w:rPr>
        <w:t>行政运行</w:t>
      </w:r>
      <w:r>
        <w:rPr>
          <w:rFonts w:hint="eastAsia" w:ascii="Times New Roman" w:hAnsi="Times New Roman" w:eastAsia="仿宋_GB2312"/>
          <w:sz w:val="32"/>
          <w:szCs w:val="32"/>
        </w:rPr>
        <w:t>（项）。</w:t>
      </w:r>
    </w:p>
    <w:p>
      <w:pPr>
        <w:pStyle w:val="2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379.84</w:t>
      </w:r>
      <w:r>
        <w:rPr>
          <w:rFonts w:hint="eastAsia" w:ascii="Times New Roman" w:hAnsi="Times New Roman" w:eastAsia="仿宋_GB2312"/>
          <w:color w:val="auto"/>
          <w:sz w:val="32"/>
          <w:szCs w:val="32"/>
        </w:rPr>
        <w:t>万元，</w:t>
      </w:r>
      <w:r>
        <w:rPr>
          <w:rFonts w:hint="eastAsia" w:ascii="Times New Roman" w:hAnsi="Times New Roman" w:eastAsia="仿宋_GB2312" w:cs="黑体"/>
          <w:color w:val="000000"/>
          <w:kern w:val="0"/>
          <w:sz w:val="32"/>
          <w:szCs w:val="32"/>
          <w:lang w:val="en-US" w:eastAsia="zh-CN" w:bidi="ar-SA"/>
        </w:rPr>
        <w:t>预算调整后为372.2万元，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372.2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98</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完成调整预算数的100%。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人员经费有所减少。</w:t>
      </w:r>
    </w:p>
    <w:p>
      <w:pPr>
        <w:pStyle w:val="2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仿宋" w:hAnsi="仿宋" w:eastAsia="仿宋" w:cs="仿宋"/>
          <w:color w:val="000000"/>
          <w:sz w:val="32"/>
          <w:szCs w:val="32"/>
        </w:rPr>
        <w:t>人力资源和社会保障管理事务</w:t>
      </w:r>
      <w:r>
        <w:rPr>
          <w:rFonts w:hint="eastAsia" w:ascii="Times New Roman" w:hAnsi="Times New Roman" w:eastAsia="仿宋_GB2312"/>
          <w:sz w:val="32"/>
          <w:szCs w:val="32"/>
        </w:rPr>
        <w:t>（款）</w:t>
      </w:r>
      <w:r>
        <w:rPr>
          <w:rFonts w:hint="eastAsia" w:ascii="仿宋" w:hAnsi="仿宋" w:eastAsia="仿宋" w:cs="仿宋"/>
          <w:color w:val="000000"/>
          <w:sz w:val="32"/>
          <w:szCs w:val="32"/>
          <w:lang w:val="en-US" w:eastAsia="zh-CN"/>
        </w:rPr>
        <w:t>一般行政事务管理</w:t>
      </w:r>
      <w:r>
        <w:rPr>
          <w:rFonts w:hint="eastAsia" w:ascii="Times New Roman" w:hAnsi="Times New Roman" w:eastAsia="仿宋_GB2312"/>
          <w:sz w:val="32"/>
          <w:szCs w:val="32"/>
        </w:rPr>
        <w:t>（项）。</w:t>
      </w:r>
    </w:p>
    <w:p>
      <w:pPr>
        <w:pStyle w:val="2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53</w:t>
      </w:r>
      <w:r>
        <w:rPr>
          <w:rFonts w:hint="eastAsia" w:ascii="Times New Roman" w:hAnsi="Times New Roman" w:eastAsia="仿宋_GB2312"/>
          <w:color w:val="auto"/>
          <w:sz w:val="32"/>
          <w:szCs w:val="32"/>
        </w:rPr>
        <w:t>万元，</w:t>
      </w:r>
      <w:r>
        <w:rPr>
          <w:rFonts w:hint="eastAsia" w:ascii="Times New Roman" w:hAnsi="Times New Roman" w:eastAsia="仿宋_GB2312" w:cs="黑体"/>
          <w:color w:val="000000"/>
          <w:kern w:val="0"/>
          <w:sz w:val="32"/>
          <w:szCs w:val="32"/>
          <w:lang w:val="en-US" w:eastAsia="zh-CN" w:bidi="ar-SA"/>
        </w:rPr>
        <w:t>预算调整后为70万元，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70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132</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完成调整预算数的100%。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年中追加支出。</w:t>
      </w:r>
    </w:p>
    <w:p>
      <w:pPr>
        <w:pStyle w:val="2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仿宋" w:hAnsi="仿宋" w:eastAsia="仿宋" w:cs="仿宋"/>
          <w:color w:val="000000"/>
          <w:sz w:val="32"/>
          <w:szCs w:val="32"/>
        </w:rPr>
        <w:t>人力资源和社会保障管理事务</w:t>
      </w:r>
      <w:r>
        <w:rPr>
          <w:rFonts w:hint="eastAsia" w:ascii="Times New Roman" w:hAnsi="Times New Roman" w:eastAsia="仿宋_GB2312"/>
          <w:sz w:val="32"/>
          <w:szCs w:val="32"/>
        </w:rPr>
        <w:t>（款）</w:t>
      </w:r>
      <w:r>
        <w:rPr>
          <w:rFonts w:hint="eastAsia" w:ascii="仿宋" w:hAnsi="仿宋" w:eastAsia="仿宋" w:cs="仿宋"/>
          <w:color w:val="000000"/>
          <w:sz w:val="32"/>
          <w:szCs w:val="32"/>
          <w:lang w:val="en-US" w:eastAsia="zh-CN"/>
        </w:rPr>
        <w:t>综合业务管理</w:t>
      </w:r>
      <w:r>
        <w:rPr>
          <w:rFonts w:hint="eastAsia" w:ascii="Times New Roman" w:hAnsi="Times New Roman" w:eastAsia="仿宋_GB2312"/>
          <w:sz w:val="32"/>
          <w:szCs w:val="32"/>
        </w:rPr>
        <w:t>（项）。</w:t>
      </w:r>
    </w:p>
    <w:p>
      <w:pPr>
        <w:pStyle w:val="2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145</w:t>
      </w:r>
      <w:r>
        <w:rPr>
          <w:rFonts w:hint="eastAsia" w:ascii="Times New Roman" w:hAnsi="Times New Roman" w:eastAsia="仿宋_GB2312"/>
          <w:color w:val="auto"/>
          <w:sz w:val="32"/>
          <w:szCs w:val="32"/>
        </w:rPr>
        <w:t>万元，</w:t>
      </w:r>
      <w:r>
        <w:rPr>
          <w:rFonts w:hint="eastAsia" w:ascii="Times New Roman" w:hAnsi="Times New Roman" w:eastAsia="仿宋_GB2312" w:cs="黑体"/>
          <w:color w:val="000000"/>
          <w:kern w:val="0"/>
          <w:sz w:val="32"/>
          <w:szCs w:val="32"/>
          <w:lang w:val="en-US" w:eastAsia="zh-CN" w:bidi="ar-SA"/>
        </w:rPr>
        <w:t>预算调整后为303.73万元，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303.73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209</w:t>
      </w:r>
      <w:r>
        <w:rPr>
          <w:rFonts w:hint="eastAsia" w:ascii="Times New Roman" w:hAnsi="Times New Roman" w:eastAsia="仿宋_GB2312"/>
          <w:sz w:val="32"/>
          <w:szCs w:val="32"/>
        </w:rPr>
        <w:t>%，</w:t>
      </w:r>
      <w:r>
        <w:rPr>
          <w:rFonts w:hint="eastAsia" w:ascii="Times New Roman" w:hAnsi="Times New Roman" w:eastAsia="仿宋_GB2312" w:cs="黑体"/>
          <w:color w:val="000000"/>
          <w:kern w:val="0"/>
          <w:sz w:val="32"/>
          <w:szCs w:val="32"/>
          <w:lang w:val="en-US" w:eastAsia="zh-CN" w:bidi="ar-SA"/>
        </w:rPr>
        <w:t>完成调整预算数的100%。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年中追加支出。</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745.92</w:t>
      </w:r>
      <w:r>
        <w:rPr>
          <w:rFonts w:hint="eastAsia" w:ascii="Times New Roman" w:hAnsi="Times New Roman" w:eastAsia="仿宋_GB2312"/>
          <w:sz w:val="32"/>
          <w:szCs w:val="32"/>
        </w:rPr>
        <w:t>万元，其中：</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441.99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59</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仿宋" w:hAnsi="仿宋" w:eastAsia="仿宋" w:cs="仿宋"/>
          <w:color w:val="000000"/>
          <w:kern w:val="0"/>
          <w:sz w:val="32"/>
          <w:szCs w:val="32"/>
        </w:rPr>
        <w:t>机关事业单位基本养老保险缴</w:t>
      </w:r>
      <w:r>
        <w:rPr>
          <w:rFonts w:hint="eastAsia" w:ascii="仿宋" w:hAnsi="仿宋" w:eastAsia="仿宋" w:cs="仿宋"/>
          <w:color w:val="000000"/>
          <w:kern w:val="0"/>
          <w:sz w:val="32"/>
          <w:szCs w:val="32"/>
          <w:lang w:val="en-US" w:eastAsia="zh-CN"/>
        </w:rPr>
        <w:t>费、</w:t>
      </w:r>
      <w:r>
        <w:rPr>
          <w:rFonts w:hint="eastAsia" w:ascii="仿宋" w:hAnsi="仿宋" w:eastAsia="仿宋" w:cs="仿宋"/>
          <w:color w:val="000000"/>
          <w:kern w:val="0"/>
          <w:sz w:val="32"/>
          <w:szCs w:val="32"/>
        </w:rPr>
        <w:t>职业年金缴费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职工基本医疗保险缴费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其他社会保障缴费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住房公积金</w:t>
      </w:r>
      <w:r>
        <w:rPr>
          <w:rFonts w:hint="eastAsia" w:ascii="仿宋" w:hAnsi="仿宋" w:eastAsia="仿宋" w:cs="仿宋"/>
          <w:color w:val="000000"/>
          <w:kern w:val="0"/>
          <w:sz w:val="32"/>
          <w:szCs w:val="32"/>
          <w:lang w:val="en-US" w:eastAsia="zh-CN"/>
        </w:rPr>
        <w:t>等</w:t>
      </w:r>
      <w:r>
        <w:rPr>
          <w:rFonts w:hint="eastAsia" w:ascii="Times New Roman" w:hAnsi="Times New Roman" w:eastAsia="仿宋_GB2312"/>
          <w:sz w:val="32"/>
          <w:szCs w:val="32"/>
          <w:lang w:eastAsia="zh-CN"/>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303.93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差旅费、公务接待费、工会经费、福利费、其他商品和服务支出等</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2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10.47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10.47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持平，原因是上年及本年均无出国出境情况，无相关费用支出</w:t>
      </w:r>
      <w:r>
        <w:rPr>
          <w:rFonts w:hint="eastAsia" w:ascii="Times New Roman" w:hAnsi="Times New Roman" w:eastAsia="仿宋_GB2312"/>
          <w:sz w:val="32"/>
          <w:szCs w:val="32"/>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FF0000"/>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10.47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10.47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与上年相比减少</w:t>
      </w:r>
      <w:r>
        <w:rPr>
          <w:rFonts w:hint="eastAsia" w:ascii="Times New Roman" w:hAnsi="Times New Roman" w:eastAsia="仿宋_GB2312"/>
          <w:color w:val="auto"/>
          <w:sz w:val="32"/>
          <w:szCs w:val="32"/>
          <w:lang w:val="en-US" w:eastAsia="zh-CN"/>
        </w:rPr>
        <w:t>0.2</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%,减少的主要原因是</w:t>
      </w:r>
      <w:r>
        <w:rPr>
          <w:rFonts w:hint="eastAsia" w:ascii="Times New Roman" w:hAnsi="Times New Roman" w:eastAsia="仿宋_GB2312"/>
          <w:color w:val="auto"/>
          <w:sz w:val="32"/>
          <w:szCs w:val="32"/>
          <w:lang w:val="en-US" w:eastAsia="zh-CN"/>
        </w:rPr>
        <w:t>压缩接待支出</w:t>
      </w:r>
      <w:r>
        <w:rPr>
          <w:rFonts w:hint="eastAsia" w:ascii="Times New Roman" w:hAnsi="Times New Roman" w:eastAsia="仿宋_GB2312"/>
          <w:color w:val="auto"/>
          <w:sz w:val="32"/>
          <w:szCs w:val="32"/>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持平，原因是上年及本年均无公务用车购置费支出</w:t>
      </w:r>
      <w:r>
        <w:rPr>
          <w:rFonts w:hint="eastAsia" w:ascii="Times New Roman" w:hAnsi="Times New Roman" w:eastAsia="仿宋_GB2312"/>
          <w:sz w:val="32"/>
          <w:szCs w:val="32"/>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持平，原因是上年及本年均无公务用车</w:t>
      </w:r>
      <w:r>
        <w:rPr>
          <w:rFonts w:hint="eastAsia" w:ascii="Times New Roman" w:hAnsi="Times New Roman" w:eastAsia="仿宋_GB2312"/>
          <w:sz w:val="32"/>
          <w:szCs w:val="32"/>
        </w:rPr>
        <w:t>运行维护</w:t>
      </w:r>
      <w:r>
        <w:rPr>
          <w:rFonts w:hint="eastAsia" w:ascii="Times New Roman" w:hAnsi="Times New Roman" w:eastAsia="仿宋_GB2312"/>
          <w:sz w:val="32"/>
          <w:szCs w:val="32"/>
          <w:lang w:eastAsia="zh-CN"/>
        </w:rPr>
        <w:t>费支出</w:t>
      </w:r>
      <w:r>
        <w:rPr>
          <w:rFonts w:hint="eastAsia" w:ascii="Times New Roman" w:hAnsi="Times New Roman" w:eastAsia="仿宋_GB2312"/>
          <w:sz w:val="32"/>
          <w:szCs w:val="32"/>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bookmarkStart w:id="3" w:name="_GoBack"/>
      <w:bookmarkEnd w:id="3"/>
      <w:r>
        <w:rPr>
          <w:rFonts w:hint="eastAsia" w:ascii="楷体" w:hAnsi="楷体" w:eastAsia="楷体" w:cs="楷体"/>
          <w:b/>
          <w:bCs w:val="0"/>
          <w:sz w:val="32"/>
          <w:szCs w:val="32"/>
        </w:rPr>
        <w:t>（二）“三公”经费财政拨款支出决算具体情况说明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10.47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20"/>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20"/>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10.47</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108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856</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上级来人及其他县市单位来人进行相关公务活动</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人力资源和社会保障局本级</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20"/>
        <w:rPr>
          <w:rFonts w:hint="eastAsia" w:asciiTheme="minorEastAsia" w:hAnsiTheme="minorEastAsia" w:eastAsiaTheme="minorEastAsia" w:cstheme="minorEastAsia"/>
          <w:i/>
          <w:color w:val="auto"/>
          <w:sz w:val="28"/>
          <w:szCs w:val="28"/>
          <w:lang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仿宋" w:hAnsi="仿宋" w:eastAsia="仿宋" w:cs="仿宋"/>
          <w:i w:val="0"/>
          <w:iCs/>
          <w:color w:val="auto"/>
          <w:sz w:val="32"/>
          <w:szCs w:val="32"/>
          <w:lang w:eastAsia="zh-CN"/>
        </w:rPr>
        <w:t>本</w:t>
      </w:r>
      <w:r>
        <w:rPr>
          <w:rFonts w:hint="eastAsia" w:ascii="仿宋" w:hAnsi="仿宋" w:eastAsia="仿宋" w:cs="仿宋"/>
          <w:i w:val="0"/>
          <w:iCs/>
          <w:color w:val="auto"/>
          <w:sz w:val="32"/>
          <w:szCs w:val="32"/>
        </w:rPr>
        <w:t>单位无政府性基金收支</w:t>
      </w:r>
      <w:r>
        <w:rPr>
          <w:rFonts w:hint="eastAsia" w:ascii="仿宋" w:hAnsi="仿宋" w:eastAsia="仿宋" w:cs="仿宋"/>
          <w:i w:val="0"/>
          <w:iCs/>
          <w:color w:val="auto"/>
          <w:sz w:val="32"/>
          <w:szCs w:val="32"/>
          <w:lang w:eastAsia="zh-CN"/>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20"/>
        <w:ind w:firstLine="640" w:firstLineChars="200"/>
        <w:jc w:val="both"/>
        <w:rPr>
          <w:rFonts w:hint="eastAsia" w:asciiTheme="minorEastAsia" w:hAnsiTheme="minorEastAsia" w:eastAsiaTheme="minorEastAsia" w:cstheme="minorEastAsia"/>
          <w:color w:val="000000"/>
          <w:kern w:val="0"/>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303.93</w:t>
      </w:r>
      <w:r>
        <w:rPr>
          <w:rFonts w:hint="eastAsia" w:ascii="Times New Roman" w:hAnsi="Times New Roman" w:eastAsia="仿宋_GB2312"/>
          <w:sz w:val="32"/>
          <w:szCs w:val="32"/>
        </w:rPr>
        <w:t>万元，比上年决算数增加</w:t>
      </w:r>
      <w:r>
        <w:rPr>
          <w:rFonts w:hint="eastAsia" w:ascii="Times New Roman" w:hAnsi="Times New Roman" w:eastAsia="仿宋_GB2312"/>
          <w:sz w:val="32"/>
          <w:szCs w:val="32"/>
          <w:lang w:val="en-US" w:eastAsia="zh-CN"/>
        </w:rPr>
        <w:t>56.09</w:t>
      </w:r>
      <w:r>
        <w:rPr>
          <w:rFonts w:hint="eastAsia" w:ascii="Times New Roman" w:hAnsi="Times New Roman" w:eastAsia="仿宋_GB2312"/>
          <w:sz w:val="32"/>
          <w:szCs w:val="32"/>
        </w:rPr>
        <w:t xml:space="preserve"> 万元，增长</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%。主要原因是：</w:t>
      </w:r>
      <w:r>
        <w:rPr>
          <w:rFonts w:hint="eastAsia" w:ascii="仿宋" w:hAnsi="仿宋" w:eastAsia="仿宋" w:cs="仿宋"/>
          <w:color w:val="000000"/>
          <w:kern w:val="0"/>
          <w:sz w:val="32"/>
          <w:szCs w:val="32"/>
        </w:rPr>
        <w:t>办公及印刷费、邮电费、差旅费、会议费、福利费及其他费用</w:t>
      </w:r>
      <w:r>
        <w:rPr>
          <w:rFonts w:hint="eastAsia" w:ascii="仿宋" w:hAnsi="仿宋" w:eastAsia="仿宋" w:cs="仿宋"/>
          <w:color w:val="000000"/>
          <w:kern w:val="0"/>
          <w:sz w:val="32"/>
          <w:szCs w:val="32"/>
          <w:lang w:val="en-US" w:eastAsia="zh-CN"/>
        </w:rPr>
        <w:t>比去年有所增加</w:t>
      </w:r>
      <w:r>
        <w:rPr>
          <w:rFonts w:hint="eastAsia" w:ascii="仿宋" w:hAnsi="仿宋" w:eastAsia="仿宋" w:cs="仿宋"/>
          <w:color w:val="000000"/>
          <w:kern w:val="0"/>
          <w:sz w:val="32"/>
          <w:szCs w:val="32"/>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3.14</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人社工作等</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180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人社业务政策学习传达等</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人社工作相关</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260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事业人员继续教育培训等；未</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活动</w:t>
      </w:r>
      <w:r>
        <w:rPr>
          <w:rFonts w:hint="eastAsia" w:ascii="Times New Roman" w:hAnsi="Times New Roman" w:eastAsia="仿宋_GB2312"/>
          <w:sz w:val="32"/>
          <w:szCs w:val="32"/>
          <w:lang w:eastAsia="zh-CN"/>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102.05</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102.05</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102.05</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95</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93</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2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8"/>
        <w:keepNext w:val="0"/>
        <w:keepLines w:val="0"/>
        <w:widowControl/>
        <w:suppressLineNumbers w:val="0"/>
        <w:pBdr>
          <w:bottom w:val="none" w:color="auto" w:sz="0" w:space="0"/>
        </w:pBdr>
        <w:spacing w:before="0" w:beforeAutospacing="0" w:after="0" w:afterAutospacing="0" w:line="450" w:lineRule="atLeast"/>
        <w:ind w:left="0" w:right="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shd w:val="clear" w:fill="FFFFFF"/>
        </w:rPr>
        <w:t>20</w:t>
      </w:r>
      <w:r>
        <w:rPr>
          <w:rFonts w:hint="eastAsia" w:ascii="仿宋" w:hAnsi="仿宋" w:eastAsia="仿宋" w:cs="仿宋"/>
          <w:color w:val="000000"/>
          <w:sz w:val="32"/>
          <w:szCs w:val="32"/>
          <w:shd w:val="clear" w:fill="FFFFFF"/>
          <w:lang w:val="en-US" w:eastAsia="zh-CN"/>
        </w:rPr>
        <w:t>22</w:t>
      </w:r>
      <w:r>
        <w:rPr>
          <w:rFonts w:hint="eastAsia" w:ascii="仿宋" w:hAnsi="仿宋" w:eastAsia="仿宋" w:cs="仿宋"/>
          <w:color w:val="000000"/>
          <w:sz w:val="32"/>
          <w:szCs w:val="32"/>
          <w:shd w:val="clear" w:fill="FFFFFF"/>
        </w:rPr>
        <w:t>年，</w:t>
      </w:r>
      <w:r>
        <w:rPr>
          <w:rFonts w:hint="eastAsia" w:ascii="仿宋" w:hAnsi="仿宋" w:eastAsia="仿宋" w:cs="仿宋"/>
          <w:color w:val="000000"/>
          <w:sz w:val="32"/>
          <w:szCs w:val="32"/>
          <w:shd w:val="clear" w:fill="FFFFFF"/>
          <w:lang w:val="en-US" w:eastAsia="zh-CN"/>
        </w:rPr>
        <w:t>本部门</w:t>
      </w:r>
      <w:r>
        <w:rPr>
          <w:rFonts w:hint="eastAsia" w:ascii="仿宋" w:hAnsi="仿宋" w:eastAsia="仿宋" w:cs="仿宋"/>
          <w:color w:val="000000"/>
          <w:sz w:val="32"/>
          <w:szCs w:val="32"/>
          <w:shd w:val="clear" w:fill="FFFFFF"/>
        </w:rPr>
        <w:t>积极履职，强化管理，较好地完成了年度工作目标。通过加强预算收支管理，不断建立健全内部管理制度，梳理内部管理流程，部门整体支出管理水平得到提升。部门整体支出绩效情况详见附件。</w:t>
      </w:r>
    </w:p>
    <w:p>
      <w:pPr>
        <w:pStyle w:val="20"/>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8"/>
        <w:keepNext w:val="0"/>
        <w:keepLines w:val="0"/>
        <w:widowControl/>
        <w:suppressLineNumbers w:val="0"/>
        <w:pBdr>
          <w:bottom w:val="none" w:color="auto" w:sz="0" w:space="0"/>
        </w:pBdr>
        <w:spacing w:before="0" w:beforeAutospacing="0" w:after="0" w:afterAutospacing="0" w:line="450" w:lineRule="atLeast"/>
        <w:ind w:left="0" w:right="0"/>
        <w:rPr>
          <w:rFonts w:hint="eastAsia" w:ascii="仿宋" w:hAnsi="仿宋" w:eastAsia="仿宋" w:cs="仿宋"/>
          <w:color w:val="000000"/>
          <w:sz w:val="32"/>
          <w:szCs w:val="32"/>
        </w:rPr>
      </w:pPr>
      <w:r>
        <w:rPr>
          <w:color w:val="000000"/>
          <w:sz w:val="24"/>
          <w:szCs w:val="24"/>
          <w:shd w:val="clear" w:fill="FFFFFF"/>
        </w:rPr>
        <w:t>　　</w:t>
      </w:r>
      <w:r>
        <w:rPr>
          <w:rFonts w:hint="eastAsia" w:ascii="仿宋" w:hAnsi="仿宋" w:eastAsia="仿宋" w:cs="仿宋"/>
          <w:color w:val="000000"/>
          <w:sz w:val="32"/>
          <w:szCs w:val="32"/>
          <w:shd w:val="clear" w:fill="FFFFFF"/>
        </w:rPr>
        <w:t>1、预算准确率有待提高。年初预算编制不够精确，考虑不全面，导致年底决算数与年初预算数相差较大。原因是由于不是全口径预算,仅指</w:t>
      </w:r>
      <w:r>
        <w:rPr>
          <w:rFonts w:hint="eastAsia" w:ascii="仿宋" w:hAnsi="仿宋" w:eastAsia="仿宋" w:cs="仿宋"/>
          <w:color w:val="000000"/>
          <w:sz w:val="32"/>
          <w:szCs w:val="32"/>
          <w:shd w:val="clear" w:fill="FFFFFF"/>
          <w:lang w:val="en-US" w:eastAsia="zh-CN"/>
        </w:rPr>
        <w:t>县</w:t>
      </w:r>
      <w:r>
        <w:rPr>
          <w:rFonts w:hint="eastAsia" w:ascii="仿宋" w:hAnsi="仿宋" w:eastAsia="仿宋" w:cs="仿宋"/>
          <w:color w:val="000000"/>
          <w:sz w:val="32"/>
          <w:szCs w:val="32"/>
          <w:shd w:val="clear" w:fill="FFFFFF"/>
        </w:rPr>
        <w:t>级财政年初安排数，没有预算年中追加的调整预算拨款数。</w:t>
      </w:r>
    </w:p>
    <w:p>
      <w:pPr>
        <w:pStyle w:val="8"/>
        <w:keepNext w:val="0"/>
        <w:keepLines w:val="0"/>
        <w:widowControl/>
        <w:suppressLineNumbers w:val="0"/>
        <w:pBdr>
          <w:bottom w:val="none" w:color="auto" w:sz="0" w:space="0"/>
        </w:pBdr>
        <w:spacing w:before="0" w:beforeAutospacing="0" w:after="0" w:afterAutospacing="0" w:line="450" w:lineRule="atLeast"/>
        <w:ind w:left="0" w:right="0"/>
        <w:rPr>
          <w:rFonts w:hint="eastAsia" w:ascii="仿宋" w:hAnsi="仿宋" w:eastAsia="仿宋" w:cs="仿宋"/>
          <w:color w:val="000000"/>
          <w:sz w:val="32"/>
          <w:szCs w:val="32"/>
        </w:rPr>
      </w:pPr>
      <w:r>
        <w:rPr>
          <w:rFonts w:hint="eastAsia" w:ascii="仿宋" w:hAnsi="仿宋" w:eastAsia="仿宋" w:cs="仿宋"/>
          <w:color w:val="000000"/>
          <w:sz w:val="32"/>
          <w:szCs w:val="32"/>
          <w:shd w:val="clear" w:fill="FFFFFF"/>
        </w:rPr>
        <w:t>　　2、预算执行存在偏差。由于预算安排不足,造成部分科目实际支出比预算偏高，缺口资金只能调剂其他资金使用，存在着预算项目间互相进行调剂的情况。</w:t>
      </w:r>
    </w:p>
    <w:p>
      <w:pPr>
        <w:pStyle w:val="8"/>
        <w:keepNext w:val="0"/>
        <w:keepLines w:val="0"/>
        <w:widowControl/>
        <w:suppressLineNumbers w:val="0"/>
        <w:pBdr>
          <w:bottom w:val="none" w:color="auto" w:sz="0" w:space="0"/>
        </w:pBdr>
        <w:spacing w:before="0" w:beforeAutospacing="0" w:after="0" w:afterAutospacing="0" w:line="450" w:lineRule="atLeast"/>
        <w:ind w:left="0" w:right="0"/>
        <w:rPr>
          <w:rFonts w:hint="eastAsia" w:ascii="仿宋" w:hAnsi="仿宋" w:eastAsia="仿宋" w:cs="仿宋"/>
          <w:color w:val="000000"/>
          <w:sz w:val="32"/>
          <w:szCs w:val="32"/>
        </w:rPr>
      </w:pPr>
      <w:r>
        <w:rPr>
          <w:rFonts w:hint="eastAsia" w:ascii="仿宋" w:hAnsi="仿宋" w:eastAsia="仿宋" w:cs="仿宋"/>
          <w:color w:val="000000"/>
          <w:sz w:val="32"/>
          <w:szCs w:val="32"/>
          <w:shd w:val="clear" w:fill="FFFFFF"/>
        </w:rPr>
        <w:t>　　3、精细化管理有待加强。从绩效评价看，部门支出预算和绩效评价部分项目目标无法用量化指标来进行考评，需要进一步做到合理性与可操作性的有机统一。</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2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2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2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2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2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2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2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2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2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2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20"/>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20"/>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widowControl/>
        <w:spacing w:line="540" w:lineRule="exact"/>
        <w:jc w:val="left"/>
        <w:rPr>
          <w:rFonts w:hint="eastAsia" w:ascii="黑体" w:hAnsi="黑体" w:eastAsia="黑体" w:cs="黑体"/>
          <w:sz w:val="32"/>
          <w:szCs w:val="32"/>
          <w:highlight w:val="none"/>
        </w:rPr>
      </w:pPr>
    </w:p>
    <w:p>
      <w:pPr>
        <w:pStyle w:val="20"/>
        <w:jc w:val="both"/>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ZjhmNzc5OTI0OTBhNDQ2ZmUxNzQzOGMwZTViODgifQ=="/>
  </w:docVars>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31A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082D0C"/>
    <w:rsid w:val="0461272F"/>
    <w:rsid w:val="04854128"/>
    <w:rsid w:val="04EB79B7"/>
    <w:rsid w:val="059B4900"/>
    <w:rsid w:val="09AA26F7"/>
    <w:rsid w:val="0C4013F3"/>
    <w:rsid w:val="0CC6546D"/>
    <w:rsid w:val="0EC424F8"/>
    <w:rsid w:val="120B65A9"/>
    <w:rsid w:val="15A872DC"/>
    <w:rsid w:val="16A530B3"/>
    <w:rsid w:val="17335852"/>
    <w:rsid w:val="17BE68E5"/>
    <w:rsid w:val="1805720F"/>
    <w:rsid w:val="182111A8"/>
    <w:rsid w:val="184422C3"/>
    <w:rsid w:val="1AC0240E"/>
    <w:rsid w:val="1D4B5D86"/>
    <w:rsid w:val="1ECC422C"/>
    <w:rsid w:val="1F4F0EF6"/>
    <w:rsid w:val="22945B54"/>
    <w:rsid w:val="25D42B08"/>
    <w:rsid w:val="2D07456E"/>
    <w:rsid w:val="2D6C20D1"/>
    <w:rsid w:val="320735CC"/>
    <w:rsid w:val="381E22EE"/>
    <w:rsid w:val="389D0DA5"/>
    <w:rsid w:val="39B93F9F"/>
    <w:rsid w:val="3BBD3299"/>
    <w:rsid w:val="3FE457A9"/>
    <w:rsid w:val="40947F94"/>
    <w:rsid w:val="46587A6D"/>
    <w:rsid w:val="47F63677"/>
    <w:rsid w:val="4C5744FA"/>
    <w:rsid w:val="4DAD1CF2"/>
    <w:rsid w:val="51022355"/>
    <w:rsid w:val="51B63E98"/>
    <w:rsid w:val="56111E7B"/>
    <w:rsid w:val="565F3DA6"/>
    <w:rsid w:val="56F27AFE"/>
    <w:rsid w:val="5777D4F5"/>
    <w:rsid w:val="5B0D2022"/>
    <w:rsid w:val="5D3C7905"/>
    <w:rsid w:val="5F8F08CA"/>
    <w:rsid w:val="5FC6BB1E"/>
    <w:rsid w:val="5FF720F1"/>
    <w:rsid w:val="609B351E"/>
    <w:rsid w:val="61322BEA"/>
    <w:rsid w:val="61CF1026"/>
    <w:rsid w:val="623A56E3"/>
    <w:rsid w:val="623C7EA0"/>
    <w:rsid w:val="64645A42"/>
    <w:rsid w:val="64A54408"/>
    <w:rsid w:val="66571CE3"/>
    <w:rsid w:val="6853653B"/>
    <w:rsid w:val="685C4CCC"/>
    <w:rsid w:val="69F174CC"/>
    <w:rsid w:val="6A492459"/>
    <w:rsid w:val="6AC4489B"/>
    <w:rsid w:val="6EF96718"/>
    <w:rsid w:val="6F5919C1"/>
    <w:rsid w:val="6F9B0B8C"/>
    <w:rsid w:val="6FC76E06"/>
    <w:rsid w:val="718509E7"/>
    <w:rsid w:val="737D59BA"/>
    <w:rsid w:val="74804E32"/>
    <w:rsid w:val="76347D47"/>
    <w:rsid w:val="772608C2"/>
    <w:rsid w:val="77B06588"/>
    <w:rsid w:val="77C37683"/>
    <w:rsid w:val="78CF60F8"/>
    <w:rsid w:val="79D6679F"/>
    <w:rsid w:val="79FF515B"/>
    <w:rsid w:val="7AF84C83"/>
    <w:rsid w:val="7E9F11B4"/>
    <w:rsid w:val="7FA411F7"/>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99"/>
    <w:pPr>
      <w:snapToGrid w:val="0"/>
      <w:jc w:val="left"/>
    </w:pPr>
    <w:rPr>
      <w:sz w:val="18"/>
      <w:szCs w:val="18"/>
    </w:rPr>
  </w:style>
  <w:style w:type="paragraph" w:styleId="3">
    <w:name w:val="Body Text"/>
    <w:basedOn w:val="1"/>
    <w:next w:val="4"/>
    <w:qFormat/>
    <w:uiPriority w:val="0"/>
  </w:style>
  <w:style w:type="paragraph" w:styleId="4">
    <w:name w:val="toc 5"/>
    <w:basedOn w:val="1"/>
    <w:next w:val="1"/>
    <w:qFormat/>
    <w:uiPriority w:val="0"/>
    <w:pPr>
      <w:ind w:left="1680" w:leftChars="800"/>
    </w:pPr>
    <w:rPr>
      <w:rFonts w:ascii="Times New Roman" w:hAnsi="Times New Roman"/>
    </w:rPr>
  </w:style>
  <w:style w:type="paragraph" w:styleId="5">
    <w:name w:val="Balloon Text"/>
    <w:basedOn w:val="1"/>
    <w:link w:val="22"/>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FollowedHyperlink"/>
    <w:basedOn w:val="10"/>
    <w:semiHidden/>
    <w:unhideWhenUsed/>
    <w:qFormat/>
    <w:uiPriority w:val="99"/>
    <w:rPr>
      <w:color w:val="000000"/>
      <w:u w:val="none"/>
    </w:rPr>
  </w:style>
  <w:style w:type="character" w:styleId="12">
    <w:name w:val="Emphasis"/>
    <w:basedOn w:val="10"/>
    <w:qFormat/>
    <w:uiPriority w:val="20"/>
  </w:style>
  <w:style w:type="character" w:styleId="13">
    <w:name w:val="HTML Definition"/>
    <w:basedOn w:val="10"/>
    <w:semiHidden/>
    <w:unhideWhenUsed/>
    <w:qFormat/>
    <w:uiPriority w:val="99"/>
  </w:style>
  <w:style w:type="character" w:styleId="14">
    <w:name w:val="HTML Variable"/>
    <w:basedOn w:val="10"/>
    <w:semiHidden/>
    <w:unhideWhenUsed/>
    <w:qFormat/>
    <w:uiPriority w:val="99"/>
  </w:style>
  <w:style w:type="character" w:styleId="15">
    <w:name w:val="Hyperlink"/>
    <w:basedOn w:val="10"/>
    <w:semiHidden/>
    <w:unhideWhenUsed/>
    <w:qFormat/>
    <w:uiPriority w:val="99"/>
    <w:rPr>
      <w:color w:val="000000"/>
      <w:u w:val="none"/>
    </w:rPr>
  </w:style>
  <w:style w:type="character" w:styleId="16">
    <w:name w:val="HTML Code"/>
    <w:basedOn w:val="10"/>
    <w:semiHidden/>
    <w:unhideWhenUsed/>
    <w:qFormat/>
    <w:uiPriority w:val="99"/>
    <w:rPr>
      <w:rFonts w:ascii="Courier New" w:hAnsi="Courier New"/>
      <w:sz w:val="20"/>
    </w:rPr>
  </w:style>
  <w:style w:type="character" w:styleId="17">
    <w:name w:val="HTML Cite"/>
    <w:basedOn w:val="10"/>
    <w:semiHidden/>
    <w:unhideWhenUsed/>
    <w:qFormat/>
    <w:uiPriority w:val="99"/>
  </w:style>
  <w:style w:type="character" w:customStyle="1" w:styleId="18">
    <w:name w:val="页眉 Char"/>
    <w:basedOn w:val="10"/>
    <w:link w:val="7"/>
    <w:qFormat/>
    <w:uiPriority w:val="99"/>
    <w:rPr>
      <w:sz w:val="18"/>
      <w:szCs w:val="18"/>
    </w:rPr>
  </w:style>
  <w:style w:type="character" w:customStyle="1" w:styleId="19">
    <w:name w:val="页脚 Char"/>
    <w:basedOn w:val="10"/>
    <w:link w:val="6"/>
    <w:qFormat/>
    <w:uiPriority w:val="99"/>
    <w:rPr>
      <w:sz w:val="18"/>
      <w:szCs w:val="18"/>
    </w:rPr>
  </w:style>
  <w:style w:type="paragraph" w:customStyle="1" w:styleId="2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21">
    <w:name w:val="List Paragraph"/>
    <w:basedOn w:val="1"/>
    <w:qFormat/>
    <w:uiPriority w:val="34"/>
    <w:pPr>
      <w:ind w:firstLine="420" w:firstLineChars="200"/>
    </w:pPr>
  </w:style>
  <w:style w:type="character" w:customStyle="1" w:styleId="22">
    <w:name w:val="批注框文本 Char"/>
    <w:basedOn w:val="10"/>
    <w:link w:val="5"/>
    <w:semiHidden/>
    <w:qFormat/>
    <w:uiPriority w:val="99"/>
    <w:rPr>
      <w:sz w:val="18"/>
      <w:szCs w:val="18"/>
    </w:rPr>
  </w:style>
  <w:style w:type="character" w:customStyle="1" w:styleId="23">
    <w:name w:val="font01"/>
    <w:basedOn w:val="10"/>
    <w:qFormat/>
    <w:uiPriority w:val="0"/>
    <w:rPr>
      <w:rFonts w:hint="eastAsia" w:ascii="宋体" w:hAnsi="宋体" w:eastAsia="宋体" w:cs="宋体"/>
      <w:color w:val="000000"/>
      <w:sz w:val="22"/>
      <w:szCs w:val="22"/>
      <w:u w:val="none"/>
    </w:rPr>
  </w:style>
  <w:style w:type="character" w:customStyle="1" w:styleId="24">
    <w:name w:val="font21"/>
    <w:basedOn w:val="10"/>
    <w:qFormat/>
    <w:uiPriority w:val="0"/>
    <w:rPr>
      <w:rFonts w:hint="eastAsia" w:ascii="宋体" w:hAnsi="宋体" w:eastAsia="宋体" w:cs="宋体"/>
      <w:color w:val="000000"/>
      <w:sz w:val="24"/>
      <w:szCs w:val="24"/>
      <w:u w:val="none"/>
    </w:rPr>
  </w:style>
  <w:style w:type="character" w:customStyle="1" w:styleId="25">
    <w:name w:val="font11"/>
    <w:basedOn w:val="10"/>
    <w:qFormat/>
    <w:uiPriority w:val="0"/>
    <w:rPr>
      <w:rFonts w:hint="eastAsia" w:ascii="宋体" w:hAnsi="宋体" w:eastAsia="宋体" w:cs="宋体"/>
      <w:color w:val="000000"/>
      <w:sz w:val="24"/>
      <w:szCs w:val="24"/>
      <w:u w:val="none"/>
    </w:rPr>
  </w:style>
  <w:style w:type="character" w:customStyle="1" w:styleId="26">
    <w:name w:val="hover6"/>
    <w:basedOn w:val="10"/>
    <w:qFormat/>
    <w:uiPriority w:val="0"/>
    <w:rPr>
      <w:color w:val="FF7B00"/>
    </w:rPr>
  </w:style>
  <w:style w:type="paragraph" w:customStyle="1" w:styleId="27">
    <w:name w:val="正文首行缩进 211"/>
    <w:qFormat/>
    <w:uiPriority w:val="0"/>
    <w:pPr>
      <w:autoSpaceDE w:val="0"/>
      <w:ind w:left="420" w:firstLine="420"/>
    </w:pPr>
    <w:rPr>
      <w:rFonts w:ascii="Times New Roman"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7507</Words>
  <Characters>8866</Characters>
  <Lines>63</Lines>
  <Paragraphs>18</Paragraphs>
  <TotalTime>0</TotalTime>
  <ScaleCrop>false</ScaleCrop>
  <LinksUpToDate>false</LinksUpToDate>
  <CharactersWithSpaces>10114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2023-09-26T03:11:19Z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A7A3AB37B7924E1BBCC8AAF6F26037C4</vt:lpwstr>
  </property>
</Properties>
</file>