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ind w:firstLine="3360" w:firstLineChars="700"/>
        <w:jc w:val="both"/>
        <w:rPr>
          <w:sz w:val="56"/>
          <w:szCs w:val="56"/>
        </w:rPr>
      </w:pPr>
      <w:r>
        <w:rPr>
          <w:rFonts w:hint="eastAsia"/>
          <w:sz w:val="48"/>
          <w:szCs w:val="48"/>
          <w:lang w:eastAsia="zh-CN"/>
        </w:rPr>
        <w:t>新田县知市坪中学</w:t>
      </w:r>
      <w:r>
        <w:rPr>
          <w:rFonts w:hint="eastAsia"/>
          <w:sz w:val="48"/>
          <w:szCs w:val="48"/>
          <w:lang w:val="en-US" w:eastAsia="zh-CN"/>
        </w:rPr>
        <w:t>2022</w:t>
      </w:r>
      <w:r>
        <w:rPr>
          <w:rFonts w:hint="eastAsia"/>
          <w:sz w:val="48"/>
          <w:szCs w:val="48"/>
          <w:lang w:eastAsia="zh-CN"/>
        </w:rPr>
        <w:t>年度部门决算公开</w:t>
      </w:r>
    </w:p>
    <w:p>
      <w:pPr>
        <w:pStyle w:val="9"/>
        <w:spacing w:line="500" w:lineRule="exact"/>
        <w:ind w:firstLine="6144" w:firstLineChars="1700"/>
        <w:jc w:val="both"/>
        <w:rPr>
          <w:rFonts w:hint="eastAsia"/>
          <w:b/>
          <w:sz w:val="36"/>
          <w:szCs w:val="28"/>
        </w:rPr>
      </w:pPr>
    </w:p>
    <w:p>
      <w:pPr>
        <w:pStyle w:val="9"/>
        <w:spacing w:line="500" w:lineRule="exact"/>
        <w:ind w:firstLine="6626" w:firstLineChars="1500"/>
        <w:jc w:val="both"/>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w:t>
      </w:r>
      <w:r>
        <w:rPr>
          <w:rFonts w:hint="eastAsia" w:hAnsi="黑体" w:cs="黑体"/>
          <w:b/>
          <w:bCs w:val="0"/>
          <w:sz w:val="28"/>
          <w:szCs w:val="28"/>
          <w:lang w:eastAsia="zh-CN"/>
        </w:rPr>
        <w:t>知市坪中学</w:t>
      </w:r>
      <w:r>
        <w:rPr>
          <w:rFonts w:hint="eastAsia" w:ascii="黑体" w:hAnsi="黑体" w:eastAsia="黑体" w:cs="黑体"/>
          <w:b/>
          <w:bCs w:val="0"/>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b/>
          <w:bCs/>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w:t>
      </w:r>
      <w:r>
        <w:rPr>
          <w:rFonts w:hint="eastAsia" w:ascii="黑体" w:hAnsi="黑体" w:eastAsia="黑体" w:cs="黑体"/>
          <w:b/>
          <w:bCs/>
          <w:sz w:val="32"/>
          <w:szCs w:val="32"/>
          <w:lang w:eastAsia="zh-CN"/>
        </w:rPr>
        <w:t>知市坪中学</w:t>
      </w:r>
      <w:r>
        <w:rPr>
          <w:rFonts w:hint="eastAsia" w:ascii="黑体" w:hAnsi="黑体" w:eastAsia="黑体" w:cs="黑体"/>
          <w:b/>
          <w:bCs/>
          <w:sz w:val="32"/>
          <w:szCs w:val="32"/>
        </w:rPr>
        <w:t>概况</w:t>
      </w: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（1）宣传贯彻执行党和国家的教育方针、教育法律法规，贯彻执行上级的各项规章制度。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（2）在政府和上级教育主管部门的领导下，争取资金改善办学条件，为师生的学习和工作提供优美和谐的环境。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（3）按照教师的职数、编制和管理权限，负责对本校教师进行管理，制定切实可行的学校规章制度，以提高教育教学质量为目的，对教职工的工作开展客观、公正的评价和考核。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（4）按照九年义务教育，开齐课程，开足课时，认真实施中小学的教育教学管理，全面推进素质教育，全面提高教育教学质量。</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新田县</w:t>
      </w:r>
      <w:r>
        <w:rPr>
          <w:rFonts w:hint="eastAsia" w:ascii="Times New Roman" w:hAnsi="Times New Roman" w:eastAsia="仿宋_GB2312" w:cs="仿宋_GB2312"/>
          <w:bCs/>
          <w:kern w:val="0"/>
          <w:sz w:val="32"/>
          <w:szCs w:val="32"/>
          <w:lang w:eastAsia="zh-CN"/>
        </w:rPr>
        <w:t>知市坪中学</w:t>
      </w:r>
      <w:r>
        <w:rPr>
          <w:rFonts w:hint="eastAsia" w:ascii="Times New Roman" w:hAnsi="Times New Roman" w:eastAsia="仿宋_GB2312" w:cs="仿宋_GB2312"/>
          <w:bCs/>
          <w:kern w:val="0"/>
          <w:sz w:val="32"/>
          <w:szCs w:val="32"/>
        </w:rPr>
        <w:t>。</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（二）</w:t>
      </w:r>
      <w:r>
        <w:rPr>
          <w:rFonts w:hint="eastAsia" w:ascii="Times New Roman" w:hAnsi="Times New Roman" w:eastAsia="仿宋_GB2312" w:cs="仿宋_GB2312"/>
          <w:bCs/>
          <w:kern w:val="0"/>
          <w:sz w:val="32"/>
          <w:szCs w:val="32"/>
        </w:rPr>
        <w:t>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新田县</w:t>
      </w:r>
      <w:r>
        <w:rPr>
          <w:rFonts w:hint="eastAsia" w:ascii="Times New Roman" w:hAnsi="Times New Roman" w:eastAsia="仿宋_GB2312" w:cs="仿宋_GB2312"/>
          <w:bCs/>
          <w:kern w:val="0"/>
          <w:sz w:val="32"/>
          <w:szCs w:val="32"/>
          <w:lang w:eastAsia="zh-CN"/>
        </w:rPr>
        <w:t>知市坪中学</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年部门决算汇总公开单位只有本级，没有其他决算单位，因此本部门决算仅含本级决算。</w:t>
      </w:r>
    </w:p>
    <w:p>
      <w:pPr>
        <w:jc w:val="left"/>
        <w:rPr>
          <w:rFonts w:ascii="仿宋_GB2312" w:eastAsia="仿宋_GB2312" w:hAnsiTheme="minorEastAsia"/>
          <w:sz w:val="28"/>
          <w:szCs w:val="32"/>
        </w:rPr>
      </w:pPr>
    </w:p>
    <w:tbl>
      <w:tblPr>
        <w:tblStyle w:val="5"/>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p>
            <w:pPr>
              <w:jc w:val="left"/>
              <w:rPr>
                <w:rFonts w:hint="eastAsia" w:ascii="黑体" w:hAnsi="黑体" w:eastAsia="黑体" w:cs="黑体"/>
                <w:b/>
                <w:bCs/>
                <w:sz w:val="32"/>
                <w:szCs w:val="32"/>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4"/>
              <w:gridCol w:w="616"/>
              <w:gridCol w:w="1404"/>
              <w:gridCol w:w="5085"/>
              <w:gridCol w:w="1161"/>
              <w:gridCol w:w="480"/>
              <w:gridCol w:w="483"/>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0"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50"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0"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0"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208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eastAsia="宋体"/>
                      <w:lang w:eastAsia="zh-CN"/>
                    </w:rPr>
                    <w:t>353.27</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eastAsia="宋体"/>
                      <w:lang w:eastAsia="zh-CN"/>
                    </w:rPr>
                    <w:t>365.44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12.17</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365.44</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eastAsia="zh-CN"/>
                    </w:rPr>
                  </w:pPr>
                  <w:r>
                    <w:rPr>
                      <w:rFonts w:hint="eastAsia" w:eastAsia="宋体"/>
                      <w:lang w:eastAsia="zh-CN"/>
                    </w:rPr>
                    <w:t>365.44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365.44</w:t>
                  </w:r>
                </w:p>
              </w:tc>
              <w:tc>
                <w:tcPr>
                  <w:tcW w:w="1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lang w:eastAsia="zh-CN"/>
                    </w:rPr>
                  </w:pPr>
                  <w:r>
                    <w:rPr>
                      <w:rFonts w:hint="eastAsia" w:eastAsia="宋体"/>
                      <w:lang w:eastAsia="zh-CN"/>
                    </w:rPr>
                    <w:t>365.44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val="en-US" w:eastAsia="zh-CN"/>
              </w:rPr>
              <w:t>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365.44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353.27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12.17</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365.44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353.27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12.17</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宋体"/>
                <w:sz w:val="24"/>
                <w:szCs w:val="24"/>
                <w:lang w:eastAsia="zh-CN"/>
              </w:rPr>
            </w:pPr>
            <w:r>
              <w:rPr>
                <w:rFonts w:hint="eastAsia" w:eastAsia="华文中宋"/>
                <w:lang w:eastAsia="zh-CN"/>
              </w:rPr>
              <w:t>365.44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353.27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12.17</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205020</w:t>
            </w:r>
            <w:r>
              <w:rPr>
                <w:rFonts w:hint="eastAsia"/>
                <w:lang w:val="en-US" w:eastAsia="zh-CN"/>
              </w:rPr>
              <w:t>3</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xml:space="preserve">  </w:t>
            </w:r>
            <w:r>
              <w:rPr>
                <w:rFonts w:hint="eastAsia"/>
                <w:lang w:eastAsia="zh-CN"/>
              </w:rPr>
              <w:t>初中</w:t>
            </w:r>
            <w:r>
              <w:rPr>
                <w:rFonts w:hint="eastAsia"/>
              </w:rPr>
              <w:t>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365.44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353.27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12.17</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w:t>
            </w:r>
            <w:r>
              <w:rPr>
                <w:rFonts w:hint="eastAsia" w:ascii="宋体" w:hAnsi="宋体" w:eastAsia="宋体" w:cs="宋体"/>
                <w:color w:val="000000"/>
                <w:kern w:val="0"/>
                <w:sz w:val="20"/>
                <w:szCs w:val="20"/>
                <w:lang w:eastAsia="zh-CN"/>
              </w:rPr>
              <w:t>知市坪中学</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bidi="ar-SA"/>
              </w:rPr>
            </w:pPr>
            <w:r>
              <w:rPr>
                <w:rFonts w:hint="eastAsia" w:eastAsia="宋体"/>
                <w:lang w:eastAsia="zh-CN"/>
              </w:rPr>
              <w:t>365.44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eastAsia="宋体"/>
                <w:lang w:eastAsia="zh-CN"/>
              </w:rPr>
              <w:t>351.59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eastAsia="宋体"/>
                <w:lang w:eastAsia="zh-CN"/>
              </w:rPr>
              <w:t>13.85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教育支出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365.44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351.59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13.85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20502</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普通教育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365.44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351.59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13.85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0"/>
                <w:sz w:val="24"/>
                <w:szCs w:val="24"/>
                <w:lang w:eastAsia="zh-CN"/>
              </w:rPr>
            </w:pPr>
            <w:r>
              <w:rPr>
                <w:rFonts w:hint="eastAsia"/>
              </w:rPr>
              <w:t>205020</w:t>
            </w:r>
            <w:r>
              <w:rPr>
                <w:rFonts w:hint="eastAsia"/>
                <w:lang w:val="en-US" w:eastAsia="zh-CN"/>
              </w:rPr>
              <w:t>3</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xml:space="preserve">  </w:t>
            </w:r>
            <w:r>
              <w:rPr>
                <w:rFonts w:hint="eastAsia"/>
                <w:lang w:eastAsia="zh-CN"/>
              </w:rPr>
              <w:t>初中</w:t>
            </w:r>
            <w:r>
              <w:rPr>
                <w:rFonts w:hint="eastAsia"/>
              </w:rPr>
              <w:t>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365.44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351.59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eastAsia="zh-CN"/>
              </w:rPr>
            </w:pPr>
            <w:r>
              <w:rPr>
                <w:rFonts w:hint="eastAsia" w:eastAsia="宋体"/>
                <w:lang w:eastAsia="zh-CN"/>
              </w:rPr>
              <w:t>13.85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kern w:val="0"/>
                <w:sz w:val="22"/>
                <w:lang w:val="en-US" w:eastAsia="zh-CN"/>
              </w:rPr>
            </w:pPr>
            <w:r>
              <w:rPr>
                <w:rFonts w:hint="eastAsia" w:eastAsia="宋体"/>
                <w:lang w:eastAsia="zh-CN"/>
              </w:rPr>
              <w:t>3</w:t>
            </w:r>
            <w:r>
              <w:rPr>
                <w:rFonts w:hint="eastAsia" w:eastAsia="宋体"/>
                <w:lang w:val="en-US" w:eastAsia="zh-CN"/>
              </w:rPr>
              <w:t>53.27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kern w:val="0"/>
                <w:sz w:val="22"/>
                <w:lang w:val="en-US" w:eastAsia="zh-CN"/>
              </w:rPr>
            </w:pPr>
            <w:r>
              <w:rPr>
                <w:rFonts w:hint="eastAsia" w:eastAsia="宋体"/>
                <w:lang w:val="en-US" w:eastAsia="zh-CN"/>
              </w:rPr>
              <w:t>353.27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lang w:eastAsia="zh-CN"/>
              </w:rPr>
            </w:pPr>
            <w:r>
              <w:rPr>
                <w:rFonts w:hint="eastAsia" w:eastAsia="宋体"/>
                <w:lang w:val="en-US" w:eastAsia="zh-CN"/>
              </w:rPr>
              <w:t>353.27</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eastAsia="宋体"/>
                <w:lang w:val="en-US" w:eastAsia="zh-CN"/>
              </w:rPr>
              <w:t>353.27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b/>
                <w:i w:val="0"/>
                <w:color w:val="000000"/>
                <w:kern w:val="0"/>
                <w:sz w:val="22"/>
                <w:szCs w:val="22"/>
                <w:u w:val="none"/>
                <w:lang w:val="en-US" w:eastAsia="zh-CN" w:bidi="ar"/>
              </w:rPr>
              <w:t>353.27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b/>
                <w:i w:val="0"/>
                <w:color w:val="000000"/>
                <w:kern w:val="0"/>
                <w:sz w:val="22"/>
                <w:szCs w:val="22"/>
                <w:u w:val="none"/>
                <w:lang w:val="en-US" w:eastAsia="zh-CN" w:bidi="ar"/>
              </w:rPr>
              <w:t>339.42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b/>
                <w:i w:val="0"/>
                <w:color w:val="000000"/>
                <w:kern w:val="0"/>
                <w:sz w:val="22"/>
                <w:szCs w:val="22"/>
                <w:u w:val="none"/>
                <w:lang w:val="en-US" w:eastAsia="zh-CN" w:bidi="ar"/>
              </w:rPr>
              <w:t>13.85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353.27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339.42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13.85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353.27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339.42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13.85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cs="Times New Roman" w:eastAsiaTheme="minorEastAsia"/>
                <w:kern w:val="0"/>
                <w:szCs w:val="21"/>
                <w:lang w:eastAsia="zh-CN"/>
              </w:rPr>
            </w:pPr>
            <w:r>
              <w:rPr>
                <w:rFonts w:hint="eastAsia" w:ascii="宋体" w:hAnsi="宋体" w:eastAsia="宋体" w:cs="宋体"/>
                <w:i w:val="0"/>
                <w:color w:val="000000"/>
                <w:kern w:val="0"/>
                <w:sz w:val="22"/>
                <w:szCs w:val="22"/>
                <w:u w:val="none"/>
                <w:lang w:val="en-US" w:eastAsia="zh-CN" w:bidi="ar"/>
              </w:rPr>
              <w:t>2050203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初中教育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353.27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339.42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eastAsia" w:ascii="宋体" w:hAnsi="宋体" w:eastAsia="宋体" w:cs="宋体"/>
                <w:i w:val="0"/>
                <w:color w:val="000000"/>
                <w:kern w:val="0"/>
                <w:sz w:val="22"/>
                <w:szCs w:val="22"/>
                <w:u w:val="none"/>
                <w:lang w:val="en-US" w:eastAsia="zh-CN" w:bidi="ar"/>
              </w:rPr>
              <w:t>13.85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960" w:type="dxa"/>
        <w:jc w:val="center"/>
        <w:tblLayout w:type="fixed"/>
        <w:tblCellMar>
          <w:top w:w="0" w:type="dxa"/>
          <w:left w:w="108" w:type="dxa"/>
          <w:bottom w:w="0" w:type="dxa"/>
          <w:right w:w="108" w:type="dxa"/>
        </w:tblCellMar>
      </w:tblPr>
      <w:tblGrid>
        <w:gridCol w:w="985"/>
        <w:gridCol w:w="239"/>
        <w:gridCol w:w="93"/>
        <w:gridCol w:w="1283"/>
        <w:gridCol w:w="1897"/>
        <w:gridCol w:w="199"/>
        <w:gridCol w:w="861"/>
        <w:gridCol w:w="1095"/>
        <w:gridCol w:w="304"/>
        <w:gridCol w:w="1967"/>
        <w:gridCol w:w="127"/>
        <w:gridCol w:w="745"/>
        <w:gridCol w:w="1059"/>
        <w:gridCol w:w="353"/>
        <w:gridCol w:w="2078"/>
        <w:gridCol w:w="1690"/>
        <w:gridCol w:w="389"/>
        <w:gridCol w:w="596"/>
      </w:tblGrid>
      <w:tr>
        <w:tblPrEx>
          <w:tblCellMar>
            <w:top w:w="0" w:type="dxa"/>
            <w:left w:w="108" w:type="dxa"/>
            <w:bottom w:w="0" w:type="dxa"/>
            <w:right w:w="108" w:type="dxa"/>
          </w:tblCellMar>
        </w:tblPrEx>
        <w:trPr>
          <w:trHeight w:val="113" w:hRule="atLeast"/>
          <w:jc w:val="center"/>
        </w:trPr>
        <w:tc>
          <w:tcPr>
            <w:tcW w:w="15960"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262.39</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29.07</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7.28</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3.63</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29.62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51.94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0.91</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4.87</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0.55</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0.59</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0.44</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47.96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5.73</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7"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40.91</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0.46</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4.38</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44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310.35</w:t>
            </w:r>
          </w:p>
        </w:tc>
        <w:tc>
          <w:tcPr>
            <w:tcW w:w="941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29.07</w:t>
            </w:r>
          </w:p>
        </w:tc>
      </w:tr>
      <w:tr>
        <w:tblPrEx>
          <w:tblCellMar>
            <w:top w:w="0" w:type="dxa"/>
            <w:left w:w="108" w:type="dxa"/>
            <w:bottom w:w="0" w:type="dxa"/>
            <w:right w:w="108" w:type="dxa"/>
          </w:tblCellMar>
        </w:tblPrEx>
        <w:trPr>
          <w:trHeight w:val="284" w:hRule="exact"/>
          <w:jc w:val="center"/>
        </w:trPr>
        <w:tc>
          <w:tcPr>
            <w:tcW w:w="15960"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690" w:hRule="atLeast"/>
          <w:jc w:val="center"/>
        </w:trPr>
        <w:tc>
          <w:tcPr>
            <w:tcW w:w="15364"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345" w:hRule="atLeast"/>
          <w:jc w:val="center"/>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690" w:hRule="atLeast"/>
          <w:jc w:val="center"/>
        </w:trPr>
        <w:tc>
          <w:tcPr>
            <w:tcW w:w="2600"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知市坪中学</w:t>
            </w:r>
          </w:p>
        </w:tc>
        <w:tc>
          <w:tcPr>
            <w:tcW w:w="20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45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609" w:hRule="atLeast"/>
          <w:jc w:val="center"/>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409" w:hRule="atLeast"/>
          <w:jc w:val="center"/>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dxa"/>
          <w:trHeight w:val="725" w:hRule="atLeast"/>
          <w:jc w:val="center"/>
        </w:trPr>
        <w:tc>
          <w:tcPr>
            <w:tcW w:w="15364"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6"/>
        <w:gridCol w:w="651"/>
        <w:gridCol w:w="2102"/>
        <w:gridCol w:w="3018"/>
        <w:gridCol w:w="3018"/>
        <w:gridCol w:w="3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6"/>
        <w:gridCol w:w="1198"/>
        <w:gridCol w:w="1127"/>
        <w:gridCol w:w="1127"/>
        <w:gridCol w:w="1127"/>
        <w:gridCol w:w="1127"/>
        <w:gridCol w:w="1127"/>
        <w:gridCol w:w="1198"/>
        <w:gridCol w:w="1127"/>
        <w:gridCol w:w="1127"/>
        <w:gridCol w:w="1127"/>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知市坪中学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总计</w:t>
      </w:r>
      <w:r>
        <w:rPr>
          <w:rFonts w:hint="eastAsia" w:ascii="Times New Roman" w:hAnsi="Times New Roman" w:eastAsia="仿宋_GB2312"/>
          <w:sz w:val="32"/>
          <w:szCs w:val="32"/>
          <w:lang w:eastAsia="zh-CN"/>
        </w:rPr>
        <w:t>365.44</w:t>
      </w:r>
      <w:r>
        <w:rPr>
          <w:rFonts w:hint="eastAsia" w:ascii="Times New Roman" w:hAnsi="Times New Roman" w:eastAsia="仿宋_GB2312"/>
          <w:sz w:val="32"/>
          <w:szCs w:val="32"/>
        </w:rPr>
        <w:t>万元。与上年相比，增加45.84万元，增长14.34%，主要是因为本年度我单位人员经费支出增加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eastAsia="zh-CN"/>
        </w:rPr>
        <w:t>365.44</w:t>
      </w:r>
      <w:r>
        <w:rPr>
          <w:rFonts w:hint="eastAsia" w:ascii="Times New Roman" w:hAnsi="Times New Roman" w:eastAsia="仿宋_GB2312"/>
          <w:sz w:val="32"/>
          <w:szCs w:val="32"/>
        </w:rPr>
        <w:t>万元。与上年相比，增加45.69万元，增长14.29%，主要是因为本年度我单位人员经费支出增加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365.44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353.27</w:t>
      </w:r>
      <w:r>
        <w:rPr>
          <w:rFonts w:hint="eastAsia" w:ascii="Times New Roman" w:hAnsi="Times New Roman" w:eastAsia="仿宋_GB2312"/>
          <w:sz w:val="32"/>
          <w:szCs w:val="32"/>
        </w:rPr>
        <w:t>万元，占96.67%；上级补助收入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12.17</w:t>
      </w:r>
      <w:r>
        <w:rPr>
          <w:rFonts w:hint="eastAsia" w:ascii="Times New Roman" w:hAnsi="Times New Roman" w:eastAsia="仿宋_GB2312"/>
          <w:sz w:val="32"/>
          <w:szCs w:val="32"/>
        </w:rPr>
        <w:t>万元，占3.33%。</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365.44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351.59</w:t>
      </w:r>
      <w:r>
        <w:rPr>
          <w:rFonts w:hint="eastAsia" w:ascii="Times New Roman" w:hAnsi="Times New Roman" w:eastAsia="仿宋_GB2312"/>
          <w:sz w:val="32"/>
          <w:szCs w:val="32"/>
        </w:rPr>
        <w:t>万元，占96.21%；项目支出</w:t>
      </w:r>
      <w:r>
        <w:rPr>
          <w:rFonts w:hint="eastAsia" w:ascii="Times New Roman" w:hAnsi="Times New Roman" w:eastAsia="仿宋_GB2312"/>
          <w:sz w:val="32"/>
          <w:szCs w:val="32"/>
          <w:lang w:eastAsia="zh-CN"/>
        </w:rPr>
        <w:t>13.85</w:t>
      </w:r>
      <w:r>
        <w:rPr>
          <w:rFonts w:hint="eastAsia" w:ascii="Times New Roman" w:hAnsi="Times New Roman" w:eastAsia="仿宋_GB2312"/>
          <w:sz w:val="32"/>
          <w:szCs w:val="32"/>
        </w:rPr>
        <w:t>万元，占3.79%；上缴上级支出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33.66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%，主要是因为本年度我单位人员经费支出增加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33.51</w:t>
      </w:r>
      <w:r>
        <w:rPr>
          <w:rFonts w:hint="eastAsia" w:ascii="Times New Roman" w:hAnsi="Times New Roman" w:eastAsia="仿宋_GB2312"/>
          <w:sz w:val="32"/>
          <w:szCs w:val="32"/>
        </w:rPr>
        <w:t>万元，增长1</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%，主要是因为本年度我单位人员经费支出增加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96.67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33.51</w:t>
      </w:r>
      <w:r>
        <w:rPr>
          <w:rFonts w:hint="eastAsia" w:ascii="Times New Roman" w:hAnsi="Times New Roman" w:eastAsia="仿宋_GB2312"/>
          <w:sz w:val="32"/>
          <w:szCs w:val="32"/>
        </w:rPr>
        <w:t>万元，增长1</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%，主要是因为本年度我单位人员经费支出增加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年度财政拨款支出年初预算数为367.00万元，支出决算数为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万元，完成年初预算的9</w:t>
      </w:r>
      <w:r>
        <w:rPr>
          <w:rFonts w:hint="eastAsia" w:ascii="Times New Roman" w:hAnsi="Times New Roman" w:eastAsia="仿宋_GB2312"/>
          <w:sz w:val="32"/>
          <w:szCs w:val="32"/>
          <w:lang w:val="en-US" w:eastAsia="zh-CN"/>
        </w:rPr>
        <w:t>6.26</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初中教育</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年初预算为367.00万元，支出决算为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万元，完成年初预算的9</w:t>
      </w:r>
      <w:r>
        <w:rPr>
          <w:rFonts w:hint="eastAsia" w:ascii="Times New Roman" w:hAnsi="Times New Roman" w:eastAsia="仿宋_GB2312"/>
          <w:sz w:val="32"/>
          <w:szCs w:val="32"/>
          <w:lang w:val="en-US" w:eastAsia="zh-CN"/>
        </w:rPr>
        <w:t>6.26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本年度我单位实行了开源节流。</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339.42</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310.35万元，占基本支出的</w:t>
      </w:r>
      <w:r>
        <w:rPr>
          <w:rFonts w:hint="eastAsia" w:ascii="Times New Roman" w:hAnsi="Times New Roman" w:eastAsia="仿宋_GB2312"/>
          <w:sz w:val="32"/>
          <w:szCs w:val="32"/>
          <w:lang w:val="en-US" w:eastAsia="zh-CN"/>
        </w:rPr>
        <w:t>91.44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29.07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8.56</w:t>
      </w:r>
      <w:r>
        <w:rPr>
          <w:rFonts w:hint="eastAsia" w:ascii="Times New Roman" w:hAnsi="Times New Roman" w:eastAsia="仿宋_GB2312"/>
          <w:sz w:val="32"/>
          <w:szCs w:val="32"/>
        </w:rPr>
        <w:t>%，主要包括办公费、印刷费、咨询费、手续费。</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年度机关运行经费支出41.24万元，比上年决算数</w:t>
      </w:r>
      <w:r>
        <w:rPr>
          <w:rFonts w:hint="eastAsia" w:ascii="Times New Roman" w:hAnsi="Times New Roman" w:eastAsia="仿宋_GB2312"/>
          <w:sz w:val="32"/>
          <w:szCs w:val="32"/>
          <w:lang w:eastAsia="zh-CN"/>
        </w:rPr>
        <w:t>增加2.36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提高6.08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本年度我单位教师人数增加，学生人数增加，经费支出增加</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bookmarkStart w:id="3" w:name="_GoBack"/>
      <w:bookmarkEnd w:id="3"/>
      <w:r>
        <w:rPr>
          <w:rFonts w:hint="eastAsia" w:ascii="Times New Roman" w:hAnsi="Times New Roman" w:eastAsia="仿宋_GB2312"/>
          <w:sz w:val="32"/>
          <w:szCs w:val="32"/>
        </w:rPr>
        <w:t>；开支培训费5.73万元，用于开展各类提升教师素养培训，人数</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人，内容为教师教学技能比拼、教师职业素养提升、各类教师外出培训</w:t>
      </w:r>
      <w:r>
        <w:rPr>
          <w:rFonts w:hint="eastAsia" w:ascii="Times New Roman" w:hAnsi="Times New Roman" w:eastAsia="仿宋_GB2312"/>
          <w:sz w:val="32"/>
          <w:szCs w:val="32"/>
          <w:lang w:eastAsia="zh-CN"/>
        </w:rPr>
        <w:t>及校本培训</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根据预算绩效管理要求，我部门组织对</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年度一般公共预算项目支出全面开展绩效自评，其中，一级项目</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个，二级项目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个，共涉及资金</w:t>
      </w:r>
      <w:r>
        <w:rPr>
          <w:rFonts w:hint="eastAsia" w:ascii="Times New Roman" w:hAnsi="Times New Roman" w:eastAsia="仿宋_GB2312"/>
          <w:sz w:val="32"/>
          <w:szCs w:val="32"/>
          <w:lang w:val="en-US" w:eastAsia="zh-CN"/>
        </w:rPr>
        <w:t>13.85</w:t>
      </w:r>
      <w:r>
        <w:rPr>
          <w:rFonts w:hint="eastAsia" w:ascii="Times New Roman" w:hAnsi="Times New Roman" w:eastAsia="仿宋_GB2312"/>
          <w:sz w:val="32"/>
          <w:szCs w:val="32"/>
          <w:lang w:eastAsia="zh-CN"/>
        </w:rPr>
        <w:t>万元，占一般公共预算项目支出总额的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年度本单位无政府性基金预算项目和国有资本经营预算项目，因此无需对政府性基金预算项目和国有资本经营预算项目展开绩效自评。</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组织对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个项目开展了部门评价，涉及一般公共预算支出</w:t>
      </w:r>
      <w:r>
        <w:rPr>
          <w:rFonts w:hint="eastAsia" w:ascii="Times New Roman" w:hAnsi="Times New Roman" w:eastAsia="仿宋_GB2312"/>
          <w:sz w:val="32"/>
          <w:szCs w:val="32"/>
          <w:lang w:val="en-US" w:eastAsia="zh-CN"/>
        </w:rPr>
        <w:t>13.85</w:t>
      </w:r>
      <w:r>
        <w:rPr>
          <w:rFonts w:hint="eastAsia" w:ascii="Times New Roman" w:hAnsi="Times New Roman" w:eastAsia="仿宋_GB2312"/>
          <w:sz w:val="32"/>
          <w:szCs w:val="32"/>
          <w:lang w:eastAsia="zh-CN"/>
        </w:rPr>
        <w:t>万元，政府性基金预算支出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万元，国有资本经营预算支出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万元。从评价情况来看，一是学校加强组织领导，安排部署了绩效评价工作，明确了专人负责；二是制定了实施方案，确保绩效评价工作有章可循，有序开展。</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组织发本单位开展整体支出绩效评价，涉及教育支出</w:t>
      </w:r>
      <w:r>
        <w:rPr>
          <w:rFonts w:hint="eastAsia" w:ascii="Times New Roman" w:hAnsi="Times New Roman" w:eastAsia="仿宋_GB2312"/>
          <w:sz w:val="32"/>
          <w:szCs w:val="32"/>
          <w:lang w:val="en-US" w:eastAsia="zh-CN"/>
        </w:rPr>
        <w:t>365.44</w:t>
      </w:r>
      <w:r>
        <w:rPr>
          <w:rFonts w:hint="eastAsia" w:ascii="Times New Roman" w:hAnsi="Times New Roman" w:eastAsia="仿宋_GB2312"/>
          <w:sz w:val="32"/>
          <w:szCs w:val="32"/>
          <w:lang w:eastAsia="zh-CN"/>
        </w:rPr>
        <w:t>万元，政府性基金预算支出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万元。从评价情况来看，一是学校加强组织领导，安排部署了绩效评价工作，明确了专人负责；二是制定了实施方案，确保绩效评价工作有章可循，有序开展。</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部分绩效指标及目标值有待进一步优化和完善。</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sz w:val="72"/>
          <w:szCs w:val="72"/>
        </w:rPr>
      </w:pPr>
      <w:r>
        <w:rPr>
          <w:rFonts w:hint="eastAsia" w:ascii="Times New Roman" w:hAnsi="Times New Roman" w:eastAsia="仿宋_GB2312"/>
          <w:sz w:val="32"/>
          <w:szCs w:val="32"/>
        </w:rPr>
        <w:t>下一步改进措施：一是编制项目绩效指标时，对项目指标的科学性、合理性、可测性进行反复论证，使之能够合理、客观、科学地反映项目的产出和效果。二是进一步强化绩效结果应用，把绩效评价结果作为下一年度安排资金预算，预算编制的重要依据，加强对资金的管理。</w:t>
      </w:r>
    </w:p>
    <w:p>
      <w:pPr>
        <w:pStyle w:val="9"/>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2Q3OGE0NTFkNDRhNDVlYTAzMWZlZDZlMDZj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479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86A12"/>
    <w:rsid w:val="07A54CCF"/>
    <w:rsid w:val="09AA26F7"/>
    <w:rsid w:val="101926E0"/>
    <w:rsid w:val="10BF1078"/>
    <w:rsid w:val="10E85BA5"/>
    <w:rsid w:val="11E71C7F"/>
    <w:rsid w:val="16CD5893"/>
    <w:rsid w:val="1A341A7A"/>
    <w:rsid w:val="1CA062FE"/>
    <w:rsid w:val="1DD73B0A"/>
    <w:rsid w:val="1DFE6B09"/>
    <w:rsid w:val="1ECC422C"/>
    <w:rsid w:val="1F4F0EF6"/>
    <w:rsid w:val="1FCB1B9B"/>
    <w:rsid w:val="211A0B3B"/>
    <w:rsid w:val="23DA154A"/>
    <w:rsid w:val="240464EA"/>
    <w:rsid w:val="2459453D"/>
    <w:rsid w:val="255A7989"/>
    <w:rsid w:val="29B35110"/>
    <w:rsid w:val="2FB23741"/>
    <w:rsid w:val="300C3C77"/>
    <w:rsid w:val="303F633B"/>
    <w:rsid w:val="31BF3637"/>
    <w:rsid w:val="346741BA"/>
    <w:rsid w:val="38F0031C"/>
    <w:rsid w:val="3978264B"/>
    <w:rsid w:val="3A77753E"/>
    <w:rsid w:val="3B171EFA"/>
    <w:rsid w:val="3D4F3E78"/>
    <w:rsid w:val="3FE457A9"/>
    <w:rsid w:val="3FEE2E14"/>
    <w:rsid w:val="44F208A0"/>
    <w:rsid w:val="450164D9"/>
    <w:rsid w:val="471E22EE"/>
    <w:rsid w:val="48CB51F3"/>
    <w:rsid w:val="4C7E2107"/>
    <w:rsid w:val="4D524174"/>
    <w:rsid w:val="4DA7758E"/>
    <w:rsid w:val="4EF0684A"/>
    <w:rsid w:val="4F331771"/>
    <w:rsid w:val="4FAE2B53"/>
    <w:rsid w:val="4FBA3327"/>
    <w:rsid w:val="50DD469C"/>
    <w:rsid w:val="51B01DB1"/>
    <w:rsid w:val="533B4A26"/>
    <w:rsid w:val="5777D4F5"/>
    <w:rsid w:val="58F86E29"/>
    <w:rsid w:val="5D9F365C"/>
    <w:rsid w:val="5F8F08CA"/>
    <w:rsid w:val="5FBC5DC5"/>
    <w:rsid w:val="5FC6BB1E"/>
    <w:rsid w:val="5FF720F1"/>
    <w:rsid w:val="609B351E"/>
    <w:rsid w:val="62F56542"/>
    <w:rsid w:val="633D1B90"/>
    <w:rsid w:val="636973AE"/>
    <w:rsid w:val="63B30A2E"/>
    <w:rsid w:val="64A54408"/>
    <w:rsid w:val="65B8173B"/>
    <w:rsid w:val="65D82D0F"/>
    <w:rsid w:val="6615314E"/>
    <w:rsid w:val="66E42545"/>
    <w:rsid w:val="67F56318"/>
    <w:rsid w:val="680B2EE0"/>
    <w:rsid w:val="68DA05E7"/>
    <w:rsid w:val="699E3029"/>
    <w:rsid w:val="6A3020EB"/>
    <w:rsid w:val="6AA61E48"/>
    <w:rsid w:val="6BF63862"/>
    <w:rsid w:val="6CBD519F"/>
    <w:rsid w:val="6CEA12E0"/>
    <w:rsid w:val="6DC077A5"/>
    <w:rsid w:val="6E2B5472"/>
    <w:rsid w:val="6EA5070D"/>
    <w:rsid w:val="6EF96718"/>
    <w:rsid w:val="6F9B0B8C"/>
    <w:rsid w:val="6FEE0A03"/>
    <w:rsid w:val="737D59BA"/>
    <w:rsid w:val="777D6E09"/>
    <w:rsid w:val="77B06588"/>
    <w:rsid w:val="77C37683"/>
    <w:rsid w:val="77F5643F"/>
    <w:rsid w:val="78782475"/>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6057</Words>
  <Characters>7279</Characters>
  <Lines>63</Lines>
  <Paragraphs>18</Paragraphs>
  <TotalTime>0</TotalTime>
  <ScaleCrop>false</ScaleCrop>
  <LinksUpToDate>false</LinksUpToDate>
  <CharactersWithSpaces>8086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2023-09-28T08:37:11Z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A6C2147F7CFE4AEDBB1D9E1DB40EB20A_12</vt:lpwstr>
  </property>
</Properties>
</file>