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sz w:val="48"/>
          <w:szCs w:val="48"/>
        </w:rPr>
      </w:pPr>
    </w:p>
    <w:p>
      <w:pPr>
        <w:pStyle w:val="11"/>
        <w:ind w:firstLine="3360" w:firstLineChars="700"/>
        <w:jc w:val="both"/>
        <w:rPr>
          <w:sz w:val="48"/>
          <w:szCs w:val="48"/>
        </w:rPr>
      </w:pPr>
      <w:r>
        <w:rPr>
          <w:rFonts w:hint="eastAsia"/>
          <w:sz w:val="48"/>
          <w:szCs w:val="48"/>
        </w:rPr>
        <w:t>新田县知市坪中心小学2022年度部门决算公开</w:t>
      </w:r>
    </w:p>
    <w:p>
      <w:pPr>
        <w:pStyle w:val="11"/>
        <w:spacing w:line="500" w:lineRule="exact"/>
        <w:jc w:val="both"/>
        <w:rPr>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Ansi="黑体"/>
          <w:bCs/>
          <w:sz w:val="28"/>
          <w:szCs w:val="28"/>
        </w:rPr>
      </w:pPr>
    </w:p>
    <w:p>
      <w:pPr>
        <w:pStyle w:val="11"/>
        <w:spacing w:line="500" w:lineRule="exact"/>
        <w:rPr>
          <w:rFonts w:hAnsi="黑体"/>
          <w:b/>
          <w:sz w:val="28"/>
          <w:szCs w:val="28"/>
        </w:rPr>
      </w:pPr>
      <w:r>
        <w:rPr>
          <w:rFonts w:hint="eastAsia" w:hAnsi="黑体"/>
          <w:b/>
          <w:sz w:val="28"/>
          <w:szCs w:val="28"/>
        </w:rPr>
        <w:t>第一部分 知市坪中心小学概况</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Ansi="黑体"/>
          <w:b/>
          <w:sz w:val="28"/>
          <w:szCs w:val="28"/>
        </w:rPr>
      </w:pPr>
      <w:r>
        <w:rPr>
          <w:rFonts w:hint="eastAsia" w:hAnsi="黑体"/>
          <w:b/>
          <w:sz w:val="28"/>
          <w:szCs w:val="28"/>
        </w:rPr>
        <w:t>第二部分 部门决算表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Ansi="黑体"/>
          <w:bCs/>
          <w:sz w:val="28"/>
          <w:szCs w:val="28"/>
        </w:rPr>
      </w:pPr>
    </w:p>
    <w:p>
      <w:pPr>
        <w:pStyle w:val="11"/>
        <w:spacing w:line="500" w:lineRule="exact"/>
        <w:rPr>
          <w:rFonts w:hAnsi="黑体"/>
          <w:b/>
          <w:sz w:val="28"/>
          <w:szCs w:val="28"/>
        </w:rPr>
      </w:pPr>
      <w:r>
        <w:rPr>
          <w:rFonts w:hint="eastAsia" w:hAnsi="黑体"/>
          <w:b/>
          <w:sz w:val="28"/>
          <w:szCs w:val="28"/>
        </w:rPr>
        <w:t>第三部分 部门决算情况说明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Ansi="黑体"/>
          <w:b/>
          <w:sz w:val="28"/>
          <w:szCs w:val="28"/>
        </w:rPr>
      </w:pPr>
      <w:r>
        <w:rPr>
          <w:rFonts w:hint="eastAsia" w:hAnsi="黑体"/>
          <w:b/>
          <w:sz w:val="28"/>
          <w:szCs w:val="28"/>
        </w:rPr>
        <w:t>第四部分 名词解释</w:t>
      </w:r>
    </w:p>
    <w:p>
      <w:pPr>
        <w:pStyle w:val="11"/>
        <w:spacing w:line="500" w:lineRule="exact"/>
        <w:rPr>
          <w:rFonts w:hAnsi="黑体"/>
          <w:b/>
          <w:sz w:val="28"/>
          <w:szCs w:val="28"/>
        </w:rPr>
      </w:pPr>
      <w:r>
        <w:rPr>
          <w:rFonts w:hAnsi="黑体"/>
          <w:b/>
          <w:sz w:val="28"/>
          <w:szCs w:val="28"/>
        </w:rPr>
        <w:t>第五部分</w:t>
      </w:r>
      <w:r>
        <w:rPr>
          <w:rFonts w:hint="eastAsia" w:hAnsi="黑体"/>
          <w:b/>
          <w:sz w:val="28"/>
          <w:szCs w:val="28"/>
        </w:rPr>
        <w:t xml:space="preserve"> </w:t>
      </w:r>
      <w:r>
        <w:rPr>
          <w:rFonts w:hAnsi="黑体"/>
          <w:b/>
          <w:sz w:val="28"/>
          <w:szCs w:val="28"/>
        </w:rPr>
        <w:t>附件</w:t>
      </w:r>
    </w:p>
    <w:p>
      <w:pPr>
        <w:rPr>
          <w:rFonts w:ascii="黑体" w:hAnsi="黑体" w:eastAsia="黑体" w:cs="黑体"/>
          <w:b/>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b/>
          <w:bCs/>
          <w:sz w:val="72"/>
          <w:szCs w:val="72"/>
        </w:rPr>
      </w:pPr>
      <w:r>
        <w:rPr>
          <w:rFonts w:hint="eastAsia" w:ascii="黑体" w:hAnsi="黑体" w:eastAsia="黑体" w:cs="黑体"/>
          <w:b/>
          <w:bCs/>
          <w:sz w:val="32"/>
          <w:szCs w:val="32"/>
        </w:rPr>
        <w:t>第一部分  知市坪中心小学概况</w:t>
      </w:r>
    </w:p>
    <w:p>
      <w:pPr>
        <w:pStyle w:val="12"/>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ind w:firstLine="800" w:firstLineChars="25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主要职能：实施小学阶段义务教育，促进基础教育发展，开展小学学历教育（相关社会服务）。</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（一）内设机构设置。知市坪中心小学单位内设机构包括：本单位事业机构一个</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（二）决算单位构成。知市坪中心小学2022年部门决算汇总公开单位构成包括：知市坪中心小学本级及1所村小。</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left"/>
        <w:rPr>
          <w:rFonts w:hint="eastAsia" w:ascii="黑体" w:hAnsi="黑体" w:eastAsia="黑体" w:cs="黑体"/>
          <w:b/>
          <w:bCs/>
          <w:sz w:val="32"/>
          <w:szCs w:val="32"/>
        </w:rPr>
        <w:sectPr>
          <w:pgSz w:w="16838" w:h="11906" w:orient="landscape"/>
          <w:pgMar w:top="720" w:right="720" w:bottom="720" w:left="720" w:header="851" w:footer="992" w:gutter="0"/>
          <w:cols w:space="425" w:num="1"/>
          <w:docGrid w:type="lines" w:linePitch="312" w:charSpace="0"/>
        </w:sectPr>
      </w:pPr>
    </w:p>
    <w:tbl>
      <w:tblPr>
        <w:tblStyle w:val="7"/>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Layout w:type="autofit"/>
              <w:tblCellMar>
                <w:top w:w="0" w:type="dxa"/>
                <w:left w:w="108" w:type="dxa"/>
                <w:bottom w:w="0" w:type="dxa"/>
                <w:right w:w="108" w:type="dxa"/>
              </w:tblCellMar>
            </w:tblPr>
            <w:tblGrid>
              <w:gridCol w:w="4453"/>
              <w:gridCol w:w="616"/>
              <w:gridCol w:w="1379"/>
              <w:gridCol w:w="5054"/>
              <w:gridCol w:w="1131"/>
              <w:gridCol w:w="554"/>
              <w:gridCol w:w="551"/>
              <w:gridCol w:w="1834"/>
            </w:tblGrid>
            <w:tr>
              <w:tblPrEx>
                <w:tblCellMar>
                  <w:top w:w="0" w:type="dxa"/>
                  <w:left w:w="108" w:type="dxa"/>
                  <w:bottom w:w="0" w:type="dxa"/>
                  <w:right w:w="108" w:type="dxa"/>
                </w:tblCellMar>
              </w:tblPrEx>
              <w:trPr>
                <w:trHeight w:val="397" w:hRule="atLeast"/>
              </w:trPr>
              <w:tc>
                <w:tcPr>
                  <w:tcW w:w="1430" w:type="pct"/>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r>
                    <w:rPr>
                      <w:rFonts w:hint="eastAsia" w:ascii="黑体" w:hAnsi="黑体" w:eastAsia="黑体" w:cs="黑体"/>
                      <w:b/>
                      <w:bCs/>
                      <w:sz w:val="32"/>
                      <w:szCs w:val="32"/>
                    </w:rPr>
                    <w:t>第二部分 部门决算表</w:t>
                  </w:r>
                </w:p>
              </w:tc>
              <w:tc>
                <w:tcPr>
                  <w:tcW w:w="197"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41"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623" w:type="pct"/>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41"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764" w:type="pct"/>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1430"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9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41"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2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41"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64"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1430" w:type="pct"/>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p>
              </w:tc>
              <w:tc>
                <w:tcPr>
                  <w:tcW w:w="19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41"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2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41"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64" w:type="pct"/>
                  <w:gridSpan w:val="2"/>
                  <w:tcBorders>
                    <w:top w:val="nil"/>
                    <w:left w:val="nil"/>
                    <w:bottom w:val="nil"/>
                    <w:right w:val="nil"/>
                  </w:tcBorders>
                  <w:shd w:val="clear" w:color="auto" w:fill="FFFFFF"/>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87" w:type="pct"/>
                <w:trHeight w:val="397" w:hRule="atLeast"/>
              </w:trPr>
              <w:tc>
                <w:tcPr>
                  <w:tcW w:w="207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234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rPr>
                    <w:t>661.49</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33.00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697.97</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rPr>
                    <w:t>3.48</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697.97</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697.97</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gridAfter w:val="1"/>
                <w:wAfter w:w="587" w:type="pct"/>
                <w:trHeight w:val="397" w:hRule="atLeast"/>
              </w:trPr>
              <w:tc>
                <w:tcPr>
                  <w:tcW w:w="14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697.97</w:t>
                  </w:r>
                </w:p>
              </w:tc>
              <w:tc>
                <w:tcPr>
                  <w:tcW w:w="1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b/>
                      <w:color w:val="000000"/>
                      <w:sz w:val="22"/>
                    </w:rPr>
                    <w:t>697.97</w:t>
                  </w:r>
                </w:p>
              </w:tc>
            </w:tr>
            <w:tr>
              <w:tblPrEx>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olor w:val="000000"/>
                <w:sz w:val="32"/>
                <w:szCs w:val="32"/>
              </w:rPr>
            </w:pPr>
          </w:p>
          <w:p>
            <w:pPr>
              <w:jc w:val="center"/>
              <w:rPr>
                <w:rFonts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eastAsia="宋体"/>
              </w:rPr>
              <w:t>697.97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661.49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33.00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3.48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eastAsia="宋体"/>
              </w:rPr>
              <w:t>697.97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661.49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3.48</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eastAsia="华文中宋"/>
              </w:rPr>
              <w:t>697.97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661.49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3.48</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2050202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xml:space="preserve">  小学教育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eastAsia="宋体"/>
              </w:rPr>
              <w:t>697.97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661.49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33.00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3.48</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部门：知市坪中心小学</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eastAsia="宋体"/>
              </w:rPr>
              <w:t>697.97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552.25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145.72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教育支出</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eastAsia="宋体"/>
              </w:rPr>
              <w:t>697.97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552.25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宋体" w:eastAsiaTheme="minorEastAsia"/>
                <w:kern w:val="0"/>
                <w:sz w:val="24"/>
                <w:szCs w:val="24"/>
                <w:lang w:val="en-US" w:eastAsia="zh-CN"/>
              </w:rPr>
            </w:pPr>
            <w:r>
              <w:rPr>
                <w:rFonts w:hint="eastAsia"/>
              </w:rPr>
              <w:t>145.72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20502</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普通教育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eastAsia="宋体"/>
              </w:rPr>
              <w:t>697.97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552.25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145.72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2050202</w:t>
            </w:r>
          </w:p>
        </w:tc>
        <w:tc>
          <w:tcPr>
            <w:tcW w:w="148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xml:space="preserve">  小学教育</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eastAsia="宋体"/>
              </w:rPr>
              <w:t>697.97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552.25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145.72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1"/>
        <w:gridCol w:w="436"/>
        <w:gridCol w:w="1313"/>
        <w:gridCol w:w="277"/>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1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1"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661.49</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661.49</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4"/>
                <w:szCs w:val="24"/>
                <w:lang w:val="en-US" w:eastAsia="zh-CN"/>
              </w:rPr>
              <w:t>0</w:t>
            </w:r>
          </w:p>
        </w:tc>
        <w:tc>
          <w:tcPr>
            <w:tcW w:w="31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318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661.49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4"/>
                <w:szCs w:val="24"/>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661.49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515.77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145.72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661.49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145.72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661.49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145.72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2050202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661.49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515.77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145.72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15879" w:type="dxa"/>
        <w:jc w:val="center"/>
        <w:tblLayout w:type="fixed"/>
        <w:tblCellMar>
          <w:top w:w="0" w:type="dxa"/>
          <w:left w:w="108" w:type="dxa"/>
          <w:bottom w:w="0" w:type="dxa"/>
          <w:right w:w="108" w:type="dxa"/>
        </w:tblCellMar>
      </w:tblPr>
      <w:tblGrid>
        <w:gridCol w:w="985"/>
        <w:gridCol w:w="239"/>
        <w:gridCol w:w="93"/>
        <w:gridCol w:w="1283"/>
        <w:gridCol w:w="2019"/>
        <w:gridCol w:w="77"/>
        <w:gridCol w:w="861"/>
        <w:gridCol w:w="1095"/>
        <w:gridCol w:w="304"/>
        <w:gridCol w:w="1967"/>
        <w:gridCol w:w="127"/>
        <w:gridCol w:w="735"/>
        <w:gridCol w:w="1069"/>
        <w:gridCol w:w="353"/>
        <w:gridCol w:w="2078"/>
        <w:gridCol w:w="1690"/>
        <w:gridCol w:w="389"/>
        <w:gridCol w:w="515"/>
      </w:tblGrid>
      <w:tr>
        <w:tblPrEx>
          <w:tblCellMar>
            <w:top w:w="0" w:type="dxa"/>
            <w:left w:w="108" w:type="dxa"/>
            <w:bottom w:w="0" w:type="dxa"/>
            <w:right w:w="108" w:type="dxa"/>
          </w:tblCellMar>
        </w:tblPrEx>
        <w:trPr>
          <w:trHeight w:val="113" w:hRule="atLeast"/>
          <w:jc w:val="center"/>
        </w:trPr>
        <w:tc>
          <w:tcPr>
            <w:tcW w:w="15879"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415.67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52.98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130.36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13.00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36.25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3.25</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52.84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1.52</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85.11</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2.18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0.63</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33.47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5.31</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0.89</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16.33</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18.08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1.02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2.23</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22.38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9.18</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19.84</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45.60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0.55</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0.89</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6.76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2.34</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37.86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7.03</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3.24</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1.39</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0.98</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2.41</w:t>
            </w:r>
          </w:p>
        </w:tc>
        <w:tc>
          <w:tcPr>
            <w:tcW w:w="10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2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46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461.27</w:t>
            </w:r>
          </w:p>
        </w:tc>
        <w:tc>
          <w:tcPr>
            <w:tcW w:w="941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54.50</w:t>
            </w:r>
          </w:p>
        </w:tc>
      </w:tr>
      <w:tr>
        <w:tblPrEx>
          <w:tblCellMar>
            <w:top w:w="0" w:type="dxa"/>
            <w:left w:w="108" w:type="dxa"/>
            <w:bottom w:w="0" w:type="dxa"/>
            <w:right w:w="108" w:type="dxa"/>
          </w:tblCellMar>
        </w:tblPrEx>
        <w:trPr>
          <w:trHeight w:val="284" w:hRule="exact"/>
          <w:jc w:val="center"/>
        </w:trPr>
        <w:tc>
          <w:tcPr>
            <w:tcW w:w="15879"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515" w:type="dxa"/>
          <w:trHeight w:val="690" w:hRule="atLeast"/>
          <w:jc w:val="center"/>
        </w:trPr>
        <w:tc>
          <w:tcPr>
            <w:tcW w:w="15364"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515" w:type="dxa"/>
          <w:trHeight w:val="345" w:hRule="atLeast"/>
          <w:jc w:val="center"/>
        </w:trPr>
        <w:tc>
          <w:tcPr>
            <w:tcW w:w="985"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76"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9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6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4"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5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8"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515" w:type="dxa"/>
          <w:trHeight w:val="690" w:hRule="atLeast"/>
          <w:jc w:val="center"/>
        </w:trPr>
        <w:tc>
          <w:tcPr>
            <w:tcW w:w="2600" w:type="dxa"/>
            <w:gridSpan w:val="4"/>
            <w:tcBorders>
              <w:top w:val="nil"/>
              <w:left w:val="nil"/>
              <w:bottom w:val="nil"/>
              <w:right w:val="nil"/>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p>
        </w:tc>
        <w:tc>
          <w:tcPr>
            <w:tcW w:w="2096"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6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4"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5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8"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515" w:type="dxa"/>
          <w:trHeight w:val="45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4"/>
                <w:rFonts w:hint="default"/>
              </w:rPr>
              <w:t xml:space="preserve">   </w:t>
            </w:r>
            <w:r>
              <w:rPr>
                <w:rStyle w:val="15"/>
                <w:rFonts w:hint="default"/>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515" w:type="dxa"/>
          <w:trHeight w:val="609" w:hRule="atLeast"/>
          <w:jc w:val="center"/>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409" w:hRule="atLeast"/>
          <w:jc w:val="center"/>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515" w:type="dxa"/>
          <w:trHeight w:val="509" w:hRule="atLeast"/>
          <w:jc w:val="center"/>
        </w:trPr>
        <w:tc>
          <w:tcPr>
            <w:tcW w:w="2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509" w:hRule="atLeast"/>
          <w:jc w:val="center"/>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515" w:type="dxa"/>
          <w:trHeight w:val="725" w:hRule="atLeast"/>
          <w:jc w:val="center"/>
        </w:trPr>
        <w:tc>
          <w:tcPr>
            <w:tcW w:w="15364"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7"/>
        <w:tblW w:w="15120" w:type="dxa"/>
        <w:tblInd w:w="93" w:type="dxa"/>
        <w:tblLayout w:type="autofit"/>
        <w:tblCellMar>
          <w:top w:w="0" w:type="dxa"/>
          <w:left w:w="108" w:type="dxa"/>
          <w:bottom w:w="0" w:type="dxa"/>
          <w:right w:w="108" w:type="dxa"/>
        </w:tblCellMar>
      </w:tblPr>
      <w:tblGrid>
        <w:gridCol w:w="2286"/>
        <w:gridCol w:w="659"/>
        <w:gridCol w:w="2132"/>
        <w:gridCol w:w="3065"/>
        <w:gridCol w:w="3065"/>
        <w:gridCol w:w="3913"/>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6"/>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0</w:t>
            </w: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7"/>
        <w:tblW w:w="15140" w:type="dxa"/>
        <w:tblInd w:w="93" w:type="dxa"/>
        <w:tblLayout w:type="autofit"/>
        <w:tblCellMar>
          <w:top w:w="0" w:type="dxa"/>
          <w:left w:w="108" w:type="dxa"/>
          <w:bottom w:w="0" w:type="dxa"/>
          <w:right w:w="108" w:type="dxa"/>
        </w:tblCellMar>
      </w:tblPr>
      <w:tblGrid>
        <w:gridCol w:w="2286"/>
        <w:gridCol w:w="1207"/>
        <w:gridCol w:w="1147"/>
        <w:gridCol w:w="1147"/>
        <w:gridCol w:w="1147"/>
        <w:gridCol w:w="1147"/>
        <w:gridCol w:w="1147"/>
        <w:gridCol w:w="1208"/>
        <w:gridCol w:w="1147"/>
        <w:gridCol w:w="1147"/>
        <w:gridCol w:w="1147"/>
        <w:gridCol w:w="1263"/>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知市坪中心小学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1"/>
        <w:rPr>
          <w:b/>
          <w:bCs/>
          <w:sz w:val="32"/>
          <w:szCs w:val="32"/>
        </w:rPr>
      </w:pPr>
      <w:r>
        <w:rPr>
          <w:rFonts w:hint="eastAsia"/>
          <w:b/>
          <w:bCs/>
          <w:sz w:val="32"/>
          <w:szCs w:val="32"/>
        </w:rPr>
        <w:t>第三部分 2022年度部门决算情况说明</w:t>
      </w:r>
    </w:p>
    <w:p>
      <w:pPr>
        <w:pStyle w:val="11"/>
        <w:spacing w:line="600" w:lineRule="exact"/>
        <w:ind w:firstLine="640" w:firstLineChars="200"/>
        <w:jc w:val="both"/>
        <w:rPr>
          <w:rFonts w:hAnsi="黑体"/>
          <w:bCs/>
          <w:sz w:val="32"/>
          <w:szCs w:val="32"/>
        </w:rPr>
      </w:pPr>
      <w:r>
        <w:rPr>
          <w:rFonts w:hint="eastAsia" w:hAnsi="黑体"/>
          <w:bCs/>
          <w:sz w:val="32"/>
          <w:szCs w:val="32"/>
        </w:rPr>
        <w:t>一、收入支出决算总体情况说明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2022年度收入总计697.97万元。与上年相比，增加173.90万元，增长33.18%，主要是因为本年因教学点提质改造等，维修项目增加。</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2022年度支出总计697.97万元。与上年相比，增加151.33万元，增长27.68%，主要是因为本年因教学点提质改造等，维修项目增加。</w:t>
      </w:r>
    </w:p>
    <w:p>
      <w:pPr>
        <w:pStyle w:val="11"/>
        <w:spacing w:line="600" w:lineRule="exact"/>
        <w:ind w:firstLine="640" w:firstLineChars="200"/>
        <w:jc w:val="both"/>
        <w:rPr>
          <w:rFonts w:hAnsi="黑体"/>
          <w:bCs/>
          <w:sz w:val="32"/>
          <w:szCs w:val="32"/>
        </w:rPr>
      </w:pPr>
      <w:r>
        <w:rPr>
          <w:rFonts w:hint="eastAsia" w:hAnsi="黑体"/>
          <w:bCs/>
          <w:sz w:val="32"/>
          <w:szCs w:val="32"/>
        </w:rPr>
        <w:t>二、收入决算情况说明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2022年度收入合计697.97万元，其中：财政拨款收入661.49万元，占94.77%；上级补助收入0万元，占0%；事业收入33.00万元，占4.73%；经营收入0万元，占0%；附属单位上缴收入0万元，占0%；其他收入3.48万元，占0.50%。</w:t>
      </w:r>
    </w:p>
    <w:p>
      <w:pPr>
        <w:pStyle w:val="11"/>
        <w:spacing w:line="600" w:lineRule="exact"/>
        <w:ind w:firstLine="640" w:firstLineChars="200"/>
        <w:jc w:val="both"/>
        <w:rPr>
          <w:rFonts w:hAnsi="黑体"/>
          <w:bCs/>
          <w:sz w:val="32"/>
          <w:szCs w:val="32"/>
        </w:rPr>
      </w:pPr>
      <w:r>
        <w:rPr>
          <w:rFonts w:hint="eastAsia" w:hAnsi="黑体"/>
          <w:bCs/>
          <w:sz w:val="32"/>
          <w:szCs w:val="32"/>
        </w:rPr>
        <w:t>三、支出决算情况说明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2022年度支出合计697.97万元，其中：基本支出552.25万元，占79.12%；项目支出145.72万元，占20.88%；上缴上级支出0万元，占0%；经营支出0万元，占0%；对附属单位补助支出0万元，占0%。</w:t>
      </w:r>
    </w:p>
    <w:p>
      <w:pPr>
        <w:pStyle w:val="11"/>
        <w:spacing w:line="600" w:lineRule="exact"/>
        <w:ind w:firstLine="640" w:firstLineChars="200"/>
        <w:jc w:val="both"/>
        <w:rPr>
          <w:rFonts w:hAnsi="黑体"/>
          <w:bCs/>
          <w:sz w:val="32"/>
          <w:szCs w:val="32"/>
        </w:rPr>
      </w:pPr>
      <w:r>
        <w:rPr>
          <w:rFonts w:hint="eastAsia" w:hAnsi="黑体"/>
          <w:bCs/>
          <w:sz w:val="32"/>
          <w:szCs w:val="32"/>
        </w:rPr>
        <w:t>四、财政拨款收入支出决算总体情况说明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2022年度财政拨款收入总计</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万元。与上年相比，增加1</w:t>
      </w:r>
      <w:r>
        <w:rPr>
          <w:rFonts w:hint="eastAsia" w:ascii="Times New Roman" w:hAnsi="Times New Roman" w:eastAsia="仿宋_GB2312"/>
          <w:sz w:val="32"/>
          <w:szCs w:val="32"/>
          <w:lang w:val="en-US" w:eastAsia="zh-CN"/>
        </w:rPr>
        <w:t>37.42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26.22</w:t>
      </w:r>
      <w:r>
        <w:rPr>
          <w:rFonts w:hint="eastAsia" w:ascii="Times New Roman" w:hAnsi="Times New Roman" w:eastAsia="仿宋_GB2312"/>
          <w:sz w:val="32"/>
          <w:szCs w:val="32"/>
        </w:rPr>
        <w:t>%，主要是因为本年因教学点提质改造等，维修项目增加。</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2022年度财政拨款支出总计</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114.85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21.01</w:t>
      </w:r>
      <w:r>
        <w:rPr>
          <w:rFonts w:hint="eastAsia" w:ascii="Times New Roman" w:hAnsi="Times New Roman" w:eastAsia="仿宋_GB2312"/>
          <w:sz w:val="32"/>
          <w:szCs w:val="32"/>
        </w:rPr>
        <w:t>%，主要是因为本年因教学点提质改造等，维修项目增加。</w:t>
      </w:r>
    </w:p>
    <w:p>
      <w:pPr>
        <w:pStyle w:val="11"/>
        <w:spacing w:line="600" w:lineRule="exact"/>
        <w:ind w:firstLine="640" w:firstLineChars="200"/>
        <w:jc w:val="both"/>
        <w:rPr>
          <w:rFonts w:hAnsi="黑体"/>
          <w:bCs/>
          <w:sz w:val="32"/>
          <w:szCs w:val="32"/>
        </w:rPr>
      </w:pPr>
      <w:r>
        <w:rPr>
          <w:rFonts w:hint="eastAsia" w:hAnsi="黑体"/>
          <w:bCs/>
          <w:sz w:val="32"/>
          <w:szCs w:val="32"/>
        </w:rPr>
        <w:t>五、一般公共预算财政拨款支出决算情况说明</w:t>
      </w:r>
    </w:p>
    <w:p>
      <w:pPr>
        <w:pStyle w:val="11"/>
        <w:spacing w:line="600" w:lineRule="exact"/>
        <w:ind w:firstLine="640" w:firstLineChars="200"/>
        <w:jc w:val="both"/>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94.77</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114.85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21.01</w:t>
      </w:r>
      <w:r>
        <w:rPr>
          <w:rFonts w:hint="eastAsia" w:ascii="Times New Roman" w:hAnsi="Times New Roman" w:eastAsia="仿宋_GB2312"/>
          <w:sz w:val="32"/>
          <w:szCs w:val="32"/>
        </w:rPr>
        <w:t>%，主要是因为本年开始实施课后服务，及本年因教学点提质改造等，维修项目增加。</w:t>
      </w:r>
    </w:p>
    <w:p>
      <w:pPr>
        <w:pStyle w:val="11"/>
        <w:spacing w:line="600" w:lineRule="exact"/>
        <w:ind w:firstLine="640" w:firstLineChars="200"/>
        <w:jc w:val="both"/>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万元，主要用于以下方面：一般公共服务（类）支出0万元，占0%；教育（类）支出</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万元，占100%。</w:t>
      </w:r>
    </w:p>
    <w:p>
      <w:pPr>
        <w:pStyle w:val="11"/>
        <w:spacing w:line="600" w:lineRule="exact"/>
        <w:ind w:firstLine="640" w:firstLineChars="200"/>
        <w:jc w:val="both"/>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w:t>
      </w:r>
      <w:r>
        <w:rPr>
          <w:rFonts w:hint="eastAsia" w:ascii="Times New Roman" w:hAnsi="Times New Roman" w:eastAsia="仿宋_GB2312"/>
          <w:sz w:val="32"/>
          <w:szCs w:val="32"/>
          <w:lang w:val="en-US" w:eastAsia="zh-CN"/>
        </w:rPr>
        <w:t>663</w:t>
      </w:r>
      <w:r>
        <w:rPr>
          <w:rFonts w:hint="eastAsia" w:ascii="Times New Roman" w:hAnsi="Times New Roman" w:eastAsia="仿宋_GB2312"/>
          <w:sz w:val="32"/>
          <w:szCs w:val="32"/>
        </w:rPr>
        <w:t>.00万元，支出决算数为</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万元，完成年初预算的99.</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%，其中：</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教育支出（类）普通教育（款）小学教育（项）。</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663</w:t>
      </w:r>
      <w:r>
        <w:rPr>
          <w:rFonts w:hint="eastAsia" w:ascii="Times New Roman" w:hAnsi="Times New Roman" w:eastAsia="仿宋_GB2312"/>
          <w:sz w:val="32"/>
          <w:szCs w:val="32"/>
        </w:rPr>
        <w:t>.00万元，支出决算为</w:t>
      </w:r>
      <w:r>
        <w:rPr>
          <w:rFonts w:hint="eastAsia" w:ascii="Times New Roman" w:hAnsi="Times New Roman" w:eastAsia="仿宋_GB2312"/>
          <w:sz w:val="32"/>
          <w:szCs w:val="32"/>
          <w:lang w:val="en-US" w:eastAsia="zh-CN"/>
        </w:rPr>
        <w:t>661.49</w:t>
      </w:r>
      <w:r>
        <w:rPr>
          <w:rFonts w:hint="eastAsia" w:ascii="Times New Roman" w:hAnsi="Times New Roman" w:eastAsia="仿宋_GB2312"/>
          <w:sz w:val="32"/>
          <w:szCs w:val="32"/>
        </w:rPr>
        <w:t>万元，完成年初预算的99.</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%，决算数小于年初预算数的主要原因是：本年度我单位实行了开源节流；学生人数减少，经费支出减少。</w:t>
      </w:r>
    </w:p>
    <w:p>
      <w:pPr>
        <w:pStyle w:val="11"/>
        <w:spacing w:line="600" w:lineRule="exact"/>
        <w:ind w:firstLine="640" w:firstLineChars="200"/>
        <w:jc w:val="both"/>
        <w:rPr>
          <w:rFonts w:hAnsi="黑体"/>
          <w:bCs/>
          <w:sz w:val="32"/>
          <w:szCs w:val="32"/>
        </w:rPr>
      </w:pPr>
      <w:r>
        <w:rPr>
          <w:rFonts w:hint="eastAsia" w:hAnsi="黑体"/>
          <w:bCs/>
          <w:sz w:val="32"/>
          <w:szCs w:val="32"/>
        </w:rPr>
        <w:t>六、一般公共预算财政拨款基本支出决算情况说明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2022年度财政拨款基本支出</w:t>
      </w:r>
      <w:r>
        <w:rPr>
          <w:rFonts w:hint="eastAsia" w:ascii="Times New Roman" w:hAnsi="Times New Roman" w:eastAsia="仿宋_GB2312"/>
          <w:sz w:val="32"/>
          <w:szCs w:val="32"/>
          <w:lang w:val="en-US" w:eastAsia="zh-CN"/>
        </w:rPr>
        <w:t>515.77</w:t>
      </w:r>
      <w:r>
        <w:rPr>
          <w:rFonts w:hint="eastAsia" w:ascii="Times New Roman" w:hAnsi="Times New Roman" w:eastAsia="仿宋_GB2312"/>
          <w:sz w:val="32"/>
          <w:szCs w:val="32"/>
        </w:rPr>
        <w:t>万元，其中：</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61.27</w:t>
      </w:r>
      <w:r>
        <w:rPr>
          <w:rFonts w:hint="eastAsia" w:ascii="Times New Roman" w:hAnsi="Times New Roman" w:eastAsia="仿宋_GB2312"/>
          <w:sz w:val="32"/>
          <w:szCs w:val="32"/>
        </w:rPr>
        <w:t>万元，占基本支出的89.</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%，主要包括基本工资、津贴补贴、奖金、伙食补助费。</w:t>
      </w:r>
    </w:p>
    <w:p>
      <w:pPr>
        <w:pStyle w:val="11"/>
        <w:spacing w:line="600" w:lineRule="exact"/>
        <w:ind w:firstLine="640" w:firstLineChars="200"/>
        <w:jc w:val="both"/>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54.5</w:t>
      </w:r>
      <w:r>
        <w:rPr>
          <w:rFonts w:hint="eastAsia" w:ascii="Times New Roman" w:hAnsi="Times New Roman" w:eastAsia="仿宋_GB2312"/>
          <w:sz w:val="32"/>
          <w:szCs w:val="32"/>
        </w:rPr>
        <w:t>万元，占基本支出的10</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%，主要包括办公费、印刷费、咨询费、手续费。</w:t>
      </w:r>
    </w:p>
    <w:p>
      <w:pPr>
        <w:pStyle w:val="11"/>
        <w:spacing w:line="600" w:lineRule="exact"/>
        <w:ind w:firstLine="640" w:firstLineChars="200"/>
        <w:jc w:val="both"/>
        <w:rPr>
          <w:rFonts w:hAnsi="黑体"/>
          <w:bCs/>
          <w:sz w:val="32"/>
          <w:szCs w:val="32"/>
        </w:rPr>
      </w:pPr>
      <w:r>
        <w:rPr>
          <w:rFonts w:hint="eastAsia" w:hAnsi="黑体"/>
          <w:bCs/>
          <w:sz w:val="32"/>
          <w:szCs w:val="32"/>
        </w:rPr>
        <w:t>七、财政拨款三公经费支出决算情况说明</w:t>
      </w:r>
    </w:p>
    <w:p>
      <w:pPr>
        <w:pStyle w:val="11"/>
        <w:spacing w:line="600" w:lineRule="exact"/>
        <w:ind w:firstLine="640" w:firstLineChars="200"/>
        <w:jc w:val="both"/>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万元，因预算数为0，无法计算预算完成百分比。决算数与预算数一致，与上年相比持平。原因是上年及本年均无相关费用支出。</w:t>
      </w:r>
    </w:p>
    <w:p>
      <w:pPr>
        <w:pStyle w:val="11"/>
        <w:spacing w:line="600" w:lineRule="exact"/>
        <w:ind w:firstLine="640" w:firstLineChars="200"/>
        <w:jc w:val="both"/>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2022年度“三公”经费财政拨款支出决算中，公务接待费支出决算0万元，占0%,因公出国（境）费支出决算0万元，占0%,公务用车购置费及运行维护费支出决算0万元，占0%。其中：</w:t>
      </w:r>
    </w:p>
    <w:p>
      <w:pPr>
        <w:pStyle w:val="11"/>
        <w:spacing w:line="600" w:lineRule="exact"/>
        <w:ind w:firstLine="640" w:firstLineChars="200"/>
        <w:jc w:val="both"/>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spacing w:line="600" w:lineRule="exact"/>
        <w:ind w:firstLine="640" w:firstLineChars="20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新田县知市坪中心小学</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万元，截止2022年12月31日，我单位开支财政拨款的公务用车保有量为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spacing w:line="600" w:lineRule="exact"/>
        <w:ind w:firstLine="640" w:firstLineChars="200"/>
        <w:jc w:val="both"/>
        <w:rPr>
          <w:rFonts w:hAnsi="黑体"/>
          <w:bCs/>
          <w:sz w:val="32"/>
          <w:szCs w:val="32"/>
        </w:rPr>
      </w:pPr>
      <w:r>
        <w:rPr>
          <w:rFonts w:hint="eastAsia" w:hAnsi="黑体"/>
          <w:bCs/>
          <w:sz w:val="32"/>
          <w:szCs w:val="32"/>
        </w:rPr>
        <w:t>八、政府性基金预算收入支出决算情况</w:t>
      </w:r>
    </w:p>
    <w:p>
      <w:pPr>
        <w:pStyle w:val="11"/>
        <w:spacing w:line="600" w:lineRule="exact"/>
        <w:ind w:firstLine="640" w:firstLineChars="200"/>
        <w:jc w:val="both"/>
        <w:rPr>
          <w:rFonts w:ascii="Times New Roman" w:hAnsi="Times New Roman" w:eastAsia="仿宋_GB2312" w:cstheme="minorBidi"/>
          <w:color w:val="auto"/>
          <w:kern w:val="2"/>
          <w:sz w:val="32"/>
          <w:szCs w:val="32"/>
        </w:rPr>
      </w:pPr>
      <w:r>
        <w:rPr>
          <w:rFonts w:hint="eastAsia" w:ascii="Times New Roman" w:hAnsi="Times New Roman" w:eastAsia="仿宋_GB2312" w:cstheme="minorBidi"/>
          <w:color w:val="auto"/>
          <w:kern w:val="2"/>
          <w:sz w:val="32"/>
          <w:szCs w:val="32"/>
        </w:rPr>
        <w:t>本单位无政府性基金收支。</w:t>
      </w:r>
    </w:p>
    <w:p>
      <w:pPr>
        <w:pStyle w:val="11"/>
        <w:spacing w:line="600" w:lineRule="exact"/>
        <w:ind w:firstLine="640" w:firstLineChars="200"/>
        <w:jc w:val="both"/>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本部门2022年度机关运行经费支出5</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17.55</w:t>
      </w:r>
      <w:r>
        <w:rPr>
          <w:rFonts w:hint="eastAsia" w:ascii="Times New Roman" w:hAnsi="Times New Roman" w:eastAsia="仿宋_GB2312"/>
          <w:sz w:val="32"/>
          <w:szCs w:val="32"/>
        </w:rPr>
        <w:t>万元，降低2</w:t>
      </w:r>
      <w:r>
        <w:rPr>
          <w:rFonts w:hint="eastAsia" w:ascii="Times New Roman" w:hAnsi="Times New Roman" w:eastAsia="仿宋_GB2312"/>
          <w:sz w:val="32"/>
          <w:szCs w:val="32"/>
          <w:lang w:val="en-US" w:eastAsia="zh-CN"/>
        </w:rPr>
        <w:t>4.36</w:t>
      </w:r>
      <w:r>
        <w:rPr>
          <w:rFonts w:hint="eastAsia" w:ascii="Times New Roman" w:hAnsi="Times New Roman" w:eastAsia="仿宋_GB2312"/>
          <w:sz w:val="32"/>
          <w:szCs w:val="32"/>
        </w:rPr>
        <w:t>%。主要原因是：教学点撤除，公用经费减少。</w:t>
      </w:r>
    </w:p>
    <w:p>
      <w:pPr>
        <w:pStyle w:val="11"/>
        <w:spacing w:line="600" w:lineRule="exact"/>
        <w:ind w:firstLine="640" w:firstLineChars="200"/>
        <w:jc w:val="both"/>
        <w:rPr>
          <w:rFonts w:hAnsi="黑体"/>
          <w:bCs/>
          <w:sz w:val="32"/>
          <w:szCs w:val="32"/>
        </w:rPr>
      </w:pPr>
      <w:r>
        <w:rPr>
          <w:rFonts w:hint="eastAsia" w:hAnsi="黑体"/>
          <w:bCs/>
          <w:sz w:val="32"/>
          <w:szCs w:val="32"/>
        </w:rPr>
        <w:t>十、一般性支出情况说明</w:t>
      </w:r>
    </w:p>
    <w:p>
      <w:pPr>
        <w:pStyle w:val="11"/>
        <w:spacing w:line="600" w:lineRule="exact"/>
        <w:ind w:firstLine="640" w:firstLineChars="200"/>
        <w:jc w:val="both"/>
        <w:rPr>
          <w:rFonts w:ascii="楷体" w:hAnsi="楷体" w:eastAsia="楷体" w:cs="楷体"/>
          <w:b/>
          <w:bCs/>
          <w:i/>
          <w:color w:val="auto"/>
          <w:sz w:val="32"/>
          <w:szCs w:val="32"/>
        </w:rPr>
      </w:pPr>
      <w:r>
        <w:rPr>
          <w:rFonts w:hint="eastAsia" w:ascii="Times New Roman" w:hAnsi="Times New Roman" w:eastAsia="仿宋_GB2312"/>
          <w:sz w:val="32"/>
          <w:szCs w:val="32"/>
        </w:rPr>
        <w:t>2022年本部门开支会议费0万元</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lang w:val="en-US" w:eastAsia="zh-CN"/>
        </w:rPr>
        <w:t>0人</w:t>
      </w:r>
      <w:bookmarkStart w:id="3" w:name="_GoBack"/>
      <w:bookmarkEnd w:id="3"/>
      <w:r>
        <w:rPr>
          <w:rFonts w:hint="eastAsia" w:ascii="Times New Roman" w:hAnsi="Times New Roman" w:eastAsia="仿宋_GB2312"/>
          <w:sz w:val="32"/>
          <w:szCs w:val="32"/>
        </w:rPr>
        <w:t>；开支培训费0.55万元，用于开展各类提升教师素养培训，人数34人，内容为教师教学技能比拼、教师职业素养提升、各类教师外出培训及校本培训等；未举办节庆、晚会、论坛、赛事活动，开支0万元。</w:t>
      </w:r>
    </w:p>
    <w:p>
      <w:pPr>
        <w:pStyle w:val="11"/>
        <w:spacing w:line="600" w:lineRule="exact"/>
        <w:ind w:firstLine="640" w:firstLineChars="200"/>
        <w:jc w:val="both"/>
        <w:rPr>
          <w:rFonts w:hAnsi="黑体"/>
          <w:bCs/>
          <w:sz w:val="32"/>
          <w:szCs w:val="32"/>
        </w:rPr>
      </w:pPr>
      <w:r>
        <w:rPr>
          <w:rFonts w:hint="eastAsia" w:hAnsi="黑体"/>
          <w:bCs/>
          <w:sz w:val="32"/>
          <w:szCs w:val="32"/>
        </w:rPr>
        <w:t>十一、关于政府采购支出说明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本部门2022年度政府采购支出总额</w:t>
      </w:r>
      <w:r>
        <w:rPr>
          <w:rFonts w:hint="eastAsia" w:ascii="Times New Roman" w:hAnsi="Times New Roman" w:eastAsia="仿宋_GB2312"/>
          <w:sz w:val="32"/>
          <w:szCs w:val="32"/>
          <w:lang w:val="en-US" w:eastAsia="zh-CN"/>
        </w:rPr>
        <w:t>180.96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32.23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145.72</w:t>
      </w:r>
      <w:r>
        <w:rPr>
          <w:rFonts w:hint="eastAsia" w:ascii="Times New Roman" w:hAnsi="Times New Roman" w:eastAsia="仿宋_GB2312"/>
          <w:sz w:val="32"/>
          <w:szCs w:val="32"/>
        </w:rPr>
        <w:t>万元、政府采购服务支出0万元。授予中小企业合同金额</w:t>
      </w:r>
      <w:r>
        <w:rPr>
          <w:rFonts w:hint="eastAsia" w:ascii="Times New Roman" w:hAnsi="Times New Roman" w:eastAsia="仿宋_GB2312"/>
          <w:sz w:val="32"/>
          <w:szCs w:val="32"/>
          <w:lang w:val="en-US" w:eastAsia="zh-CN"/>
        </w:rPr>
        <w:t>35.23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19.47</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35.23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19.47</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0%，工程采购授予中小企业合同金额占工程支出金额的0%，服务采购授予中小企业合同金额占服务支出金额的0%。</w:t>
      </w:r>
    </w:p>
    <w:p>
      <w:pPr>
        <w:pStyle w:val="11"/>
        <w:spacing w:line="600" w:lineRule="exact"/>
        <w:ind w:firstLine="640" w:firstLineChars="200"/>
        <w:jc w:val="both"/>
        <w:rPr>
          <w:rFonts w:hAnsi="黑体"/>
          <w:bCs/>
          <w:sz w:val="32"/>
          <w:szCs w:val="32"/>
        </w:rPr>
      </w:pPr>
      <w:r>
        <w:rPr>
          <w:rFonts w:hint="eastAsia" w:hAnsi="黑体"/>
          <w:bCs/>
          <w:sz w:val="32"/>
          <w:szCs w:val="32"/>
        </w:rPr>
        <w:t>十二、关于国有资产占用情况说明</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spacing w:line="600" w:lineRule="exact"/>
        <w:ind w:firstLine="640" w:firstLineChars="200"/>
        <w:jc w:val="both"/>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1"/>
        <w:spacing w:line="600" w:lineRule="exact"/>
        <w:ind w:firstLine="640" w:firstLineChars="200"/>
        <w:jc w:val="both"/>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根据预算绩效管理要求，我部门组织对2022年度一般公共预算项目支出全面开展绩效自评，其中，一级项目0个，二级项目1个，共涉及资金145.72万元，占一般公共预算项目支出总额的100%。2022年度本单位无政府性基金预算项目和国有资本经营预算项目，因此无需对政府性基金预算项目和国有资本经营预算项目展开绩效自评。</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组织对1个项目开展了部门评价，涉及一般公共预算支出145.72万元，政府性基金预算支出0万元，国有资本经营预算支出0万元。从评价情况来看，一是学校加强组织领导，安排部署了绩效评价工作，明确了专人负责；二是制定了实施方案，确保绩效评价工作有章可循，有序开展。</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组织发本单位开展整体支出绩效评价，涉及</w:t>
      </w:r>
      <w:r>
        <w:rPr>
          <w:rFonts w:hint="eastAsia" w:ascii="Times New Roman" w:hAnsi="Times New Roman" w:eastAsia="仿宋_GB2312"/>
          <w:sz w:val="32"/>
          <w:szCs w:val="32"/>
          <w:lang w:eastAsia="zh-CN"/>
        </w:rPr>
        <w:t>教育</w:t>
      </w:r>
      <w:r>
        <w:rPr>
          <w:rFonts w:hint="eastAsia" w:ascii="Times New Roman" w:hAnsi="Times New Roman" w:eastAsia="仿宋_GB2312"/>
          <w:sz w:val="32"/>
          <w:szCs w:val="32"/>
        </w:rPr>
        <w:t>支出697.97万元，政府性基金预算支出0万元。从评价情况来看，一是学校加强组织领导，安排部署了绩效评价工作，明确了专人负责；二是制定了实施方案，确保绩效评价工作有章可循，有序开展。</w:t>
      </w:r>
    </w:p>
    <w:p>
      <w:pPr>
        <w:pStyle w:val="11"/>
        <w:spacing w:line="600" w:lineRule="exact"/>
        <w:ind w:firstLine="640" w:firstLineChars="200"/>
        <w:jc w:val="both"/>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11"/>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部分绩效指标及目标值有待进一步优化和完善。</w:t>
      </w:r>
    </w:p>
    <w:p>
      <w:pPr>
        <w:pStyle w:val="11"/>
        <w:spacing w:line="600" w:lineRule="exact"/>
        <w:ind w:firstLine="640" w:firstLineChars="200"/>
        <w:jc w:val="both"/>
        <w:rPr>
          <w:sz w:val="72"/>
          <w:szCs w:val="72"/>
        </w:rPr>
      </w:pPr>
      <w:r>
        <w:rPr>
          <w:rFonts w:hint="eastAsia" w:ascii="Times New Roman" w:hAnsi="Times New Roman" w:eastAsia="仿宋_GB2312"/>
          <w:sz w:val="32"/>
          <w:szCs w:val="32"/>
        </w:rPr>
        <w:t>下一步改进措施：一是编制项目绩效指标时，对项目指标的科学性、合理性、可测性进行反复论证，使之能够合理、客观、科学地反映项目的产出和效果。二是进一步强化绩效结果应用，把绩效评价结果作为下一年度安排资金预算，预算编制的重要依据，加强对资金的管理。</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Ansi="黑体"/>
          <w:b/>
          <w:bCs/>
          <w:sz w:val="32"/>
          <w:szCs w:val="32"/>
        </w:rPr>
      </w:pPr>
      <w:r>
        <w:rPr>
          <w:rFonts w:hint="eastAsia" w:hAnsi="黑体"/>
          <w:b/>
          <w:bCs/>
          <w:sz w:val="32"/>
          <w:szCs w:val="32"/>
        </w:rPr>
        <w:t>第四部分 名词解释</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11"/>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Ansi="黑体"/>
          <w:b/>
          <w:bCs/>
          <w:sz w:val="32"/>
          <w:szCs w:val="32"/>
        </w:rPr>
      </w:pPr>
      <w:r>
        <w:rPr>
          <w:rFonts w:hint="eastAsia" w:hAnsi="黑体"/>
          <w:b/>
          <w:bCs/>
          <w:sz w:val="32"/>
          <w:szCs w:val="32"/>
        </w:rPr>
        <w:t>第五部分 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2022年度部门整体支出绩效评价报告</w:t>
      </w: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kyY2Q3OGE0NTFkNDRhNDVlYTAzMWZlZDZlMDZj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4221D"/>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37BFA"/>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7F5AE9"/>
    <w:rsid w:val="00812ED5"/>
    <w:rsid w:val="0081479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02188"/>
    <w:rsid w:val="031E55F5"/>
    <w:rsid w:val="04EB48D3"/>
    <w:rsid w:val="06ED1080"/>
    <w:rsid w:val="07285C85"/>
    <w:rsid w:val="09AA26F7"/>
    <w:rsid w:val="0B190D0E"/>
    <w:rsid w:val="0D7C25A0"/>
    <w:rsid w:val="10E85BA5"/>
    <w:rsid w:val="16CD5893"/>
    <w:rsid w:val="176522C3"/>
    <w:rsid w:val="19275583"/>
    <w:rsid w:val="1AA13854"/>
    <w:rsid w:val="1AFB1ADE"/>
    <w:rsid w:val="1CA062FE"/>
    <w:rsid w:val="1DD73B0A"/>
    <w:rsid w:val="1E3866E4"/>
    <w:rsid w:val="1ECC422C"/>
    <w:rsid w:val="1F4F0EF6"/>
    <w:rsid w:val="1FCB1B9B"/>
    <w:rsid w:val="20914128"/>
    <w:rsid w:val="214F2A43"/>
    <w:rsid w:val="240464EA"/>
    <w:rsid w:val="2459453D"/>
    <w:rsid w:val="26DA3D9D"/>
    <w:rsid w:val="27547860"/>
    <w:rsid w:val="29B35110"/>
    <w:rsid w:val="2B6F75D8"/>
    <w:rsid w:val="2BAB1AB4"/>
    <w:rsid w:val="2C853793"/>
    <w:rsid w:val="2EC46B3C"/>
    <w:rsid w:val="303F633B"/>
    <w:rsid w:val="346741BA"/>
    <w:rsid w:val="38F0031C"/>
    <w:rsid w:val="3A655ADD"/>
    <w:rsid w:val="3A77753E"/>
    <w:rsid w:val="3B7E4CFD"/>
    <w:rsid w:val="3C581550"/>
    <w:rsid w:val="3CE06137"/>
    <w:rsid w:val="3D4F3E78"/>
    <w:rsid w:val="3E3A5C0B"/>
    <w:rsid w:val="3F4520AD"/>
    <w:rsid w:val="3FE457A9"/>
    <w:rsid w:val="3FEE2E14"/>
    <w:rsid w:val="407F15B5"/>
    <w:rsid w:val="43747266"/>
    <w:rsid w:val="44F208A0"/>
    <w:rsid w:val="490D2408"/>
    <w:rsid w:val="4C5B7215"/>
    <w:rsid w:val="4C5F0C81"/>
    <w:rsid w:val="4DE84AD8"/>
    <w:rsid w:val="4F331771"/>
    <w:rsid w:val="4FBA3327"/>
    <w:rsid w:val="5078139D"/>
    <w:rsid w:val="51B01DB1"/>
    <w:rsid w:val="52235A38"/>
    <w:rsid w:val="548C143D"/>
    <w:rsid w:val="55676C2B"/>
    <w:rsid w:val="56D60142"/>
    <w:rsid w:val="5777D4F5"/>
    <w:rsid w:val="5AF43F8D"/>
    <w:rsid w:val="5F8F08CA"/>
    <w:rsid w:val="5FBC5DC5"/>
    <w:rsid w:val="5FC6BB1E"/>
    <w:rsid w:val="5FF720F1"/>
    <w:rsid w:val="609B351E"/>
    <w:rsid w:val="61954B1F"/>
    <w:rsid w:val="62F56542"/>
    <w:rsid w:val="633D1B90"/>
    <w:rsid w:val="64A54408"/>
    <w:rsid w:val="66E42545"/>
    <w:rsid w:val="67F56318"/>
    <w:rsid w:val="68437083"/>
    <w:rsid w:val="6942417B"/>
    <w:rsid w:val="697F0797"/>
    <w:rsid w:val="6A3020EB"/>
    <w:rsid w:val="6ACD0E7D"/>
    <w:rsid w:val="6C0F2143"/>
    <w:rsid w:val="6C5F4810"/>
    <w:rsid w:val="6DC077A5"/>
    <w:rsid w:val="6E174CBF"/>
    <w:rsid w:val="6EA5070D"/>
    <w:rsid w:val="6EF96718"/>
    <w:rsid w:val="6F9B0B8C"/>
    <w:rsid w:val="737D59BA"/>
    <w:rsid w:val="74412124"/>
    <w:rsid w:val="76D7608E"/>
    <w:rsid w:val="77B06588"/>
    <w:rsid w:val="77C37683"/>
    <w:rsid w:val="79FF515B"/>
    <w:rsid w:val="7A5C42EA"/>
    <w:rsid w:val="7E0F75A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5960</Words>
  <Characters>7123</Characters>
  <Lines>68</Lines>
  <Paragraphs>19</Paragraphs>
  <TotalTime>1</TotalTime>
  <ScaleCrop>false</ScaleCrop>
  <LinksUpToDate>false</LinksUpToDate>
  <CharactersWithSpaces>7928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2023-09-08T04:37:00Z</dcterms:created>
  <dc:creator>李航 null</dc:creator>
  <cp:lastModifiedBy>Administrator</cp:lastModifiedBy>
  <cp:lastPrinted>2023-08-15T09:28:00Z</cp:lastPrinted>
  <dcterms:modified xsi:type="dcterms:W3CDTF">2023-09-28T08:33:14Z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A6C2147F7CFE4AEDBB1D9E1DB40EB20A_12</vt:lpwstr>
  </property>
</Properties>
</file>