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kern w:val="0"/>
          <w:sz w:val="36"/>
          <w:szCs w:val="36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kern w:val="0"/>
          <w:sz w:val="36"/>
          <w:szCs w:val="36"/>
          <w:shd w:val="clear" w:color="auto" w:fill="F6F6F6"/>
          <w:lang w:val="en-US" w:eastAsia="zh-CN" w:bidi="ar"/>
        </w:rPr>
        <w:t>新田县社会劳动保险管理站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黑体" w:hAnsi="宋体" w:eastAsia="黑体" w:cs="黑体"/>
          <w:b/>
          <w:kern w:val="0"/>
          <w:sz w:val="36"/>
          <w:szCs w:val="36"/>
          <w:shd w:val="clear" w:color="auto" w:fill="F6F6F6"/>
          <w:lang w:val="en-US" w:eastAsia="zh-CN" w:bidi="ar"/>
        </w:rPr>
        <w:t>2018年部门预算及“三公”经费预算说明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负责全县企业单位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个体工商户、灵活就业人员养老保险的征缴。全县企业离退休人员的养老金发放，汇总编制基本养老保险基金预决算、财务报表，承担基本养老保险信息与统计数据的收集、整理与分析，承担企业职工养老保险政策的咨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、机构设置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及部门预算单位构成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本部门201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年人员编制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人，实有在职人员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其中含公益性岗位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退休人员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人。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val="en-US" w:eastAsia="zh-CN" w:bidi="ar"/>
        </w:rPr>
        <w:t>二、部门收支总体情况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（一）收入预算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年年初预算数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119.79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拨款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119.79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，纳入一般公共预算管理的非税收入拨款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预计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119.79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万元。收入较去年增加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13.84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万元，主要是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人员经费增加了12.74万元，公用经费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拨款增加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1.1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（二）支出预算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年年初预算数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119.79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中</w:t>
      </w:r>
      <w:r>
        <w:rPr>
          <w:rFonts w:hint="eastAsia" w:ascii="仿宋" w:hAnsi="仿宋" w:eastAsia="仿宋" w:cs="仿宋"/>
          <w:kern w:val="0"/>
          <w:sz w:val="32"/>
          <w:szCs w:val="32"/>
        </w:rPr>
        <w:t>1、基本支出：为保障单位机构正常运转、完成日常工作任务而发生的各项支出，包括用于基本工资、津贴补贴等人员经费以及办公费、水电费、交通费、会议费等日常公用经费。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2、项目支出：单位为完成特定行政工作任务或事业发展目标而发生的支出，包括有关事业发展专项、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上级补助专项、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专项业务费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、非税收入征管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支出较去年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减少15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万元，主要是项目支出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减少15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shd w:val="clear" w:color="auto" w:fill="F6F6F6"/>
          <w:lang w:val="en-US" w:eastAsia="zh-CN" w:bidi="ar"/>
        </w:rPr>
        <w:t>三、一般公共预算拨款支出预算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年一般公共预算拨款收入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119.79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（一）基本支出：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基本支出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年初预算数为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86.79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lang w:val="en-US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项目支出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年初预算数为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33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万元，是指单位为完成特定行政工作任务或事业发展目标而发生的支出，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包括有关业务工作专项和运行维护专项。其中：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专项支出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33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万元，用于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退休人员生存情况认证调查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方面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10万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；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网络运行维护费8万；养老保险关系转移2万；退休人员管理费11万；五险一金征缴系统维护费2万。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shd w:val="clear" w:color="auto" w:fill="F6F6F6"/>
          <w:lang w:val="en-US" w:eastAsia="zh-CN" w:bidi="ar"/>
        </w:rPr>
        <w:t>四、其他重要事项的情况说明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年机关运行经费当年一般公共预算拨款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119.79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年预算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增加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13.84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增长（或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下降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）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11.55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%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经费预算数为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万元，其中，公务接待费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 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万元，公务用车购置及运行费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万元（其中，公务用车购置费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万元，公务用车运行费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万元），因公出国（境）费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经费预算较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年减少</w:t>
      </w:r>
      <w:r>
        <w:rPr>
          <w:rFonts w:hint="eastAsia" w:ascii="仿宋_GB2312" w:eastAsia="仿宋_GB2312" w:cs="仿宋_GB2312"/>
          <w:i w:val="0"/>
          <w:iCs w:val="0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万元，主要是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厉行节约，进一步压缩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3、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201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我</w:t>
      </w:r>
      <w:r>
        <w:rPr>
          <w:rFonts w:hint="eastAsia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站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政府采购预算总额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政府采购货物预算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6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万元，政府采购服务预算</w:t>
      </w:r>
      <w:r>
        <w:rPr>
          <w:rFonts w:hint="eastAsia" w:ascii="仿宋_GB2312" w:hAnsi="Arial" w:eastAsia="仿宋_GB2312" w:cs="仿宋_GB2312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Arial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shd w:val="clear" w:color="auto" w:fill="F6F6F6"/>
          <w:lang w:val="en-US" w:eastAsia="zh-CN" w:bidi="ar"/>
        </w:rPr>
        <w:t>五、名词解释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经费：纳入财政预算管理的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shd w:val="clear" w:color="auto" w:fill="F6F6F6"/>
          <w:lang w:val="en-US" w:eastAsia="zh-CN" w:bidi="ar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01B8"/>
    <w:rsid w:val="12FA5BC4"/>
    <w:rsid w:val="23AD2D5F"/>
    <w:rsid w:val="38EB01B8"/>
    <w:rsid w:val="695518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2018-09-04T03:40:00Z</dcterms:created>
  <dc:creator>Administrator</dc:creator>
  <cp:lastModifiedBy>Administrator</cp:lastModifiedBy>
  <dcterms:modified xsi:type="dcterms:W3CDTF">2018-09-05T08:38:23Z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