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single"/>
          <w:lang w:val="en-US" w:eastAsia="zh-CN"/>
        </w:rPr>
        <w:t>工伤保险服务中心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27" w:firstLineChars="196"/>
        <w:jc w:val="left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24.项目支出绩效目标表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第一部分 2023年部门预算说明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一、部门基本概况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1、职能职责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（1）负责工伤保险基金征缴、管理；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（2）核查用人单位的职工个人基本情况，办理工伤保险登记；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（3）进行工伤保险的调查、统计和信息系统管理；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（4）审核工伤保险待遇，为工伤职工和亲属提供工伤保险政策咨询服务；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（5）负责工伤保险基金的预决算及有关收支管理等工作。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2、机构设置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根据编委核定，我局内设办公室4个，所属事业单位无。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内设办公室分别是工伤保险基金征缴股、待遇审核股、财务股、办公室。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本部门是县人力资源和社会保障局下属独立核算副科级事业单位，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因此本部门预算仅含本级预算。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三、部门收支总体情况</w:t>
      </w:r>
    </w:p>
    <w:p>
      <w:pPr>
        <w:widowControl/>
        <w:spacing w:line="600" w:lineRule="atLeast"/>
        <w:ind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 年部门预算即我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本级预算。我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15、16、17、18、19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表均为空。</w:t>
      </w:r>
      <w:r>
        <w:rPr>
          <w:rFonts w:eastAsia="仿宋_GB2312"/>
          <w:color w:val="auto"/>
          <w:sz w:val="32"/>
          <w:szCs w:val="32"/>
        </w:rPr>
        <w:t>收入包括经费拨款，也包括行政事业性收费收入和国有资源有偿使用收入；支出包括保障机关及</w:t>
      </w:r>
      <w:r>
        <w:rPr>
          <w:rFonts w:hint="eastAsia" w:eastAsia="仿宋_GB2312"/>
          <w:color w:val="auto"/>
          <w:sz w:val="32"/>
          <w:szCs w:val="32"/>
        </w:rPr>
        <w:t>所</w:t>
      </w:r>
      <w:r>
        <w:rPr>
          <w:rFonts w:eastAsia="仿宋_GB2312"/>
          <w:color w:val="auto"/>
          <w:sz w:val="32"/>
          <w:szCs w:val="32"/>
        </w:rPr>
        <w:t>属事业单位基本运行的经费，也包括</w:t>
      </w:r>
      <w:r>
        <w:rPr>
          <w:rFonts w:hint="eastAsia" w:eastAsia="仿宋_GB2312"/>
          <w:color w:val="auto"/>
          <w:sz w:val="32"/>
          <w:szCs w:val="32"/>
        </w:rPr>
        <w:t>网络运行维护、工伤保险征管稽核、工伤认定调查</w:t>
      </w:r>
      <w:r>
        <w:rPr>
          <w:rFonts w:eastAsia="仿宋_GB2312"/>
          <w:color w:val="auto"/>
          <w:sz w:val="32"/>
          <w:szCs w:val="32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83.68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83.68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12.66</w:t>
      </w:r>
      <w:r>
        <w:rPr>
          <w:rFonts w:eastAsia="仿宋_GB2312"/>
          <w:b/>
          <w:color w:val="auto"/>
          <w:sz w:val="32"/>
          <w:szCs w:val="32"/>
        </w:rPr>
        <w:t>万元，主要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是人员工资及社保缴费基数有所增加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83.68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社会保障和就业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76.35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万元，卫生健康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3.08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万元，住房保障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4.25 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b/>
          <w:color w:val="auto"/>
          <w:sz w:val="32"/>
          <w:szCs w:val="32"/>
        </w:rPr>
        <w:t>支出较去年增加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12.66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color w:val="auto"/>
          <w:sz w:val="32"/>
          <w:szCs w:val="32"/>
        </w:rPr>
        <w:t>万元，主要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是社会保障和就业支出增加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12.59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 xml:space="preserve">万元，卫生健康支出增加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0.03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万元，住房保障支出增加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0.04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万元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83.68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社会保障支出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76.35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91.2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%;卫生健康支出</w:t>
      </w:r>
      <w:r>
        <w:rPr>
          <w:rFonts w:hint="eastAsia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3.08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3.7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%;住房保障支出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4.25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万元，占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5.1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%</w:t>
      </w:r>
      <w:r>
        <w:rPr>
          <w:rFonts w:eastAsia="仿宋_GB2312"/>
          <w:color w:val="auto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（一）基本支出：20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基本支出预算数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68.28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（二）项目支出：20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15.4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主要是部门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为完成特定行政工作任务或事业发展目标而发生的支出，包括有关事业发展专项、专项业务费、基本建设支出等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按项目管理的商品和服务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15.4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元，主要用于</w:t>
      </w:r>
      <w:r>
        <w:rPr>
          <w:rFonts w:ascii="仿宋_GB2312" w:hAnsi="Arial" w:eastAsia="仿宋_GB2312" w:cs="仿宋_GB2312"/>
          <w:sz w:val="32"/>
          <w:szCs w:val="32"/>
        </w:rPr>
        <w:t>主要用于</w:t>
      </w:r>
      <w:r>
        <w:rPr>
          <w:rFonts w:hint="eastAsia" w:ascii="仿宋_GB2312" w:hAnsi="Arial" w:eastAsia="仿宋_GB2312" w:cs="仿宋_GB2312"/>
          <w:sz w:val="32"/>
          <w:szCs w:val="32"/>
        </w:rPr>
        <w:t>工伤认定调查、网络运行维护、工伤保险征管稽核工作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面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五、政府性基金预算支出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2023年本部门无政府性基金预算安排的支出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年本部门机关本级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家行政事业单位的机关运行经费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6.2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万元，比上年预算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增加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0.7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万元，上升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12.7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%，主要是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部门内部人员增多，费用有所增加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2、“三公”经费预算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本部门机关本级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家行政事业单位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“三公”经费预算数为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0.8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0.8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万元。20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年“三公”经费预算较20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持平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，主要是厉行节约，规范管理，进一步压缩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三公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3、一般性支出情况：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2023年本部门会议费预算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万元；培训费预算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万元，未计划举办节庆、晚会、论坛、赛事活动。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政府采购情况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政府采购预算总额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  <w:bookmarkStart w:id="0" w:name="_GoBack"/>
      <w:bookmarkEnd w:id="0"/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支出实行绩效目标管理，纳入20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83.68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68.28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15.4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部门预算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新田县第十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届人民代表大会第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次会议批复时间为20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日，财政部门批复时间为20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2、“三公”经费：纳入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省（市/县）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第二部分 2023年部门预算公开表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cxODBmNTYyMTY0YzM4M2MwNjcxODMzNzY4M2MifQ=="/>
  </w:docVars>
  <w:rsids>
    <w:rsidRoot w:val="00000000"/>
    <w:rsid w:val="00400BE3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84423B4"/>
    <w:rsid w:val="1A4713E9"/>
    <w:rsid w:val="1A5D0BD9"/>
    <w:rsid w:val="1F122A8F"/>
    <w:rsid w:val="22606ACD"/>
    <w:rsid w:val="284A5A24"/>
    <w:rsid w:val="29310182"/>
    <w:rsid w:val="2A004A26"/>
    <w:rsid w:val="2A1C6CCC"/>
    <w:rsid w:val="2FFA5475"/>
    <w:rsid w:val="30285F7E"/>
    <w:rsid w:val="41366754"/>
    <w:rsid w:val="4167540A"/>
    <w:rsid w:val="44665BC1"/>
    <w:rsid w:val="4AB76D80"/>
    <w:rsid w:val="4F7D56F4"/>
    <w:rsid w:val="50AA4081"/>
    <w:rsid w:val="52326F0E"/>
    <w:rsid w:val="543D0DF6"/>
    <w:rsid w:val="54595F08"/>
    <w:rsid w:val="55386724"/>
    <w:rsid w:val="5FAC1049"/>
    <w:rsid w:val="60DA7950"/>
    <w:rsid w:val="62262323"/>
    <w:rsid w:val="647D0321"/>
    <w:rsid w:val="65021EF9"/>
    <w:rsid w:val="703C4095"/>
    <w:rsid w:val="79183053"/>
    <w:rsid w:val="7BBA645B"/>
    <w:rsid w:val="7CE94B32"/>
    <w:rsid w:val="7F6D1171"/>
    <w:rsid w:val="7F8D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2778</Words>
  <Characters>3011</Characters>
  <Lines>0</Lines>
  <Paragraphs>0</Paragraphs>
  <TotalTime>12</TotalTime>
  <ScaleCrop>false</ScaleCrop>
  <LinksUpToDate>false</LinksUpToDate>
  <CharactersWithSpaces>3184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2023-07-12T07:09:00Z</cp:lastPrinted>
  <dcterms:modified xsi:type="dcterms:W3CDTF">2023-07-14T07:29:01Z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00F849FA3F2144D0B296FE2C3E1528F3_12</vt:lpwstr>
  </property>
</Properties>
</file>