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3360" w:firstLineChars="700"/>
        <w:jc w:val="both"/>
        <w:rPr>
          <w:rFonts w:hint="eastAsia"/>
          <w:sz w:val="48"/>
          <w:szCs w:val="48"/>
          <w:lang w:eastAsia="zh-CN"/>
        </w:rPr>
      </w:pPr>
    </w:p>
    <w:p>
      <w:pPr>
        <w:pStyle w:val="14"/>
        <w:ind w:firstLine="3360" w:firstLineChars="700"/>
        <w:jc w:val="both"/>
        <w:rPr>
          <w:rFonts w:hint="eastAsia"/>
          <w:sz w:val="48"/>
          <w:szCs w:val="48"/>
          <w:lang w:eastAsia="zh-CN"/>
        </w:rPr>
      </w:pPr>
      <w:r>
        <w:rPr>
          <w:rFonts w:hint="eastAsia"/>
          <w:sz w:val="48"/>
          <w:szCs w:val="48"/>
          <w:lang w:eastAsia="zh-CN"/>
        </w:rPr>
        <w:t>新田县社会保险服务中心</w:t>
      </w:r>
      <w:r>
        <w:rPr>
          <w:rFonts w:hint="eastAsia"/>
          <w:sz w:val="48"/>
          <w:szCs w:val="48"/>
          <w:lang w:val="en-US" w:eastAsia="zh-CN"/>
        </w:rPr>
        <w:t>2022</w:t>
      </w:r>
      <w:r>
        <w:rPr>
          <w:rFonts w:hint="eastAsia"/>
          <w:sz w:val="48"/>
          <w:szCs w:val="48"/>
          <w:lang w:eastAsia="zh-CN"/>
        </w:rPr>
        <w:t>年度部门决算公开</w:t>
      </w:r>
    </w:p>
    <w:p>
      <w:pPr>
        <w:pStyle w:val="14"/>
        <w:spacing w:line="500" w:lineRule="exact"/>
        <w:ind w:firstLine="6144" w:firstLineChars="1700"/>
        <w:jc w:val="both"/>
        <w:rPr>
          <w:rFonts w:hint="eastAsia"/>
          <w:b/>
          <w:sz w:val="36"/>
          <w:szCs w:val="28"/>
        </w:rPr>
      </w:pPr>
    </w:p>
    <w:p>
      <w:pPr>
        <w:pStyle w:val="14"/>
        <w:spacing w:line="500" w:lineRule="exact"/>
        <w:ind w:firstLine="6626" w:firstLineChars="1500"/>
        <w:jc w:val="both"/>
        <w:rPr>
          <w:b/>
          <w:sz w:val="36"/>
          <w:szCs w:val="28"/>
        </w:rPr>
      </w:pPr>
      <w:r>
        <w:rPr>
          <w:rFonts w:hint="eastAsia"/>
          <w:b/>
          <w:sz w:val="44"/>
          <w:szCs w:val="44"/>
        </w:rPr>
        <w:t>目录</w:t>
      </w: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lang w:eastAsia="zh-CN"/>
        </w:rPr>
        <w:t>新田县社会保险服务中心</w:t>
      </w:r>
      <w:r>
        <w:rPr>
          <w:rFonts w:hint="eastAsia" w:ascii="黑体" w:hAnsi="黑体" w:eastAsia="黑体" w:cs="黑体"/>
          <w:b/>
          <w:bCs w:val="0"/>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4"/>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4"/>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新田县社会保险服务中心</w:t>
      </w:r>
      <w:r>
        <w:rPr>
          <w:rFonts w:hint="eastAsia" w:ascii="黑体" w:hAnsi="黑体" w:eastAsia="黑体" w:cs="黑体"/>
          <w:b/>
          <w:bCs/>
          <w:sz w:val="32"/>
          <w:szCs w:val="32"/>
        </w:rPr>
        <w:t>概况</w:t>
      </w: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（一）按照社会保险的各项法律、法规和政策，依法开展企业职工养老保险、机关事业单位养老保险、城乡居民基本养老保险、被征地农民社会养老保险工作。组织落实各项养老保险政策的贯彻执行。</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（二）研究制定本县社会保险经办管理办法，规划并组织实施；研究提出完善政策法规的意见。</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（三）按照社会保险的各项法律、法规和政策，负责全县基本养老保险的参保登记、个人账户管理、关系转移衔接、待遇核定与支付、稽核认证、职业年金、档案管理等工作。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（四）根据上级有关政策研究拟定本县被征地农民社会养老保险方面的政策和规范；承办用地项目单位被征地农民社会保障资金的收缴、政府缴费补贴年限及金额的核实。</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（五）负责全县社会保险基金预算、决算草案和财务报表编制，开展基金预算执行管理和基金财务管理，并按照有关规定做好信息公开工作。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（六）负责按时、足额支付养老保险待遇，确保养老金社会化发放，做好待遇领取人员养老金领取资格认证和社会化管理服务工作。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（七）负责社会保险稽核检查、社会保险内部审计和风险防控工作，规范用人单位及其职工的参保行为，审查虚报冒领等违法、违规行为。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（八）负责对各乡镇（街道）社会保险经办服务工作进行指导、培训和监督、考核。</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（九）负责与税务部门建立沟通协商机制，协调、配合社会保险费的征收工作。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（十）负责全县基本养老保险业务统计、信息系统应用和维护工作。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（十一）负责社会保险的宣传、信访工作，受理群众有关社会保险的投诉举报、咨询服务，自觉接受社会监督。</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（十二）负责参保单位和个人的各类档案归集、整理、维护、保密、安全工作。</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（十三）承办上级部门交办的其他工作。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根据编委核定，我局内设股室 9 个，所属事业单位  1个。</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内设股室分别是1、综合室 2、财会室  3、城乡居民养老保险室 4、被征地农民社会保险障室 5、机关事业单位养老保险室 6、企业职工养老保险室 7、职业年金管理室  8、稽核室 9、信息统计室</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所属事业单位是新田县社会保险服务中心。</w:t>
      </w:r>
    </w:p>
    <w:p>
      <w:pPr>
        <w:widowControl/>
        <w:spacing w:line="600" w:lineRule="exact"/>
        <w:rPr>
          <w:rFonts w:hint="eastAsia" w:ascii="Times New Roman" w:hAnsi="Times New Roman" w:eastAsia="仿宋_GB2312" w:cs="仿宋_GB2312"/>
          <w:bCs/>
          <w:kern w:val="0"/>
          <w:sz w:val="32"/>
          <w:szCs w:val="32"/>
        </w:rPr>
      </w:pPr>
    </w:p>
    <w:p>
      <w:pPr>
        <w:numPr>
          <w:ilvl w:val="0"/>
          <w:numId w:val="2"/>
        </w:numP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新田县社会保险服务中心202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年部门决算汇总公开单位构成包括：新田县社会保险服务中心本级及所属事业单位是新田县社会保险服务中心</w:t>
      </w:r>
    </w:p>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tbl>
      <w:tblPr>
        <w:tblStyle w:val="10"/>
        <w:tblpPr w:leftFromText="180" w:rightFromText="180" w:vertAnchor="text" w:horzAnchor="page" w:tblpX="931" w:tblpY="-9527"/>
        <w:tblOverlap w:val="never"/>
        <w:tblW w:w="45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1"/>
        <w:gridCol w:w="615"/>
        <w:gridCol w:w="1338"/>
        <w:gridCol w:w="4929"/>
        <w:gridCol w:w="1102"/>
        <w:gridCol w:w="544"/>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18"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5"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7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85"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21" w:type="pct"/>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8"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5"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1" w:type="pct"/>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新田县社会保险服务中心</w:t>
            </w:r>
          </w:p>
        </w:tc>
        <w:tc>
          <w:tcPr>
            <w:tcW w:w="218"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5"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1" w:type="pct"/>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76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19108.19</w:t>
            </w: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19108.19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19108.19</w:t>
            </w:r>
          </w:p>
        </w:tc>
        <w:tc>
          <w:tcPr>
            <w:tcW w:w="1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19108.19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黑体" w:hAnsi="黑体" w:eastAsia="黑体"/>
          <w:sz w:val="28"/>
          <w:szCs w:val="28"/>
        </w:rPr>
      </w:pPr>
    </w:p>
    <w:tbl>
      <w:tblPr>
        <w:tblStyle w:val="10"/>
        <w:tblpPr w:leftFromText="180" w:rightFromText="180" w:vertAnchor="text" w:horzAnchor="page" w:tblpX="823" w:tblpY="327"/>
        <w:tblOverlap w:val="never"/>
        <w:tblW w:w="14145" w:type="dxa"/>
        <w:tblInd w:w="0" w:type="dxa"/>
        <w:tblLayout w:type="fixed"/>
        <w:tblCellMar>
          <w:top w:w="0" w:type="dxa"/>
          <w:left w:w="0" w:type="dxa"/>
          <w:bottom w:w="0" w:type="dxa"/>
          <w:right w:w="0" w:type="dxa"/>
        </w:tblCellMar>
      </w:tblPr>
      <w:tblGrid>
        <w:gridCol w:w="137"/>
        <w:gridCol w:w="401"/>
        <w:gridCol w:w="317"/>
        <w:gridCol w:w="1628"/>
        <w:gridCol w:w="817"/>
        <w:gridCol w:w="920"/>
        <w:gridCol w:w="805"/>
        <w:gridCol w:w="932"/>
        <w:gridCol w:w="778"/>
        <w:gridCol w:w="959"/>
        <w:gridCol w:w="211"/>
        <w:gridCol w:w="990"/>
        <w:gridCol w:w="536"/>
        <w:gridCol w:w="1174"/>
        <w:gridCol w:w="563"/>
        <w:gridCol w:w="712"/>
        <w:gridCol w:w="1025"/>
        <w:gridCol w:w="1240"/>
      </w:tblGrid>
      <w:tr>
        <w:tblPrEx>
          <w:tblCellMar>
            <w:top w:w="0" w:type="dxa"/>
            <w:left w:w="0" w:type="dxa"/>
            <w:bottom w:w="0" w:type="dxa"/>
            <w:right w:w="0" w:type="dxa"/>
          </w:tblCellMar>
        </w:tblPrEx>
        <w:trPr>
          <w:trHeight w:val="435" w:hRule="atLeast"/>
        </w:trPr>
        <w:tc>
          <w:tcPr>
            <w:tcW w:w="14145" w:type="dxa"/>
            <w:gridSpan w:val="18"/>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0" w:type="dxa"/>
            <w:tcBorders>
              <w:top w:val="nil"/>
              <w:left w:val="nil"/>
              <w:bottom w:val="nil"/>
              <w:right w:val="nil"/>
            </w:tcBorders>
            <w:shd w:val="clear" w:color="000000" w:fill="FFFFFF"/>
            <w:noWrap/>
            <w:tcMar>
              <w:top w:w="15" w:type="dxa"/>
              <w:left w:w="15" w:type="dxa"/>
              <w:bottom w:w="0" w:type="dxa"/>
              <w:right w:w="15" w:type="dxa"/>
            </w:tcMar>
            <w:vAlign w:val="center"/>
          </w:tcPr>
          <w:p>
            <w:pPr>
              <w:ind w:firstLine="200" w:firstLineChars="100"/>
              <w:jc w:val="both"/>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新田县社会保险服务中心</w:t>
            </w:r>
            <w:r>
              <w:rPr>
                <w:rFonts w:hint="eastAsia"/>
              </w:rPr>
              <w:t>　</w:t>
            </w:r>
          </w:p>
        </w:tc>
        <w:tc>
          <w:tcPr>
            <w:tcW w:w="17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00"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5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1796" w:hRule="atLeast"/>
        </w:trPr>
        <w:tc>
          <w:tcPr>
            <w:tcW w:w="85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0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7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26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30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19,108.19</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19,108.19</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19,108.19</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19,108.19</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451.78</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2080109</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451.78</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05"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9,696.65</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9,696.65</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2080507</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8,101.00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8,101.00</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2080508</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对机关事业单位职业年金的补助</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1,595.65</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1,595.65</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eastAsia="宋体" w:cs="宋体"/>
                <w:sz w:val="24"/>
                <w:szCs w:val="24"/>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450"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20826</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8,959.76</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8,959.76</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561" w:hRule="atLeast"/>
        </w:trPr>
        <w:tc>
          <w:tcPr>
            <w:tcW w:w="85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2082602</w:t>
            </w:r>
          </w:p>
        </w:tc>
        <w:tc>
          <w:tcPr>
            <w:tcW w:w="24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7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8,959.76</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8,959.76</w:t>
            </w:r>
          </w:p>
        </w:tc>
        <w:tc>
          <w:tcPr>
            <w:tcW w:w="11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17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12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c>
          <w:tcPr>
            <w:tcW w:w="22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rPr>
            </w:pPr>
            <w:r>
              <w:rPr>
                <w:rFonts w:hint="eastAsia" w:ascii="Times New Roman" w:hAnsi="Times New Roman" w:eastAsia="仿宋_GB2312" w:cs="Times New Roman"/>
                <w:kern w:val="0"/>
                <w:szCs w:val="21"/>
              </w:rPr>
              <w:t>0</w:t>
            </w:r>
          </w:p>
        </w:tc>
      </w:tr>
      <w:tr>
        <w:tblPrEx>
          <w:tblCellMar>
            <w:top w:w="0" w:type="dxa"/>
            <w:left w:w="0" w:type="dxa"/>
            <w:bottom w:w="0" w:type="dxa"/>
            <w:right w:w="0" w:type="dxa"/>
          </w:tblCellMar>
        </w:tblPrEx>
        <w:trPr>
          <w:trHeight w:val="510" w:hRule="atLeast"/>
        </w:trPr>
        <w:tc>
          <w:tcPr>
            <w:tcW w:w="1414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jc w:val="center"/>
        <w:rPr>
          <w:rFonts w:ascii="黑体" w:hAnsi="黑体" w:eastAsia="黑体"/>
          <w:sz w:val="28"/>
          <w:szCs w:val="28"/>
        </w:rPr>
      </w:pPr>
    </w:p>
    <w:tbl>
      <w:tblPr>
        <w:tblStyle w:val="10"/>
        <w:tblpPr w:leftFromText="180" w:rightFromText="180" w:vertAnchor="text" w:horzAnchor="page" w:tblpX="826" w:tblpY="165"/>
        <w:tblOverlap w:val="never"/>
        <w:tblW w:w="14355" w:type="dxa"/>
        <w:tblInd w:w="0" w:type="dxa"/>
        <w:tblLayout w:type="fixed"/>
        <w:tblCellMar>
          <w:top w:w="0" w:type="dxa"/>
          <w:left w:w="108" w:type="dxa"/>
          <w:bottom w:w="0" w:type="dxa"/>
          <w:right w:w="108" w:type="dxa"/>
        </w:tblCellMar>
      </w:tblPr>
      <w:tblGrid>
        <w:gridCol w:w="1259"/>
        <w:gridCol w:w="240"/>
        <w:gridCol w:w="3046"/>
        <w:gridCol w:w="1290"/>
        <w:gridCol w:w="1350"/>
        <w:gridCol w:w="1729"/>
        <w:gridCol w:w="1661"/>
        <w:gridCol w:w="1650"/>
        <w:gridCol w:w="2130"/>
      </w:tblGrid>
      <w:tr>
        <w:tblPrEx>
          <w:tblCellMar>
            <w:top w:w="0" w:type="dxa"/>
            <w:left w:w="108" w:type="dxa"/>
            <w:bottom w:w="0" w:type="dxa"/>
            <w:right w:w="108" w:type="dxa"/>
          </w:tblCellMar>
        </w:tblPrEx>
        <w:trPr>
          <w:trHeight w:val="807" w:hRule="atLeast"/>
        </w:trPr>
        <w:tc>
          <w:tcPr>
            <w:tcW w:w="1435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4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Times New Roman" w:hAnsi="Times New Roman" w:eastAsia="仿宋_GB2312" w:cs="Times New Roman"/>
                <w:color w:val="000000"/>
                <w:kern w:val="0"/>
                <w:szCs w:val="21"/>
                <w:lang w:eastAsia="zh-CN"/>
              </w:rPr>
              <w:t>新田县社会保险服务中心</w:t>
            </w:r>
            <w:r>
              <w:rPr>
                <w:rFonts w:hint="eastAsia" w:ascii="宋体" w:hAnsi="宋体" w:eastAsia="宋体" w:cs="宋体"/>
                <w:kern w:val="0"/>
                <w:sz w:val="24"/>
                <w:szCs w:val="24"/>
              </w:rPr>
              <w:t>　</w:t>
            </w:r>
          </w:p>
        </w:tc>
        <w:tc>
          <w:tcPr>
            <w:tcW w:w="12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30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5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5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5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19,108.19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451.78</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18,656.41</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19,108.19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18,656.41</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451.78</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9,696.65</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9,696.65</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2080507</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8,101.00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8,101.00</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74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2080508</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对机关事业单位职业年金的补助</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1,595.65</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1,595.65</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8,959.76</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8,959.76</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2082602</w:t>
            </w:r>
          </w:p>
        </w:tc>
        <w:tc>
          <w:tcPr>
            <w:tcW w:w="30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8,959.76</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8,959.76</w:t>
            </w:r>
          </w:p>
        </w:tc>
        <w:tc>
          <w:tcPr>
            <w:tcW w:w="16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4355"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jc w:val="center"/>
        <w:rPr>
          <w:rFonts w:ascii="黑体" w:hAnsi="黑体" w:eastAsia="黑体"/>
          <w:sz w:val="28"/>
          <w:szCs w:val="28"/>
        </w:rPr>
      </w:pPr>
    </w:p>
    <w:p>
      <w:pPr>
        <w:jc w:val="center"/>
        <w:rPr>
          <w:rFonts w:ascii="黑体" w:hAnsi="黑体" w:eastAsia="黑体"/>
          <w:sz w:val="28"/>
          <w:szCs w:val="28"/>
        </w:rPr>
      </w:pPr>
    </w:p>
    <w:tbl>
      <w:tblPr>
        <w:tblStyle w:val="10"/>
        <w:tblpPr w:leftFromText="180" w:rightFromText="180" w:vertAnchor="text" w:horzAnchor="page" w:tblpX="811" w:tblpY="93"/>
        <w:tblOverlap w:val="never"/>
        <w:tblW w:w="15521" w:type="dxa"/>
        <w:tblInd w:w="0" w:type="dxa"/>
        <w:tblLayout w:type="autofit"/>
        <w:tblCellMar>
          <w:top w:w="0" w:type="dxa"/>
          <w:left w:w="108" w:type="dxa"/>
          <w:bottom w:w="0" w:type="dxa"/>
          <w:right w:w="108" w:type="dxa"/>
        </w:tblCellMar>
      </w:tblPr>
      <w:tblGrid>
        <w:gridCol w:w="3595"/>
        <w:gridCol w:w="436"/>
        <w:gridCol w:w="1096"/>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新田县社会保险服务中心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eastAsia="zh-CN"/>
              </w:rPr>
              <w:t>八、社会保障和就业支出</w:t>
            </w: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19108.19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left"/>
        <w:rPr>
          <w:rFonts w:ascii="Times New Roman" w:hAnsi="Times New Roman" w:eastAsia="方正小标宋_GBK" w:cs="Times New Roman"/>
          <w:kern w:val="0"/>
          <w:sz w:val="36"/>
          <w:szCs w:val="36"/>
        </w:rPr>
      </w:pPr>
      <w:bookmarkStart w:id="0" w:name="RANGE!A1:I22"/>
      <w:bookmarkEnd w:id="0"/>
      <w:bookmarkStart w:id="1" w:name="RANGE!A1:F16"/>
    </w:p>
    <w:p>
      <w:pPr>
        <w:widowControl/>
        <w:ind w:firstLine="2160" w:firstLineChars="600"/>
        <w:jc w:val="left"/>
        <w:rPr>
          <w:rFonts w:ascii="Times New Roman" w:hAnsi="Times New Roman" w:eastAsia="方正小标宋_GBK" w:cs="Times New Roman"/>
          <w:kern w:val="0"/>
          <w:sz w:val="36"/>
          <w:szCs w:val="36"/>
        </w:rPr>
      </w:pPr>
    </w:p>
    <w:p>
      <w:pPr>
        <w:widowControl/>
        <w:ind w:firstLine="2160" w:firstLineChars="600"/>
        <w:jc w:val="left"/>
        <w:rPr>
          <w:rFonts w:ascii="Times New Roman" w:hAnsi="Times New Roman" w:eastAsia="方正小标宋_GBK" w:cs="Times New Roman"/>
          <w:kern w:val="0"/>
          <w:sz w:val="36"/>
          <w:szCs w:val="36"/>
        </w:rPr>
      </w:pPr>
    </w:p>
    <w:p>
      <w:pPr>
        <w:widowControl/>
        <w:ind w:firstLine="3960" w:firstLineChars="1100"/>
        <w:jc w:val="both"/>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19,108.19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451.78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18,656.41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19,108.19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451.78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18,656.41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451.78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451.78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9,696.65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9,696.65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8,101.00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8,101.00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对机关事业单位职业年金的补助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1,595.65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1,595.65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8,959.76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8,959.76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8,959.76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8,959.76</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570" w:type="dxa"/>
        <w:tblInd w:w="0" w:type="dxa"/>
        <w:tblLayout w:type="fixed"/>
        <w:tblCellMar>
          <w:top w:w="0" w:type="dxa"/>
          <w:left w:w="108" w:type="dxa"/>
          <w:bottom w:w="0" w:type="dxa"/>
          <w:right w:w="108" w:type="dxa"/>
        </w:tblCellMar>
      </w:tblPr>
      <w:tblGrid>
        <w:gridCol w:w="989"/>
        <w:gridCol w:w="239"/>
        <w:gridCol w:w="94"/>
        <w:gridCol w:w="1288"/>
        <w:gridCol w:w="1740"/>
        <w:gridCol w:w="367"/>
        <w:gridCol w:w="653"/>
        <w:gridCol w:w="1155"/>
        <w:gridCol w:w="487"/>
        <w:gridCol w:w="1613"/>
        <w:gridCol w:w="474"/>
        <w:gridCol w:w="786"/>
        <w:gridCol w:w="1095"/>
        <w:gridCol w:w="209"/>
        <w:gridCol w:w="2086"/>
        <w:gridCol w:w="1365"/>
        <w:gridCol w:w="723"/>
        <w:gridCol w:w="207"/>
      </w:tblGrid>
      <w:tr>
        <w:tblPrEx>
          <w:tblCellMar>
            <w:top w:w="0" w:type="dxa"/>
            <w:left w:w="108" w:type="dxa"/>
            <w:bottom w:w="0" w:type="dxa"/>
            <w:right w:w="108" w:type="dxa"/>
          </w:tblCellMar>
        </w:tblPrEx>
        <w:trPr>
          <w:trHeight w:val="1098" w:hRule="atLeast"/>
        </w:trPr>
        <w:tc>
          <w:tcPr>
            <w:tcW w:w="15570"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66" w:hRule="atLeast"/>
        </w:trPr>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2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337.65</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114.13</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105.25</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68.59</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8.34</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48.57</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9"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51.22</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8.43</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23.31</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0.79</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19.91</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15.21</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9"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99"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3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337.65</w:t>
            </w:r>
          </w:p>
        </w:tc>
        <w:tc>
          <w:tcPr>
            <w:tcW w:w="927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114.13</w:t>
            </w:r>
          </w:p>
        </w:tc>
      </w:tr>
      <w:tr>
        <w:tblPrEx>
          <w:tblCellMar>
            <w:top w:w="0" w:type="dxa"/>
            <w:left w:w="108" w:type="dxa"/>
            <w:bottom w:w="0" w:type="dxa"/>
            <w:right w:w="108" w:type="dxa"/>
          </w:tblCellMar>
        </w:tblPrEx>
        <w:trPr>
          <w:trHeight w:val="284" w:hRule="exact"/>
        </w:trPr>
        <w:tc>
          <w:tcPr>
            <w:tcW w:w="15570"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345" w:hRule="atLeast"/>
        </w:trPr>
        <w:tc>
          <w:tcPr>
            <w:tcW w:w="9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690" w:hRule="atLeast"/>
        </w:trPr>
        <w:tc>
          <w:tcPr>
            <w:tcW w:w="4717"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新田县社会保险服务中心</w:t>
            </w:r>
            <w:r>
              <w:rPr>
                <w:rFonts w:ascii="Times New Roman" w:hAnsi="Times New Roman" w:eastAsia="仿宋_GB2312" w:cs="Times New Roman"/>
                <w:color w:val="000000"/>
                <w:kern w:val="0"/>
                <w:szCs w:val="21"/>
              </w:rPr>
              <w:t xml:space="preserve"> </w:t>
            </w: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1"/>
        <w:gridCol w:w="617"/>
        <w:gridCol w:w="1974"/>
        <w:gridCol w:w="2820"/>
        <w:gridCol w:w="2820"/>
        <w:gridCol w:w="3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新田县社会保险服务中心</w:t>
            </w: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7"/>
        <w:gridCol w:w="1710"/>
        <w:gridCol w:w="135"/>
        <w:gridCol w:w="1318"/>
        <w:gridCol w:w="1062"/>
        <w:gridCol w:w="1062"/>
        <w:gridCol w:w="1062"/>
        <w:gridCol w:w="1062"/>
        <w:gridCol w:w="1134"/>
        <w:gridCol w:w="1062"/>
        <w:gridCol w:w="1062"/>
        <w:gridCol w:w="1062"/>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1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5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0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新田县社会保险服务中心</w:t>
            </w:r>
            <w:r>
              <w:rPr>
                <w:rFonts w:ascii="Times New Roman" w:hAnsi="Times New Roman" w:eastAsia="仿宋_GB2312" w:cs="Times New Roman"/>
                <w:color w:val="000000"/>
                <w:kern w:val="0"/>
                <w:szCs w:val="21"/>
              </w:rPr>
              <w:t xml:space="preserve"> </w:t>
            </w:r>
          </w:p>
        </w:tc>
        <w:tc>
          <w:tcPr>
            <w:tcW w:w="131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5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4"/>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19108.19万元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7249.64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27.50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2022年对机关事业单位养老保险基金的补助剔除了养老保险征缴收入数据。</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451.78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18656.41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97.64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19108.19万元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7249.64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27.50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2022年对机关事业单位养老保险基金的补助剔除了养老保险征缴收入数据。</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7249.64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27.50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2022年对机关事业单位养老保险基金的补助剔除了养老保险征缴收入数据。</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二）财政拨款支出决算结构情况</w:t>
      </w:r>
    </w:p>
    <w:p>
      <w:pPr>
        <w:pStyle w:val="14"/>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万元，占比100%</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416.23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调整预算数为</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支出决算数</w:t>
      </w:r>
      <w:r>
        <w:rPr>
          <w:rFonts w:hint="eastAsia" w:ascii="Times New Roman" w:hAnsi="Times New Roman" w:eastAsia="仿宋_GB2312"/>
          <w:sz w:val="32"/>
          <w:szCs w:val="32"/>
          <w:lang w:val="en-US" w:eastAsia="zh-CN"/>
        </w:rPr>
        <w:t>19108.19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4590.77</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其中：</w:t>
      </w:r>
    </w:p>
    <w:p>
      <w:pPr>
        <w:pStyle w:val="14"/>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支出（类）人力资源和社会保障管理事务（款）社会保险经办机构（项）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416.23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451.78万元，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451.78</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年初</w:t>
      </w:r>
      <w:r>
        <w:rPr>
          <w:rFonts w:hint="eastAsia" w:ascii="Times New Roman" w:hAnsi="Times New Roman" w:eastAsia="仿宋_GB2312"/>
          <w:sz w:val="32"/>
          <w:szCs w:val="32"/>
        </w:rPr>
        <w:t>预算的10</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完成调整预算数的100%。决算数大于年初预算数的主要原因是：增加人员经费。</w:t>
      </w:r>
    </w:p>
    <w:p>
      <w:pPr>
        <w:pStyle w:val="14"/>
        <w:keepNext w:val="0"/>
        <w:keepLines w:val="0"/>
        <w:pageBreakBefore w:val="0"/>
        <w:widowControl w:val="0"/>
        <w:numPr>
          <w:ilvl w:val="0"/>
          <w:numId w:val="3"/>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支出（类）行政事业单位养老支出（款）对机关事业单位基本养老保险基金的补助（项）</w:t>
      </w:r>
    </w:p>
    <w:p>
      <w:pPr>
        <w:pStyle w:val="9"/>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8101万元，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8101</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预算的100%</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决算数大于年初预算数的主要原因是：年初基金预算另列。</w:t>
      </w:r>
    </w:p>
    <w:p>
      <w:pPr>
        <w:pStyle w:val="9"/>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3、</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支出（类）行政事业单位养老支出（款）对机关事业单位职业年金的补助（项）</w:t>
      </w:r>
    </w:p>
    <w:p>
      <w:pPr>
        <w:pStyle w:val="9"/>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1595.65万元，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1595.65</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预算的100%</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决算数大于年初预算数的主要原因是：年初基金预算另列。</w:t>
      </w:r>
    </w:p>
    <w:p>
      <w:pPr>
        <w:pStyle w:val="9"/>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4、</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支出（类）</w:t>
      </w:r>
      <w:r>
        <w:rPr>
          <w:rFonts w:hint="eastAsia" w:ascii="Times New Roman" w:hAnsi="Times New Roman" w:eastAsia="仿宋_GB2312"/>
          <w:sz w:val="32"/>
          <w:szCs w:val="32"/>
        </w:rPr>
        <w:t>财政对基本养老保险基金的补助</w:t>
      </w:r>
      <w:r>
        <w:rPr>
          <w:rFonts w:hint="eastAsia" w:ascii="Times New Roman" w:hAnsi="Times New Roman" w:eastAsia="仿宋_GB2312"/>
          <w:sz w:val="32"/>
          <w:szCs w:val="32"/>
          <w:lang w:eastAsia="zh-CN"/>
        </w:rPr>
        <w:t>（款）财政对</w:t>
      </w:r>
      <w:r>
        <w:rPr>
          <w:rFonts w:hint="eastAsia" w:ascii="Times New Roman" w:hAnsi="Times New Roman" w:eastAsia="仿宋_GB2312"/>
          <w:sz w:val="32"/>
          <w:szCs w:val="32"/>
        </w:rPr>
        <w:t>城乡居民基本养老保险基金的补助</w:t>
      </w:r>
      <w:r>
        <w:rPr>
          <w:rFonts w:hint="eastAsia" w:ascii="Times New Roman" w:hAnsi="Times New Roman" w:eastAsia="仿宋_GB2312"/>
          <w:sz w:val="32"/>
          <w:szCs w:val="32"/>
          <w:lang w:eastAsia="zh-CN"/>
        </w:rPr>
        <w:t>（项）</w:t>
      </w:r>
    </w:p>
    <w:p>
      <w:pPr>
        <w:pStyle w:val="14"/>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8959.76万元，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8959.76</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预算的100%</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决算数大于年初预算数的主要原因是：年初基金预算另列。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支出合计</w:t>
      </w:r>
      <w:r>
        <w:rPr>
          <w:rFonts w:hint="eastAsia" w:ascii="Times New Roman" w:hAnsi="Times New Roman" w:eastAsia="仿宋_GB2312"/>
          <w:sz w:val="32"/>
          <w:szCs w:val="32"/>
          <w:lang w:val="en-US" w:eastAsia="zh-CN"/>
        </w:rPr>
        <w:t>19108.19万元，包括</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val="en-US" w:eastAsia="zh-CN"/>
        </w:rPr>
        <w:t>451.78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占总支出的</w:t>
      </w:r>
      <w:r>
        <w:rPr>
          <w:rFonts w:hint="eastAsia" w:ascii="Times New Roman" w:hAnsi="Times New Roman" w:eastAsia="仿宋_GB2312"/>
          <w:sz w:val="32"/>
          <w:szCs w:val="32"/>
          <w:lang w:val="en-US" w:eastAsia="zh-CN"/>
        </w:rPr>
        <w:t>2.36%；</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18656.41万元，占总支出的97.64%。</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基本支出451.78万元，</w:t>
      </w:r>
      <w:r>
        <w:rPr>
          <w:rFonts w:hint="eastAsia" w:ascii="Times New Roman" w:hAnsi="Times New Roman" w:eastAsia="仿宋_GB2312"/>
          <w:sz w:val="32"/>
          <w:szCs w:val="32"/>
        </w:rPr>
        <w:t>其中：人员经费</w:t>
      </w:r>
      <w:r>
        <w:rPr>
          <w:rFonts w:hint="eastAsia" w:ascii="Times New Roman" w:hAnsi="Times New Roman" w:eastAsia="仿宋_GB2312"/>
          <w:sz w:val="32"/>
          <w:szCs w:val="32"/>
          <w:lang w:val="en-US" w:eastAsia="zh-CN"/>
        </w:rPr>
        <w:t>337.65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74.74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105.25万元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68.59万元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8.34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48.57万元、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51.22</w:t>
      </w:r>
      <w:r>
        <w:rPr>
          <w:rFonts w:hint="eastAsia" w:ascii="Times New Roman" w:hAnsi="Times New Roman" w:eastAsia="仿宋_GB2312"/>
          <w:sz w:val="32"/>
          <w:szCs w:val="32"/>
        </w:rPr>
        <w:t>万</w:t>
      </w:r>
      <w:r>
        <w:rPr>
          <w:rFonts w:hint="eastAsia" w:ascii="Times New Roman" w:hAnsi="Times New Roman" w:eastAsia="仿宋_GB2312"/>
          <w:sz w:val="32"/>
          <w:szCs w:val="32"/>
          <w:lang w:eastAsia="zh-CN"/>
        </w:rPr>
        <w:t>元、</w:t>
      </w:r>
      <w:r>
        <w:rPr>
          <w:rFonts w:hint="eastAsia" w:ascii="Times New Roman" w:hAnsi="Times New Roman" w:eastAsia="仿宋_GB2312"/>
          <w:sz w:val="32"/>
          <w:szCs w:val="32"/>
        </w:rPr>
        <w:t>职业年金缴费</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万元，职工基本医疗保险缴费</w:t>
      </w:r>
      <w:r>
        <w:rPr>
          <w:rFonts w:hint="eastAsia" w:ascii="Times New Roman" w:hAnsi="Times New Roman" w:eastAsia="仿宋_GB2312"/>
          <w:sz w:val="32"/>
          <w:szCs w:val="32"/>
          <w:lang w:val="en-US" w:eastAsia="zh-CN"/>
        </w:rPr>
        <w:t>23.31</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19.91</w:t>
      </w:r>
      <w:r>
        <w:rPr>
          <w:rFonts w:hint="eastAsia" w:ascii="Times New Roman" w:hAnsi="Times New Roman" w:eastAsia="仿宋_GB2312"/>
          <w:sz w:val="32"/>
          <w:szCs w:val="32"/>
        </w:rPr>
        <w:t>万元，其他工资福利支出</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114.13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25.26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28.26</w:t>
      </w:r>
      <w:r>
        <w:rPr>
          <w:rFonts w:hint="eastAsia" w:ascii="Times New Roman" w:hAnsi="Times New Roman" w:eastAsia="仿宋_GB2312"/>
          <w:sz w:val="32"/>
          <w:szCs w:val="32"/>
        </w:rPr>
        <w:t>万、印刷费</w:t>
      </w:r>
      <w:r>
        <w:rPr>
          <w:rFonts w:hint="eastAsia" w:ascii="Times New Roman" w:hAnsi="Times New Roman" w:eastAsia="仿宋_GB2312"/>
          <w:sz w:val="32"/>
          <w:szCs w:val="32"/>
          <w:lang w:val="en-US" w:eastAsia="zh-CN"/>
        </w:rPr>
        <w:t>21.16</w:t>
      </w:r>
      <w:r>
        <w:rPr>
          <w:rFonts w:hint="eastAsia" w:ascii="Times New Roman" w:hAnsi="Times New Roman" w:eastAsia="仿宋_GB2312"/>
          <w:sz w:val="32"/>
          <w:szCs w:val="32"/>
        </w:rPr>
        <w:t>万、差旅费</w:t>
      </w:r>
      <w:r>
        <w:rPr>
          <w:rFonts w:hint="eastAsia" w:ascii="Times New Roman" w:hAnsi="Times New Roman" w:eastAsia="仿宋_GB2312"/>
          <w:sz w:val="32"/>
          <w:szCs w:val="32"/>
          <w:lang w:val="en-US" w:eastAsia="zh-CN"/>
        </w:rPr>
        <w:t>2.84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维护费</w:t>
      </w:r>
      <w:r>
        <w:rPr>
          <w:rFonts w:hint="eastAsia" w:ascii="Times New Roman" w:hAnsi="Times New Roman" w:eastAsia="仿宋_GB2312"/>
          <w:sz w:val="32"/>
          <w:szCs w:val="32"/>
          <w:lang w:val="en-US" w:eastAsia="zh-CN"/>
        </w:rPr>
        <w:t>15.21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lang w:val="en-US" w:eastAsia="zh-CN"/>
        </w:rPr>
        <w:t>0.02万元、</w:t>
      </w:r>
      <w:r>
        <w:rPr>
          <w:rFonts w:hint="eastAsia" w:ascii="Times New Roman" w:hAnsi="Times New Roman" w:eastAsia="仿宋_GB2312"/>
          <w:sz w:val="32"/>
          <w:szCs w:val="32"/>
        </w:rPr>
        <w:t>公务接待</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万元，劳务费</w:t>
      </w:r>
      <w:r>
        <w:rPr>
          <w:rFonts w:hint="eastAsia" w:ascii="Times New Roman" w:hAnsi="Times New Roman" w:eastAsia="仿宋_GB2312"/>
          <w:sz w:val="32"/>
          <w:szCs w:val="32"/>
          <w:lang w:val="en-US" w:eastAsia="zh-CN"/>
        </w:rPr>
        <w:t>3.58</w:t>
      </w:r>
      <w:r>
        <w:rPr>
          <w:rFonts w:hint="eastAsia" w:ascii="Times New Roman" w:hAnsi="Times New Roman" w:eastAsia="仿宋_GB2312"/>
          <w:sz w:val="32"/>
          <w:szCs w:val="32"/>
        </w:rPr>
        <w:t>万元，工会费</w:t>
      </w:r>
      <w:r>
        <w:rPr>
          <w:rFonts w:hint="eastAsia" w:ascii="Times New Roman" w:hAnsi="Times New Roman" w:eastAsia="仿宋_GB2312"/>
          <w:sz w:val="32"/>
          <w:szCs w:val="32"/>
          <w:lang w:val="en-US" w:eastAsia="zh-CN"/>
        </w:rPr>
        <w:t>20.62</w:t>
      </w:r>
      <w:r>
        <w:rPr>
          <w:rFonts w:hint="eastAsia" w:ascii="Times New Roman" w:hAnsi="Times New Roman" w:eastAsia="仿宋_GB2312"/>
          <w:sz w:val="32"/>
          <w:szCs w:val="32"/>
        </w:rPr>
        <w:t>万元，其他交通费</w:t>
      </w:r>
      <w:r>
        <w:rPr>
          <w:rFonts w:hint="eastAsia" w:ascii="Times New Roman" w:hAnsi="Times New Roman" w:eastAsia="仿宋_GB2312"/>
          <w:sz w:val="32"/>
          <w:szCs w:val="32"/>
          <w:lang w:val="en-US" w:eastAsia="zh-CN"/>
        </w:rPr>
        <w:t>2.37</w:t>
      </w:r>
      <w:r>
        <w:rPr>
          <w:rFonts w:hint="eastAsia" w:ascii="Times New Roman" w:hAnsi="Times New Roman" w:eastAsia="仿宋_GB2312"/>
          <w:sz w:val="32"/>
          <w:szCs w:val="32"/>
        </w:rPr>
        <w:t>万元，其他商品与服务支出</w:t>
      </w:r>
      <w:r>
        <w:rPr>
          <w:rFonts w:hint="eastAsia" w:ascii="Times New Roman" w:hAnsi="Times New Roman" w:eastAsia="仿宋_GB2312"/>
          <w:sz w:val="32"/>
          <w:szCs w:val="32"/>
          <w:lang w:val="en-US" w:eastAsia="zh-CN"/>
        </w:rPr>
        <w:t>18.84</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18656.41万元，其中</w:t>
      </w:r>
      <w:r>
        <w:rPr>
          <w:rFonts w:hint="eastAsia" w:ascii="Times New Roman" w:hAnsi="Times New Roman" w:eastAsia="仿宋_GB2312"/>
          <w:sz w:val="32"/>
          <w:szCs w:val="32"/>
          <w:lang w:eastAsia="zh-CN"/>
        </w:rPr>
        <w:t>行政事业单位养老支出对机关事业单位基本养老保险基金的补助</w:t>
      </w:r>
      <w:r>
        <w:rPr>
          <w:rFonts w:hint="eastAsia" w:ascii="Times New Roman" w:hAnsi="Times New Roman" w:eastAsia="仿宋_GB2312"/>
          <w:sz w:val="32"/>
          <w:szCs w:val="32"/>
          <w:lang w:val="en-US" w:eastAsia="zh-CN"/>
        </w:rPr>
        <w:t>8101万元，占项目支出的43.42%；</w:t>
      </w:r>
      <w:r>
        <w:rPr>
          <w:rFonts w:hint="eastAsia" w:ascii="Times New Roman" w:hAnsi="Times New Roman" w:eastAsia="仿宋_GB2312"/>
          <w:sz w:val="32"/>
          <w:szCs w:val="32"/>
          <w:lang w:eastAsia="zh-CN"/>
        </w:rPr>
        <w:t>对机关事业单位职业年金的补助</w:t>
      </w:r>
      <w:r>
        <w:rPr>
          <w:rFonts w:hint="eastAsia" w:ascii="Times New Roman" w:hAnsi="Times New Roman" w:eastAsia="仿宋_GB2312"/>
          <w:sz w:val="32"/>
          <w:szCs w:val="32"/>
          <w:lang w:val="en-US" w:eastAsia="zh-CN"/>
        </w:rPr>
        <w:t>1595.65万元，占项目支出的8.55%；</w:t>
      </w:r>
      <w:r>
        <w:rPr>
          <w:rFonts w:hint="eastAsia" w:ascii="Times New Roman" w:hAnsi="Times New Roman" w:eastAsia="仿宋_GB2312"/>
          <w:sz w:val="32"/>
          <w:szCs w:val="32"/>
          <w:lang w:eastAsia="zh-CN"/>
        </w:rPr>
        <w:t>财政对</w:t>
      </w:r>
      <w:r>
        <w:rPr>
          <w:rFonts w:hint="eastAsia" w:ascii="Times New Roman" w:hAnsi="Times New Roman" w:eastAsia="仿宋_GB2312"/>
          <w:sz w:val="32"/>
          <w:szCs w:val="32"/>
        </w:rPr>
        <w:t>城乡居民基本养老保险基金的补助</w:t>
      </w:r>
      <w:r>
        <w:rPr>
          <w:rFonts w:hint="eastAsia" w:ascii="Times New Roman" w:hAnsi="Times New Roman" w:eastAsia="仿宋_GB2312"/>
          <w:sz w:val="32"/>
          <w:szCs w:val="32"/>
          <w:lang w:val="en-US" w:eastAsia="zh-CN"/>
        </w:rPr>
        <w:t>8959.76万元，占项目支出的48.03%。</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p>
    <w:p>
      <w:pPr>
        <w:pStyle w:val="14"/>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30.75</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30.75</w:t>
      </w:r>
      <w:r>
        <w:rPr>
          <w:rFonts w:hint="eastAsia" w:ascii="Times New Roman" w:hAnsi="Times New Roman" w:eastAsia="仿宋_GB2312"/>
          <w:sz w:val="32"/>
          <w:szCs w:val="32"/>
        </w:rPr>
        <w:t>%，决算数小于预算数的主要原因是厉行节约，压缩三公经费，与上年相比增加</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企业新系统上线，县区间的业务学习交流增加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bookmarkStart w:id="3" w:name="_GoBack"/>
      <w:bookmarkEnd w:id="3"/>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县区间的业务学习交流</w:t>
      </w:r>
      <w:r>
        <w:rPr>
          <w:rFonts w:hint="eastAsia" w:ascii="Times New Roman" w:hAnsi="Times New Roman" w:eastAsia="仿宋_GB2312"/>
          <w:sz w:val="32"/>
          <w:szCs w:val="32"/>
        </w:rPr>
        <w:t>发生的接待支出。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万元，新田县社会保险服务中心本级及所属事业单位是新田县社会保险服务中心更新公务用车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本单位无此项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2022年度政府性基金预算财政拨款收入0万元；年初结转和结余0万元；支出0万元，其中基本支出0万元，项目支出0万元；年末结转和结余0万元。主要原因是本单位无政府性基金收支。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114.13</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42.42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59.15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印刷费增加，用于森林防火和下乡扩面宣传；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工会经费增加，招录新人员。</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会计继续教育</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事业单位会计继续教育</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举办节庆、晚会、论坛、赛事等活动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我县社保真抓实干相关指标、高质量发展任务全面完成。特别是在推进企业社保基金征缴及参保扩面、职业年金虚账做实、优化服务、机关事业单位养老保险原试点退费等工作过程中，采取了主动、靠前的态度，在自我加压中超越目标，工作成效较2021年取得了长足发展，超额完成了下发的目标任务，各项成绩在县市区排名中荣获前列，得到了省、市领导的充分肯定。</w:t>
      </w:r>
    </w:p>
    <w:p>
      <w:pPr>
        <w:ind w:firstLine="640" w:firstLineChars="200"/>
        <w:jc w:val="left"/>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val="en-US" w:eastAsia="zh-CN"/>
        </w:rPr>
        <w:t>一、</w:t>
      </w:r>
      <w:r>
        <w:rPr>
          <w:rFonts w:hint="eastAsia" w:ascii="黑体" w:hAnsi="黑体" w:eastAsia="黑体" w:cs="黑体"/>
          <w:b w:val="0"/>
          <w:bCs/>
          <w:color w:val="auto"/>
          <w:sz w:val="32"/>
          <w:szCs w:val="32"/>
          <w:u w:val="none"/>
        </w:rPr>
        <w:t>踔厉奋发，在企业社保基金征缴及参保扩面“基地”上筑新楼</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受疫情及经济环境影响，2022年我县园区未参保单位较多，园区登记用工2848人，实际参保缴费612人，参保率不足21.5%，从园区扩面着手难度极大。加上受前期森林防火、疫情防控工作影响，扩面进度不理想。我中心及时改变了工作策略，重点加快灵活就业人员参保扩面。</w:t>
      </w:r>
      <w:r>
        <w:rPr>
          <w:rFonts w:hint="eastAsia" w:ascii="仿宋" w:hAnsi="仿宋" w:eastAsia="仿宋"/>
          <w:b/>
          <w:bCs/>
          <w:color w:val="auto"/>
          <w:sz w:val="32"/>
          <w:szCs w:val="32"/>
          <w:u w:val="none"/>
        </w:rPr>
        <w:t>一是建立专班推进机制。</w:t>
      </w:r>
      <w:r>
        <w:rPr>
          <w:rFonts w:hint="eastAsia" w:ascii="Times New Roman" w:hAnsi="Times New Roman" w:eastAsia="仿宋_GB2312" w:cs="黑体"/>
          <w:color w:val="000000"/>
          <w:kern w:val="0"/>
          <w:sz w:val="32"/>
          <w:szCs w:val="32"/>
          <w:lang w:val="en-US" w:eastAsia="zh-CN" w:bidi="ar-SA"/>
        </w:rPr>
        <w:t>成立了指标任务推进专班，班子成员按乡镇分配灵活就业人员参保扩面指标任务；建立了联系乡镇工作责任制度，细化实化重点任务、时间表、路线图，确保各项工作落地落细落在实处；坚持周调度、月总结制度，定期通报各组工作进度和工作实绩，形成你追我赶、齐头并进的浓厚氛围</w:t>
      </w:r>
      <w:r>
        <w:rPr>
          <w:rFonts w:hint="eastAsia" w:ascii="仿宋" w:hAnsi="仿宋" w:eastAsia="仿宋"/>
          <w:color w:val="auto"/>
          <w:sz w:val="32"/>
          <w:szCs w:val="32"/>
          <w:u w:val="none"/>
        </w:rPr>
        <w:t>。</w:t>
      </w:r>
      <w:r>
        <w:rPr>
          <w:rFonts w:hint="eastAsia" w:ascii="仿宋" w:hAnsi="仿宋" w:eastAsia="仿宋"/>
          <w:b/>
          <w:bCs/>
          <w:color w:val="auto"/>
          <w:sz w:val="32"/>
          <w:szCs w:val="32"/>
          <w:u w:val="none"/>
        </w:rPr>
        <w:t>二是</w:t>
      </w:r>
      <w:r>
        <w:rPr>
          <w:rFonts w:hint="eastAsia" w:ascii="仿宋" w:hAnsi="仿宋" w:eastAsia="仿宋"/>
          <w:b/>
          <w:bCs/>
          <w:color w:val="auto"/>
          <w:sz w:val="32"/>
          <w:szCs w:val="32"/>
          <w:u w:val="none"/>
          <w:lang w:val="en-US" w:eastAsia="zh-CN"/>
        </w:rPr>
        <w:t>带头示范，在大宣讲中完成</w:t>
      </w:r>
      <w:r>
        <w:rPr>
          <w:rFonts w:hint="eastAsia" w:ascii="仿宋" w:hAnsi="仿宋" w:eastAsia="仿宋"/>
          <w:b/>
          <w:bCs/>
          <w:color w:val="auto"/>
          <w:sz w:val="32"/>
          <w:szCs w:val="32"/>
          <w:u w:val="none"/>
        </w:rPr>
        <w:t>实践探索</w:t>
      </w:r>
      <w:r>
        <w:rPr>
          <w:rFonts w:hint="eastAsia" w:ascii="仿宋" w:hAnsi="仿宋" w:eastAsia="仿宋"/>
          <w:b/>
          <w:bCs/>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由主要领导和分管领导带队，组织入户调研宣传队，开展分组入户走访店铺行动，确保街道和各乡镇城市店铺全部完成走访。通过实地走访和调查问卷，彻底摸清了基础信息不精准、政策落实有差距、群众宣传不到位等问题，形成了《新田县灵活就业人员调研报告》。大宣讲向群众讲清楚灵活就业人员养老保险政策的目标背景，讲清楚了养老保险保障民生基础作用的现实感受，算清了养老保险待遇实实在在的“明白账”，让群众知道惠从哪来、惠在何处，提升了群众获得感和满意度。</w:t>
      </w:r>
      <w:r>
        <w:rPr>
          <w:rFonts w:hint="eastAsia" w:ascii="仿宋" w:hAnsi="仿宋" w:eastAsia="仿宋"/>
          <w:b/>
          <w:bCs/>
          <w:color w:val="auto"/>
          <w:sz w:val="32"/>
          <w:szCs w:val="32"/>
          <w:u w:val="none"/>
        </w:rPr>
        <w:t>三是</w:t>
      </w:r>
      <w:r>
        <w:rPr>
          <w:rFonts w:hint="eastAsia" w:ascii="仿宋" w:hAnsi="仿宋" w:eastAsia="仿宋"/>
          <w:b/>
          <w:bCs/>
          <w:color w:val="auto"/>
          <w:sz w:val="32"/>
          <w:szCs w:val="32"/>
          <w:u w:val="none"/>
          <w:lang w:val="en-US" w:eastAsia="zh-CN"/>
        </w:rPr>
        <w:t>抓大不放小，</w:t>
      </w:r>
      <w:r>
        <w:rPr>
          <w:rFonts w:hint="eastAsia" w:ascii="仿宋" w:hAnsi="仿宋" w:eastAsia="仿宋"/>
          <w:b/>
          <w:bCs/>
          <w:color w:val="auto"/>
          <w:sz w:val="32"/>
          <w:szCs w:val="32"/>
          <w:u w:val="none"/>
        </w:rPr>
        <w:t>挖掘零星增长点</w:t>
      </w:r>
      <w:r>
        <w:rPr>
          <w:rFonts w:hint="eastAsia" w:ascii="仿宋" w:hAnsi="仿宋" w:eastAsia="仿宋"/>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通过研究系统数据，细化未参保人员名单，特别是针对退役军人，转移接续未缴费人员，积极联系退役军人事务局落实退役军人接续工作，一对一电话联系转移接续人员，算经济账。</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省中心下发我县企业社保基金征缴任务数8139万元，截止12月23日（考核指标数据统计日）收缴8456.64万元，完成103.90%，比2021年增加了1069.64万元，提高14.5个百分点。2022年10月，省中心临时下发了企业社保参保扩面任务，我县指标任务1100人，截止12月23日（考核指标数据统计日）参保扩面完成1126人，完成102.36%，排全市第二位。</w:t>
      </w:r>
    </w:p>
    <w:p>
      <w:pPr>
        <w:ind w:firstLine="640" w:firstLineChars="200"/>
        <w:jc w:val="left"/>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二、强基固本，在职业年金虚账做实工作及城乡居保参保扩“热浪”上辟新航</w:t>
      </w:r>
    </w:p>
    <w:p>
      <w:pPr>
        <w:ind w:firstLine="640" w:firstLineChars="200"/>
        <w:jc w:val="left"/>
        <w:rPr>
          <w:rFonts w:ascii="仿宋" w:hAnsi="仿宋" w:eastAsia="仿宋"/>
          <w:color w:val="auto"/>
          <w:sz w:val="32"/>
          <w:szCs w:val="32"/>
          <w:u w:val="none"/>
        </w:rPr>
      </w:pPr>
      <w:r>
        <w:rPr>
          <w:rFonts w:hint="eastAsia" w:ascii="Times New Roman" w:hAnsi="Times New Roman" w:eastAsia="仿宋_GB2312" w:cs="黑体"/>
          <w:color w:val="000000"/>
          <w:kern w:val="0"/>
          <w:sz w:val="32"/>
          <w:szCs w:val="32"/>
          <w:lang w:val="en-US" w:eastAsia="zh-CN" w:bidi="ar-SA"/>
        </w:rPr>
        <w:t>历年来，我县职业年金虚账做实和城乡居保参保扩面工作开展扎实，为确保继续保持优势,争取更大突破，我中心提前谋划，以“开局就加速、起步即起势”的精气神，紧盯目标任务，奋力实现工作的新突破。</w:t>
      </w:r>
      <w:r>
        <w:rPr>
          <w:rFonts w:hint="eastAsia" w:ascii="仿宋" w:hAnsi="仿宋" w:eastAsia="仿宋"/>
          <w:b/>
          <w:bCs/>
          <w:color w:val="auto"/>
          <w:sz w:val="32"/>
          <w:szCs w:val="32"/>
          <w:u w:val="none"/>
        </w:rPr>
        <w:t>一是准确把握重难点工作</w:t>
      </w:r>
      <w:r>
        <w:rPr>
          <w:rFonts w:hint="eastAsia" w:ascii="仿宋" w:hAnsi="仿宋" w:eastAsia="仿宋"/>
          <w:b/>
          <w:bCs/>
          <w:color w:val="auto"/>
          <w:sz w:val="32"/>
          <w:szCs w:val="32"/>
          <w:u w:val="none"/>
          <w:lang w:eastAsia="zh-CN"/>
        </w:rPr>
        <w:t>，在只争朝夕中赢得主动。</w:t>
      </w:r>
      <w:r>
        <w:rPr>
          <w:rFonts w:hint="eastAsia" w:ascii="Times New Roman" w:hAnsi="Times New Roman" w:eastAsia="仿宋_GB2312" w:cs="黑体"/>
          <w:color w:val="000000"/>
          <w:kern w:val="0"/>
          <w:sz w:val="32"/>
          <w:szCs w:val="32"/>
          <w:lang w:val="en-US" w:eastAsia="zh-CN" w:bidi="ar-SA"/>
        </w:rPr>
        <w:t>针对关系转移、退休“中人”待遇重算、人员死亡待遇支付等主要难点工作，中心看清机遇，乘势而上，突出“早快实”。春节前后全面铺开了全年工作，对已经确定或看准要干的事抢时间、抢进度，尽快明确计划、争取资金早落实，对研究可行的措施，及时安排专人扎实落实，难点逐一突破、化解，精准测算，做到职业年金应记尽记；</w:t>
      </w:r>
      <w:r>
        <w:rPr>
          <w:rFonts w:hint="eastAsia" w:ascii="仿宋" w:hAnsi="仿宋" w:eastAsia="仿宋"/>
          <w:b/>
          <w:bCs/>
          <w:color w:val="auto"/>
          <w:sz w:val="32"/>
          <w:szCs w:val="32"/>
          <w:u w:val="none"/>
        </w:rPr>
        <w:t>二是加强职业年金虚账做实的强度、力度</w:t>
      </w:r>
      <w:r>
        <w:rPr>
          <w:rFonts w:hint="eastAsia" w:ascii="仿宋" w:hAnsi="仿宋" w:eastAsia="仿宋"/>
          <w:b/>
          <w:bCs/>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积极向县委、县政府汇报，确保做实资金及时足额到位，并备足三个月的预留资金；</w:t>
      </w:r>
      <w:r>
        <w:rPr>
          <w:rFonts w:hint="eastAsia" w:ascii="仿宋" w:hAnsi="仿宋" w:eastAsia="仿宋"/>
          <w:b/>
          <w:bCs/>
          <w:color w:val="auto"/>
          <w:sz w:val="32"/>
          <w:szCs w:val="32"/>
          <w:u w:val="none"/>
          <w:lang w:val="en-US" w:eastAsia="zh-CN"/>
        </w:rPr>
        <w:t>三是主动破局，</w:t>
      </w:r>
      <w:r>
        <w:rPr>
          <w:rFonts w:hint="eastAsia" w:ascii="仿宋" w:hAnsi="仿宋" w:eastAsia="仿宋"/>
          <w:b/>
          <w:bCs/>
          <w:color w:val="auto"/>
          <w:sz w:val="32"/>
          <w:szCs w:val="32"/>
          <w:u w:val="none"/>
        </w:rPr>
        <w:t>着力</w:t>
      </w:r>
      <w:r>
        <w:rPr>
          <w:rFonts w:ascii="仿宋" w:hAnsi="仿宋" w:eastAsia="仿宋"/>
          <w:b/>
          <w:bCs/>
          <w:color w:val="auto"/>
          <w:sz w:val="32"/>
          <w:szCs w:val="32"/>
          <w:u w:val="none"/>
        </w:rPr>
        <w:t>扭转</w:t>
      </w:r>
      <w:r>
        <w:rPr>
          <w:rFonts w:hint="eastAsia" w:ascii="仿宋" w:hAnsi="仿宋" w:eastAsia="仿宋"/>
          <w:b/>
          <w:bCs/>
          <w:color w:val="auto"/>
          <w:sz w:val="32"/>
          <w:szCs w:val="32"/>
          <w:u w:val="none"/>
          <w:lang w:val="en-US" w:eastAsia="zh-CN"/>
        </w:rPr>
        <w:t>居保</w:t>
      </w:r>
      <w:r>
        <w:rPr>
          <w:rFonts w:ascii="仿宋" w:hAnsi="仿宋" w:eastAsia="仿宋"/>
          <w:b/>
          <w:bCs/>
          <w:color w:val="auto"/>
          <w:sz w:val="32"/>
          <w:szCs w:val="32"/>
          <w:u w:val="none"/>
        </w:rPr>
        <w:t>参保人数逐年下降的趋势</w:t>
      </w:r>
      <w:r>
        <w:rPr>
          <w:rFonts w:hint="eastAsia" w:ascii="仿宋" w:hAnsi="仿宋" w:eastAsia="仿宋"/>
          <w:b/>
          <w:bCs/>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通过精准识别未参保人员，下发各村未缴费明细，重点突击困难人员参保扩面。2022年，我县职业年金虚账做实任务1772人，截至12月,做实人数1772人，任务完成率100%。城乡居民养老保险参保缴费及待遇享受人数23.13万人，基本扭转了人数逐年降低趋势，完成率99.91%，比全省平均值高0.54个百分点，比全市平均值高0.15个百分点，得到了省市领导的充分肯定。</w:t>
      </w:r>
    </w:p>
    <w:p>
      <w:pPr>
        <w:ind w:firstLine="640" w:firstLineChars="200"/>
        <w:jc w:val="left"/>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lang w:val="en-US" w:eastAsia="zh-CN"/>
        </w:rPr>
        <w:t>三、</w:t>
      </w:r>
      <w:r>
        <w:rPr>
          <w:rFonts w:hint="eastAsia" w:ascii="黑体" w:hAnsi="黑体" w:eastAsia="黑体" w:cs="黑体"/>
          <w:b w:val="0"/>
          <w:bCs w:val="0"/>
          <w:color w:val="auto"/>
          <w:sz w:val="32"/>
          <w:szCs w:val="32"/>
          <w:u w:val="none"/>
        </w:rPr>
        <w:t>优化建设，在打造“为民、务实、清廉、高效”服务型窗口的“名片”上展新颜</w:t>
      </w:r>
    </w:p>
    <w:p>
      <w:pPr>
        <w:jc w:val="left"/>
        <w:rPr>
          <w:rFonts w:hint="eastAsia" w:ascii="Times New Roman" w:hAnsi="Times New Roman" w:eastAsia="仿宋_GB2312" w:cs="黑体"/>
          <w:color w:val="000000"/>
          <w:kern w:val="0"/>
          <w:sz w:val="32"/>
          <w:szCs w:val="32"/>
          <w:lang w:val="en-US" w:eastAsia="zh-CN" w:bidi="ar-SA"/>
        </w:rPr>
      </w:pPr>
      <w:r>
        <w:rPr>
          <w:rFonts w:hint="eastAsia" w:ascii="宋体" w:hAnsi="宋体" w:eastAsia="宋体"/>
          <w:color w:val="auto"/>
          <w:sz w:val="32"/>
          <w:szCs w:val="32"/>
          <w:u w:val="none"/>
        </w:rPr>
        <w:t xml:space="preserve"> </w:t>
      </w:r>
      <w:r>
        <w:rPr>
          <w:rFonts w:ascii="宋体" w:hAnsi="宋体" w:eastAsia="宋体"/>
          <w:color w:val="auto"/>
          <w:sz w:val="32"/>
          <w:szCs w:val="32"/>
          <w:u w:val="none"/>
        </w:rPr>
        <w:t xml:space="preserve">    </w:t>
      </w:r>
      <w:r>
        <w:rPr>
          <w:rFonts w:hint="eastAsia" w:ascii="Times New Roman" w:hAnsi="Times New Roman" w:eastAsia="仿宋_GB2312" w:cs="黑体"/>
          <w:color w:val="000000"/>
          <w:kern w:val="0"/>
          <w:sz w:val="32"/>
          <w:szCs w:val="32"/>
          <w:lang w:val="en-US" w:eastAsia="zh-CN" w:bidi="ar-SA"/>
        </w:rPr>
        <w:t>我中心着力打造“阳光服务、便民服务、优质服务、民生保障”四大特色，引领窗口单位在践行服务承诺、规范服务程序、提升服务质量上下功夫、展形象、促和谐。</w:t>
      </w:r>
      <w:r>
        <w:rPr>
          <w:rFonts w:hint="eastAsia" w:ascii="仿宋" w:hAnsi="仿宋" w:eastAsia="仿宋"/>
          <w:b/>
          <w:bCs/>
          <w:color w:val="auto"/>
          <w:sz w:val="32"/>
          <w:szCs w:val="32"/>
          <w:u w:val="none"/>
        </w:rPr>
        <w:t>一是</w:t>
      </w:r>
      <w:r>
        <w:rPr>
          <w:rFonts w:hint="eastAsia" w:ascii="仿宋" w:hAnsi="仿宋" w:eastAsia="仿宋"/>
          <w:b/>
          <w:bCs/>
          <w:color w:val="auto"/>
          <w:sz w:val="32"/>
          <w:szCs w:val="32"/>
          <w:u w:val="none"/>
          <w:lang w:val="en-US" w:eastAsia="zh-CN"/>
        </w:rPr>
        <w:t>强化</w:t>
      </w:r>
      <w:r>
        <w:rPr>
          <w:rFonts w:hint="eastAsia" w:ascii="仿宋" w:hAnsi="仿宋" w:eastAsia="仿宋"/>
          <w:b/>
          <w:bCs/>
          <w:color w:val="auto"/>
          <w:sz w:val="32"/>
          <w:szCs w:val="32"/>
          <w:u w:val="none"/>
        </w:rPr>
        <w:t>服务水平和服务理念</w:t>
      </w:r>
      <w:r>
        <w:rPr>
          <w:rFonts w:hint="eastAsia" w:ascii="仿宋" w:hAnsi="仿宋" w:eastAsia="仿宋"/>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针对社保工作实际，从细节入手，全面规范服务标准和服务行为，树立人人都是服务窗口、处处都是服务窗口的服务理念。</w:t>
      </w:r>
      <w:r>
        <w:rPr>
          <w:rFonts w:hint="eastAsia" w:ascii="仿宋" w:hAnsi="仿宋" w:eastAsia="仿宋"/>
          <w:b/>
          <w:bCs/>
          <w:color w:val="auto"/>
          <w:sz w:val="32"/>
          <w:szCs w:val="32"/>
          <w:u w:val="none"/>
        </w:rPr>
        <w:t>二是精简窗口设置</w:t>
      </w:r>
      <w:r>
        <w:rPr>
          <w:rFonts w:hint="eastAsia" w:ascii="仿宋" w:hAnsi="仿宋" w:eastAsia="仿宋"/>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将原来的5个分类别办理业务的窗口精简为3个综合窗口，实行副主任按周轮流带班和中心主任监督制度，实现“一窗通办”，赢得干群的好评。</w:t>
      </w:r>
      <w:r>
        <w:rPr>
          <w:rFonts w:hint="eastAsia" w:ascii="仿宋" w:hAnsi="仿宋" w:eastAsia="仿宋"/>
          <w:b/>
          <w:bCs/>
          <w:color w:val="auto"/>
          <w:sz w:val="32"/>
          <w:szCs w:val="32"/>
          <w:u w:val="none"/>
        </w:rPr>
        <w:t>三是加大宣传力度</w:t>
      </w:r>
      <w:r>
        <w:rPr>
          <w:rFonts w:hint="eastAsia" w:ascii="仿宋" w:hAnsi="仿宋" w:eastAsia="仿宋"/>
          <w:color w:val="auto"/>
          <w:sz w:val="32"/>
          <w:szCs w:val="32"/>
          <w:u w:val="none"/>
          <w:lang w:eastAsia="zh-CN"/>
        </w:rPr>
        <w:t>。</w:t>
      </w:r>
      <w:r>
        <w:rPr>
          <w:rFonts w:hint="eastAsia" w:ascii="Times New Roman" w:hAnsi="Times New Roman" w:eastAsia="仿宋_GB2312" w:cs="黑体"/>
          <w:color w:val="000000"/>
          <w:kern w:val="0"/>
          <w:sz w:val="32"/>
          <w:szCs w:val="32"/>
          <w:lang w:val="en-US" w:eastAsia="zh-CN" w:bidi="ar-SA"/>
        </w:rPr>
        <w:t>通过线下摆点发放宣传手册与线上信息推送、媒体广播相结合的方式，大力宣传推广使用“智慧人社”App和“湘税社保”小程序，让城乡职工企业养老保险退休人员和广大群众积极下载、注册，足不出户就能完成认证，知晓社保信息，办理相关业务，提供了极大的便利。</w:t>
      </w:r>
    </w:p>
    <w:p>
      <w:pPr>
        <w:ind w:firstLine="640" w:firstLineChars="200"/>
        <w:jc w:val="left"/>
        <w:rPr>
          <w:rFonts w:ascii="仿宋" w:hAnsi="仿宋" w:eastAsia="仿宋"/>
          <w:b/>
          <w:bCs/>
          <w:color w:val="auto"/>
          <w:sz w:val="32"/>
          <w:szCs w:val="32"/>
          <w:u w:val="none"/>
        </w:rPr>
      </w:pPr>
      <w:r>
        <w:rPr>
          <w:rFonts w:ascii="仿宋" w:hAnsi="仿宋" w:eastAsia="仿宋"/>
          <w:b/>
          <w:bCs/>
          <w:color w:val="auto"/>
          <w:sz w:val="32"/>
          <w:szCs w:val="32"/>
          <w:u w:val="none"/>
        </w:rPr>
        <w:t>2022年，县</w:t>
      </w:r>
      <w:r>
        <w:rPr>
          <w:rFonts w:hint="eastAsia" w:ascii="仿宋" w:hAnsi="仿宋" w:eastAsia="仿宋"/>
          <w:b/>
          <w:bCs/>
          <w:color w:val="auto"/>
          <w:sz w:val="32"/>
          <w:szCs w:val="32"/>
          <w:u w:val="none"/>
          <w:lang w:val="en-US" w:eastAsia="zh-CN"/>
        </w:rPr>
        <w:t>社会保险服务</w:t>
      </w:r>
      <w:r>
        <w:rPr>
          <w:rFonts w:ascii="仿宋" w:hAnsi="仿宋" w:eastAsia="仿宋"/>
          <w:b/>
          <w:bCs/>
          <w:color w:val="auto"/>
          <w:sz w:val="32"/>
          <w:szCs w:val="32"/>
          <w:u w:val="none"/>
        </w:rPr>
        <w:t>中心被省文明委评为省级文明窗口单位。</w:t>
      </w:r>
    </w:p>
    <w:p>
      <w:pPr>
        <w:ind w:firstLine="640" w:firstLineChars="200"/>
        <w:jc w:val="left"/>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val="en-US" w:eastAsia="zh-CN"/>
        </w:rPr>
        <w:t>四、勇</w:t>
      </w:r>
      <w:r>
        <w:rPr>
          <w:rFonts w:hint="eastAsia" w:ascii="黑体" w:hAnsi="黑体" w:eastAsia="黑体" w:cs="黑体"/>
          <w:b w:val="0"/>
          <w:bCs/>
          <w:color w:val="auto"/>
          <w:sz w:val="32"/>
          <w:szCs w:val="32"/>
          <w:u w:val="none"/>
        </w:rPr>
        <w:t>啃硬骨,在养老制度改革的“画卷”中绘新彩</w:t>
      </w:r>
    </w:p>
    <w:p>
      <w:pPr>
        <w:adjustRightInd w:val="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原试点退费是机关事业养老保险制度改革的重要一环，也是最难啃的硬骨头。机关事业养老保险试点运行近20年，退费工作涉及面广、政策性强、人员关系变化复杂、核对确认工作非常繁重，信访压力极大，加之缺少成功先例可参照借鉴。面对重重困境，我中心坚持破立并举，坚定改革信心，不等不靠，凝聚合力，多次向县委、县政府汇报工作利弊，积极争取资金支持，退费工作得到了县委领导的高度认可，主要领导表态“无论财政收支压力多大，我们都坚持把财力往民生方面倾斜”。2022年底，县委经济工作会议审议通过了我中心提交的《原试点期间个人缴费本息退费请示报告》，正式启动了我县机关社保原试点期间个人缴费本息退费工作，真正做到政府工作报告提出的“厚实民生成色、加热民生温”。</w:t>
      </w:r>
    </w:p>
    <w:p>
      <w:pPr>
        <w:ind w:firstLine="640" w:firstLineChars="200"/>
        <w:jc w:val="left"/>
        <w:rPr>
          <w:rFonts w:hint="eastAsia" w:ascii="仿宋" w:hAnsi="仿宋" w:eastAsia="黑体"/>
          <w:color w:val="auto"/>
          <w:sz w:val="32"/>
          <w:szCs w:val="32"/>
          <w:u w:val="none"/>
          <w:lang w:eastAsia="zh-CN"/>
        </w:rPr>
      </w:pPr>
      <w:r>
        <w:rPr>
          <w:rFonts w:hint="eastAsia" w:ascii="黑体" w:hAnsi="黑体" w:eastAsia="黑体" w:cs="黑体"/>
          <w:b w:val="0"/>
          <w:bCs/>
          <w:color w:val="auto"/>
          <w:sz w:val="32"/>
          <w:szCs w:val="32"/>
          <w:u w:val="none"/>
          <w:lang w:val="en-US" w:eastAsia="zh-CN"/>
        </w:rPr>
        <w:t>五、厚实民生</w:t>
      </w:r>
      <w:r>
        <w:rPr>
          <w:rFonts w:hint="eastAsia" w:ascii="黑体" w:hAnsi="黑体" w:eastAsia="黑体" w:cs="黑体"/>
          <w:b w:val="0"/>
          <w:bCs/>
          <w:color w:val="auto"/>
          <w:sz w:val="32"/>
          <w:szCs w:val="32"/>
          <w:u w:val="none"/>
        </w:rPr>
        <w:t>,</w:t>
      </w:r>
      <w:r>
        <w:rPr>
          <w:rFonts w:hint="eastAsia" w:ascii="黑体" w:hAnsi="黑体" w:eastAsia="黑体" w:cs="黑体"/>
          <w:b w:val="0"/>
          <w:bCs/>
          <w:color w:val="auto"/>
          <w:sz w:val="32"/>
          <w:szCs w:val="32"/>
          <w:u w:val="none"/>
          <w:lang w:val="en-US" w:eastAsia="zh-CN"/>
        </w:rPr>
        <w:t>在续写精彩民生的“答卷”上大加码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历年来，县域经济发展不快、财政困难、困难群体占比较大、个人账户积累低，是影响我县城乡居民养老保险保障水平的主要制约因素，历年考核排名靠后。为确保为进一步做好社会保障和改善民生工作，稳步提高全县城乡居民基本养老保险待遇水平，把翻身仗打得响、打得赢，我中心坚持破立并举，坚定信心，不等不靠，凝聚合力。一是多次向县委、县政府汇报工作利弊，得到了县委领导的高度认可。县委、县政府坚定决策，要用政府的“紧日子”换百姓的“好日子”。2022年，县财政在极其困难的情况下，为我县城乡居民养老保险基础养老金每人每月增加10元，全县新增财政支出近700万元。二是大力推进提档补缴工作。通过村村响广播，宣传城乡居保多缴多得的养老金计发方式，积极引导有条件的居民提档补缴或选择较高档次缴费，截止2022年12月底，全县补缴和提标人数完成4128人。三是做好暂停待遇人员清理工作。2022年全县完成8201名待遇暂停人员处理，实现了长期暂停人员动态清零；通过注销死亡人员，认证核实后恢复暂停待遇发放，提高总体了发放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2022年，我县城乡居民养老保险保障水平达到131.26元，比2021年增加13.62元，同比增长11.58%，折算得分0.767分，排B类县区第3位，排全市第3位。</w:t>
      </w:r>
    </w:p>
    <w:p>
      <w:pPr>
        <w:snapToGrid w:val="0"/>
        <w:spacing w:line="520" w:lineRule="exact"/>
        <w:rPr>
          <w:rFonts w:hint="eastAsia" w:ascii="Times New Roman" w:hAnsi="Times New Roman" w:eastAsia="仿宋_GB2312" w:cs="黑体"/>
          <w:color w:val="000000"/>
          <w:kern w:val="0"/>
          <w:sz w:val="32"/>
          <w:szCs w:val="32"/>
          <w:lang w:val="en-US" w:eastAsia="zh-CN" w:bidi="ar-SA"/>
        </w:rPr>
      </w:pP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djustRightInd w:val="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社保中心2022年度部门整体支出在取得一定成绩的同时，资金管理和绩效等方面仍存在一些问题，主要体现在以下几个方面：</w:t>
      </w:r>
    </w:p>
    <w:p>
      <w:pPr>
        <w:adjustRightInd w:val="0"/>
        <w:ind w:firstLine="640" w:firstLineChars="200"/>
        <w:outlineLvl w:val="1"/>
        <w:rPr>
          <w:rFonts w:ascii="仿宋_GB2312" w:hAnsi="Times New Roman" w:eastAsia="仿宋_GB2312"/>
          <w:b/>
          <w:bCs/>
          <w:kern w:val="0"/>
          <w:sz w:val="32"/>
          <w:szCs w:val="28"/>
        </w:rPr>
      </w:pPr>
      <w:r>
        <w:rPr>
          <w:rFonts w:hint="eastAsia" w:ascii="仿宋_GB2312" w:hAnsi="Times New Roman" w:eastAsia="仿宋_GB2312"/>
          <w:b/>
          <w:bCs/>
          <w:kern w:val="0"/>
          <w:sz w:val="32"/>
          <w:szCs w:val="28"/>
          <w:lang w:val="en-US" w:eastAsia="zh-CN"/>
        </w:rPr>
        <w:t>1、</w:t>
      </w:r>
      <w:r>
        <w:rPr>
          <w:rFonts w:hint="eastAsia" w:ascii="仿宋_GB2312" w:hAnsi="Times New Roman" w:eastAsia="仿宋_GB2312"/>
          <w:b/>
          <w:bCs/>
          <w:kern w:val="0"/>
          <w:sz w:val="32"/>
          <w:szCs w:val="28"/>
        </w:rPr>
        <w:t>绩效目标管理不规范</w:t>
      </w:r>
    </w:p>
    <w:p>
      <w:pPr>
        <w:adjustRightInd w:val="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部门整体支出的绩效目标管理不规范。年初预算编制中，未将部门整体支出绩效目标细化分解为具体的工作任务，绩效目标也未通过清晰、可衡量的产出和效益指标值予以体现。</w:t>
      </w:r>
    </w:p>
    <w:p>
      <w:pPr>
        <w:adjustRightInd w:val="0"/>
        <w:ind w:firstLine="640" w:firstLineChars="200"/>
        <w:outlineLvl w:val="1"/>
        <w:rPr>
          <w:rFonts w:ascii="仿宋_GB2312" w:hAnsi="Times New Roman" w:eastAsia="仿宋_GB2312"/>
          <w:b/>
          <w:bCs/>
          <w:kern w:val="0"/>
          <w:sz w:val="32"/>
          <w:szCs w:val="28"/>
        </w:rPr>
      </w:pPr>
      <w:r>
        <w:rPr>
          <w:rFonts w:hint="eastAsia" w:ascii="仿宋_GB2312" w:hAnsi="Times New Roman" w:eastAsia="仿宋_GB2312"/>
          <w:b/>
          <w:bCs/>
          <w:kern w:val="0"/>
          <w:sz w:val="32"/>
          <w:szCs w:val="28"/>
          <w:lang w:val="en-US" w:eastAsia="zh-CN"/>
        </w:rPr>
        <w:t>2、</w:t>
      </w:r>
      <w:r>
        <w:rPr>
          <w:rFonts w:hint="eastAsia" w:ascii="仿宋_GB2312" w:hAnsi="Times New Roman" w:eastAsia="仿宋_GB2312"/>
          <w:b/>
          <w:bCs/>
          <w:kern w:val="0"/>
          <w:sz w:val="32"/>
          <w:szCs w:val="28"/>
        </w:rPr>
        <w:t>业务管理不规范</w:t>
      </w:r>
    </w:p>
    <w:p>
      <w:pPr>
        <w:adjustRightInd w:val="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固定资产财务账面金额与卡片账面金额不一致。截至2022年12月31日，固定资产财务账面原值179.75万元，卡片账面原值196.46万元，差异16.71万元。</w:t>
      </w:r>
    </w:p>
    <w:p>
      <w:pPr>
        <w:adjustRightInd w:val="0"/>
        <w:ind w:firstLine="640" w:firstLineChars="200"/>
        <w:outlineLvl w:val="1"/>
        <w:rPr>
          <w:rFonts w:ascii="仿宋_GB2312" w:hAnsi="Times New Roman" w:eastAsia="仿宋_GB2312"/>
          <w:b/>
          <w:bCs/>
          <w:kern w:val="0"/>
          <w:sz w:val="32"/>
          <w:szCs w:val="28"/>
        </w:rPr>
      </w:pPr>
      <w:r>
        <w:rPr>
          <w:rFonts w:hint="eastAsia" w:ascii="仿宋_GB2312" w:hAnsi="Times New Roman" w:eastAsia="仿宋_GB2312"/>
          <w:b/>
          <w:bCs/>
          <w:kern w:val="0"/>
          <w:sz w:val="32"/>
          <w:szCs w:val="28"/>
          <w:lang w:val="en-US" w:eastAsia="zh-CN"/>
        </w:rPr>
        <w:t>3、</w:t>
      </w:r>
      <w:r>
        <w:rPr>
          <w:rFonts w:hint="eastAsia" w:ascii="仿宋_GB2312" w:hAnsi="Times New Roman" w:eastAsia="仿宋_GB2312"/>
          <w:b/>
          <w:bCs/>
          <w:kern w:val="0"/>
          <w:sz w:val="32"/>
          <w:szCs w:val="28"/>
        </w:rPr>
        <w:t>资产管理不规范</w:t>
      </w:r>
    </w:p>
    <w:p>
      <w:pPr>
        <w:adjustRightInd w:val="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资产管理不到位，固定资产管理不够规范。未按相关资产管理要求明确固定资产管理责任人，未对各办公室资产张贴资产名称、数量等关键信息的资产标签。</w:t>
      </w:r>
    </w:p>
    <w:p>
      <w:pPr>
        <w:pStyle w:val="14"/>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4"/>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4"/>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4"/>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CDE41"/>
    <w:multiLevelType w:val="singleLevel"/>
    <w:tmpl w:val="89FCDE41"/>
    <w:lvl w:ilvl="0" w:tentative="0">
      <w:start w:val="1"/>
      <w:numFmt w:val="decimal"/>
      <w:suff w:val="nothing"/>
      <w:lvlText w:val="%1、"/>
      <w:lvlJc w:val="left"/>
    </w:lvl>
  </w:abstractNum>
  <w:abstractNum w:abstractNumId="1">
    <w:nsid w:val="049FAB4C"/>
    <w:multiLevelType w:val="singleLevel"/>
    <w:tmpl w:val="049FAB4C"/>
    <w:lvl w:ilvl="0" w:tentative="0">
      <w:start w:val="2"/>
      <w:numFmt w:val="chineseCounting"/>
      <w:suff w:val="nothing"/>
      <w:lvlText w:val="（%1）"/>
      <w:lvlJc w:val="left"/>
      <w:rPr>
        <w:rFonts w:hint="eastAsia"/>
      </w:rPr>
    </w:lvl>
  </w:abstractNum>
  <w:abstractNum w:abstractNumId="2">
    <w:nsid w:val="17DCEDDD"/>
    <w:multiLevelType w:val="singleLevel"/>
    <w:tmpl w:val="17DCEDDD"/>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56C34"/>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46267"/>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D7AA1"/>
    <w:rsid w:val="02994018"/>
    <w:rsid w:val="02BC7B13"/>
    <w:rsid w:val="039E2EE8"/>
    <w:rsid w:val="040E1E22"/>
    <w:rsid w:val="052E4D8C"/>
    <w:rsid w:val="062F6A41"/>
    <w:rsid w:val="06766D1F"/>
    <w:rsid w:val="06B70490"/>
    <w:rsid w:val="06C1202B"/>
    <w:rsid w:val="076716DD"/>
    <w:rsid w:val="09AA26F7"/>
    <w:rsid w:val="0AB87005"/>
    <w:rsid w:val="0AE56520"/>
    <w:rsid w:val="0B497031"/>
    <w:rsid w:val="0BDE2A9B"/>
    <w:rsid w:val="0CB75849"/>
    <w:rsid w:val="0CC90ECA"/>
    <w:rsid w:val="0E1A131A"/>
    <w:rsid w:val="0E24782F"/>
    <w:rsid w:val="0E6C3CE6"/>
    <w:rsid w:val="0E9E29B6"/>
    <w:rsid w:val="0EB262AF"/>
    <w:rsid w:val="0FEB42BE"/>
    <w:rsid w:val="113D447D"/>
    <w:rsid w:val="115C2FFD"/>
    <w:rsid w:val="11A15DB9"/>
    <w:rsid w:val="11DC072A"/>
    <w:rsid w:val="12CB30C7"/>
    <w:rsid w:val="133D09EF"/>
    <w:rsid w:val="158B2557"/>
    <w:rsid w:val="167F4E7B"/>
    <w:rsid w:val="16DF4702"/>
    <w:rsid w:val="170F6A1D"/>
    <w:rsid w:val="178650AF"/>
    <w:rsid w:val="18671134"/>
    <w:rsid w:val="19597170"/>
    <w:rsid w:val="1BF73A36"/>
    <w:rsid w:val="1CA96E0C"/>
    <w:rsid w:val="1CC77D12"/>
    <w:rsid w:val="1CDB4DCB"/>
    <w:rsid w:val="1D1C68F8"/>
    <w:rsid w:val="1ECC422C"/>
    <w:rsid w:val="1F4F0EF6"/>
    <w:rsid w:val="1FC63B1B"/>
    <w:rsid w:val="203978EE"/>
    <w:rsid w:val="220628F4"/>
    <w:rsid w:val="239A7550"/>
    <w:rsid w:val="23F724F4"/>
    <w:rsid w:val="270F75A3"/>
    <w:rsid w:val="27245EE1"/>
    <w:rsid w:val="278B5211"/>
    <w:rsid w:val="286332DD"/>
    <w:rsid w:val="28B577B6"/>
    <w:rsid w:val="28E851C3"/>
    <w:rsid w:val="29F90D4B"/>
    <w:rsid w:val="2A0E0981"/>
    <w:rsid w:val="2BB611E7"/>
    <w:rsid w:val="2BF168AD"/>
    <w:rsid w:val="2D241E80"/>
    <w:rsid w:val="2FBE183C"/>
    <w:rsid w:val="300A0B8D"/>
    <w:rsid w:val="31311C6B"/>
    <w:rsid w:val="33DB773D"/>
    <w:rsid w:val="33E70001"/>
    <w:rsid w:val="348222AE"/>
    <w:rsid w:val="36425131"/>
    <w:rsid w:val="36C22FC6"/>
    <w:rsid w:val="37FE04C8"/>
    <w:rsid w:val="386B2F70"/>
    <w:rsid w:val="39F23A32"/>
    <w:rsid w:val="3A6F21F1"/>
    <w:rsid w:val="3BA67664"/>
    <w:rsid w:val="3DC57E1D"/>
    <w:rsid w:val="3E7517F2"/>
    <w:rsid w:val="3EED6576"/>
    <w:rsid w:val="3FD444BC"/>
    <w:rsid w:val="3FE457A9"/>
    <w:rsid w:val="406D3E12"/>
    <w:rsid w:val="41CD4292"/>
    <w:rsid w:val="41FA6D86"/>
    <w:rsid w:val="423B6CDA"/>
    <w:rsid w:val="42AE5CA8"/>
    <w:rsid w:val="445E6CA4"/>
    <w:rsid w:val="45E551ED"/>
    <w:rsid w:val="463C5DB9"/>
    <w:rsid w:val="47213261"/>
    <w:rsid w:val="47456C05"/>
    <w:rsid w:val="4792448C"/>
    <w:rsid w:val="487E111C"/>
    <w:rsid w:val="4A136559"/>
    <w:rsid w:val="4B8D464C"/>
    <w:rsid w:val="4B99416B"/>
    <w:rsid w:val="4C9870AD"/>
    <w:rsid w:val="4CD42AD2"/>
    <w:rsid w:val="4E264363"/>
    <w:rsid w:val="4FC679C6"/>
    <w:rsid w:val="50186EEC"/>
    <w:rsid w:val="50B33450"/>
    <w:rsid w:val="5331135A"/>
    <w:rsid w:val="53766CF6"/>
    <w:rsid w:val="5473762D"/>
    <w:rsid w:val="556B2156"/>
    <w:rsid w:val="56D55E59"/>
    <w:rsid w:val="570B55FC"/>
    <w:rsid w:val="5777D4F5"/>
    <w:rsid w:val="58081730"/>
    <w:rsid w:val="58B008E9"/>
    <w:rsid w:val="59613991"/>
    <w:rsid w:val="5AA62467"/>
    <w:rsid w:val="5ACD2CF8"/>
    <w:rsid w:val="5F1367E5"/>
    <w:rsid w:val="5F2F5F9C"/>
    <w:rsid w:val="5F8F08CA"/>
    <w:rsid w:val="5FC6BB1E"/>
    <w:rsid w:val="5FF11F12"/>
    <w:rsid w:val="5FF720F1"/>
    <w:rsid w:val="60994356"/>
    <w:rsid w:val="609B351E"/>
    <w:rsid w:val="612A19CD"/>
    <w:rsid w:val="612E684E"/>
    <w:rsid w:val="634920B7"/>
    <w:rsid w:val="64A54408"/>
    <w:rsid w:val="65645995"/>
    <w:rsid w:val="661713ED"/>
    <w:rsid w:val="665703BC"/>
    <w:rsid w:val="66746521"/>
    <w:rsid w:val="668B79B9"/>
    <w:rsid w:val="66DF5C35"/>
    <w:rsid w:val="673F1D48"/>
    <w:rsid w:val="675C0A7D"/>
    <w:rsid w:val="6A002D52"/>
    <w:rsid w:val="6AEA438F"/>
    <w:rsid w:val="6B461B3F"/>
    <w:rsid w:val="6B4A218F"/>
    <w:rsid w:val="6C4D01B4"/>
    <w:rsid w:val="6D6D0CD7"/>
    <w:rsid w:val="6D995B93"/>
    <w:rsid w:val="6EF96718"/>
    <w:rsid w:val="6F474C24"/>
    <w:rsid w:val="6F9B0B8C"/>
    <w:rsid w:val="700370F8"/>
    <w:rsid w:val="70C504E8"/>
    <w:rsid w:val="70C55533"/>
    <w:rsid w:val="71A73FED"/>
    <w:rsid w:val="737D59BA"/>
    <w:rsid w:val="73F740E7"/>
    <w:rsid w:val="7476258E"/>
    <w:rsid w:val="74DD3CC3"/>
    <w:rsid w:val="75E023B5"/>
    <w:rsid w:val="76062F70"/>
    <w:rsid w:val="763149BF"/>
    <w:rsid w:val="7661630D"/>
    <w:rsid w:val="76712649"/>
    <w:rsid w:val="777F7DA9"/>
    <w:rsid w:val="778D031B"/>
    <w:rsid w:val="77B06588"/>
    <w:rsid w:val="77C37683"/>
    <w:rsid w:val="78934C22"/>
    <w:rsid w:val="78FD3DB1"/>
    <w:rsid w:val="797634F8"/>
    <w:rsid w:val="79935991"/>
    <w:rsid w:val="79BF650B"/>
    <w:rsid w:val="79FE5AF0"/>
    <w:rsid w:val="79FF515B"/>
    <w:rsid w:val="7A440A39"/>
    <w:rsid w:val="7BB44619"/>
    <w:rsid w:val="7BE92A89"/>
    <w:rsid w:val="7D9B4179"/>
    <w:rsid w:val="7DF52776"/>
    <w:rsid w:val="7E9F11B4"/>
    <w:rsid w:val="7F6B6875"/>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toc 5"/>
    <w:basedOn w:val="1"/>
    <w:next w:val="1"/>
    <w:semiHidden/>
    <w:qFormat/>
    <w:uiPriority w:val="99"/>
    <w:pPr>
      <w:ind w:left="1680" w:leftChars="8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2023-09-26T03:13:51Z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4E1F1810447C4843A21C669237EA663F_12</vt:lpwstr>
  </property>
</Properties>
</file>