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2400" w:firstLineChars="5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劳动保障监察大队2022</w:t>
      </w:r>
      <w:r>
        <w:rPr>
          <w:rFonts w:hint="eastAsia"/>
          <w:sz w:val="48"/>
          <w:szCs w:val="48"/>
          <w:lang w:eastAsia="zh-CN"/>
        </w:rPr>
        <w:t>年度部门决算公开</w:t>
      </w: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新田县劳动保障监察大队</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eastAsia="zh-CN"/>
        </w:rPr>
        <w:t>新田县</w:t>
      </w:r>
      <w:r>
        <w:rPr>
          <w:rFonts w:hint="eastAsia" w:ascii="黑体" w:hAnsi="黑体" w:eastAsia="黑体" w:cs="黑体"/>
          <w:b/>
          <w:bCs/>
          <w:sz w:val="32"/>
          <w:szCs w:val="32"/>
          <w:lang w:val="en-US" w:eastAsia="zh-CN"/>
        </w:rPr>
        <w:t>劳动保障监察大队</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（1）宣传劳动保障法律、法规和规章，督促用人单位贯彻执行；</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（2）监督检查用人单位遵守劳动保障法律、法规和规章的情况；</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（3）受理并处理劳动者对用人单位遵守劳动法律、法规情况的举报、投诉；</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（4）负责接待、解释群众来访服务工作，及时调查取证及整理报批等工作；</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（5）依法纠正和查处违反劳动保障法律、法规或者规章的行为，按期办结举报投诉案件；</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（6）法律、法规规定的其他监察职责；</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（一）内设机构设置。劳动监察大队单位内设机构包括：综合办公室、业务股</w:t>
      </w:r>
      <w:r>
        <w:rPr>
          <w:rFonts w:hint="eastAsia" w:ascii="Times New Roman" w:hAnsi="Times New Roman" w:eastAsia="仿宋_GB2312" w:cs="仿宋_GB2312"/>
          <w:bCs/>
          <w:kern w:val="0"/>
          <w:sz w:val="32"/>
          <w:szCs w:val="32"/>
          <w:lang w:eastAsia="zh-CN"/>
        </w:rPr>
        <w:t>。</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（二）决算单位构成。劳动监察大队单位2020年部门决算汇总公开单位构成包括：新田县劳动监察大队单位本级。</w:t>
      </w:r>
    </w:p>
    <w:p>
      <w:pPr>
        <w:widowControl/>
        <w:spacing w:line="600" w:lineRule="exact"/>
        <w:ind w:firstLine="640" w:firstLineChars="200"/>
        <w:rPr>
          <w:rFonts w:hint="eastAsia" w:ascii="Times New Roman" w:hAnsi="Times New Roman" w:eastAsia="仿宋_GB2312" w:cs="仿宋_GB2312"/>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9"/>
        <w:tblW w:w="15702" w:type="dxa"/>
        <w:tblInd w:w="317" w:type="dxa"/>
        <w:tblLayout w:type="autofit"/>
        <w:tblCellMar>
          <w:top w:w="0" w:type="dxa"/>
          <w:left w:w="0" w:type="dxa"/>
          <w:bottom w:w="0" w:type="dxa"/>
          <w:right w:w="0" w:type="dxa"/>
        </w:tblCellMar>
      </w:tblPr>
      <w:tblGrid>
        <w:gridCol w:w="244"/>
        <w:gridCol w:w="521"/>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594"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8"/>
              <w:gridCol w:w="616"/>
              <w:gridCol w:w="1407"/>
              <w:gridCol w:w="5089"/>
              <w:gridCol w:w="1167"/>
              <w:gridCol w:w="466"/>
              <w:gridCol w:w="470"/>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劳动保障监察大队</w:t>
                  </w:r>
                  <w:r>
                    <w:rPr>
                      <w:rFonts w:hint="default"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r>
                    <w:rPr>
                      <w:rFonts w:hint="eastAsia" w:cs="Arial"/>
                      <w:color w:val="000000"/>
                      <w:sz w:val="22"/>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keepNext w:val="0"/>
              <w:keepLines w:val="0"/>
              <w:suppressLineNumbers w:val="0"/>
              <w:spacing w:before="0" w:beforeAutospacing="0" w:after="0" w:afterAutospacing="0"/>
              <w:ind w:left="0" w:right="0"/>
              <w:jc w:val="center"/>
              <w:rPr>
                <w:rFonts w:hint="eastAsia" w:ascii="华文中宋" w:hAnsi="华文中宋" w:eastAsia="华文中宋"/>
                <w:color w:val="000000"/>
                <w:sz w:val="32"/>
                <w:szCs w:val="32"/>
              </w:rPr>
            </w:pPr>
          </w:p>
          <w:p>
            <w:pPr>
              <w:keepNext w:val="0"/>
              <w:keepLines w:val="0"/>
              <w:suppressLineNumbers w:val="0"/>
              <w:spacing w:before="0" w:beforeAutospacing="0" w:after="0" w:afterAutospacing="0"/>
              <w:ind w:left="0" w:right="0"/>
              <w:jc w:val="center"/>
              <w:rPr>
                <w:rFonts w:hint="eastAsia" w:ascii="华文中宋" w:hAnsi="华文中宋" w:eastAsia="华文中宋"/>
                <w:color w:val="000000"/>
                <w:sz w:val="32"/>
                <w:szCs w:val="32"/>
              </w:rPr>
            </w:pPr>
          </w:p>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6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15594" w:type="dxa"/>
            <w:gridSpan w:val="1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r>
              <w:rPr>
                <w:rFonts w:hint="eastAsia"/>
                <w:color w:val="000000"/>
                <w:sz w:val="20"/>
                <w:szCs w:val="20"/>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 xml:space="preserve">劳动保障监察大队                                                                                                                </w:t>
            </w: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1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18"/>
                <w:szCs w:val="18"/>
              </w:rPr>
            </w:pPr>
            <w:r>
              <w:rPr>
                <w:rFonts w:hint="default" w:ascii="仿宋_GB2312" w:hAnsi="Times New Roman" w:eastAsia="仿宋_GB2312" w:cs="仿宋_GB2312"/>
                <w:kern w:val="0"/>
                <w:sz w:val="18"/>
                <w:szCs w:val="18"/>
                <w:lang w:val="en-US" w:eastAsia="zh-CN" w:bidi="ar"/>
              </w:rPr>
              <w:t>　</w:t>
            </w:r>
          </w:p>
          <w:p>
            <w:pPr>
              <w:keepNext w:val="0"/>
              <w:keepLines w:val="0"/>
              <w:widowControl w:val="0"/>
              <w:suppressLineNumbers w:val="0"/>
              <w:spacing w:before="0" w:beforeAutospacing="0" w:after="0" w:afterAutospacing="0"/>
              <w:ind w:left="0" w:right="0"/>
              <w:jc w:val="left"/>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人力资源和社会保障管理事务</w:t>
            </w:r>
          </w:p>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华文中宋" w:hAnsi="华文中宋" w:eastAsia="华文中宋" w:cs="宋体"/>
                <w:sz w:val="24"/>
                <w:szCs w:val="24"/>
              </w:rPr>
            </w:pPr>
            <w:r>
              <w:rPr>
                <w:rFonts w:hint="eastAsia" w:ascii="华文中宋" w:hAnsi="华文中宋" w:eastAsia="华文中宋"/>
                <w:lang w:val="en-US" w:eastAsia="zh-CN"/>
              </w:rPr>
              <w:t>87.77</w:t>
            </w:r>
            <w:r>
              <w:rPr>
                <w:rFonts w:hint="eastAsia" w:ascii="华文中宋" w:hAnsi="华文中宋" w:eastAsia="华文中宋"/>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18"/>
                <w:szCs w:val="18"/>
              </w:rPr>
            </w:pPr>
            <w:r>
              <w:rPr>
                <w:rFonts w:hint="default" w:ascii="仿宋_GB2312" w:hAnsi="Times New Roman" w:eastAsia="仿宋_GB2312" w:cs="仿宋_GB2312"/>
                <w:kern w:val="0"/>
                <w:sz w:val="18"/>
                <w:szCs w:val="18"/>
                <w:lang w:val="en-US" w:eastAsia="zh-CN" w:bidi="ar"/>
              </w:rPr>
              <w:t>　</w:t>
            </w:r>
          </w:p>
          <w:p>
            <w:pPr>
              <w:keepNext w:val="0"/>
              <w:keepLines w:val="0"/>
              <w:widowControl w:val="0"/>
              <w:suppressLineNumbers w:val="0"/>
              <w:spacing w:before="0" w:beforeAutospacing="0" w:after="0" w:afterAutospacing="0"/>
              <w:ind w:left="0" w:right="0"/>
              <w:jc w:val="left"/>
              <w:rPr>
                <w:rFonts w:hint="eastAsia" w:ascii="宋体" w:hAnsi="宋体" w:eastAsia="宋体" w:cs="Arial"/>
                <w:color w:val="000000"/>
                <w:kern w:val="2"/>
                <w:sz w:val="18"/>
                <w:szCs w:val="18"/>
              </w:rPr>
            </w:pPr>
            <w:r>
              <w:rPr>
                <w:rFonts w:hint="default" w:ascii="Calibri" w:hAnsi="Calibri" w:eastAsia="宋体" w:cs="Calibri"/>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劳动保障监察</w:t>
            </w:r>
          </w:p>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87.77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594" w:type="dxa"/>
            <w:gridSpan w:val="18"/>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5640" w:type="dxa"/>
            <w:gridSpan w:val="9"/>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18"/>
                <w:szCs w:val="18"/>
              </w:rPr>
            </w:pPr>
            <w:r>
              <w:rPr>
                <w:rFonts w:hint="default" w:ascii="仿宋_GB2312" w:hAnsi="Times New Roman" w:eastAsia="仿宋_GB2312" w:cs="仿宋_GB2312"/>
                <w:kern w:val="0"/>
                <w:sz w:val="18"/>
                <w:szCs w:val="18"/>
                <w:lang w:val="en-US" w:eastAsia="zh-CN" w:bidi="ar"/>
              </w:rPr>
              <w:t>　</w:t>
            </w:r>
          </w:p>
          <w:p>
            <w:pPr>
              <w:keepNext w:val="0"/>
              <w:keepLines w:val="0"/>
              <w:widowControl w:val="0"/>
              <w:suppressLineNumbers w:val="0"/>
              <w:spacing w:before="0" w:beforeAutospacing="0" w:after="0" w:afterAutospacing="0"/>
              <w:ind w:left="0" w:right="0"/>
              <w:jc w:val="left"/>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人力资源和社会保障管理事务</w:t>
            </w:r>
          </w:p>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18"/>
                <w:szCs w:val="18"/>
              </w:rPr>
            </w:pPr>
            <w:r>
              <w:rPr>
                <w:rFonts w:hint="default" w:ascii="仿宋_GB2312" w:hAnsi="Times New Roman" w:eastAsia="仿宋_GB2312" w:cs="仿宋_GB2312"/>
                <w:kern w:val="0"/>
                <w:sz w:val="18"/>
                <w:szCs w:val="18"/>
                <w:lang w:val="en-US" w:eastAsia="zh-CN" w:bidi="ar"/>
              </w:rPr>
              <w:t>　</w:t>
            </w:r>
          </w:p>
          <w:p>
            <w:pPr>
              <w:keepNext w:val="0"/>
              <w:keepLines w:val="0"/>
              <w:widowControl w:val="0"/>
              <w:suppressLineNumbers w:val="0"/>
              <w:spacing w:before="0" w:beforeAutospacing="0" w:after="0" w:afterAutospacing="0"/>
              <w:ind w:left="0" w:right="0"/>
              <w:jc w:val="left"/>
              <w:rPr>
                <w:rFonts w:hint="eastAsia" w:ascii="宋体" w:hAnsi="宋体" w:eastAsia="宋体" w:cs="Arial"/>
                <w:color w:val="000000"/>
                <w:kern w:val="2"/>
                <w:sz w:val="18"/>
                <w:szCs w:val="18"/>
              </w:rPr>
            </w:pPr>
            <w:r>
              <w:rPr>
                <w:rFonts w:hint="default" w:ascii="Calibri" w:hAnsi="Calibri" w:eastAsia="宋体" w:cs="Calibri"/>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劳动保障监察</w:t>
            </w:r>
          </w:p>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87.77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09" w:hRule="atLeast"/>
        </w:trPr>
        <w:tc>
          <w:tcPr>
            <w:tcW w:w="1564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90" w:hRule="atLeast"/>
        </w:trPr>
        <w:tc>
          <w:tcPr>
            <w:tcW w:w="3596"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r>
              <w:rPr>
                <w:rFonts w:hint="default"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87.77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87.77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87.77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87.77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w:t>
            </w:r>
            <w:r>
              <w:rPr>
                <w:rFonts w:hint="default"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w:t>
            </w:r>
            <w:r>
              <w:rPr>
                <w:rFonts w:hint="default"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r>
              <w:rPr>
                <w:rFonts w:hint="default" w:ascii="仿宋_GB2312" w:hAnsi="Times New Roman" w:eastAsia="仿宋_GB2312" w:cs="仿宋_GB2312"/>
                <w:kern w:val="0"/>
                <w:sz w:val="18"/>
                <w:szCs w:val="18"/>
                <w:lang w:val="en-US" w:eastAsia="zh-CN" w:bidi="ar"/>
              </w:rPr>
              <w:t>　</w:t>
            </w:r>
            <w:r>
              <w:rPr>
                <w:rFonts w:hint="eastAsia" w:ascii="宋体" w:hAnsi="宋体" w:eastAsia="宋体" w:cs="宋体"/>
                <w:color w:val="000000"/>
                <w:kern w:val="2"/>
                <w:sz w:val="18"/>
                <w:szCs w:val="18"/>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21"/>
                <w:szCs w:val="21"/>
                <w:lang w:val="en-US" w:eastAsia="zh-CN" w:bidi="ar-SA"/>
              </w:rPr>
            </w:pPr>
            <w:r>
              <w:rPr>
                <w:rFonts w:hint="default" w:ascii="仿宋_GB2312" w:hAnsi="Times New Roman" w:eastAsia="仿宋_GB2312" w:cs="仿宋_GB2312"/>
                <w:kern w:val="0"/>
                <w:sz w:val="21"/>
                <w:szCs w:val="21"/>
                <w:lang w:val="en-US" w:eastAsia="zh-CN" w:bidi="ar"/>
              </w:rPr>
              <w:t>　</w:t>
            </w:r>
            <w:r>
              <w:rPr>
                <w:rFonts w:hint="default" w:ascii="Times New Roman" w:hAnsi="Times New Roman" w:eastAsia="仿宋_GB2312" w:cs="Times New Roman"/>
                <w:kern w:val="0"/>
                <w:sz w:val="21"/>
                <w:szCs w:val="21"/>
                <w:lang w:val="en-US" w:eastAsia="zh-CN" w:bidi="ar"/>
              </w:rPr>
              <w:t>2080105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仿宋_GB2312" w:cs="Times New Roman"/>
                <w:kern w:val="0"/>
                <w:sz w:val="18"/>
                <w:szCs w:val="18"/>
                <w:lang w:val="en-US" w:eastAsia="zh-CN" w:bidi="ar-SA"/>
              </w:rPr>
            </w:pPr>
            <w:r>
              <w:rPr>
                <w:rFonts w:hint="default" w:ascii="仿宋_GB2312" w:hAnsi="Times New Roman" w:eastAsia="仿宋_GB2312" w:cs="仿宋_GB2312"/>
                <w:kern w:val="0"/>
                <w:sz w:val="18"/>
                <w:szCs w:val="18"/>
                <w:lang w:val="en-US" w:eastAsia="zh-CN" w:bidi="ar"/>
              </w:rPr>
              <w:t>　</w:t>
            </w:r>
            <w:r>
              <w:rPr>
                <w:rFonts w:hint="default" w:ascii="Calibri" w:hAnsi="Calibri" w:eastAsia="宋体" w:cs="Calibri"/>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劳动保障监察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5"/>
        <w:gridCol w:w="155"/>
        <w:gridCol w:w="84"/>
        <w:gridCol w:w="1375"/>
        <w:gridCol w:w="1689"/>
        <w:gridCol w:w="398"/>
        <w:gridCol w:w="748"/>
        <w:gridCol w:w="1091"/>
        <w:gridCol w:w="349"/>
        <w:gridCol w:w="1965"/>
        <w:gridCol w:w="122"/>
        <w:gridCol w:w="774"/>
        <w:gridCol w:w="1005"/>
        <w:gridCol w:w="353"/>
        <w:gridCol w:w="2077"/>
        <w:gridCol w:w="1414"/>
        <w:gridCol w:w="734"/>
        <w:gridCol w:w="29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keepNext w:val="0"/>
              <w:keepLines w:val="0"/>
              <w:widowControl/>
              <w:suppressLineNumbers w:val="0"/>
              <w:wordWrap w:val="0"/>
              <w:spacing w:before="0" w:beforeAutospacing="0" w:after="0" w:afterAutospacing="0"/>
              <w:ind w:left="0" w:right="0"/>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keepNext w:val="0"/>
              <w:keepLines w:val="0"/>
              <w:widowControl/>
              <w:suppressLineNumbers w:val="0"/>
              <w:spacing w:before="0" w:beforeAutospacing="0" w:after="0" w:afterAutospacing="0"/>
              <w:ind w:left="0" w:right="0"/>
              <w:jc w:val="right"/>
              <w:rPr>
                <w:rFonts w:hint="default"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4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59.39</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17.24</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23.07</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2.68</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8.25</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6.48</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11.49</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0.33</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0.33</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0.11</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3.21</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0.21</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0.27</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3.33</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0.56</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10.82</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10.82</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0.52</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3.69</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1.73</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0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4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14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23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6"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0.56</w:t>
            </w:r>
          </w:p>
        </w:tc>
        <w:tc>
          <w:tcPr>
            <w:tcW w:w="1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84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70.21</w:t>
            </w:r>
          </w:p>
        </w:tc>
        <w:tc>
          <w:tcPr>
            <w:tcW w:w="9150" w:type="dxa"/>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690" w:hRule="atLeast"/>
        </w:trPr>
        <w:tc>
          <w:tcPr>
            <w:tcW w:w="15318" w:type="dxa"/>
            <w:gridSpan w:val="1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345" w:hRule="atLeast"/>
        </w:trPr>
        <w:tc>
          <w:tcPr>
            <w:tcW w:w="98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88" w:type="dxa"/>
            <w:gridSpan w:val="3"/>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32" w:type="dxa"/>
            <w:gridSpan w:val="3"/>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48" w:type="dxa"/>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330" w:hRule="atLeast"/>
        </w:trPr>
        <w:tc>
          <w:tcPr>
            <w:tcW w:w="15318" w:type="dxa"/>
            <w:gridSpan w:val="17"/>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609" w:hRule="atLeast"/>
        </w:trPr>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4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725" w:hRule="atLeast"/>
        </w:trPr>
        <w:tc>
          <w:tcPr>
            <w:tcW w:w="15318"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6"/>
        <w:gridCol w:w="505"/>
        <w:gridCol w:w="2783"/>
        <w:gridCol w:w="2901"/>
        <w:gridCol w:w="2901"/>
        <w:gridCol w:w="3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86"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0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83"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90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90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744"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5120"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9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7"/>
        <w:gridCol w:w="1759"/>
        <w:gridCol w:w="1382"/>
        <w:gridCol w:w="1077"/>
        <w:gridCol w:w="1077"/>
        <w:gridCol w:w="1077"/>
        <w:gridCol w:w="1077"/>
        <w:gridCol w:w="1175"/>
        <w:gridCol w:w="1077"/>
        <w:gridCol w:w="1077"/>
        <w:gridCol w:w="1077"/>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59"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17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6" w:type="dxa"/>
            <w:gridSpan w:val="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color w:val="000000"/>
                <w:sz w:val="20"/>
                <w:szCs w:val="20"/>
                <w:lang w:eastAsia="zh-CN"/>
              </w:rPr>
              <w:t>新田县</w:t>
            </w:r>
            <w:r>
              <w:rPr>
                <w:rFonts w:hint="eastAsia" w:ascii="Times New Roman" w:hAnsi="Times New Roman" w:eastAsia="仿宋_GB2312" w:cs="Times New Roman"/>
                <w:color w:val="000000"/>
                <w:kern w:val="0"/>
                <w:szCs w:val="21"/>
                <w:lang w:val="en-US" w:eastAsia="zh-CN"/>
              </w:rPr>
              <w:t>劳动保障监察大队</w:t>
            </w:r>
            <w:r>
              <w:rPr>
                <w:rFonts w:hint="default" w:ascii="Times New Roman" w:hAnsi="Times New Roman" w:eastAsia="仿宋_GB2312" w:cs="Times New Roman"/>
                <w:color w:val="000000"/>
                <w:kern w:val="0"/>
                <w:szCs w:val="21"/>
              </w:rPr>
              <w:t xml:space="preserve"> </w:t>
            </w:r>
          </w:p>
        </w:tc>
        <w:tc>
          <w:tcPr>
            <w:tcW w:w="1382"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17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7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w:t>
      </w:r>
      <w:r>
        <w:rPr>
          <w:rFonts w:hint="eastAsia" w:ascii="Times New Roman" w:hAnsi="Times New Roman" w:eastAsia="仿宋_GB2312"/>
          <w:color w:val="auto"/>
          <w:sz w:val="32"/>
          <w:szCs w:val="32"/>
          <w:lang w:eastAsia="zh-CN"/>
        </w:rPr>
        <w:t>收入总计</w:t>
      </w:r>
      <w:r>
        <w:rPr>
          <w:rFonts w:hint="eastAsia" w:ascii="Times New Roman" w:hAnsi="Times New Roman" w:eastAsia="仿宋_GB2312"/>
          <w:color w:val="auto"/>
          <w:sz w:val="32"/>
          <w:szCs w:val="32"/>
          <w:lang w:val="en-US" w:eastAsia="zh-CN"/>
        </w:rPr>
        <w:t>87.77万元,</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21.05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31</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工资福利支出、</w:t>
      </w:r>
      <w:r>
        <w:rPr>
          <w:rFonts w:hint="eastAsia" w:ascii="Times New Roman" w:hAnsi="Times New Roman" w:eastAsia="仿宋_GB2312"/>
          <w:color w:val="auto"/>
          <w:sz w:val="32"/>
          <w:szCs w:val="32"/>
          <w:lang w:val="zh-CN" w:eastAsia="zh-CN"/>
        </w:rPr>
        <w:t>一般商品和服务支出收入</w:t>
      </w:r>
      <w:r>
        <w:rPr>
          <w:rFonts w:hint="eastAsia" w:ascii="Times New Roman" w:hAnsi="Times New Roman" w:eastAsia="仿宋_GB2312"/>
          <w:color w:val="auto"/>
          <w:sz w:val="32"/>
          <w:szCs w:val="32"/>
          <w:lang w:eastAsia="zh-CN"/>
        </w:rPr>
        <w:t>较上年度</w:t>
      </w:r>
      <w:r>
        <w:rPr>
          <w:rFonts w:hint="eastAsia" w:ascii="Times New Roman" w:hAnsi="Times New Roman" w:eastAsia="仿宋_GB2312"/>
          <w:color w:val="auto"/>
          <w:sz w:val="32"/>
          <w:szCs w:val="32"/>
          <w:lang w:val="en-US" w:eastAsia="zh-CN"/>
        </w:rPr>
        <w:t>有所增加</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支</w:t>
      </w:r>
      <w:r>
        <w:rPr>
          <w:rFonts w:hint="eastAsia" w:ascii="Times New Roman" w:hAnsi="Times New Roman" w:eastAsia="仿宋_GB2312"/>
          <w:color w:val="auto"/>
          <w:sz w:val="32"/>
          <w:szCs w:val="32"/>
          <w:lang w:eastAsia="zh-CN"/>
        </w:rPr>
        <w:t>出</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87.77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与上年相比，增加</w:t>
      </w:r>
      <w:r>
        <w:rPr>
          <w:rFonts w:hint="eastAsia" w:ascii="Times New Roman" w:hAnsi="Times New Roman" w:eastAsia="仿宋_GB2312"/>
          <w:color w:val="auto"/>
          <w:sz w:val="32"/>
          <w:szCs w:val="32"/>
          <w:lang w:val="en-US" w:eastAsia="zh-CN"/>
        </w:rPr>
        <w:t>13.66</w:t>
      </w:r>
      <w:r>
        <w:rPr>
          <w:rFonts w:hint="eastAsia" w:ascii="Times New Roman" w:hAnsi="Times New Roman" w:eastAsia="仿宋_GB2312"/>
          <w:color w:val="auto"/>
          <w:sz w:val="32"/>
          <w:szCs w:val="32"/>
          <w:lang w:eastAsia="zh-CN"/>
        </w:rPr>
        <w:t>万元，增长</w:t>
      </w:r>
      <w:r>
        <w:rPr>
          <w:rFonts w:hint="eastAsia" w:ascii="Times New Roman" w:hAnsi="Times New Roman" w:eastAsia="仿宋_GB2312"/>
          <w:color w:val="auto"/>
          <w:sz w:val="32"/>
          <w:szCs w:val="32"/>
          <w:lang w:val="en-US" w:eastAsia="zh-CN"/>
        </w:rPr>
        <w:t>18</w:t>
      </w:r>
      <w:r>
        <w:rPr>
          <w:rFonts w:hint="eastAsia" w:ascii="Times New Roman" w:hAnsi="Times New Roman" w:eastAsia="仿宋_GB2312"/>
          <w:color w:val="auto"/>
          <w:sz w:val="32"/>
          <w:szCs w:val="32"/>
          <w:lang w:eastAsia="zh-CN"/>
        </w:rPr>
        <w:t>%，主要是因为</w:t>
      </w:r>
      <w:r>
        <w:rPr>
          <w:rFonts w:hint="eastAsia" w:ascii="Times New Roman" w:hAnsi="Times New Roman" w:eastAsia="仿宋_GB2312"/>
          <w:color w:val="auto"/>
          <w:sz w:val="32"/>
          <w:szCs w:val="32"/>
          <w:lang w:val="en-US" w:eastAsia="zh-CN"/>
        </w:rPr>
        <w:t>工资福利支出、</w:t>
      </w:r>
      <w:r>
        <w:rPr>
          <w:rFonts w:hint="eastAsia" w:ascii="Times New Roman" w:hAnsi="Times New Roman" w:eastAsia="仿宋_GB2312"/>
          <w:color w:val="auto"/>
          <w:sz w:val="32"/>
          <w:szCs w:val="32"/>
          <w:lang w:val="zh-CN" w:eastAsia="zh-CN"/>
        </w:rPr>
        <w:t>一般商品和服务支出</w:t>
      </w:r>
      <w:r>
        <w:rPr>
          <w:rFonts w:hint="eastAsia" w:ascii="Times New Roman" w:hAnsi="Times New Roman" w:eastAsia="仿宋_GB2312"/>
          <w:color w:val="auto"/>
          <w:sz w:val="32"/>
          <w:szCs w:val="32"/>
          <w:lang w:eastAsia="zh-CN"/>
        </w:rPr>
        <w:t>较上年度</w:t>
      </w:r>
      <w:r>
        <w:rPr>
          <w:rFonts w:hint="eastAsia" w:ascii="Times New Roman" w:hAnsi="Times New Roman" w:eastAsia="仿宋_GB2312"/>
          <w:color w:val="auto"/>
          <w:sz w:val="32"/>
          <w:szCs w:val="32"/>
          <w:lang w:val="en-US" w:eastAsia="zh-CN"/>
        </w:rPr>
        <w:t>有所增加。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w:t>
      </w:r>
      <w:r>
        <w:rPr>
          <w:rFonts w:hint="eastAsia" w:ascii="Times New Roman" w:hAnsi="Times New Roman" w:eastAsia="仿宋_GB2312"/>
          <w:color w:val="auto"/>
          <w:sz w:val="32"/>
          <w:szCs w:val="32"/>
          <w:lang w:eastAsia="zh-CN"/>
        </w:rPr>
        <w:t>收入总计</w:t>
      </w:r>
      <w:r>
        <w:rPr>
          <w:rFonts w:hint="eastAsia" w:ascii="Times New Roman" w:hAnsi="Times New Roman" w:eastAsia="仿宋_GB2312"/>
          <w:color w:val="auto"/>
          <w:sz w:val="32"/>
          <w:szCs w:val="32"/>
          <w:lang w:val="en-US" w:eastAsia="zh-CN"/>
        </w:rPr>
        <w:t>87.77万元,</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21.05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31</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工资福利支出、</w:t>
      </w:r>
      <w:r>
        <w:rPr>
          <w:rFonts w:hint="eastAsia" w:ascii="Times New Roman" w:hAnsi="Times New Roman" w:eastAsia="仿宋_GB2312"/>
          <w:color w:val="auto"/>
          <w:sz w:val="32"/>
          <w:szCs w:val="32"/>
          <w:lang w:val="zh-CN" w:eastAsia="zh-CN"/>
        </w:rPr>
        <w:t>一般商品和服务支出收入</w:t>
      </w:r>
      <w:r>
        <w:rPr>
          <w:rFonts w:hint="eastAsia" w:ascii="Times New Roman" w:hAnsi="Times New Roman" w:eastAsia="仿宋_GB2312"/>
          <w:color w:val="auto"/>
          <w:sz w:val="32"/>
          <w:szCs w:val="32"/>
          <w:lang w:eastAsia="zh-CN"/>
        </w:rPr>
        <w:t>较上年度</w:t>
      </w:r>
      <w:r>
        <w:rPr>
          <w:rFonts w:hint="eastAsia" w:ascii="Times New Roman" w:hAnsi="Times New Roman" w:eastAsia="仿宋_GB2312"/>
          <w:color w:val="auto"/>
          <w:sz w:val="32"/>
          <w:szCs w:val="32"/>
          <w:lang w:val="en-US" w:eastAsia="zh-CN"/>
        </w:rPr>
        <w:t>有所增加</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支</w:t>
      </w:r>
      <w:r>
        <w:rPr>
          <w:rFonts w:hint="eastAsia" w:ascii="Times New Roman" w:hAnsi="Times New Roman" w:eastAsia="仿宋_GB2312"/>
          <w:color w:val="auto"/>
          <w:sz w:val="32"/>
          <w:szCs w:val="32"/>
          <w:lang w:eastAsia="zh-CN"/>
        </w:rPr>
        <w:t>出</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87.77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与上年相比，增加</w:t>
      </w:r>
      <w:r>
        <w:rPr>
          <w:rFonts w:hint="eastAsia" w:ascii="Times New Roman" w:hAnsi="Times New Roman" w:eastAsia="仿宋_GB2312"/>
          <w:color w:val="auto"/>
          <w:sz w:val="32"/>
          <w:szCs w:val="32"/>
          <w:lang w:val="en-US" w:eastAsia="zh-CN"/>
        </w:rPr>
        <w:t>13.66</w:t>
      </w:r>
      <w:r>
        <w:rPr>
          <w:rFonts w:hint="eastAsia" w:ascii="Times New Roman" w:hAnsi="Times New Roman" w:eastAsia="仿宋_GB2312"/>
          <w:color w:val="auto"/>
          <w:sz w:val="32"/>
          <w:szCs w:val="32"/>
          <w:lang w:eastAsia="zh-CN"/>
        </w:rPr>
        <w:t>万元，增长</w:t>
      </w:r>
      <w:r>
        <w:rPr>
          <w:rFonts w:hint="eastAsia" w:ascii="Times New Roman" w:hAnsi="Times New Roman" w:eastAsia="仿宋_GB2312"/>
          <w:color w:val="auto"/>
          <w:sz w:val="32"/>
          <w:szCs w:val="32"/>
          <w:lang w:val="en-US" w:eastAsia="zh-CN"/>
        </w:rPr>
        <w:t>18</w:t>
      </w:r>
      <w:r>
        <w:rPr>
          <w:rFonts w:hint="eastAsia" w:ascii="Times New Roman" w:hAnsi="Times New Roman" w:eastAsia="仿宋_GB2312"/>
          <w:color w:val="auto"/>
          <w:sz w:val="32"/>
          <w:szCs w:val="32"/>
          <w:lang w:eastAsia="zh-CN"/>
        </w:rPr>
        <w:t>%，主要是因为</w:t>
      </w:r>
      <w:r>
        <w:rPr>
          <w:rFonts w:hint="eastAsia" w:ascii="Times New Roman" w:hAnsi="Times New Roman" w:eastAsia="仿宋_GB2312"/>
          <w:color w:val="auto"/>
          <w:sz w:val="32"/>
          <w:szCs w:val="32"/>
          <w:lang w:val="en-US" w:eastAsia="zh-CN"/>
        </w:rPr>
        <w:t>工资福利支出、</w:t>
      </w:r>
      <w:r>
        <w:rPr>
          <w:rFonts w:hint="eastAsia" w:ascii="Times New Roman" w:hAnsi="Times New Roman" w:eastAsia="仿宋_GB2312"/>
          <w:color w:val="auto"/>
          <w:sz w:val="32"/>
          <w:szCs w:val="32"/>
          <w:lang w:val="zh-CN" w:eastAsia="zh-CN"/>
        </w:rPr>
        <w:t>一般商品和服务支出</w:t>
      </w:r>
      <w:r>
        <w:rPr>
          <w:rFonts w:hint="eastAsia" w:ascii="Times New Roman" w:hAnsi="Times New Roman" w:eastAsia="仿宋_GB2312"/>
          <w:color w:val="auto"/>
          <w:sz w:val="32"/>
          <w:szCs w:val="32"/>
          <w:lang w:eastAsia="zh-CN"/>
        </w:rPr>
        <w:t>较上年度</w:t>
      </w:r>
      <w:r>
        <w:rPr>
          <w:rFonts w:hint="eastAsia" w:ascii="Times New Roman" w:hAnsi="Times New Roman" w:eastAsia="仿宋_GB2312"/>
          <w:color w:val="auto"/>
          <w:sz w:val="32"/>
          <w:szCs w:val="32"/>
          <w:lang w:val="en-US" w:eastAsia="zh-CN"/>
        </w:rPr>
        <w:t>有所增加。</w:t>
      </w:r>
    </w:p>
    <w:p>
      <w:pPr>
        <w:pStyle w:val="13"/>
        <w:keepNext w:val="0"/>
        <w:keepLines w:val="0"/>
        <w:pageBreakBefore w:val="0"/>
        <w:widowControl w:val="0"/>
        <w:kinsoku/>
        <w:wordWrap/>
        <w:overflowPunct/>
        <w:topLinePunct w:val="0"/>
        <w:bidi w:val="0"/>
        <w:snapToGrid/>
        <w:spacing w:line="600" w:lineRule="exact"/>
        <w:ind w:firstLine="64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13.66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社会保障和就业支出87.77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83.92</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预算调整后为87.77万元，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lang w:val="en-US" w:eastAsia="zh-CN"/>
        </w:rPr>
        <w:t>劳动保障监察</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83.92</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预算调整为87.77万元，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年中追加人员经费预算。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70.21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 w:hAnsi="仿宋" w:eastAsia="仿宋" w:cs="仿宋"/>
          <w:color w:val="000000"/>
          <w:kern w:val="0"/>
          <w:sz w:val="32"/>
          <w:szCs w:val="32"/>
        </w:rPr>
        <w:t>机关事业单位基本养老保险缴</w:t>
      </w:r>
      <w:r>
        <w:rPr>
          <w:rFonts w:hint="eastAsia" w:ascii="仿宋" w:hAnsi="仿宋" w:eastAsia="仿宋" w:cs="仿宋"/>
          <w:color w:val="000000"/>
          <w:kern w:val="0"/>
          <w:sz w:val="32"/>
          <w:szCs w:val="32"/>
          <w:lang w:val="en-US" w:eastAsia="zh-CN"/>
        </w:rPr>
        <w:t>费、</w:t>
      </w:r>
      <w:r>
        <w:rPr>
          <w:rFonts w:hint="eastAsia" w:ascii="仿宋" w:hAnsi="仿宋" w:eastAsia="仿宋" w:cs="仿宋"/>
          <w:color w:val="000000"/>
          <w:kern w:val="0"/>
          <w:sz w:val="32"/>
          <w:szCs w:val="32"/>
        </w:rPr>
        <w:t>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17.56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差旅费、公务接待费、工会经费、其他商品和服务支出等</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bookmarkStart w:id="3" w:name="_GoBack"/>
      <w:bookmarkEnd w:id="3"/>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公车运行维护</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lang w:eastAsia="zh-CN"/>
        </w:rPr>
        <w:t>本单位无政府性基金收支</w:t>
      </w:r>
      <w:r>
        <w:rPr>
          <w:rFonts w:hint="eastAsia" w:asciiTheme="minorEastAsia" w:hAnsiTheme="minorEastAsia" w:eastAsiaTheme="minorEastAsia" w:cstheme="minorEastAsia"/>
          <w:sz w:val="28"/>
          <w:szCs w:val="28"/>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17.56</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000000"/>
          <w:sz w:val="32"/>
          <w:szCs w:val="32"/>
          <w:shd w:val="clear" w:fill="FFFFFF"/>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本部门</w:t>
      </w:r>
      <w:r>
        <w:rPr>
          <w:rFonts w:hint="eastAsia" w:ascii="Times New Roman" w:hAnsi="Times New Roman" w:eastAsia="仿宋_GB2312"/>
          <w:sz w:val="32"/>
          <w:szCs w:val="32"/>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8"/>
        <w:keepNext w:val="0"/>
        <w:keepLines w:val="0"/>
        <w:widowControl/>
        <w:suppressLineNumbers w:val="0"/>
        <w:pBdr>
          <w:bottom w:val="none" w:color="auto" w:sz="0" w:space="0"/>
        </w:pBdr>
        <w:spacing w:before="0" w:beforeAutospacing="0" w:after="0" w:afterAutospacing="0" w:line="450" w:lineRule="atLeast"/>
        <w:ind w:left="0" w:right="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1、预算准确率有待提高。年初预算编制不够精确，考虑不全面，导致年底决算数与年初预算数相差较大。原因是由于不是全口径预算,仅指县级财政年初安排数，没有预算年中追加的调整预算拨款数。</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2、预算执行存在偏差。由于预算安排不足,造成部分科目实际支出比预算偏高，缺口资金只能调剂其他资金使用，存在着预算项目间互相进行调剂的情况。</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3、精细化管理有待加强。从绩效评价看，部门支出预算和绩效评价部分项目目标无法用量化指标来进行考评，需要进一步做到合理性与可操作性的有机统一。</w:t>
      </w:r>
    </w:p>
    <w:p>
      <w:pPr>
        <w:widowControl/>
        <w:jc w:val="left"/>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widowControl/>
        <w:spacing w:line="540" w:lineRule="exact"/>
        <w:jc w:val="left"/>
        <w:rPr>
          <w:rFonts w:hint="eastAsia" w:ascii="黑体" w:hAnsi="黑体" w:eastAsia="黑体" w:cs="黑体"/>
          <w:sz w:val="32"/>
          <w:szCs w:val="32"/>
          <w:highlight w:val="none"/>
        </w:rPr>
      </w:pPr>
    </w:p>
    <w:p>
      <w:pPr>
        <w:widowControl/>
        <w:spacing w:line="540" w:lineRule="exact"/>
        <w:jc w:val="left"/>
        <w:rPr>
          <w:rFonts w:hint="eastAsia" w:ascii="黑体" w:hAnsi="黑体" w:eastAsia="黑体" w:cs="黑体"/>
          <w:sz w:val="32"/>
          <w:szCs w:val="32"/>
          <w:highlight w:val="none"/>
        </w:rPr>
      </w:pPr>
    </w:p>
    <w:p>
      <w:pPr>
        <w:pStyle w:val="13"/>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D60C3"/>
    <w:rsid w:val="019D115B"/>
    <w:rsid w:val="052E7ABA"/>
    <w:rsid w:val="07535D23"/>
    <w:rsid w:val="07690811"/>
    <w:rsid w:val="09AA26F7"/>
    <w:rsid w:val="11AC2651"/>
    <w:rsid w:val="127E28E2"/>
    <w:rsid w:val="14DE6E35"/>
    <w:rsid w:val="163530EF"/>
    <w:rsid w:val="17F20725"/>
    <w:rsid w:val="18471533"/>
    <w:rsid w:val="19843555"/>
    <w:rsid w:val="1AED2623"/>
    <w:rsid w:val="1BD2498B"/>
    <w:rsid w:val="1ECC422C"/>
    <w:rsid w:val="1F4F0EF6"/>
    <w:rsid w:val="23E52BED"/>
    <w:rsid w:val="2E32199B"/>
    <w:rsid w:val="310B6838"/>
    <w:rsid w:val="31AE6B83"/>
    <w:rsid w:val="37660EE7"/>
    <w:rsid w:val="37CF0414"/>
    <w:rsid w:val="394F2E11"/>
    <w:rsid w:val="3C7324DC"/>
    <w:rsid w:val="3C7945E5"/>
    <w:rsid w:val="3D7634A0"/>
    <w:rsid w:val="3E324C33"/>
    <w:rsid w:val="3FE457A9"/>
    <w:rsid w:val="4B245A16"/>
    <w:rsid w:val="4E2750C4"/>
    <w:rsid w:val="4FD6237E"/>
    <w:rsid w:val="55900730"/>
    <w:rsid w:val="5777D4F5"/>
    <w:rsid w:val="57DD7A72"/>
    <w:rsid w:val="583F5C3D"/>
    <w:rsid w:val="5F8F08CA"/>
    <w:rsid w:val="5FC209B5"/>
    <w:rsid w:val="5FC6BB1E"/>
    <w:rsid w:val="5FF720F1"/>
    <w:rsid w:val="60613044"/>
    <w:rsid w:val="609B351E"/>
    <w:rsid w:val="61A23510"/>
    <w:rsid w:val="61C37858"/>
    <w:rsid w:val="62CA5835"/>
    <w:rsid w:val="6351187F"/>
    <w:rsid w:val="64A54408"/>
    <w:rsid w:val="68901539"/>
    <w:rsid w:val="69E74321"/>
    <w:rsid w:val="6BEC5C84"/>
    <w:rsid w:val="6EF96718"/>
    <w:rsid w:val="6F9B0B8C"/>
    <w:rsid w:val="701101B3"/>
    <w:rsid w:val="70BB79D3"/>
    <w:rsid w:val="70D95550"/>
    <w:rsid w:val="718A3708"/>
    <w:rsid w:val="726A345E"/>
    <w:rsid w:val="737D59BA"/>
    <w:rsid w:val="77B06588"/>
    <w:rsid w:val="77C37683"/>
    <w:rsid w:val="79D6679F"/>
    <w:rsid w:val="79FF515B"/>
    <w:rsid w:val="7A467105"/>
    <w:rsid w:val="7ACA7328"/>
    <w:rsid w:val="7B6A6274"/>
    <w:rsid w:val="7BFB0D97"/>
    <w:rsid w:val="7E1A6AD0"/>
    <w:rsid w:val="7E5A01A6"/>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6599</Words>
  <Characters>7832</Characters>
  <Lines>1</Lines>
  <Paragraphs>1</Paragraphs>
  <TotalTime>0</TotalTime>
  <ScaleCrop>false</ScaleCrop>
  <LinksUpToDate>false</LinksUpToDate>
  <CharactersWithSpaces>8768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