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line="56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spacing w:after="0" w:afterLines="0" w:line="560" w:lineRule="exact"/>
        <w:rPr>
          <w:rFonts w:hint="eastAsia" w:ascii="黑体" w:hAnsi="黑体" w:eastAsia="黑体" w:cs="黑体"/>
          <w:sz w:val="32"/>
          <w:szCs w:val="32"/>
          <w:highlight w:val="none"/>
        </w:rPr>
      </w:pPr>
    </w:p>
    <w:p>
      <w:pPr>
        <w:spacing w:after="120" w:afterLines="50" w:line="520" w:lineRule="exact"/>
        <w:jc w:val="center"/>
        <w:outlineLvl w:val="1"/>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hint="eastAsia" w:ascii="方正小标宋简体" w:eastAsia="方正小标宋简体"/>
          <w:sz w:val="44"/>
          <w:szCs w:val="44"/>
          <w:highlight w:val="none"/>
        </w:rPr>
        <w:t>年度部门整体支出绩效评价基础数据表</w:t>
      </w:r>
    </w:p>
    <w:tbl>
      <w:tblPr>
        <w:tblStyle w:val="8"/>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财政供养人员情况（人）</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编制数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年实际在职人数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noWrap w:val="0"/>
            <w:vAlign w:val="center"/>
          </w:tcPr>
          <w:p>
            <w:pPr>
              <w:jc w:val="left"/>
              <w:rPr>
                <w:rFonts w:eastAsia="仿宋_GB2312"/>
                <w:sz w:val="20"/>
                <w:szCs w:val="20"/>
                <w:highlight w:val="none"/>
              </w:rPr>
            </w:pP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11</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34</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309%</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经费控制情况（万元）</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1</w:t>
            </w:r>
            <w:r>
              <w:rPr>
                <w:rFonts w:eastAsia="仿宋_GB2312"/>
                <w:b/>
                <w:bCs/>
                <w:sz w:val="20"/>
                <w:szCs w:val="20"/>
                <w:highlight w:val="none"/>
              </w:rPr>
              <w:t>年决算数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年预算数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hint="eastAsia" w:eastAsia="仿宋_GB2312"/>
                <w:sz w:val="20"/>
                <w:szCs w:val="20"/>
                <w:highlight w:val="none"/>
              </w:rPr>
            </w:pPr>
            <w:r>
              <w:rPr>
                <w:rFonts w:hint="eastAsia" w:eastAsia="仿宋_GB2312"/>
                <w:sz w:val="20"/>
                <w:szCs w:val="20"/>
                <w:highlight w:val="none"/>
              </w:rPr>
              <w:t>一、部门基本支出</w:t>
            </w:r>
          </w:p>
        </w:tc>
        <w:tc>
          <w:tcPr>
            <w:tcW w:w="1846"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611.19</w:t>
            </w: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745.92</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745.92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rPr>
                <w:rFonts w:hint="eastAsia" w:eastAsia="仿宋_GB2312"/>
                <w:sz w:val="20"/>
                <w:szCs w:val="20"/>
                <w:highlight w:val="none"/>
              </w:rPr>
            </w:pPr>
            <w:r>
              <w:rPr>
                <w:rFonts w:hint="eastAsia" w:eastAsia="仿宋_GB2312"/>
                <w:sz w:val="20"/>
                <w:szCs w:val="20"/>
                <w:highlight w:val="none"/>
              </w:rPr>
              <w:t>其中：</w:t>
            </w:r>
            <w:r>
              <w:rPr>
                <w:rFonts w:eastAsia="仿宋_GB2312"/>
                <w:sz w:val="20"/>
                <w:szCs w:val="20"/>
                <w:highlight w:val="none"/>
              </w:rPr>
              <w:t>公用经费</w:t>
            </w:r>
          </w:p>
        </w:tc>
        <w:tc>
          <w:tcPr>
            <w:tcW w:w="1846"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247.84</w:t>
            </w: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303.93</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303.93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其中：办公费</w:t>
            </w: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48.10</w:t>
            </w:r>
            <w:r>
              <w:rPr>
                <w:rFonts w:eastAsia="仿宋_GB2312"/>
                <w:sz w:val="20"/>
                <w:szCs w:val="20"/>
                <w:highlight w:val="none"/>
              </w:rPr>
              <w:t>　</w:t>
            </w:r>
          </w:p>
        </w:tc>
        <w:tc>
          <w:tcPr>
            <w:tcW w:w="2290"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51.41</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51.41</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水费、电费、差旅费</w:t>
            </w: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10.30</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11.34</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11.34</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会议费、培训费</w:t>
            </w: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8.4</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8.14</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8.14</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三公经费</w:t>
            </w:r>
          </w:p>
        </w:tc>
        <w:tc>
          <w:tcPr>
            <w:tcW w:w="1846"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10.67</w:t>
            </w: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10.47</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10.47</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1</w:t>
            </w:r>
            <w:r>
              <w:rPr>
                <w:rFonts w:hint="eastAsia" w:eastAsia="仿宋_GB2312"/>
                <w:sz w:val="20"/>
                <w:szCs w:val="20"/>
                <w:highlight w:val="none"/>
              </w:rPr>
              <w:t>.</w:t>
            </w:r>
            <w:r>
              <w:rPr>
                <w:rFonts w:eastAsia="仿宋_GB2312"/>
                <w:sz w:val="20"/>
                <w:szCs w:val="20"/>
                <w:highlight w:val="none"/>
              </w:rPr>
              <w:t>公务用车购置和维护经费</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其中：公</w:t>
            </w:r>
            <w:r>
              <w:rPr>
                <w:rFonts w:hint="eastAsia" w:eastAsia="仿宋_GB2312"/>
                <w:sz w:val="20"/>
                <w:szCs w:val="20"/>
                <w:highlight w:val="none"/>
                <w:lang w:eastAsia="zh-CN"/>
              </w:rPr>
              <w:t>务</w:t>
            </w:r>
            <w:r>
              <w:rPr>
                <w:rFonts w:eastAsia="仿宋_GB2312"/>
                <w:sz w:val="20"/>
                <w:szCs w:val="20"/>
                <w:highlight w:val="none"/>
              </w:rPr>
              <w:t>车购置</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公</w:t>
            </w:r>
            <w:r>
              <w:rPr>
                <w:rFonts w:hint="eastAsia" w:eastAsia="仿宋_GB2312"/>
                <w:sz w:val="20"/>
                <w:szCs w:val="20"/>
                <w:highlight w:val="none"/>
                <w:lang w:eastAsia="zh-CN"/>
              </w:rPr>
              <w:t>务</w:t>
            </w:r>
            <w:r>
              <w:rPr>
                <w:rFonts w:eastAsia="仿宋_GB2312"/>
                <w:sz w:val="20"/>
                <w:szCs w:val="20"/>
                <w:highlight w:val="none"/>
              </w:rPr>
              <w:t>车运行维护</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2</w:t>
            </w:r>
            <w:r>
              <w:rPr>
                <w:rFonts w:hint="eastAsia" w:eastAsia="仿宋_GB2312"/>
                <w:sz w:val="20"/>
                <w:szCs w:val="20"/>
                <w:highlight w:val="none"/>
              </w:rPr>
              <w:t>.</w:t>
            </w:r>
            <w:r>
              <w:rPr>
                <w:rFonts w:eastAsia="仿宋_GB2312"/>
                <w:sz w:val="20"/>
                <w:szCs w:val="20"/>
                <w:highlight w:val="none"/>
              </w:rPr>
              <w:t>出国经费</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 xml:space="preserve"> 3</w:t>
            </w:r>
            <w:r>
              <w:rPr>
                <w:rFonts w:hint="eastAsia" w:eastAsia="仿宋_GB2312"/>
                <w:sz w:val="20"/>
                <w:szCs w:val="20"/>
                <w:highlight w:val="none"/>
              </w:rPr>
              <w:t>.</w:t>
            </w:r>
            <w:r>
              <w:rPr>
                <w:rFonts w:eastAsia="仿宋_GB2312"/>
                <w:sz w:val="20"/>
                <w:szCs w:val="20"/>
                <w:highlight w:val="none"/>
              </w:rPr>
              <w:t>公务接待</w:t>
            </w:r>
          </w:p>
        </w:tc>
        <w:tc>
          <w:tcPr>
            <w:tcW w:w="1846"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10.67</w:t>
            </w: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10.47</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800" w:firstLineChars="400"/>
              <w:jc w:val="left"/>
              <w:rPr>
                <w:rFonts w:hint="eastAsia" w:eastAsia="仿宋_GB2312"/>
                <w:sz w:val="20"/>
                <w:szCs w:val="20"/>
                <w:highlight w:val="none"/>
              </w:rPr>
            </w:pPr>
            <w:r>
              <w:rPr>
                <w:rFonts w:hint="eastAsia" w:eastAsia="仿宋_GB2312"/>
                <w:sz w:val="20"/>
                <w:szCs w:val="20"/>
                <w:highlight w:val="none"/>
              </w:rPr>
              <w:t>二、</w:t>
            </w:r>
            <w:r>
              <w:rPr>
                <w:rFonts w:eastAsia="仿宋_GB2312"/>
                <w:sz w:val="20"/>
                <w:szCs w:val="20"/>
                <w:highlight w:val="none"/>
              </w:rPr>
              <w:t>项目支出</w:t>
            </w:r>
            <w:r>
              <w:rPr>
                <w:rFonts w:hint="eastAsia" w:eastAsia="仿宋_GB2312"/>
                <w:sz w:val="20"/>
                <w:szCs w:val="20"/>
                <w:highlight w:val="none"/>
              </w:rPr>
              <w:t>小计</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1</w:t>
            </w:r>
            <w:r>
              <w:rPr>
                <w:rFonts w:hint="eastAsia" w:eastAsia="仿宋_GB2312"/>
                <w:sz w:val="20"/>
                <w:szCs w:val="20"/>
                <w:highlight w:val="none"/>
              </w:rPr>
              <w:t>.</w:t>
            </w:r>
            <w:r>
              <w:rPr>
                <w:rFonts w:eastAsia="仿宋_GB2312"/>
                <w:sz w:val="20"/>
                <w:szCs w:val="20"/>
                <w:highlight w:val="none"/>
              </w:rPr>
              <w:t>（一个项目一行）</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200" w:firstLineChars="100"/>
              <w:jc w:val="left"/>
              <w:rPr>
                <w:rFonts w:eastAsia="仿宋_GB2312"/>
                <w:sz w:val="20"/>
                <w:szCs w:val="20"/>
                <w:highlight w:val="none"/>
              </w:rPr>
            </w:pPr>
            <w:r>
              <w:rPr>
                <w:rFonts w:eastAsia="仿宋_GB2312"/>
                <w:sz w:val="20"/>
                <w:szCs w:val="20"/>
                <w:highlight w:val="none"/>
              </w:rPr>
              <w:t>2</w:t>
            </w:r>
            <w:r>
              <w:rPr>
                <w:rFonts w:hint="eastAsia" w:eastAsia="仿宋_GB2312"/>
                <w:sz w:val="20"/>
                <w:szCs w:val="20"/>
                <w:highlight w:val="none"/>
              </w:rPr>
              <w:t>.</w:t>
            </w:r>
            <w:r>
              <w:rPr>
                <w:rFonts w:eastAsia="仿宋_GB2312"/>
                <w:sz w:val="20"/>
                <w:szCs w:val="20"/>
                <w:highlight w:val="none"/>
              </w:rPr>
              <w:t>（一个专项一行）</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3</w:t>
            </w:r>
            <w:r>
              <w:rPr>
                <w:rFonts w:hint="eastAsia" w:eastAsia="仿宋_GB2312"/>
                <w:sz w:val="20"/>
                <w:szCs w:val="20"/>
                <w:highlight w:val="none"/>
              </w:rPr>
              <w:t>.</w:t>
            </w:r>
            <w:r>
              <w:rPr>
                <w:rFonts w:eastAsia="仿宋_GB2312"/>
                <w:sz w:val="20"/>
                <w:szCs w:val="20"/>
                <w:highlight w:val="none"/>
              </w:rPr>
              <w:t xml:space="preserve">（一个项目一行）  </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政府采购金额</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部门基本支出预算调整 </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楼堂馆所控制情况</w:t>
            </w:r>
          </w:p>
          <w:p>
            <w:pPr>
              <w:jc w:val="center"/>
              <w:rPr>
                <w:rFonts w:eastAsia="仿宋_GB2312"/>
                <w:sz w:val="20"/>
                <w:szCs w:val="20"/>
                <w:highlight w:val="none"/>
              </w:rPr>
            </w:pPr>
            <w:r>
              <w:rPr>
                <w:rFonts w:eastAsia="仿宋_GB2312"/>
                <w:sz w:val="20"/>
                <w:szCs w:val="20"/>
                <w:highlight w:val="none"/>
              </w:rPr>
              <w:t>（202</w:t>
            </w:r>
            <w:r>
              <w:rPr>
                <w:rFonts w:eastAsia="仿宋_GB2312"/>
                <w:sz w:val="20"/>
                <w:szCs w:val="20"/>
                <w:highlight w:val="none"/>
                <w:lang w:val="en"/>
              </w:rPr>
              <w:t>2</w:t>
            </w:r>
            <w:r>
              <w:rPr>
                <w:rFonts w:eastAsia="仿宋_GB2312"/>
                <w:sz w:val="20"/>
                <w:szCs w:val="20"/>
                <w:highlight w:val="none"/>
              </w:rPr>
              <w:t>年完工项目）</w:t>
            </w:r>
          </w:p>
        </w:tc>
        <w:tc>
          <w:tcPr>
            <w:tcW w:w="1062" w:type="dxa"/>
            <w:noWrap w:val="0"/>
            <w:vAlign w:val="center"/>
          </w:tcPr>
          <w:p>
            <w:pPr>
              <w:spacing w:line="240" w:lineRule="exact"/>
              <w:jc w:val="center"/>
              <w:rPr>
                <w:rFonts w:eastAsia="仿宋_GB2312"/>
                <w:bCs/>
                <w:sz w:val="20"/>
                <w:szCs w:val="20"/>
                <w:highlight w:val="none"/>
              </w:rPr>
            </w:pPr>
            <w:r>
              <w:rPr>
                <w:rFonts w:eastAsia="仿宋_GB2312"/>
                <w:bCs/>
                <w:sz w:val="20"/>
                <w:szCs w:val="20"/>
                <w:highlight w:val="none"/>
              </w:rPr>
              <w:t>批复规模</w:t>
            </w:r>
          </w:p>
          <w:p>
            <w:pPr>
              <w:spacing w:line="240" w:lineRule="exact"/>
              <w:jc w:val="center"/>
              <w:rPr>
                <w:rFonts w:eastAsia="仿宋_GB2312"/>
                <w:sz w:val="20"/>
                <w:szCs w:val="20"/>
                <w:highlight w:val="none"/>
              </w:rPr>
            </w:pPr>
            <w:r>
              <w:rPr>
                <w:rFonts w:eastAsia="仿宋_GB2312"/>
                <w:bCs/>
                <w:sz w:val="20"/>
                <w:szCs w:val="20"/>
                <w:highlight w:val="none"/>
              </w:rPr>
              <w:t>（</w:t>
            </w:r>
            <w:r>
              <w:rPr>
                <w:bCs/>
                <w:sz w:val="20"/>
                <w:szCs w:val="20"/>
                <w:highlight w:val="none"/>
              </w:rPr>
              <w:t>㎡</w:t>
            </w:r>
            <w:r>
              <w:rPr>
                <w:rFonts w:eastAsia="仿宋_GB2312"/>
                <w:bCs/>
                <w:sz w:val="20"/>
                <w:szCs w:val="20"/>
                <w:highlight w:val="none"/>
              </w:rPr>
              <w:t>）</w:t>
            </w:r>
          </w:p>
        </w:tc>
        <w:tc>
          <w:tcPr>
            <w:tcW w:w="784" w:type="dxa"/>
            <w:noWrap w:val="0"/>
            <w:vAlign w:val="center"/>
          </w:tcPr>
          <w:p>
            <w:pPr>
              <w:spacing w:line="240" w:lineRule="exact"/>
              <w:jc w:val="center"/>
              <w:rPr>
                <w:highlight w:val="none"/>
              </w:rPr>
            </w:pPr>
            <w:r>
              <w:rPr>
                <w:rFonts w:eastAsia="仿宋_GB2312"/>
                <w:bCs/>
                <w:sz w:val="20"/>
                <w:szCs w:val="20"/>
                <w:highlight w:val="none"/>
              </w:rPr>
              <w:t>实际规模（</w:t>
            </w:r>
            <w:r>
              <w:rPr>
                <w:bCs/>
                <w:sz w:val="20"/>
                <w:szCs w:val="20"/>
                <w:highlight w:val="none"/>
              </w:rPr>
              <w:t>㎡</w:t>
            </w:r>
            <w:r>
              <w:rPr>
                <w:rFonts w:eastAsia="仿宋_GB2312"/>
                <w:bCs/>
                <w:sz w:val="20"/>
                <w:szCs w:val="20"/>
                <w:highlight w:val="none"/>
              </w:rPr>
              <w:t>）</w:t>
            </w:r>
          </w:p>
        </w:tc>
        <w:tc>
          <w:tcPr>
            <w:tcW w:w="1228"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规模控制率</w:t>
            </w:r>
          </w:p>
        </w:tc>
        <w:tc>
          <w:tcPr>
            <w:tcW w:w="1062" w:type="dxa"/>
            <w:noWrap w:val="0"/>
            <w:vAlign w:val="center"/>
          </w:tcPr>
          <w:p>
            <w:pPr>
              <w:spacing w:line="240" w:lineRule="exact"/>
              <w:jc w:val="center"/>
              <w:rPr>
                <w:highlight w:val="none"/>
              </w:rPr>
            </w:pPr>
            <w:r>
              <w:rPr>
                <w:rFonts w:eastAsia="仿宋_GB2312"/>
                <w:bCs/>
                <w:sz w:val="20"/>
                <w:szCs w:val="20"/>
                <w:highlight w:val="none"/>
              </w:rPr>
              <w:t>预算投资（万元）</w:t>
            </w:r>
          </w:p>
        </w:tc>
        <w:tc>
          <w:tcPr>
            <w:tcW w:w="1027"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实际投资（万元）</w:t>
            </w:r>
          </w:p>
        </w:tc>
        <w:tc>
          <w:tcPr>
            <w:tcW w:w="1045" w:type="dxa"/>
            <w:noWrap w:val="0"/>
            <w:vAlign w:val="center"/>
          </w:tcPr>
          <w:p>
            <w:pPr>
              <w:spacing w:line="240" w:lineRule="exact"/>
              <w:jc w:val="center"/>
              <w:rPr>
                <w:highlight w:val="none"/>
              </w:rPr>
            </w:pPr>
            <w:r>
              <w:rPr>
                <w:rFonts w:eastAsia="仿宋_GB2312"/>
                <w:bCs/>
                <w:sz w:val="20"/>
                <w:szCs w:val="20"/>
                <w:highlight w:val="none"/>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3400" w:type="dxa"/>
            <w:vMerge w:val="continue"/>
            <w:noWrap w:val="0"/>
            <w:vAlign w:val="center"/>
          </w:tcPr>
          <w:p>
            <w:pPr>
              <w:jc w:val="left"/>
              <w:rPr>
                <w:rFonts w:eastAsia="仿宋_GB2312"/>
                <w:sz w:val="20"/>
                <w:szCs w:val="20"/>
                <w:highlight w:val="none"/>
              </w:rPr>
            </w:pPr>
          </w:p>
        </w:tc>
        <w:tc>
          <w:tcPr>
            <w:tcW w:w="1062" w:type="dxa"/>
            <w:noWrap w:val="0"/>
            <w:vAlign w:val="center"/>
          </w:tcPr>
          <w:p>
            <w:pPr>
              <w:jc w:val="center"/>
              <w:rPr>
                <w:rFonts w:eastAsia="仿宋_GB2312"/>
                <w:sz w:val="20"/>
                <w:szCs w:val="20"/>
                <w:highlight w:val="none"/>
              </w:rPr>
            </w:pPr>
            <w:r>
              <w:rPr>
                <w:rFonts w:eastAsia="仿宋_GB2312"/>
                <w:sz w:val="20"/>
                <w:szCs w:val="20"/>
                <w:highlight w:val="none"/>
              </w:rPr>
              <w:t>　</w:t>
            </w:r>
          </w:p>
        </w:tc>
        <w:tc>
          <w:tcPr>
            <w:tcW w:w="784" w:type="dxa"/>
            <w:noWrap w:val="0"/>
            <w:vAlign w:val="center"/>
          </w:tcPr>
          <w:p>
            <w:pPr>
              <w:jc w:val="left"/>
              <w:rPr>
                <w:highlight w:val="none"/>
              </w:rPr>
            </w:pPr>
            <w:r>
              <w:rPr>
                <w:rFonts w:eastAsia="仿宋_GB2312"/>
                <w:sz w:val="20"/>
                <w:szCs w:val="20"/>
                <w:highlight w:val="none"/>
              </w:rPr>
              <w:t>　</w:t>
            </w:r>
          </w:p>
        </w:tc>
        <w:tc>
          <w:tcPr>
            <w:tcW w:w="1228" w:type="dxa"/>
            <w:noWrap w:val="0"/>
            <w:vAlign w:val="center"/>
          </w:tcPr>
          <w:p>
            <w:pPr>
              <w:jc w:val="left"/>
              <w:rPr>
                <w:rFonts w:eastAsia="仿宋_GB2312"/>
                <w:sz w:val="20"/>
                <w:szCs w:val="20"/>
                <w:highlight w:val="none"/>
              </w:rPr>
            </w:pPr>
            <w:r>
              <w:rPr>
                <w:rFonts w:eastAsia="仿宋_GB2312"/>
                <w:sz w:val="20"/>
                <w:szCs w:val="20"/>
                <w:highlight w:val="none"/>
              </w:rPr>
              <w:t>　</w:t>
            </w:r>
          </w:p>
        </w:tc>
        <w:tc>
          <w:tcPr>
            <w:tcW w:w="1062" w:type="dxa"/>
            <w:noWrap w:val="0"/>
            <w:vAlign w:val="center"/>
          </w:tcPr>
          <w:p>
            <w:pPr>
              <w:jc w:val="left"/>
              <w:rPr>
                <w:highlight w:val="none"/>
              </w:rPr>
            </w:pPr>
            <w:r>
              <w:rPr>
                <w:rFonts w:eastAsia="仿宋_GB2312"/>
                <w:sz w:val="20"/>
                <w:szCs w:val="20"/>
                <w:highlight w:val="none"/>
              </w:rPr>
              <w:t>　</w:t>
            </w:r>
          </w:p>
        </w:tc>
        <w:tc>
          <w:tcPr>
            <w:tcW w:w="1027" w:type="dxa"/>
            <w:noWrap w:val="0"/>
            <w:vAlign w:val="center"/>
          </w:tcPr>
          <w:p>
            <w:pPr>
              <w:jc w:val="left"/>
              <w:rPr>
                <w:rFonts w:eastAsia="仿宋_GB2312"/>
                <w:sz w:val="20"/>
                <w:szCs w:val="20"/>
                <w:highlight w:val="none"/>
              </w:rPr>
            </w:pPr>
            <w:r>
              <w:rPr>
                <w:rFonts w:eastAsia="仿宋_GB2312"/>
                <w:sz w:val="20"/>
                <w:szCs w:val="20"/>
                <w:highlight w:val="none"/>
              </w:rPr>
              <w:t>　</w:t>
            </w:r>
          </w:p>
        </w:tc>
        <w:tc>
          <w:tcPr>
            <w:tcW w:w="1045" w:type="dxa"/>
            <w:noWrap w:val="0"/>
            <w:vAlign w:val="center"/>
          </w:tcPr>
          <w:p>
            <w:pPr>
              <w:jc w:val="left"/>
              <w:rPr>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厉行节约保障措施</w:t>
            </w:r>
          </w:p>
        </w:tc>
        <w:tc>
          <w:tcPr>
            <w:tcW w:w="6208" w:type="dxa"/>
            <w:gridSpan w:val="6"/>
            <w:noWrap w:val="0"/>
            <w:vAlign w:val="center"/>
          </w:tcPr>
          <w:p>
            <w:pPr>
              <w:jc w:val="center"/>
              <w:rPr>
                <w:rFonts w:eastAsia="仿宋_GB2312"/>
                <w:sz w:val="20"/>
                <w:szCs w:val="20"/>
                <w:highlight w:val="none"/>
              </w:rPr>
            </w:pPr>
            <w:r>
              <w:rPr>
                <w:rFonts w:eastAsia="仿宋_GB2312"/>
                <w:sz w:val="20"/>
                <w:szCs w:val="20"/>
                <w:highlight w:val="none"/>
              </w:rPr>
              <w:t>　</w:t>
            </w:r>
          </w:p>
        </w:tc>
      </w:tr>
    </w:tbl>
    <w:p>
      <w:pPr>
        <w:spacing w:line="100" w:lineRule="exact"/>
        <w:jc w:val="left"/>
        <w:rPr>
          <w:rFonts w:eastAsia="仿宋_GB2312"/>
          <w:sz w:val="22"/>
          <w:highlight w:val="none"/>
        </w:rPr>
      </w:pPr>
    </w:p>
    <w:p>
      <w:pPr>
        <w:jc w:val="left"/>
        <w:rPr>
          <w:rFonts w:eastAsia="仿宋_GB2312"/>
          <w:sz w:val="22"/>
          <w:highlight w:val="none"/>
        </w:rPr>
      </w:pPr>
      <w:r>
        <w:rPr>
          <w:rFonts w:eastAsia="仿宋_GB2312"/>
          <w:sz w:val="22"/>
          <w:highlight w:val="none"/>
        </w:rPr>
        <w:t>说明：“项目支出”需要填报基本支出以外的所有项目支出情况，“公用经费”填报基本支出中的一般商品和服务支出。</w:t>
      </w:r>
    </w:p>
    <w:p>
      <w:pPr>
        <w:spacing w:line="100" w:lineRule="exact"/>
        <w:jc w:val="left"/>
        <w:rPr>
          <w:rFonts w:eastAsia="仿宋_GB2312"/>
          <w:sz w:val="22"/>
          <w:highlight w:val="none"/>
        </w:rPr>
      </w:pPr>
    </w:p>
    <w:p>
      <w:pPr>
        <w:spacing w:after="120" w:afterLines="50"/>
        <w:jc w:val="left"/>
        <w:rPr>
          <w:rFonts w:hint="eastAsia" w:eastAsia="仿宋_GB2312"/>
          <w:sz w:val="22"/>
          <w:highlight w:val="none"/>
          <w:lang w:val="en-US" w:eastAsia="zh-CN"/>
        </w:rPr>
      </w:pPr>
      <w:r>
        <w:rPr>
          <w:rFonts w:eastAsia="仿宋_GB2312"/>
          <w:sz w:val="22"/>
          <w:highlight w:val="none"/>
        </w:rPr>
        <w:t>填表人：</w:t>
      </w:r>
      <w:r>
        <w:rPr>
          <w:rFonts w:hint="eastAsia" w:eastAsia="仿宋_GB2312"/>
          <w:sz w:val="22"/>
          <w:highlight w:val="none"/>
          <w:lang w:val="en-US" w:eastAsia="zh-CN"/>
        </w:rPr>
        <w:t>文斐</w:t>
      </w:r>
      <w:r>
        <w:rPr>
          <w:rFonts w:eastAsia="仿宋_GB2312"/>
          <w:sz w:val="22"/>
          <w:highlight w:val="none"/>
        </w:rPr>
        <w:t xml:space="preserve"> 填报日期：</w:t>
      </w:r>
      <w:r>
        <w:rPr>
          <w:rFonts w:hint="eastAsia" w:eastAsia="仿宋_GB2312"/>
          <w:sz w:val="22"/>
          <w:highlight w:val="none"/>
          <w:lang w:val="en-US" w:eastAsia="zh-CN"/>
        </w:rPr>
        <w:t>2023.7.2</w:t>
      </w:r>
      <w:r>
        <w:rPr>
          <w:rFonts w:eastAsia="仿宋_GB2312"/>
          <w:sz w:val="22"/>
          <w:highlight w:val="none"/>
        </w:rPr>
        <w:t xml:space="preserve"> 联系电话：</w:t>
      </w:r>
      <w:r>
        <w:rPr>
          <w:rFonts w:hint="eastAsia" w:eastAsia="仿宋_GB2312"/>
          <w:sz w:val="22"/>
          <w:highlight w:val="none"/>
          <w:lang w:val="en-US" w:eastAsia="zh-CN"/>
        </w:rPr>
        <w:t>13974694430</w:t>
      </w:r>
      <w:r>
        <w:rPr>
          <w:rFonts w:eastAsia="仿宋_GB2312"/>
          <w:sz w:val="22"/>
          <w:highlight w:val="none"/>
        </w:rPr>
        <w:t xml:space="preserve"> 单位负责人签字：</w:t>
      </w:r>
      <w:r>
        <w:rPr>
          <w:rFonts w:hint="eastAsia" w:eastAsia="仿宋_GB2312"/>
          <w:sz w:val="22"/>
          <w:highlight w:val="none"/>
          <w:lang w:val="en-US" w:eastAsia="zh-CN"/>
        </w:rPr>
        <w:t>贺朝群</w:t>
      </w:r>
    </w:p>
    <w:p>
      <w:pPr>
        <w:spacing w:after="120" w:afterLines="50"/>
        <w:jc w:val="left"/>
        <w:rPr>
          <w:rFonts w:hint="eastAsia" w:eastAsia="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年度部门整体支出绩效自评表</w:t>
      </w:r>
    </w:p>
    <w:tbl>
      <w:tblPr>
        <w:tblStyle w:val="8"/>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市级预算部门名称</w:t>
            </w:r>
          </w:p>
        </w:tc>
        <w:tc>
          <w:tcPr>
            <w:tcW w:w="8349" w:type="dxa"/>
            <w:gridSpan w:val="9"/>
            <w:noWrap w:val="0"/>
            <w:vAlign w:val="center"/>
          </w:tcPr>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lang w:val="en-US" w:eastAsia="zh-CN"/>
              </w:rPr>
              <w:t>新田县人力资源和社会保障局</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年度预</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算申请</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（万元）</w:t>
            </w:r>
          </w:p>
        </w:tc>
        <w:tc>
          <w:tcPr>
            <w:tcW w:w="1878" w:type="dxa"/>
            <w:gridSpan w:val="2"/>
            <w:noWrap w:val="0"/>
            <w:vAlign w:val="center"/>
          </w:tcPr>
          <w:p>
            <w:pPr>
              <w:spacing w:line="240" w:lineRule="exact"/>
              <w:jc w:val="center"/>
              <w:rPr>
                <w:rFonts w:eastAsia="仿宋_GB2312"/>
                <w:sz w:val="20"/>
                <w:szCs w:val="20"/>
                <w:highlight w:val="none"/>
              </w:rPr>
            </w:pPr>
          </w:p>
        </w:tc>
        <w:tc>
          <w:tcPr>
            <w:tcW w:w="1146" w:type="dxa"/>
            <w:gridSpan w:val="2"/>
            <w:noWrap w:val="0"/>
            <w:vAlign w:val="center"/>
          </w:tcPr>
          <w:p>
            <w:pPr>
              <w:spacing w:line="240" w:lineRule="exact"/>
              <w:jc w:val="center"/>
              <w:rPr>
                <w:rFonts w:eastAsia="仿宋_GB2312"/>
                <w:sz w:val="20"/>
                <w:szCs w:val="20"/>
                <w:highlight w:val="none"/>
              </w:rPr>
            </w:pPr>
            <w:r>
              <w:rPr>
                <w:rFonts w:eastAsia="仿宋_GB2312"/>
                <w:sz w:val="20"/>
                <w:szCs w:val="20"/>
                <w:highlight w:val="none"/>
              </w:rPr>
              <w:t>年初预算数</w:t>
            </w:r>
          </w:p>
        </w:tc>
        <w:tc>
          <w:tcPr>
            <w:tcW w:w="107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全年预算数</w:t>
            </w:r>
          </w:p>
        </w:tc>
        <w:tc>
          <w:tcPr>
            <w:tcW w:w="1202"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全年执行数</w:t>
            </w:r>
          </w:p>
        </w:tc>
        <w:tc>
          <w:tcPr>
            <w:tcW w:w="71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分值</w:t>
            </w:r>
          </w:p>
        </w:tc>
        <w:tc>
          <w:tcPr>
            <w:tcW w:w="884"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执行率</w:t>
            </w:r>
          </w:p>
        </w:tc>
        <w:tc>
          <w:tcPr>
            <w:tcW w:w="1443"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1878" w:type="dxa"/>
            <w:gridSpan w:val="2"/>
            <w:noWrap w:val="0"/>
            <w:vAlign w:val="center"/>
          </w:tcPr>
          <w:p>
            <w:pPr>
              <w:spacing w:line="240" w:lineRule="exact"/>
              <w:jc w:val="center"/>
              <w:rPr>
                <w:rFonts w:eastAsia="仿宋_GB2312"/>
                <w:sz w:val="20"/>
                <w:szCs w:val="20"/>
                <w:highlight w:val="none"/>
              </w:rPr>
            </w:pPr>
            <w:r>
              <w:rPr>
                <w:rFonts w:eastAsia="仿宋_GB2312"/>
                <w:color w:val="000000"/>
                <w:sz w:val="20"/>
                <w:szCs w:val="20"/>
                <w:highlight w:val="none"/>
              </w:rPr>
              <w:t>年度资金总额</w:t>
            </w:r>
          </w:p>
        </w:tc>
        <w:tc>
          <w:tcPr>
            <w:tcW w:w="1146" w:type="dxa"/>
            <w:gridSpan w:val="2"/>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577.84</w:t>
            </w:r>
          </w:p>
        </w:tc>
        <w:tc>
          <w:tcPr>
            <w:tcW w:w="1078"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745.92</w:t>
            </w:r>
          </w:p>
        </w:tc>
        <w:tc>
          <w:tcPr>
            <w:tcW w:w="1202"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745.92</w:t>
            </w:r>
          </w:p>
        </w:tc>
        <w:tc>
          <w:tcPr>
            <w:tcW w:w="718" w:type="dxa"/>
            <w:noWrap w:val="0"/>
            <w:vAlign w:val="center"/>
          </w:tcPr>
          <w:p>
            <w:pPr>
              <w:spacing w:line="240" w:lineRule="exact"/>
              <w:jc w:val="center"/>
              <w:rPr>
                <w:rFonts w:hint="eastAsia" w:eastAsia="仿宋_GB2312"/>
                <w:sz w:val="20"/>
                <w:szCs w:val="20"/>
                <w:highlight w:val="none"/>
                <w:lang w:val="en-US" w:eastAsia="zh-CN"/>
              </w:rPr>
            </w:pPr>
            <w:r>
              <w:rPr>
                <w:rFonts w:eastAsia="仿宋_GB2312"/>
                <w:sz w:val="20"/>
                <w:szCs w:val="20"/>
                <w:highlight w:val="none"/>
              </w:rPr>
              <w:t>10</w:t>
            </w:r>
          </w:p>
        </w:tc>
        <w:tc>
          <w:tcPr>
            <w:tcW w:w="884"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100%</w:t>
            </w:r>
          </w:p>
        </w:tc>
        <w:tc>
          <w:tcPr>
            <w:tcW w:w="1443" w:type="dxa"/>
            <w:noWrap w:val="0"/>
            <w:vAlign w:val="center"/>
          </w:tcPr>
          <w:p>
            <w:pPr>
              <w:spacing w:line="240" w:lineRule="exact"/>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按收入性质分：</w:t>
            </w:r>
          </w:p>
        </w:tc>
        <w:tc>
          <w:tcPr>
            <w:tcW w:w="4247" w:type="dxa"/>
            <w:gridSpan w:val="4"/>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xml:space="preserve">  其中：  一般公共预算：</w:t>
            </w:r>
            <w:r>
              <w:rPr>
                <w:rFonts w:hint="eastAsia" w:eastAsia="仿宋_GB2312"/>
                <w:color w:val="000000"/>
                <w:sz w:val="20"/>
                <w:szCs w:val="20"/>
                <w:highlight w:val="none"/>
                <w:lang w:val="en-US" w:eastAsia="zh-CN"/>
              </w:rPr>
              <w:t>745.92</w:t>
            </w:r>
          </w:p>
        </w:tc>
        <w:tc>
          <w:tcPr>
            <w:tcW w:w="4247"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其中：基本支出：</w:t>
            </w:r>
            <w:r>
              <w:rPr>
                <w:rFonts w:hint="eastAsia" w:eastAsia="仿宋_GB2312"/>
                <w:color w:val="000000"/>
                <w:sz w:val="20"/>
                <w:szCs w:val="20"/>
                <w:highlight w:val="none"/>
                <w:lang w:val="en-US" w:eastAsia="zh-CN"/>
              </w:rPr>
              <w:t>745.92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ind w:firstLine="800" w:firstLineChars="400"/>
              <w:jc w:val="left"/>
              <w:rPr>
                <w:rFonts w:eastAsia="仿宋_GB2312"/>
                <w:color w:val="000000"/>
                <w:sz w:val="20"/>
                <w:szCs w:val="20"/>
                <w:highlight w:val="none"/>
              </w:rPr>
            </w:pPr>
            <w:r>
              <w:rPr>
                <w:rFonts w:eastAsia="仿宋_GB2312"/>
                <w:color w:val="000000"/>
                <w:sz w:val="20"/>
                <w:szCs w:val="20"/>
                <w:highlight w:val="none"/>
              </w:rPr>
              <w:t>政府性基金拨款：</w:t>
            </w:r>
          </w:p>
        </w:tc>
        <w:tc>
          <w:tcPr>
            <w:tcW w:w="4247" w:type="dxa"/>
            <w:gridSpan w:val="4"/>
            <w:noWrap w:val="0"/>
            <w:vAlign w:val="center"/>
          </w:tcPr>
          <w:p>
            <w:pPr>
              <w:spacing w:line="240" w:lineRule="exact"/>
              <w:ind w:firstLine="600" w:firstLineChars="300"/>
              <w:jc w:val="left"/>
              <w:rPr>
                <w:rFonts w:eastAsia="仿宋_GB2312"/>
                <w:color w:val="000000"/>
                <w:sz w:val="20"/>
                <w:szCs w:val="20"/>
                <w:highlight w:val="none"/>
              </w:rPr>
            </w:pPr>
            <w:r>
              <w:rPr>
                <w:rFonts w:eastAsia="仿宋_GB2312"/>
                <w:color w:val="000000"/>
                <w:sz w:val="20"/>
                <w:szCs w:val="20"/>
                <w:highlight w:val="none"/>
              </w:rPr>
              <w:t>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纳入专户管理的非税收入拨款：</w:t>
            </w:r>
          </w:p>
        </w:tc>
        <w:tc>
          <w:tcPr>
            <w:tcW w:w="4247"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ind w:firstLine="1400" w:firstLineChars="700"/>
              <w:jc w:val="left"/>
              <w:rPr>
                <w:rFonts w:eastAsia="仿宋_GB2312"/>
                <w:color w:val="000000"/>
                <w:sz w:val="20"/>
                <w:szCs w:val="20"/>
                <w:highlight w:val="none"/>
              </w:rPr>
            </w:pPr>
            <w:r>
              <w:rPr>
                <w:rFonts w:eastAsia="仿宋_GB2312"/>
                <w:color w:val="000000"/>
                <w:sz w:val="20"/>
                <w:szCs w:val="20"/>
                <w:highlight w:val="none"/>
              </w:rPr>
              <w:t>其他资金：</w:t>
            </w:r>
          </w:p>
        </w:tc>
        <w:tc>
          <w:tcPr>
            <w:tcW w:w="4247"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102" w:type="dxa"/>
            <w:gridSpan w:val="5"/>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预期目标</w:t>
            </w:r>
          </w:p>
        </w:tc>
        <w:tc>
          <w:tcPr>
            <w:tcW w:w="4247" w:type="dxa"/>
            <w:gridSpan w:val="4"/>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center"/>
              <w:rPr>
                <w:rFonts w:eastAsia="仿宋_GB2312"/>
                <w:color w:val="000000"/>
                <w:sz w:val="20"/>
                <w:szCs w:val="20"/>
                <w:highlight w:val="none"/>
              </w:rPr>
            </w:pPr>
            <w:r>
              <w:rPr>
                <w:rFonts w:eastAsia="仿宋_GB2312"/>
                <w:color w:val="000000"/>
                <w:kern w:val="0"/>
              </w:rPr>
              <w:t xml:space="preserve"> </w:t>
            </w:r>
            <w:r>
              <w:rPr>
                <w:rFonts w:hint="eastAsia" w:ascii="仿宋" w:hAnsi="仿宋" w:eastAsia="仿宋" w:cs="仿宋"/>
                <w:color w:val="000000"/>
                <w:sz w:val="21"/>
                <w:szCs w:val="21"/>
              </w:rPr>
              <w:t>就业再就业、人事人才工作、社会保险参保待遇发放</w:t>
            </w:r>
            <w:r>
              <w:rPr>
                <w:rFonts w:eastAsia="仿宋_GB2312"/>
                <w:color w:val="000000"/>
                <w:sz w:val="20"/>
                <w:szCs w:val="20"/>
                <w:highlight w:val="none"/>
              </w:rPr>
              <w:t>　　</w:t>
            </w:r>
          </w:p>
        </w:tc>
        <w:tc>
          <w:tcPr>
            <w:tcW w:w="4247"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绩</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效</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标</w:t>
            </w:r>
          </w:p>
          <w:p>
            <w:pPr>
              <w:spacing w:line="240" w:lineRule="exact"/>
              <w:jc w:val="center"/>
              <w:rPr>
                <w:rFonts w:eastAsia="仿宋_GB2312"/>
                <w:color w:val="000000"/>
                <w:sz w:val="20"/>
                <w:szCs w:val="20"/>
                <w:highlight w:val="none"/>
              </w:rPr>
            </w:pPr>
          </w:p>
        </w:tc>
        <w:tc>
          <w:tcPr>
            <w:tcW w:w="94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9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46" w:type="dxa"/>
            <w:gridSpan w:val="2"/>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年度指标值</w:t>
            </w:r>
          </w:p>
        </w:tc>
        <w:tc>
          <w:tcPr>
            <w:tcW w:w="120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实际完成值</w:t>
            </w:r>
          </w:p>
        </w:tc>
        <w:tc>
          <w:tcPr>
            <w:tcW w:w="71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84"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443"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产出指标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r>
              <w:rPr>
                <w:rFonts w:hint="eastAsia" w:eastAsia="仿宋_GB2312"/>
                <w:color w:val="000000"/>
                <w:sz w:val="20"/>
                <w:szCs w:val="20"/>
                <w:highlight w:val="none"/>
                <w:lang w:val="en-US" w:eastAsia="zh-CN"/>
              </w:rPr>
              <w:t>75</w:t>
            </w:r>
            <w:r>
              <w:rPr>
                <w:rFonts w:eastAsia="仿宋_GB2312"/>
                <w:color w:val="000000"/>
                <w:sz w:val="20"/>
                <w:szCs w:val="20"/>
                <w:highlight w:val="none"/>
              </w:rPr>
              <w:t>分)</w:t>
            </w: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重点工作</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任务完成</w:t>
            </w:r>
          </w:p>
        </w:tc>
        <w:tc>
          <w:tcPr>
            <w:tcW w:w="1078" w:type="dxa"/>
            <w:noWrap w:val="0"/>
            <w:vAlign w:val="center"/>
          </w:tcPr>
          <w:p>
            <w:pPr>
              <w:pStyle w:val="7"/>
              <w:widowControl/>
              <w:spacing w:before="0" w:beforeAutospacing="0" w:after="0" w:afterAutospacing="0"/>
              <w:ind w:left="0" w:leftChars="0" w:right="0" w:rightChars="0"/>
              <w:rPr>
                <w:rFonts w:ascii="Calibri" w:hAnsi="Calibri" w:eastAsia="宋体" w:cs="Calibri"/>
                <w:kern w:val="0"/>
                <w:sz w:val="15"/>
                <w:szCs w:val="15"/>
                <w:lang w:val="en-US" w:eastAsia="zh-CN" w:bidi="ar"/>
              </w:rPr>
            </w:pPr>
            <w:r>
              <w:rPr>
                <w:rFonts w:ascii="Calibri" w:hAnsi="Calibri" w:cs="Calibri"/>
                <w:color w:val="000000"/>
                <w:sz w:val="15"/>
                <w:szCs w:val="15"/>
              </w:rPr>
              <w:t> </w:t>
            </w:r>
            <w:r>
              <w:rPr>
                <w:rFonts w:hint="eastAsia" w:ascii="仿宋" w:hAnsi="仿宋" w:eastAsia="仿宋" w:cs="仿宋"/>
                <w:sz w:val="15"/>
                <w:szCs w:val="15"/>
              </w:rPr>
              <w:t>新增城镇就业</w:t>
            </w:r>
          </w:p>
        </w:tc>
        <w:tc>
          <w:tcPr>
            <w:tcW w:w="1146" w:type="dxa"/>
            <w:gridSpan w:val="2"/>
            <w:noWrap w:val="0"/>
            <w:vAlign w:val="center"/>
          </w:tcPr>
          <w:p>
            <w:pPr>
              <w:pStyle w:val="7"/>
              <w:widowControl/>
              <w:spacing w:before="0" w:beforeAutospacing="0" w:after="0" w:afterAutospacing="0"/>
              <w:ind w:left="0" w:leftChars="0" w:right="0" w:rightChars="0"/>
              <w:rPr>
                <w:rFonts w:ascii="Calibri" w:hAnsi="Calibri" w:eastAsia="宋体" w:cs="Calibri"/>
                <w:kern w:val="0"/>
                <w:sz w:val="15"/>
                <w:szCs w:val="15"/>
                <w:lang w:val="en-US" w:eastAsia="zh-CN" w:bidi="ar"/>
              </w:rPr>
            </w:pPr>
            <w:r>
              <w:rPr>
                <w:rFonts w:hint="eastAsia" w:ascii="仿宋" w:hAnsi="仿宋" w:eastAsia="仿宋" w:cs="仿宋"/>
                <w:color w:val="000000"/>
                <w:sz w:val="15"/>
                <w:szCs w:val="15"/>
              </w:rPr>
              <w:t>　3</w:t>
            </w:r>
            <w:r>
              <w:rPr>
                <w:rFonts w:hint="eastAsia" w:ascii="仿宋" w:hAnsi="仿宋" w:eastAsia="仿宋" w:cs="仿宋"/>
                <w:color w:val="000000"/>
                <w:sz w:val="15"/>
                <w:szCs w:val="15"/>
                <w:lang w:val="en-US" w:eastAsia="zh-CN"/>
              </w:rPr>
              <w:t>300</w:t>
            </w:r>
            <w:r>
              <w:rPr>
                <w:rFonts w:hint="eastAsia" w:ascii="仿宋" w:hAnsi="仿宋" w:eastAsia="仿宋" w:cs="仿宋"/>
                <w:color w:val="000000"/>
                <w:sz w:val="15"/>
                <w:szCs w:val="15"/>
              </w:rPr>
              <w:t>人</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3315人</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15</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15</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pStyle w:val="7"/>
              <w:widowControl/>
              <w:spacing w:before="0" w:beforeAutospacing="0" w:after="0" w:afterAutospacing="0"/>
              <w:ind w:left="0" w:leftChars="0" w:right="0" w:rightChars="0"/>
              <w:rPr>
                <w:rFonts w:ascii="Calibri" w:hAnsi="Calibri" w:eastAsia="宋体" w:cs="Calibri"/>
                <w:kern w:val="0"/>
                <w:sz w:val="15"/>
                <w:szCs w:val="15"/>
                <w:lang w:val="en-US" w:eastAsia="zh-CN" w:bidi="ar"/>
              </w:rPr>
            </w:pPr>
            <w:r>
              <w:rPr>
                <w:rFonts w:hint="eastAsia" w:ascii="仿宋" w:hAnsi="仿宋" w:eastAsia="仿宋" w:cs="仿宋"/>
                <w:sz w:val="15"/>
                <w:szCs w:val="15"/>
              </w:rPr>
              <w:t>城镇职工养老保险参保</w:t>
            </w:r>
          </w:p>
        </w:tc>
        <w:tc>
          <w:tcPr>
            <w:tcW w:w="1146" w:type="dxa"/>
            <w:gridSpan w:val="2"/>
            <w:noWrap w:val="0"/>
            <w:vAlign w:val="center"/>
          </w:tcPr>
          <w:p>
            <w:pPr>
              <w:pStyle w:val="7"/>
              <w:widowControl/>
              <w:spacing w:before="0" w:beforeAutospacing="0" w:after="0" w:afterAutospacing="0"/>
              <w:ind w:left="0" w:leftChars="0" w:right="0" w:rightChars="0"/>
              <w:rPr>
                <w:rFonts w:ascii="Calibri" w:hAnsi="Calibri" w:eastAsia="宋体" w:cs="Calibri"/>
                <w:kern w:val="0"/>
                <w:sz w:val="15"/>
                <w:szCs w:val="15"/>
                <w:lang w:val="en-US" w:eastAsia="zh-CN" w:bidi="ar"/>
              </w:rPr>
            </w:pPr>
            <w:r>
              <w:rPr>
                <w:rFonts w:hint="eastAsia" w:ascii="仿宋" w:hAnsi="仿宋" w:eastAsia="仿宋" w:cs="仿宋"/>
                <w:color w:val="000000"/>
                <w:sz w:val="15"/>
                <w:szCs w:val="15"/>
              </w:rPr>
              <w:t>　1</w:t>
            </w:r>
            <w:r>
              <w:rPr>
                <w:rFonts w:ascii="仿宋" w:hAnsi="仿宋" w:eastAsia="仿宋" w:cs="仿宋"/>
                <w:color w:val="000000"/>
                <w:sz w:val="15"/>
                <w:szCs w:val="15"/>
              </w:rPr>
              <w:t>.</w:t>
            </w:r>
            <w:r>
              <w:rPr>
                <w:rFonts w:hint="eastAsia" w:ascii="仿宋" w:hAnsi="仿宋" w:eastAsia="仿宋" w:cs="仿宋"/>
                <w:color w:val="000000"/>
                <w:sz w:val="15"/>
                <w:szCs w:val="15"/>
                <w:lang w:val="en-US" w:eastAsia="zh-CN"/>
              </w:rPr>
              <w:t>75</w:t>
            </w:r>
            <w:r>
              <w:rPr>
                <w:rFonts w:hint="eastAsia" w:ascii="仿宋" w:hAnsi="仿宋" w:eastAsia="仿宋" w:cs="仿宋"/>
                <w:color w:val="000000"/>
                <w:sz w:val="15"/>
                <w:szCs w:val="15"/>
              </w:rPr>
              <w:t>万人</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17485人</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15</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15</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履职目</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标实现</w:t>
            </w:r>
          </w:p>
        </w:tc>
        <w:tc>
          <w:tcPr>
            <w:tcW w:w="1078" w:type="dxa"/>
            <w:noWrap w:val="0"/>
            <w:vAlign w:val="center"/>
          </w:tcPr>
          <w:p>
            <w:pPr>
              <w:pStyle w:val="7"/>
              <w:widowControl/>
              <w:spacing w:before="0" w:beforeAutospacing="0" w:after="0" w:afterAutospacing="0"/>
              <w:ind w:left="0" w:leftChars="0" w:right="0" w:rightChars="0"/>
              <w:rPr>
                <w:rFonts w:ascii="Calibri" w:hAnsi="Calibri" w:eastAsia="宋体" w:cs="Calibri"/>
                <w:kern w:val="0"/>
                <w:sz w:val="15"/>
                <w:szCs w:val="15"/>
                <w:lang w:val="en-US" w:eastAsia="zh-CN" w:bidi="ar"/>
              </w:rPr>
            </w:pPr>
            <w:r>
              <w:rPr>
                <w:rFonts w:ascii="Calibri" w:hAnsi="Calibri" w:cs="Calibri"/>
                <w:color w:val="000000"/>
                <w:sz w:val="15"/>
                <w:szCs w:val="15"/>
              </w:rPr>
              <w:t> </w:t>
            </w:r>
            <w:r>
              <w:rPr>
                <w:rFonts w:hint="eastAsia" w:ascii="仿宋" w:hAnsi="仿宋" w:eastAsia="仿宋" w:cs="仿宋"/>
                <w:sz w:val="15"/>
                <w:szCs w:val="15"/>
              </w:rPr>
              <w:t>城镇就业完成率</w:t>
            </w:r>
          </w:p>
        </w:tc>
        <w:tc>
          <w:tcPr>
            <w:tcW w:w="1146" w:type="dxa"/>
            <w:gridSpan w:val="2"/>
            <w:noWrap w:val="0"/>
            <w:vAlign w:val="center"/>
          </w:tcPr>
          <w:p>
            <w:pPr>
              <w:pStyle w:val="7"/>
              <w:widowControl/>
              <w:spacing w:before="0" w:beforeAutospacing="0" w:after="0" w:afterAutospacing="0"/>
              <w:ind w:left="0" w:leftChars="0" w:right="0" w:rightChars="0"/>
              <w:rPr>
                <w:rFonts w:ascii="Calibri" w:hAnsi="Calibri" w:eastAsia="宋体" w:cs="Calibri"/>
                <w:kern w:val="0"/>
                <w:sz w:val="15"/>
                <w:szCs w:val="15"/>
                <w:lang w:val="en-US" w:eastAsia="zh-CN" w:bidi="ar"/>
              </w:rPr>
            </w:pPr>
            <w:r>
              <w:rPr>
                <w:rFonts w:ascii="仿宋" w:hAnsi="仿宋" w:eastAsia="仿宋" w:cs="仿宋"/>
                <w:color w:val="000000"/>
                <w:sz w:val="15"/>
                <w:szCs w:val="15"/>
              </w:rPr>
              <w:t>100</w:t>
            </w:r>
            <w:r>
              <w:rPr>
                <w:rFonts w:hint="eastAsia" w:ascii="仿宋" w:hAnsi="仿宋" w:eastAsia="仿宋" w:cs="仿宋"/>
                <w:color w:val="000000"/>
                <w:sz w:val="15"/>
                <w:szCs w:val="15"/>
              </w:rPr>
              <w:t>%</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98%</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15</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14</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pStyle w:val="7"/>
              <w:widowControl/>
              <w:spacing w:before="0" w:beforeAutospacing="0" w:after="0" w:afterAutospacing="0"/>
              <w:ind w:left="0" w:leftChars="0" w:right="0" w:rightChars="0"/>
              <w:rPr>
                <w:rFonts w:ascii="Calibri" w:hAnsi="Calibri" w:eastAsia="宋体" w:cs="Calibri"/>
                <w:kern w:val="0"/>
                <w:sz w:val="15"/>
                <w:szCs w:val="15"/>
                <w:lang w:val="en-US" w:eastAsia="zh-CN" w:bidi="ar"/>
              </w:rPr>
            </w:pPr>
            <w:r>
              <w:rPr>
                <w:rFonts w:hint="eastAsia" w:ascii="仿宋" w:hAnsi="仿宋" w:eastAsia="仿宋" w:cs="仿宋"/>
                <w:sz w:val="15"/>
                <w:szCs w:val="15"/>
              </w:rPr>
              <w:t>城镇职工养老保险参保率</w:t>
            </w:r>
          </w:p>
        </w:tc>
        <w:tc>
          <w:tcPr>
            <w:tcW w:w="1146" w:type="dxa"/>
            <w:gridSpan w:val="2"/>
            <w:noWrap w:val="0"/>
            <w:vAlign w:val="center"/>
          </w:tcPr>
          <w:p>
            <w:pPr>
              <w:pStyle w:val="7"/>
              <w:widowControl/>
              <w:spacing w:before="0" w:beforeAutospacing="0" w:after="0" w:afterAutospacing="0"/>
              <w:ind w:left="0" w:leftChars="0" w:right="0" w:rightChars="0"/>
              <w:rPr>
                <w:rFonts w:ascii="Calibri" w:hAnsi="Calibri" w:eastAsia="宋体" w:cs="Calibri"/>
                <w:kern w:val="0"/>
                <w:sz w:val="15"/>
                <w:szCs w:val="15"/>
                <w:lang w:val="en-US" w:eastAsia="zh-CN" w:bidi="ar"/>
              </w:rPr>
            </w:pPr>
            <w:r>
              <w:rPr>
                <w:rFonts w:ascii="仿宋" w:hAnsi="仿宋" w:eastAsia="仿宋" w:cs="仿宋"/>
                <w:color w:val="000000"/>
                <w:sz w:val="15"/>
                <w:szCs w:val="15"/>
              </w:rPr>
              <w:t>100%</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98%</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15</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14</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pStyle w:val="7"/>
              <w:widowControl/>
              <w:spacing w:before="0" w:beforeAutospacing="0" w:after="0" w:afterAutospacing="0"/>
              <w:ind w:left="0" w:leftChars="0" w:right="0" w:rightChars="0"/>
              <w:rPr>
                <w:rFonts w:hint="eastAsia" w:ascii="Calibri" w:hAnsi="Calibri" w:eastAsia="宋体" w:cs="Calibri"/>
                <w:kern w:val="0"/>
                <w:sz w:val="15"/>
                <w:szCs w:val="15"/>
                <w:lang w:val="en-US" w:eastAsia="zh-CN" w:bidi="ar"/>
              </w:rPr>
            </w:pPr>
            <w:r>
              <w:rPr>
                <w:rFonts w:ascii="Calibri" w:hAnsi="Calibri" w:cs="Calibri"/>
                <w:color w:val="000000"/>
                <w:sz w:val="15"/>
                <w:szCs w:val="15"/>
              </w:rPr>
              <w:t> </w:t>
            </w:r>
            <w:r>
              <w:rPr>
                <w:rFonts w:hint="eastAsia" w:ascii="Calibri" w:hAnsi="Calibri" w:cs="Calibri"/>
                <w:color w:val="000000"/>
                <w:sz w:val="15"/>
                <w:szCs w:val="15"/>
              </w:rPr>
              <w:t>计划时间内全部完成</w:t>
            </w:r>
          </w:p>
        </w:tc>
        <w:tc>
          <w:tcPr>
            <w:tcW w:w="1146" w:type="dxa"/>
            <w:gridSpan w:val="2"/>
            <w:noWrap w:val="0"/>
            <w:vAlign w:val="center"/>
          </w:tcPr>
          <w:p>
            <w:pPr>
              <w:pStyle w:val="7"/>
              <w:widowControl/>
              <w:spacing w:before="0" w:beforeAutospacing="0" w:after="0" w:afterAutospacing="0"/>
              <w:ind w:left="0" w:leftChars="0" w:right="0" w:rightChars="0"/>
              <w:rPr>
                <w:rFonts w:ascii="Calibri" w:hAnsi="Calibri" w:eastAsia="宋体" w:cs="Calibri"/>
                <w:kern w:val="0"/>
                <w:sz w:val="15"/>
                <w:szCs w:val="15"/>
                <w:lang w:val="en-US" w:eastAsia="zh-CN" w:bidi="ar"/>
              </w:rPr>
            </w:pPr>
            <w:r>
              <w:rPr>
                <w:rFonts w:hint="eastAsia" w:ascii="仿宋" w:hAnsi="仿宋" w:eastAsia="仿宋" w:cs="仿宋"/>
                <w:color w:val="000000"/>
                <w:sz w:val="15"/>
                <w:szCs w:val="15"/>
              </w:rPr>
              <w:t>　2</w:t>
            </w:r>
            <w:r>
              <w:rPr>
                <w:rFonts w:ascii="仿宋" w:hAnsi="仿宋" w:eastAsia="仿宋" w:cs="仿宋"/>
                <w:color w:val="000000"/>
                <w:sz w:val="15"/>
                <w:szCs w:val="15"/>
              </w:rPr>
              <w:t>02</w:t>
            </w:r>
            <w:r>
              <w:rPr>
                <w:rFonts w:hint="eastAsia" w:ascii="仿宋" w:hAnsi="仿宋" w:eastAsia="仿宋" w:cs="仿宋"/>
                <w:color w:val="000000"/>
                <w:sz w:val="15"/>
                <w:szCs w:val="15"/>
                <w:lang w:val="en-US" w:eastAsia="zh-CN"/>
              </w:rPr>
              <w:t>2</w:t>
            </w:r>
            <w:r>
              <w:rPr>
                <w:rFonts w:hint="eastAsia" w:ascii="仿宋" w:hAnsi="仿宋" w:eastAsia="仿宋" w:cs="仿宋"/>
                <w:color w:val="000000"/>
                <w:sz w:val="15"/>
                <w:szCs w:val="15"/>
              </w:rPr>
              <w:t>年底</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2022年底</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15</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15</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效益指标</w:t>
            </w:r>
          </w:p>
          <w:p>
            <w:pPr>
              <w:spacing w:line="240" w:lineRule="exact"/>
              <w:jc w:val="left"/>
              <w:rPr>
                <w:rFonts w:eastAsia="仿宋_GB2312"/>
                <w:color w:val="000000"/>
                <w:sz w:val="20"/>
                <w:szCs w:val="20"/>
                <w:highlight w:val="none"/>
              </w:rPr>
            </w:pPr>
            <w:r>
              <w:rPr>
                <w:rFonts w:eastAsia="仿宋_GB2312"/>
                <w:color w:val="000000"/>
                <w:sz w:val="20"/>
                <w:szCs w:val="20"/>
                <w:highlight w:val="none"/>
              </w:rPr>
              <w:t>（</w:t>
            </w:r>
            <w:r>
              <w:rPr>
                <w:rFonts w:hint="eastAsia" w:eastAsia="仿宋_GB2312"/>
                <w:color w:val="000000"/>
                <w:sz w:val="20"/>
                <w:szCs w:val="20"/>
                <w:highlight w:val="none"/>
                <w:lang w:val="en-US" w:eastAsia="zh-CN"/>
              </w:rPr>
              <w:t>15</w:t>
            </w:r>
            <w:r>
              <w:rPr>
                <w:rFonts w:eastAsia="仿宋_GB2312"/>
                <w:color w:val="000000"/>
                <w:sz w:val="20"/>
                <w:szCs w:val="20"/>
                <w:highlight w:val="none"/>
              </w:rPr>
              <w:t>分）</w:t>
            </w:r>
          </w:p>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p>
            <w:pPr>
              <w:spacing w:line="240" w:lineRule="exact"/>
              <w:jc w:val="center"/>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效益</w:t>
            </w: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center"/>
              <w:rPr>
                <w:rFonts w:eastAsia="仿宋_GB2312"/>
                <w:color w:val="000000"/>
                <w:sz w:val="20"/>
                <w:szCs w:val="20"/>
                <w:highlight w:val="none"/>
              </w:rPr>
            </w:pPr>
          </w:p>
        </w:tc>
        <w:tc>
          <w:tcPr>
            <w:tcW w:w="930"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满意度</w:t>
            </w:r>
          </w:p>
        </w:tc>
        <w:tc>
          <w:tcPr>
            <w:tcW w:w="1078" w:type="dxa"/>
            <w:noWrap w:val="0"/>
            <w:vAlign w:val="center"/>
          </w:tcPr>
          <w:p>
            <w:pPr>
              <w:spacing w:line="240" w:lineRule="exact"/>
              <w:jc w:val="center"/>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满意度</w:t>
            </w:r>
          </w:p>
        </w:tc>
        <w:tc>
          <w:tcPr>
            <w:tcW w:w="1146" w:type="dxa"/>
            <w:gridSpan w:val="2"/>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90%</w:t>
            </w:r>
          </w:p>
        </w:tc>
        <w:tc>
          <w:tcPr>
            <w:tcW w:w="1202"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92%</w:t>
            </w:r>
          </w:p>
        </w:tc>
        <w:tc>
          <w:tcPr>
            <w:tcW w:w="718"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15</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15</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w:t>
            </w:r>
          </w:p>
        </w:tc>
        <w:tc>
          <w:tcPr>
            <w:tcW w:w="1146" w:type="dxa"/>
            <w:gridSpan w:val="2"/>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202"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718"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884"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总分</w:t>
            </w:r>
          </w:p>
        </w:tc>
        <w:tc>
          <w:tcPr>
            <w:tcW w:w="71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100</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97</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bl>
    <w:p>
      <w:pPr>
        <w:snapToGrid w:val="0"/>
        <w:spacing w:line="380" w:lineRule="atLeast"/>
        <w:rPr>
          <w:sz w:val="32"/>
          <w:szCs w:val="32"/>
          <w:highlight w:val="none"/>
        </w:rPr>
      </w:pPr>
      <w:r>
        <w:rPr>
          <w:rFonts w:eastAsia="仿宋_GB2312"/>
          <w:sz w:val="22"/>
          <w:szCs w:val="22"/>
          <w:highlight w:val="none"/>
        </w:rPr>
        <w:t>填表人：</w:t>
      </w:r>
      <w:r>
        <w:rPr>
          <w:rFonts w:hint="eastAsia" w:eastAsia="仿宋_GB2312"/>
          <w:sz w:val="22"/>
          <w:szCs w:val="22"/>
          <w:highlight w:val="none"/>
          <w:lang w:val="en-US" w:eastAsia="zh-CN"/>
        </w:rPr>
        <w:t>文斐</w:t>
      </w:r>
      <w:r>
        <w:rPr>
          <w:rFonts w:eastAsia="仿宋_GB2312"/>
          <w:sz w:val="22"/>
          <w:szCs w:val="22"/>
          <w:highlight w:val="none"/>
        </w:rPr>
        <w:t>填报日期：</w:t>
      </w:r>
      <w:r>
        <w:rPr>
          <w:rFonts w:hint="eastAsia" w:eastAsia="仿宋_GB2312"/>
          <w:sz w:val="22"/>
          <w:szCs w:val="22"/>
          <w:highlight w:val="none"/>
          <w:lang w:val="en-US" w:eastAsia="zh-CN"/>
        </w:rPr>
        <w:t>2023.7.2</w:t>
      </w:r>
      <w:r>
        <w:rPr>
          <w:rFonts w:eastAsia="仿宋_GB2312"/>
          <w:sz w:val="22"/>
          <w:szCs w:val="22"/>
          <w:highlight w:val="none"/>
        </w:rPr>
        <w:t xml:space="preserve"> 联系电话：</w:t>
      </w:r>
      <w:r>
        <w:rPr>
          <w:rFonts w:hint="eastAsia" w:eastAsia="仿宋_GB2312"/>
          <w:sz w:val="22"/>
          <w:szCs w:val="22"/>
          <w:highlight w:val="none"/>
          <w:lang w:val="en-US" w:eastAsia="zh-CN"/>
        </w:rPr>
        <w:t>13974694430</w:t>
      </w:r>
      <w:r>
        <w:rPr>
          <w:rFonts w:eastAsia="仿宋_GB2312"/>
          <w:sz w:val="22"/>
          <w:szCs w:val="22"/>
          <w:highlight w:val="none"/>
        </w:rPr>
        <w:t>单位负责人签字：</w:t>
      </w:r>
      <w:r>
        <w:rPr>
          <w:rFonts w:hint="eastAsia" w:eastAsia="仿宋_GB2312"/>
          <w:sz w:val="22"/>
          <w:szCs w:val="22"/>
          <w:highlight w:val="none"/>
          <w:lang w:val="en-US" w:eastAsia="zh-CN"/>
        </w:rPr>
        <w:t>贺朝群</w:t>
      </w:r>
      <w:r>
        <w:rPr>
          <w:rFonts w:eastAsia="仿宋_GB2312"/>
          <w:sz w:val="22"/>
          <w:szCs w:val="22"/>
          <w:highlight w:val="none"/>
        </w:rPr>
        <w:br w:type="page"/>
      </w:r>
    </w:p>
    <w:p>
      <w:pPr>
        <w:widowControl/>
        <w:spacing w:line="540" w:lineRule="exact"/>
        <w:jc w:val="left"/>
        <w:rPr>
          <w:rFonts w:hint="eastAsia" w:ascii="仿宋_GB2312" w:hAnsi="仿宋_GB2312" w:eastAsia="黑体" w:cs="仿宋_GB2312"/>
          <w:sz w:val="32"/>
          <w:szCs w:val="24"/>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ind w:left="1560" w:hanging="1560" w:hangingChars="300"/>
        <w:jc w:val="both"/>
        <w:outlineLvl w:val="1"/>
        <w:rPr>
          <w:rFonts w:hint="eastAsia" w:ascii="方正小标宋简体" w:eastAsia="方正小标宋简体"/>
          <w:sz w:val="52"/>
          <w:szCs w:val="52"/>
          <w:highlight w:val="none"/>
        </w:rPr>
      </w:pPr>
      <w:r>
        <w:rPr>
          <w:rFonts w:hint="eastAsia" w:ascii="方正小标宋简体" w:eastAsia="方正小标宋简体"/>
          <w:sz w:val="52"/>
          <w:szCs w:val="52"/>
          <w:highlight w:val="none"/>
        </w:rPr>
        <w:t>202</w:t>
      </w:r>
      <w:r>
        <w:rPr>
          <w:rFonts w:ascii="方正小标宋简体" w:eastAsia="方正小标宋简体"/>
          <w:sz w:val="52"/>
          <w:szCs w:val="52"/>
          <w:highlight w:val="none"/>
          <w:lang w:val="en"/>
        </w:rPr>
        <w:t>2</w:t>
      </w:r>
      <w:r>
        <w:rPr>
          <w:rFonts w:hint="eastAsia" w:ascii="方正小标宋简体" w:eastAsia="方正小标宋简体"/>
          <w:sz w:val="52"/>
          <w:szCs w:val="52"/>
          <w:highlight w:val="none"/>
        </w:rPr>
        <w:t>年度</w:t>
      </w:r>
      <w:r>
        <w:rPr>
          <w:rFonts w:hint="eastAsia" w:ascii="方正小标宋简体" w:eastAsia="方正小标宋简体"/>
          <w:sz w:val="52"/>
          <w:szCs w:val="52"/>
          <w:highlight w:val="none"/>
          <w:lang w:val="en-US" w:eastAsia="zh-CN"/>
        </w:rPr>
        <w:t>新田县人力资源和社会保障局</w:t>
      </w:r>
      <w:r>
        <w:rPr>
          <w:rFonts w:hint="eastAsia" w:ascii="方正小标宋简体" w:eastAsia="方正小标宋简体"/>
          <w:sz w:val="52"/>
          <w:szCs w:val="52"/>
          <w:highlight w:val="none"/>
        </w:rPr>
        <w:t>部门（单位）整体支出</w:t>
      </w:r>
    </w:p>
    <w:p>
      <w:pPr>
        <w:ind w:firstLine="3120" w:firstLineChars="600"/>
        <w:jc w:val="both"/>
        <w:outlineLvl w:val="1"/>
        <w:rPr>
          <w:rFonts w:hint="eastAsia" w:ascii="方正小标宋简体" w:eastAsia="方正小标宋简体"/>
          <w:sz w:val="52"/>
          <w:szCs w:val="52"/>
          <w:highlight w:val="none"/>
        </w:rPr>
      </w:pPr>
      <w:r>
        <w:rPr>
          <w:rFonts w:hint="eastAsia" w:ascii="方正小标宋简体" w:eastAsia="方正小标宋简体"/>
          <w:sz w:val="52"/>
          <w:szCs w:val="52"/>
          <w:highlight w:val="none"/>
        </w:rPr>
        <w:t>绩效自评报告</w:t>
      </w:r>
    </w:p>
    <w:p>
      <w:pPr>
        <w:jc w:val="center"/>
        <w:rPr>
          <w:rFonts w:eastAsia="方正小标宋_GBK"/>
          <w:b/>
          <w:sz w:val="52"/>
          <w:szCs w:val="52"/>
          <w:highlight w:val="none"/>
        </w:rPr>
      </w:pPr>
    </w:p>
    <w:p>
      <w:pPr>
        <w:jc w:val="center"/>
        <w:rPr>
          <w:rFonts w:eastAsia="楷体_GB2312"/>
          <w:b/>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spacing w:line="600" w:lineRule="exact"/>
        <w:ind w:firstLine="1920" w:firstLineChars="600"/>
        <w:rPr>
          <w:rFonts w:eastAsia="仿宋_GB2312"/>
          <w:sz w:val="32"/>
          <w:szCs w:val="32"/>
          <w:highlight w:val="none"/>
          <w:u w:val="single"/>
        </w:rPr>
      </w:pPr>
      <w:r>
        <w:rPr>
          <w:rFonts w:eastAsia="仿宋_GB2312"/>
          <w:sz w:val="32"/>
          <w:szCs w:val="32"/>
          <w:highlight w:val="none"/>
        </w:rPr>
        <w:t>单位名称：</w:t>
      </w:r>
      <w:r>
        <w:rPr>
          <w:rFonts w:eastAsia="仿宋_GB2312"/>
          <w:sz w:val="32"/>
          <w:szCs w:val="32"/>
          <w:highlight w:val="none"/>
          <w:u w:val="single"/>
        </w:rPr>
        <w:t xml:space="preserve">（盖章）        </w:t>
      </w:r>
    </w:p>
    <w:p>
      <w:pPr>
        <w:jc w:val="center"/>
        <w:rPr>
          <w:rFonts w:eastAsia="黑体"/>
          <w:sz w:val="32"/>
          <w:szCs w:val="32"/>
          <w:highlight w:val="none"/>
        </w:rPr>
      </w:pPr>
    </w:p>
    <w:p>
      <w:pPr>
        <w:jc w:val="center"/>
        <w:outlineLvl w:val="0"/>
        <w:rPr>
          <w:rFonts w:eastAsia="仿宋_GB2312"/>
          <w:sz w:val="32"/>
          <w:szCs w:val="32"/>
          <w:highlight w:val="none"/>
        </w:rPr>
      </w:pPr>
      <w:r>
        <w:rPr>
          <w:rFonts w:eastAsia="仿宋_GB2312"/>
          <w:sz w:val="32"/>
          <w:szCs w:val="32"/>
          <w:highlight w:val="none"/>
        </w:rPr>
        <w:t>（此页为封面）</w:t>
      </w:r>
    </w:p>
    <w:p>
      <w:pPr>
        <w:numPr>
          <w:ilvl w:val="0"/>
          <w:numId w:val="1"/>
        </w:numPr>
        <w:spacing w:line="570" w:lineRule="exact"/>
        <w:outlineLvl w:val="0"/>
        <w:rPr>
          <w:rFonts w:eastAsia="黑体"/>
          <w:sz w:val="32"/>
          <w:szCs w:val="32"/>
          <w:highlight w:val="none"/>
        </w:rPr>
      </w:pPr>
      <w:r>
        <w:rPr>
          <w:rFonts w:eastAsia="仿宋_GB2312"/>
          <w:sz w:val="32"/>
          <w:szCs w:val="32"/>
          <w:highlight w:val="none"/>
        </w:rPr>
        <w:br w:type="page"/>
      </w:r>
      <w:r>
        <w:rPr>
          <w:rFonts w:eastAsia="黑体"/>
          <w:sz w:val="32"/>
          <w:szCs w:val="32"/>
          <w:highlight w:val="none"/>
        </w:rPr>
        <w:t>部门（单位）基本情况</w:t>
      </w:r>
    </w:p>
    <w:p>
      <w:pPr>
        <w:spacing w:line="52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一</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部门职责</w:t>
      </w:r>
    </w:p>
    <w:p>
      <w:pPr>
        <w:spacing w:line="52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贯彻执行国家和省、市、县人力资源和社会保障工作方针政策、法律法规，起草有关规范性文件草案，拟订全县人力资源和社会保障事业发展规划并组织实施和监督检查。</w:t>
      </w:r>
    </w:p>
    <w:p>
      <w:pPr>
        <w:spacing w:line="52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贯彻落实人力资源流动政策，拟订并组织实施全县人力资源市场发展规划，建立统一规范的人力资源市场，促进人力资源合理流动、有效配置。</w:t>
      </w:r>
    </w:p>
    <w:p>
      <w:pPr>
        <w:spacing w:line="52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负责促进就业工作，贯彻落实统筹城乡就业发展规划和政策，完善公共就业服务体系，健全就业援助制度，贯彻执行职业资格制度相关政策，统筹建立面向城乡劳动者的职业培训制度；贯彻执行高校毕业生就业政策，会同有关部门拟订高技能人才、农村实用人才培养和激励规定及办法。</w:t>
      </w:r>
    </w:p>
    <w:p>
      <w:pPr>
        <w:spacing w:line="52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统筹建立覆盖城乡的社会保障体系。贯彻落实城乡社会保险及其补充保险政策和标准，统筹落实机关企事业单位基本养老保险政策。会同有关部门拟订社会保险及其补充保险基金管理和监督办法并实施监督，编制全县社会保障基金预决算草案。</w:t>
      </w:r>
    </w:p>
    <w:p>
      <w:pPr>
        <w:spacing w:line="52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负责全县就业、失业、社会保险基金预测预警和信息引导，拟订应对预案，实施预防、调节和控制，保持就业形势稳定和社会保险基金总体收支平衡。</w:t>
      </w:r>
    </w:p>
    <w:p>
      <w:pPr>
        <w:spacing w:line="52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会同有关部门拟订机关、事业单位人员工资收入分配规范性文件并组织实施；建立机关企事业单位人员工资正常增长和支付保障机制，配合相关部门审核纳入县级财政统一发放工资范围的同级党政机关、事业单位及人员的工资、奖金、津补贴标准和离退休费；贯彻落实机关企事业单位人员福利和离退休政策。</w:t>
      </w:r>
    </w:p>
    <w:p>
      <w:pPr>
        <w:spacing w:line="520" w:lineRule="exact"/>
        <w:ind w:firstLine="640" w:firstLineChars="200"/>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会同有关部门指导事业单位人事制度改革；拟订事业单位人员和机关工勤人员管理规范性文件；参与人才管理工作，综合管理全县专业技术人员和专业技术队伍建设工作；综合管理全县专业技术人员和机关事业单位工勤人员的培训和继续教育工作；牵头推进深化职称制度改革，归口管理专业技术人员的职称工作；执行事业单位有关人员调配政策和特殊人员安置政策；会同有关部门实施高层次专业技术人才选拨、培养和引进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会同有关部门拟订并实施政府奖励制度，综合管理全县行政奖励表彰工作。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负责组织实施新型农村养老保险政策；指导建立健全新型农村养老保险制度及服务体系；参与被征地农民社会保障政策实施和服务体系的建立；会同有关部门拟订农民工工作综合性规范性文件和规划，推动农民工相关政策的落实，配合协调解决重点难点问题，维护农民工合法权益。</w:t>
      </w:r>
    </w:p>
    <w:p>
      <w:pPr>
        <w:spacing w:line="520" w:lineRule="exact"/>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统筹实施劳动、人事争议调解仲裁制度，贯彻执行劳动关系政策，完善劳动关系协调机制；监督落实消除非法使用童工政策和女工、未成年工的特殊劳动保护政策；组织实施劳动监察，协调劳动者维权工作，依法查处相关重大案件。</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完成县委、县政府交办的其他任务。</w:t>
      </w:r>
    </w:p>
    <w:p>
      <w:pPr>
        <w:spacing w:line="52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根据</w:t>
      </w:r>
      <w:r>
        <w:rPr>
          <w:rFonts w:hint="eastAsia" w:ascii="仿宋_GB2312" w:eastAsia="仿宋_GB2312"/>
          <w:sz w:val="32"/>
          <w:szCs w:val="32"/>
          <w:lang w:eastAsia="zh-CN"/>
        </w:rPr>
        <w:t>“</w:t>
      </w:r>
      <w:r>
        <w:rPr>
          <w:rFonts w:hint="eastAsia" w:ascii="仿宋_GB2312" w:eastAsia="仿宋_GB2312"/>
          <w:sz w:val="32"/>
          <w:szCs w:val="32"/>
          <w:lang w:val="en-US" w:eastAsia="zh-CN"/>
        </w:rPr>
        <w:t>三定</w:t>
      </w:r>
      <w:r>
        <w:rPr>
          <w:rFonts w:hint="eastAsia" w:ascii="仿宋_GB2312" w:eastAsia="仿宋_GB2312"/>
          <w:sz w:val="32"/>
          <w:szCs w:val="32"/>
          <w:lang w:eastAsia="zh-CN"/>
        </w:rPr>
        <w:t>”</w:t>
      </w:r>
      <w:r>
        <w:rPr>
          <w:rFonts w:hint="eastAsia" w:ascii="仿宋_GB2312" w:eastAsia="仿宋_GB2312"/>
          <w:sz w:val="32"/>
          <w:szCs w:val="32"/>
          <w:lang w:val="en-US" w:eastAsia="zh-CN"/>
        </w:rPr>
        <w:t>方案</w:t>
      </w:r>
      <w:r>
        <w:rPr>
          <w:rFonts w:hint="eastAsia" w:ascii="仿宋_GB2312" w:eastAsia="仿宋_GB2312"/>
          <w:sz w:val="32"/>
          <w:szCs w:val="32"/>
        </w:rPr>
        <w:t>，我局内设股室16个，所属事业单位</w:t>
      </w:r>
      <w:r>
        <w:rPr>
          <w:rFonts w:hint="eastAsia" w:ascii="仿宋_GB2312" w:eastAsia="仿宋_GB2312"/>
          <w:sz w:val="32"/>
          <w:szCs w:val="32"/>
          <w:lang w:val="en-US" w:eastAsia="zh-CN"/>
        </w:rPr>
        <w:t>9</w:t>
      </w:r>
      <w:r>
        <w:rPr>
          <w:rFonts w:hint="eastAsia" w:ascii="仿宋_GB2312" w:eastAsia="仿宋_GB2312"/>
          <w:sz w:val="32"/>
          <w:szCs w:val="32"/>
        </w:rPr>
        <w:t>个。内设股室分别是：办公室、法规信访股、规划财务股、社会保险基金监督股、就业促进与失业保险股、人才开发和人力资源市场管理股、劳动关系股、事业单位人事管理股、专业</w:t>
      </w:r>
      <w:r>
        <w:rPr>
          <w:rFonts w:hint="eastAsia" w:ascii="仿宋_GB2312" w:hAnsi="仿宋_GB2312" w:eastAsia="仿宋_GB2312" w:cs="仿宋_GB2312"/>
          <w:color w:val="000000"/>
          <w:kern w:val="0"/>
          <w:sz w:val="32"/>
          <w:szCs w:val="32"/>
        </w:rPr>
        <w:t>技术人员管理股、工资福利股、养老保险股、工伤保险股、城</w:t>
      </w:r>
      <w:r>
        <w:rPr>
          <w:rFonts w:hint="eastAsia" w:ascii="仿宋_GB2312" w:eastAsia="仿宋_GB2312"/>
          <w:sz w:val="32"/>
          <w:szCs w:val="32"/>
        </w:rPr>
        <w:t>乡居民社会养老保险股、政工人事股、农民工工作股、行政审批股。所属事业单位分别是就业服务中心、劳动保障监察大队、社会保险服务中心、工伤保险服务中心、人事考试中心、劳动人事争议仲裁院、人力资源服务中心、信息中心</w:t>
      </w:r>
      <w:r>
        <w:rPr>
          <w:rFonts w:hint="eastAsia" w:ascii="仿宋_GB2312" w:eastAsia="仿宋_GB2312"/>
          <w:sz w:val="32"/>
          <w:szCs w:val="32"/>
          <w:lang w:eastAsia="zh-CN"/>
        </w:rPr>
        <w:t>、</w:t>
      </w:r>
      <w:r>
        <w:rPr>
          <w:rFonts w:hint="eastAsia" w:ascii="仿宋_GB2312" w:eastAsia="仿宋_GB2312"/>
          <w:sz w:val="32"/>
          <w:szCs w:val="32"/>
          <w:lang w:val="en-US" w:eastAsia="zh-CN"/>
        </w:rPr>
        <w:t>职业年金管理办公室</w:t>
      </w:r>
      <w:r>
        <w:rPr>
          <w:rFonts w:hint="eastAsia" w:ascii="仿宋_GB2312" w:eastAsia="仿宋_GB2312"/>
          <w:sz w:val="32"/>
          <w:szCs w:val="32"/>
        </w:rPr>
        <w:t>。</w:t>
      </w:r>
      <w:r>
        <w:rPr>
          <w:rFonts w:hint="eastAsia" w:ascii="仿宋_GB2312" w:eastAsia="仿宋_GB2312"/>
          <w:sz w:val="32"/>
          <w:szCs w:val="32"/>
          <w:lang w:val="en-US" w:eastAsia="zh-CN"/>
        </w:rPr>
        <w:t>2022年底，局本级编制为11名，其中行政编9名，机关工勤编2名；年末在职人数34人。</w:t>
      </w:r>
    </w:p>
    <w:p>
      <w:pPr>
        <w:pStyle w:val="12"/>
        <w:keepNext w:val="0"/>
        <w:keepLines w:val="0"/>
        <w:pageBreakBefore w:val="0"/>
        <w:kinsoku/>
        <w:wordWrap/>
        <w:overflowPunct/>
        <w:topLinePunct w:val="0"/>
        <w:autoSpaceDE w:val="0"/>
        <w:bidi w:val="0"/>
        <w:snapToGrid/>
        <w:ind w:left="0" w:leftChars="0" w:firstLine="301" w:firstLineChars="100"/>
        <w:jc w:val="both"/>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（二）部门整体支出规模</w:t>
      </w:r>
    </w:p>
    <w:p>
      <w:pPr>
        <w:pStyle w:val="12"/>
        <w:keepNext w:val="0"/>
        <w:keepLines w:val="0"/>
        <w:pageBreakBefore w:val="0"/>
        <w:kinsoku/>
        <w:wordWrap/>
        <w:overflowPunct/>
        <w:topLinePunct w:val="0"/>
        <w:autoSpaceDE w:val="0"/>
        <w:bidi w:val="0"/>
        <w:snapToGrid/>
        <w:ind w:left="0" w:leftChars="0" w:firstLine="300" w:firstLineChars="1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1、部门整体支出情况：</w:t>
      </w:r>
    </w:p>
    <w:p>
      <w:pPr>
        <w:pStyle w:val="12"/>
        <w:keepNext w:val="0"/>
        <w:keepLines w:val="0"/>
        <w:pageBreakBefore w:val="0"/>
        <w:widowControl/>
        <w:kinsoku/>
        <w:wordWrap/>
        <w:overflowPunct/>
        <w:topLinePunct w:val="0"/>
        <w:autoSpaceDE w:val="0"/>
        <w:autoSpaceDN/>
        <w:bidi w:val="0"/>
        <w:adjustRightInd/>
        <w:snapToGrid/>
        <w:ind w:left="0" w:firstLine="42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2</w:t>
      </w:r>
      <w:r>
        <w:rPr>
          <w:rFonts w:ascii="仿宋" w:hAnsi="仿宋" w:eastAsia="仿宋" w:cs="仿宋"/>
          <w:sz w:val="30"/>
          <w:szCs w:val="30"/>
        </w:rPr>
        <w:t>02</w:t>
      </w:r>
      <w:r>
        <w:rPr>
          <w:rFonts w:hint="eastAsia" w:ascii="仿宋" w:hAnsi="仿宋" w:eastAsia="仿宋" w:cs="仿宋"/>
          <w:sz w:val="30"/>
          <w:szCs w:val="30"/>
          <w:lang w:val="en-US" w:eastAsia="zh-CN"/>
        </w:rPr>
        <w:t>2</w:t>
      </w:r>
      <w:r>
        <w:rPr>
          <w:rFonts w:hint="eastAsia" w:ascii="仿宋" w:hAnsi="仿宋" w:eastAsia="仿宋" w:cs="仿宋"/>
          <w:sz w:val="30"/>
          <w:szCs w:val="30"/>
        </w:rPr>
        <w:t>年部门整体支出规模</w:t>
      </w:r>
      <w:r>
        <w:rPr>
          <w:rFonts w:hint="eastAsia" w:ascii="仿宋" w:hAnsi="仿宋" w:eastAsia="仿宋" w:cs="仿宋"/>
          <w:sz w:val="30"/>
          <w:szCs w:val="30"/>
          <w:lang w:val="en-US" w:eastAsia="zh-CN"/>
        </w:rPr>
        <w:t>745.92</w:t>
      </w:r>
      <w:r>
        <w:rPr>
          <w:rFonts w:hint="eastAsia" w:ascii="仿宋" w:hAnsi="仿宋" w:eastAsia="仿宋" w:cs="仿宋"/>
          <w:sz w:val="30"/>
          <w:szCs w:val="30"/>
        </w:rPr>
        <w:t>万元，</w:t>
      </w:r>
      <w:r>
        <w:rPr>
          <w:rFonts w:hint="eastAsia" w:ascii="仿宋" w:hAnsi="仿宋" w:eastAsia="仿宋" w:cs="仿宋"/>
          <w:sz w:val="30"/>
          <w:szCs w:val="30"/>
          <w:lang w:val="en-US" w:eastAsia="zh-CN"/>
        </w:rPr>
        <w:t>其中：工资福利支出429.55万元、商品和服务支出286.08万元、对个人和家庭的补助12.44万元、资本性支出17.85万元。</w:t>
      </w:r>
    </w:p>
    <w:p>
      <w:pPr>
        <w:pStyle w:val="13"/>
        <w:keepNext w:val="0"/>
        <w:keepLines w:val="0"/>
        <w:pageBreakBefore w:val="0"/>
        <w:kinsoku/>
        <w:wordWrap/>
        <w:overflowPunct/>
        <w:topLinePunct w:val="0"/>
        <w:autoSpaceDE w:val="0"/>
        <w:bidi w:val="0"/>
        <w:snapToGrid/>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2、部门预算收支决算情况：</w:t>
      </w:r>
    </w:p>
    <w:p>
      <w:pPr>
        <w:pStyle w:val="13"/>
        <w:keepNext w:val="0"/>
        <w:keepLines w:val="0"/>
        <w:pageBreakBefore w:val="0"/>
        <w:widowControl w:val="0"/>
        <w:kinsoku/>
        <w:wordWrap/>
        <w:overflowPunct/>
        <w:topLinePunct w:val="0"/>
        <w:autoSpaceDE w:val="0"/>
        <w:autoSpaceDN w:val="0"/>
        <w:bidi w:val="0"/>
        <w:adjustRightInd w:val="0"/>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745.92</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val="en-US" w:eastAsia="zh-CN"/>
        </w:rPr>
        <w:t>增加53.21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增加7.68%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工资福利支出、</w:t>
      </w:r>
      <w:r>
        <w:rPr>
          <w:rFonts w:hint="eastAsia" w:ascii="仿宋_GB2312" w:hAnsi="仿宋_GB2312" w:eastAsia="仿宋_GB2312" w:cs="仿宋_GB2312"/>
          <w:sz w:val="32"/>
          <w:szCs w:val="32"/>
          <w:lang w:val="zh-CN" w:eastAsia="zh-CN"/>
        </w:rPr>
        <w:t>一般商品和服务支出收入</w:t>
      </w:r>
      <w:r>
        <w:rPr>
          <w:rFonts w:hint="eastAsia" w:ascii="仿宋_GB2312" w:hAnsi="仿宋_GB2312" w:eastAsia="仿宋_GB2312" w:cs="仿宋_GB2312"/>
          <w:sz w:val="32"/>
          <w:szCs w:val="32"/>
          <w:lang w:eastAsia="zh-CN"/>
        </w:rPr>
        <w:t>较上年度</w:t>
      </w:r>
      <w:r>
        <w:rPr>
          <w:rFonts w:hint="eastAsia" w:ascii="仿宋_GB2312" w:hAnsi="仿宋_GB2312" w:eastAsia="仿宋_GB2312" w:cs="仿宋_GB2312"/>
          <w:sz w:val="32"/>
          <w:szCs w:val="32"/>
          <w:lang w:val="en-US" w:eastAsia="zh-CN"/>
        </w:rPr>
        <w:t>有所增加</w:t>
      </w:r>
      <w:r>
        <w:rPr>
          <w:rFonts w:hint="eastAsia" w:ascii="仿宋_GB2312" w:hAnsi="仿宋_GB2312" w:eastAsia="仿宋_GB2312" w:cs="仿宋_GB2312"/>
          <w:sz w:val="32"/>
          <w:szCs w:val="32"/>
          <w:lang w:eastAsia="zh-CN"/>
        </w:rPr>
        <w:t>。</w:t>
      </w:r>
    </w:p>
    <w:p>
      <w:pPr>
        <w:pStyle w:val="13"/>
        <w:keepNext w:val="0"/>
        <w:keepLines w:val="0"/>
        <w:pageBreakBefore w:val="0"/>
        <w:kinsoku/>
        <w:wordWrap/>
        <w:overflowPunct/>
        <w:topLinePunct w:val="0"/>
        <w:autoSpaceDE w:val="0"/>
        <w:bidi w:val="0"/>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745.92</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val="en-US" w:eastAsia="zh-CN"/>
        </w:rPr>
        <w:t>增加53.21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增加7.68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工资福利支出、</w:t>
      </w:r>
      <w:r>
        <w:rPr>
          <w:rFonts w:hint="eastAsia" w:ascii="仿宋_GB2312" w:hAnsi="仿宋_GB2312" w:eastAsia="仿宋_GB2312" w:cs="仿宋_GB2312"/>
          <w:sz w:val="32"/>
          <w:szCs w:val="32"/>
          <w:lang w:val="zh-CN" w:eastAsia="zh-CN"/>
        </w:rPr>
        <w:t>一般商品和服务支出</w:t>
      </w:r>
      <w:r>
        <w:rPr>
          <w:rFonts w:hint="eastAsia" w:ascii="仿宋_GB2312" w:hAnsi="仿宋_GB2312" w:eastAsia="仿宋_GB2312" w:cs="仿宋_GB2312"/>
          <w:sz w:val="32"/>
          <w:szCs w:val="32"/>
          <w:lang w:eastAsia="zh-CN"/>
        </w:rPr>
        <w:t>较上年度</w:t>
      </w:r>
      <w:r>
        <w:rPr>
          <w:rFonts w:hint="eastAsia" w:ascii="仿宋_GB2312" w:hAnsi="仿宋_GB2312" w:eastAsia="仿宋_GB2312" w:cs="仿宋_GB2312"/>
          <w:sz w:val="32"/>
          <w:szCs w:val="32"/>
          <w:lang w:val="en-US" w:eastAsia="zh-CN"/>
        </w:rPr>
        <w:t>有所增加。</w:t>
      </w:r>
    </w:p>
    <w:p>
      <w:pPr>
        <w:pStyle w:val="13"/>
        <w:keepNext w:val="0"/>
        <w:keepLines w:val="0"/>
        <w:pageBreakBefore w:val="0"/>
        <w:kinsoku/>
        <w:wordWrap/>
        <w:overflowPunct/>
        <w:topLinePunct w:val="0"/>
        <w:autoSpaceDE w:val="0"/>
        <w:bidi w:val="0"/>
        <w:snapToGrid/>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3、2022年公务接待费10.47万元</w:t>
      </w:r>
      <w:r>
        <w:rPr>
          <w:rFonts w:hint="eastAsia" w:ascii="仿宋_GB2312" w:hAnsi="仿宋_GB2312" w:eastAsia="仿宋_GB2312" w:cs="仿宋_GB2312"/>
          <w:color w:val="auto"/>
          <w:sz w:val="32"/>
          <w:szCs w:val="32"/>
          <w:lang w:val="en-US" w:eastAsia="zh-CN"/>
        </w:rPr>
        <w:t>，比上年减少0.2万元，减少1.8%。</w:t>
      </w:r>
      <w:r>
        <w:rPr>
          <w:rFonts w:hint="eastAsia" w:ascii="仿宋_GB2312" w:hAnsi="仿宋_GB2312" w:eastAsia="仿宋_GB2312" w:cs="仿宋_GB2312"/>
          <w:sz w:val="32"/>
          <w:szCs w:val="32"/>
          <w:lang w:val="en-US" w:eastAsia="zh-CN"/>
        </w:rPr>
        <w:t>无出国（境）费用，无公务用车购置及运行费用。</w:t>
      </w:r>
    </w:p>
    <w:p>
      <w:pPr>
        <w:pStyle w:val="12"/>
        <w:rPr>
          <w:rFonts w:hint="default" w:ascii="仿宋" w:hAnsi="仿宋" w:eastAsia="仿宋" w:cs="仿宋"/>
          <w:sz w:val="30"/>
          <w:szCs w:val="30"/>
          <w:lang w:val="en-US" w:eastAsia="zh-CN"/>
        </w:rPr>
      </w:pPr>
    </w:p>
    <w:p>
      <w:pPr>
        <w:pStyle w:val="11"/>
        <w:spacing w:line="570" w:lineRule="exact"/>
        <w:ind w:firstLine="640"/>
        <w:outlineLvl w:val="0"/>
        <w:rPr>
          <w:rFonts w:ascii="Times New Roman" w:hAnsi="Times New Roman" w:eastAsia="黑体"/>
          <w:sz w:val="32"/>
          <w:szCs w:val="32"/>
          <w:highlight w:val="none"/>
        </w:rPr>
      </w:pPr>
      <w:r>
        <w:rPr>
          <w:rFonts w:ascii="Times New Roman" w:hAnsi="Times New Roman" w:eastAsia="黑体"/>
          <w:sz w:val="32"/>
          <w:szCs w:val="32"/>
          <w:highlight w:val="none"/>
        </w:rPr>
        <w:t>二、一般公共预算支出情况</w:t>
      </w:r>
    </w:p>
    <w:p>
      <w:pPr>
        <w:pStyle w:val="11"/>
        <w:spacing w:line="570" w:lineRule="exact"/>
        <w:ind w:firstLine="640"/>
        <w:outlineLvl w:val="1"/>
        <w:rPr>
          <w:rFonts w:ascii="Times New Roman" w:hAnsi="Times New Roman" w:eastAsia="仿宋_GB2312"/>
          <w:sz w:val="32"/>
          <w:szCs w:val="32"/>
          <w:highlight w:val="none"/>
        </w:rPr>
      </w:pPr>
      <w:r>
        <w:rPr>
          <w:rFonts w:ascii="Times New Roman" w:hAnsi="Times New Roman" w:eastAsia="仿宋_GB2312"/>
          <w:sz w:val="32"/>
          <w:szCs w:val="32"/>
          <w:highlight w:val="none"/>
        </w:rPr>
        <w:t>（一）基本支出情况</w:t>
      </w:r>
    </w:p>
    <w:p>
      <w:pPr>
        <w:pStyle w:val="13"/>
        <w:keepNext w:val="0"/>
        <w:keepLines w:val="0"/>
        <w:pageBreakBefore w:val="0"/>
        <w:kinsoku/>
        <w:wordWrap/>
        <w:overflowPunct/>
        <w:topLinePunct w:val="0"/>
        <w:autoSpaceDE w:val="0"/>
        <w:bidi w:val="0"/>
        <w:snapToGrid/>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基本支出决算数为745.92万元，是指为保障单位机构正常运转、完成日常工作任务而发生的各项支出，包括工资福利支出、商品和服务支出、对个人和家庭的补助、资本性支出。2022年“三公”经费10.47万元，其中，公务接待费10.47万元，公务用车购置及运行费0万元（其中，公务用车购置费0万元，公务用车运行费0万元），因公出国（境）费0万元。2022年“三公”经费预算较2021年减少0.2万元，主要是厉行节约，进一步压缩“三公”经费。</w:t>
      </w:r>
    </w:p>
    <w:p>
      <w:pPr>
        <w:pStyle w:val="11"/>
        <w:spacing w:line="570" w:lineRule="exact"/>
        <w:ind w:left="0" w:leftChars="0" w:firstLine="640" w:firstLineChars="200"/>
        <w:outlineLvl w:val="1"/>
        <w:rPr>
          <w:rFonts w:ascii="Times New Roman" w:hAnsi="Times New Roman" w:eastAsia="仿宋_GB2312"/>
          <w:sz w:val="32"/>
          <w:szCs w:val="32"/>
          <w:highlight w:val="none"/>
        </w:rPr>
      </w:pPr>
      <w:r>
        <w:rPr>
          <w:rFonts w:ascii="Times New Roman" w:hAnsi="Times New Roman" w:eastAsia="仿宋_GB2312"/>
          <w:sz w:val="32"/>
          <w:szCs w:val="32"/>
          <w:highlight w:val="none"/>
        </w:rPr>
        <w:t>（二）项目支出情况</w:t>
      </w:r>
    </w:p>
    <w:p>
      <w:pPr>
        <w:pStyle w:val="11"/>
        <w:spacing w:line="570" w:lineRule="exact"/>
        <w:ind w:left="0" w:leftChars="0" w:firstLine="640" w:firstLineChars="200"/>
        <w:outlineLvl w:val="1"/>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2022年部门预算支出全部为基本支出，无项目支出。</w:t>
      </w:r>
    </w:p>
    <w:p>
      <w:pPr>
        <w:pStyle w:val="11"/>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三、政府性基金预算支出情况</w:t>
      </w:r>
      <w:r>
        <w:rPr>
          <w:rFonts w:hint="eastAsia" w:ascii="Times New Roman" w:hAnsi="Times New Roman" w:eastAsia="黑体"/>
          <w:sz w:val="32"/>
          <w:szCs w:val="32"/>
          <w:highlight w:val="none"/>
        </w:rPr>
        <w:t>。</w:t>
      </w:r>
    </w:p>
    <w:p>
      <w:pPr>
        <w:pStyle w:val="11"/>
        <w:spacing w:line="570" w:lineRule="exact"/>
        <w:ind w:firstLine="640"/>
        <w:jc w:val="left"/>
        <w:outlineLvl w:val="0"/>
        <w:rPr>
          <w:rFonts w:hint="eastAsia" w:ascii="Times New Roman" w:hAnsi="Times New Roman" w:eastAsia="仿宋_GB2312"/>
          <w:color w:val="000000"/>
          <w:sz w:val="32"/>
          <w:szCs w:val="32"/>
          <w:highlight w:val="none"/>
        </w:rPr>
      </w:pPr>
      <w:r>
        <w:rPr>
          <w:rFonts w:hint="eastAsia" w:ascii="Times New Roman" w:hAnsi="Times New Roman" w:eastAsia="仿宋_GB2312"/>
          <w:color w:val="000000"/>
          <w:sz w:val="32"/>
          <w:szCs w:val="32"/>
          <w:highlight w:val="none"/>
        </w:rPr>
        <w:t>我单位无政府性基金预算支出情况</w:t>
      </w:r>
    </w:p>
    <w:p>
      <w:pPr>
        <w:pStyle w:val="11"/>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四、国有资本经营预算支出情况</w:t>
      </w:r>
      <w:r>
        <w:rPr>
          <w:rFonts w:hint="eastAsia" w:ascii="Times New Roman" w:hAnsi="Times New Roman" w:eastAsia="黑体"/>
          <w:sz w:val="32"/>
          <w:szCs w:val="32"/>
          <w:highlight w:val="none"/>
        </w:rPr>
        <w:t>。</w:t>
      </w:r>
    </w:p>
    <w:p>
      <w:pPr>
        <w:pStyle w:val="11"/>
        <w:spacing w:line="570" w:lineRule="exact"/>
        <w:ind w:firstLine="64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我单位无国有资本经营预算支出情况</w:t>
      </w:r>
    </w:p>
    <w:p>
      <w:pPr>
        <w:pStyle w:val="11"/>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五、社会保险基金预算支出情况</w:t>
      </w:r>
      <w:r>
        <w:rPr>
          <w:rFonts w:hint="eastAsia" w:ascii="Times New Roman" w:hAnsi="Times New Roman" w:eastAsia="黑体"/>
          <w:sz w:val="32"/>
          <w:szCs w:val="32"/>
          <w:highlight w:val="none"/>
        </w:rPr>
        <w:t>。</w:t>
      </w:r>
    </w:p>
    <w:p>
      <w:pPr>
        <w:pStyle w:val="11"/>
        <w:spacing w:line="570" w:lineRule="exact"/>
        <w:ind w:firstLine="64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我单位无社会保险基金预算支出情况</w:t>
      </w:r>
    </w:p>
    <w:p>
      <w:pPr>
        <w:spacing w:line="570" w:lineRule="exact"/>
        <w:ind w:firstLine="645"/>
        <w:jc w:val="left"/>
        <w:outlineLvl w:val="0"/>
        <w:rPr>
          <w:rFonts w:eastAsia="黑体"/>
          <w:sz w:val="32"/>
          <w:szCs w:val="32"/>
          <w:highlight w:val="none"/>
        </w:rPr>
      </w:pPr>
      <w:r>
        <w:rPr>
          <w:rFonts w:eastAsia="黑体"/>
          <w:sz w:val="32"/>
          <w:szCs w:val="32"/>
          <w:highlight w:val="none"/>
        </w:rPr>
        <w:t>六、部门整体支出绩效情况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1、 我们克服疫情影响，大力实施稳经济大盘稳市场主体保就业政策及省惠企十六条和市县有关优惠政策。今年共为114家企业降低失业保险费256万元；为14家企业缓缴失业保险费8.58万元；为501人次发放失业保险金66万元，为200人次发放失业补助金9.1万元；落实稳岗返还企业33家，返还金额43.67万元，稳岗返还率达100%；为64家企业发放一次性留工培训补助50.7万元，为7家企业发放一次性扩岗补助1.5万元；发放创业担保贷款4218万元，扶持创业主体123家，其中为6家小微企业发放贷款1798万元。完成社保缓缴企业16家，金额94.95万元，工伤保险缓缴21家企业9.85万元。围绕就业社保和根治拖欠农民工工资真抓实干工作指标，新田县人社局邀请省人社厅第七组学习组现场指导、深入探讨，赴汝城学习取经，就业工作指标位列同类县区前列。根治欠薪工作连续三年获评市先进单位，为我县力争省政府真抓实干先进奠定了坚实的基础。我们以自我加压的魄力和刀刃向内的勇气，加强社保基金监管，贯彻落实“一文件、两行动”，基金监管迈上新台阶。我们研究出台了《新田县加强社保监管实施意见》等7个文件，高规格成立了新田县社会保险基金监督委员会，出台《新田县社会保险基金监督委员会章程》，配备了社保基金监管“一岗双审”人员，开展了涵盖社保基金经办人员、管理人员、乡村协理员的业务培训和廉政教育活动，保障了基金监管工作和人员经费。截至12月底，查处违规冒领、骗取社保基金111人，追缴违规冒领人数111人，追缴违规基金17.9万元，问题整改100%完成。有效打击了违规领取养老保险问题势头，切实维护了社保基金安全。我们以“三基六化”建设为抓手，开办业务培训班6次，培训人员1500余人次，涵盖就业、社保、基金管理、劳动关系、人事人才等民生领域，推动人社工作从基层队伍、基层平台、基础工作抓起，促进人社服务达到平台规范化、流程标准化、管理精细化、经办信息化、服务便捷化、队伍专业化，切实增强民生福祉和乡村振兴相结合，打通基层公共服务“最后一公里”。新田县人社局被列入市级清廉单元创建示范单位，新田县社保中心被湖南省文明委评为“湖南省2021年届文明窗口单位”，是我县唯一获评此项荣誉的单位。 在第五届“中国创翼”创业创新大赛永州市选拔赛中，我县推介参赛项目《基于天然酵素豆腐一二三产业融合发展示范项目》荣获市级二等奖，新田县人社局荣获“优秀组织奖”。今年1月份、8月份分别组织选手参加永州市首届、第二季网络直播带货技能竞赛，其中我县选手宋艳丽获得首届直播带货技能竞赛第一名，被永州市人社局授予“永州市技术能手”称号，被永州市总工会授予“五一劳动奖章”；我县选手林小金获得第二季直播带货技能竞赛二等奖，新田县获得团体二等奖的优异成绩。 </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kern w:val="2"/>
          <w:sz w:val="32"/>
          <w:szCs w:val="40"/>
          <w:lang w:val="en-US" w:eastAsia="zh-CN" w:bidi="ar-SA"/>
        </w:rPr>
      </w:pPr>
      <w:r>
        <w:rPr>
          <w:rFonts w:hint="eastAsia" w:eastAsia="仿宋_GB2312"/>
          <w:color w:val="000000"/>
          <w:sz w:val="32"/>
          <w:szCs w:val="32"/>
          <w:highlight w:val="none"/>
          <w:lang w:val="en-US" w:eastAsia="zh-CN"/>
        </w:rPr>
        <w:t>2、</w:t>
      </w:r>
      <w:r>
        <w:rPr>
          <w:rFonts w:hint="eastAsia" w:ascii="仿宋" w:hAnsi="仿宋" w:eastAsia="仿宋" w:cs="仿宋"/>
          <w:kern w:val="2"/>
          <w:sz w:val="32"/>
          <w:szCs w:val="40"/>
          <w:lang w:val="en-US" w:eastAsia="zh-CN" w:bidi="ar-SA"/>
        </w:rPr>
        <w:t>多渠道聚力，促进政策宣传，全方位落实，兑现惠企政策，创建特色劳务品牌，优化服务质量，多途径有效促进就业再就业，加强服务平台建设，丰富培训手段，科学规范实施培训，开展青年见习，拓宽高校毕业生就业途径，打造创业孵化基地，优化创业环境。强化就业信息摸底，创建充分就业社区（村），强化协同合作，利用与新田驻当地流动党工委及劳务协作关系，密切联系劳动力密集输入地人社部门、企业，对接劳务协作企业近200家，提供各类岗位3000余个，稳岗达1800余人。我们相继召开了“就业援助月”活动、“春风行动”、“园区用工服务”等线上线下招聘会28场，提供各类就业岗位6800余个，达成就业意向1900余人。建成乡镇劳动保障平台示范点13个，建设高标准的公共就业服务平台60个，产业开发区创业孵化基地入驻企业53家，发放一次性创业补贴18余万元，扶持创业主体90余家。2022年开展各类职业培训2414人次，其中：完成创业培训522人，职业技能培训1892人次；完成“三高四新”战略重点职业培训 447人次，吸纳和稳定就业重点职业培训 852人次，农村技能人才重点职业培训496人次，开展农村转移就业劳动者培训1104人次，为 20余家企业开展企业职工培训1290人次，均超额完成省市任务。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3、截至12月底，社保真抓实干相关指标基本完成。其中，企业职工养老保险基金征缴收入8456.64万元，缴费人数8927人，缴费基数达0.36。机关事业单位养老保险发放率达100%，职业年金虚账做实1772人，位居全省前列。城乡居保参保缴费及待遇享受人数任务23.12万人，完成99.9%，比全省平均值高0.54个百分点，比全市高0.15个百分点，困难群体参保实现应保尽保，全面完成了代缴任务，得到了省市领导的充分肯定。社保业务实现“一窗通办”，赢得干群的好评，2022年，县社保中心被省文明委评为省级文明窗口单位。建立工伤保险基金结算专网，继续完善工伤医药费联网结算办法，缩短审核工伤待遇资料时间，及时支付工伤人员待遇。</w:t>
      </w:r>
      <w:r>
        <w:rPr>
          <w:rFonts w:hint="eastAsia" w:ascii="仿宋" w:hAnsi="仿宋" w:eastAsia="仿宋" w:cs="仿宋"/>
          <w:kern w:val="2"/>
          <w:sz w:val="32"/>
          <w:szCs w:val="40"/>
          <w:lang w:val="en-US" w:eastAsia="zh-CN" w:bidi="ar-SA"/>
        </w:rPr>
        <w:fldChar w:fldCharType="begin"/>
      </w:r>
      <w:r>
        <w:rPr>
          <w:rFonts w:hint="eastAsia" w:ascii="仿宋" w:hAnsi="仿宋" w:eastAsia="仿宋" w:cs="仿宋"/>
          <w:kern w:val="2"/>
          <w:sz w:val="32"/>
          <w:szCs w:val="40"/>
          <w:lang w:val="en-US" w:eastAsia="zh-CN" w:bidi="ar-SA"/>
        </w:rPr>
        <w:instrText xml:space="preserve"> HYPERLINK "http://www.qx818.com/" \o "" </w:instrText>
      </w:r>
      <w:r>
        <w:rPr>
          <w:rFonts w:hint="eastAsia" w:ascii="仿宋" w:hAnsi="仿宋" w:eastAsia="仿宋" w:cs="仿宋"/>
          <w:kern w:val="2"/>
          <w:sz w:val="32"/>
          <w:szCs w:val="40"/>
          <w:lang w:val="en-US" w:eastAsia="zh-CN" w:bidi="ar-SA"/>
        </w:rPr>
        <w:fldChar w:fldCharType="separate"/>
      </w:r>
      <w:r>
        <w:rPr>
          <w:rFonts w:hint="eastAsia" w:ascii="仿宋" w:hAnsi="仿宋" w:eastAsia="仿宋" w:cs="仿宋"/>
          <w:kern w:val="2"/>
          <w:sz w:val="32"/>
          <w:szCs w:val="40"/>
          <w:lang w:val="en-US" w:eastAsia="zh-CN" w:bidi="ar-SA"/>
        </w:rPr>
        <w:t>全县</w:t>
      </w:r>
      <w:r>
        <w:rPr>
          <w:rFonts w:hint="eastAsia" w:ascii="仿宋" w:hAnsi="仿宋" w:eastAsia="仿宋" w:cs="仿宋"/>
          <w:kern w:val="2"/>
          <w:sz w:val="32"/>
          <w:szCs w:val="40"/>
          <w:lang w:val="en-US" w:eastAsia="zh-CN" w:bidi="ar-SA"/>
        </w:rPr>
        <w:fldChar w:fldCharType="end"/>
      </w:r>
      <w:r>
        <w:rPr>
          <w:rFonts w:hint="eastAsia" w:ascii="仿宋" w:hAnsi="仿宋" w:eastAsia="仿宋" w:cs="仿宋"/>
          <w:kern w:val="2"/>
          <w:sz w:val="32"/>
          <w:szCs w:val="40"/>
          <w:lang w:val="en-US" w:eastAsia="zh-CN" w:bidi="ar-SA"/>
        </w:rPr>
        <w:t>工伤保险参保单位498户，参保人数21836人，完成征收工伤保险基金545万元，享受工伤保险待遇人数163名，支付工伤保险待遇752万元，确保了工伤职工合法权益。</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4、扎实做好人才引进、事业单位公开招聘、特岗教师转正、定向培养生、退役士兵安置等人员入职聘用等工作。科学指导各事业单位制定岗位设置方案，严格执行事业单位岗位设置政策，实行按需设岗、竞聘上岗、按岗聘用。完成2021年度事业单位人员年度考核工作并按程序提交县政府常务会议研究，核定2021年事业单位优秀人数1046人。制定了《新田县事业单位管理岗位职员等级晋升制度工作实施方案》，明确了各职员等级晋升优先原则及晋升程序。目前，管理岗位职员等级晋升工作稳步推进，首批晋升八级核定完成122人，第二批拟晋升人员正在研究核定中。2022年累计完成了653人次的职称晋升工作，其中申报正高级7人、副高级87人、中级203人、初级356人。事业单位职称评定和管理岗位职员等级晋升工作都极大的提高了事业单位人员的工作积极性。2022年上半年与县委组织部、县民政局等部门协同完成了公开招聘社区专职工作者工作，招聘19名，已全部补充到龙泉街道和中山街道相关社区。2022年公开招聘事业单位工作人员96人。经过笔试、面试、体检、考察工作，目前94人拟作为新聘用人员在相关媒体平台予以公示，接收相关部门、人民群众的监督，确保招聘工作规范、安全、有序。2022年招录三支一扶人员7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2"/>
          <w:sz w:val="32"/>
          <w:szCs w:val="40"/>
          <w:lang w:val="en-US" w:eastAsia="zh-CN" w:bidi="ar-SA"/>
        </w:rPr>
      </w:pPr>
      <w:r>
        <w:rPr>
          <w:rFonts w:hint="eastAsia" w:ascii="仿宋" w:hAnsi="仿宋" w:eastAsia="仿宋" w:cs="仿宋"/>
          <w:kern w:val="2"/>
          <w:sz w:val="32"/>
          <w:szCs w:val="40"/>
          <w:lang w:val="en-US" w:eastAsia="zh-CN" w:bidi="ar-SA"/>
        </w:rPr>
        <w:t>5、以构建和发展和谐劳动关系为宗旨，以规范企业用工行为和促进劳动者权益保障为目标，不断创新工作机制、工作载体和工作方式，维护用人单位和劳动者的双方权益，构建发展、和谐、稳定的劳动关系。深入企业和各用人单位，对《劳动法》、《劳动合同法》等法律法规进行现场宣讲；召集建设领域和相关用人单位负责人50余人参加培训，重点讲解劳动合同备案等相关业务操作流程；积极参与“春风行动”，发放各类宣传单上万份；多次利用平时下企业调研的机会，对企业进行《技能人才薪酬分配指引》的宣传指导。实行“阳光仲裁”，劳动人事关系整体上和谐稳定。全年正式立案43件，其中裁决结案12件，调解结案31件，案件调解率达到72%，在法定时限内结案率100%，涉案金额达340余万元，为劳动者挽回经济损失160余万元。加强全国欠薪平台欠薪线索调处，及时协调行业主管部门快速处理，确保欠薪线索办结率，2022年以来，共接到全国根治欠薪平台线索119条，其中工程建筑领域37件，非工程领域82件，全部按时办结。畅通劳动保障监察渠道，依法做好投诉举报案件的受理和查处工作，对符合立案条件的，及时受理、登记，形成“有诉必接，有案必查，有欠必追”的工作机制。将“流动仲裁庭”开在企业“家门口”，达到“处理一案、教育一片、和谐一方”的目的。全面推进2022年度人力资源社会保障系统“双随机一公开”执法检查，确定检查对象和检查人员，严格按照时间要求组织开展双随机抽查工作，依法规范企业用工行为。2022年以来，开展双随机一公开”行动三次，共计抽检20家用人单位。</w:t>
      </w:r>
    </w:p>
    <w:p>
      <w:pPr>
        <w:pStyle w:val="11"/>
        <w:spacing w:line="570" w:lineRule="exact"/>
        <w:ind w:firstLine="640"/>
        <w:jc w:val="left"/>
        <w:outlineLvl w:val="0"/>
        <w:rPr>
          <w:rFonts w:ascii="Times New Roman" w:hAnsi="Times New Roman" w:eastAsia="黑体"/>
          <w:sz w:val="32"/>
          <w:szCs w:val="32"/>
          <w:highlight w:val="none"/>
        </w:rPr>
      </w:pPr>
      <w:r>
        <w:rPr>
          <w:rFonts w:ascii="Times New Roman" w:hAnsi="Times New Roman" w:eastAsia="黑体"/>
          <w:sz w:val="32"/>
          <w:szCs w:val="32"/>
          <w:highlight w:val="none"/>
        </w:rPr>
        <w:t>七、存在的问题及原因分析</w:t>
      </w:r>
    </w:p>
    <w:p>
      <w:pPr>
        <w:widowControl/>
        <w:shd w:val="clear" w:color="auto" w:fill="FFFFFF"/>
        <w:ind w:firstLine="640" w:firstLineChars="20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预决算收支差异大。造成我局预决算差异大的原因是：2022年县人社局的年初预算都是根据县财政局下达的年初预算控制数进行编制，未能将全县机关事业单位困难职工福利费、事业人员年度考核奖励、养老保险待遇核查工作经费、社保基金“防风险堵漏洞”专项整治工作经费等纳入年初预算，而是在年中根据实际资金使用情况安排调整预算进行资金拨付，导致我局预决算差异较大。</w:t>
      </w:r>
    </w:p>
    <w:p>
      <w:pPr>
        <w:spacing w:line="570" w:lineRule="exact"/>
        <w:ind w:firstLine="640" w:firstLineChars="200"/>
        <w:jc w:val="left"/>
        <w:outlineLvl w:val="0"/>
        <w:rPr>
          <w:rFonts w:eastAsia="黑体"/>
          <w:sz w:val="32"/>
          <w:szCs w:val="32"/>
          <w:highlight w:val="none"/>
        </w:rPr>
      </w:pPr>
      <w:r>
        <w:rPr>
          <w:rFonts w:eastAsia="黑体"/>
          <w:sz w:val="32"/>
          <w:szCs w:val="32"/>
          <w:highlight w:val="none"/>
        </w:rPr>
        <w:t>八、下一步改进措施</w:t>
      </w:r>
    </w:p>
    <w:p>
      <w:pPr>
        <w:widowControl/>
        <w:shd w:val="clear" w:color="auto" w:fill="FFFFFF"/>
        <w:ind w:firstLine="640" w:firstLineChars="200"/>
        <w:jc w:val="lef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针对我局预决算收支差异大的问题，今后我局将加强单位预决算管理，按照相关要求，规范预决算编制行为；加强与县财政局的沟通，将单位所有收支纳入年初预算，科学合理地编制本单位预算，尽量减少预决算之间的差异。</w:t>
      </w:r>
    </w:p>
    <w:p>
      <w:pPr>
        <w:numPr>
          <w:ilvl w:val="0"/>
          <w:numId w:val="2"/>
        </w:numPr>
        <w:spacing w:line="570" w:lineRule="exact"/>
        <w:ind w:firstLine="645"/>
        <w:jc w:val="left"/>
        <w:outlineLvl w:val="0"/>
        <w:rPr>
          <w:rFonts w:eastAsia="黑体"/>
          <w:sz w:val="32"/>
          <w:szCs w:val="32"/>
          <w:highlight w:val="none"/>
        </w:rPr>
      </w:pPr>
      <w:r>
        <w:rPr>
          <w:rFonts w:eastAsia="黑体"/>
          <w:sz w:val="32"/>
          <w:szCs w:val="32"/>
          <w:highlight w:val="none"/>
        </w:rPr>
        <w:t>部门整体支出绩效自评结果拟应用和公开情况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Calibri" w:eastAsia="仿宋_GB2312" w:cs="仿宋_GB2312"/>
          <w:b w:val="0"/>
          <w:bCs w:val="0"/>
          <w:color w:val="auto"/>
          <w:kern w:val="2"/>
          <w:sz w:val="32"/>
          <w:szCs w:val="32"/>
          <w:lang w:val="en-US" w:eastAsia="zh-CN" w:bidi="ar-SA"/>
        </w:rPr>
      </w:pPr>
      <w:r>
        <w:rPr>
          <w:rFonts w:hint="eastAsia" w:ascii="仿宋_GB2312" w:hAnsi="Calibri" w:eastAsia="仿宋_GB2312" w:cs="仿宋_GB2312"/>
          <w:b w:val="0"/>
          <w:bCs w:val="0"/>
          <w:color w:val="auto"/>
          <w:kern w:val="2"/>
          <w:sz w:val="32"/>
          <w:szCs w:val="32"/>
          <w:lang w:val="en-US" w:eastAsia="zh-CN" w:bidi="ar-SA"/>
        </w:rPr>
        <w:t>已公开</w:t>
      </w:r>
    </w:p>
    <w:p>
      <w:pPr>
        <w:numPr>
          <w:ilvl w:val="0"/>
          <w:numId w:val="2"/>
        </w:numPr>
        <w:spacing w:line="570" w:lineRule="exact"/>
        <w:ind w:left="0" w:leftChars="0" w:firstLine="645" w:firstLineChars="0"/>
        <w:jc w:val="left"/>
        <w:rPr>
          <w:rFonts w:eastAsia="黑体"/>
          <w:sz w:val="32"/>
          <w:szCs w:val="32"/>
          <w:highlight w:val="none"/>
        </w:rPr>
      </w:pPr>
      <w:r>
        <w:rPr>
          <w:rFonts w:eastAsia="黑体"/>
          <w:sz w:val="32"/>
          <w:szCs w:val="32"/>
          <w:highlight w:val="none"/>
        </w:rPr>
        <w:t>其他需要说明的情况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eastAsia" w:ascii="仿宋_GB2312" w:hAnsi="Calibri" w:eastAsia="仿宋_GB2312" w:cs="仿宋_GB2312"/>
          <w:b w:val="0"/>
          <w:bCs w:val="0"/>
          <w:color w:val="auto"/>
          <w:kern w:val="2"/>
          <w:sz w:val="32"/>
          <w:szCs w:val="32"/>
          <w:lang w:val="en-US" w:eastAsia="zh-CN" w:bidi="ar-SA"/>
        </w:rPr>
      </w:pPr>
      <w:r>
        <w:rPr>
          <w:rFonts w:hint="eastAsia" w:ascii="仿宋_GB2312" w:hAnsi="Calibri" w:eastAsia="仿宋_GB2312" w:cs="仿宋_GB2312"/>
          <w:b w:val="0"/>
          <w:bCs w:val="0"/>
          <w:color w:val="auto"/>
          <w:kern w:val="2"/>
          <w:sz w:val="32"/>
          <w:szCs w:val="32"/>
          <w:lang w:val="en-US" w:eastAsia="zh-CN" w:bidi="ar-SA"/>
        </w:rPr>
        <w:t>无</w:t>
      </w:r>
    </w:p>
    <w:p>
      <w:pPr>
        <w:spacing w:after="120" w:afterLines="50" w:line="600" w:lineRule="exact"/>
        <w:rPr>
          <w:rFonts w:eastAsia="黑体"/>
          <w:sz w:val="32"/>
          <w:szCs w:val="32"/>
          <w:highlight w:val="none"/>
        </w:rPr>
      </w:pPr>
      <w:bookmarkStart w:id="0" w:name="_GoBack"/>
      <w:bookmarkEnd w:id="0"/>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rPr>
          <w:highlight w:val="none"/>
        </w:rPr>
      </w:pPr>
    </w:p>
    <w:p/>
    <w:sectPr>
      <w:headerReference r:id="rId4" w:type="first"/>
      <w:footerReference r:id="rId7" w:type="first"/>
      <w:footerReference r:id="rId5" w:type="default"/>
      <w:headerReference r:id="rId3" w:type="even"/>
      <w:footerReference r:id="rId6" w:type="even"/>
      <w:pgSz w:w="11906" w:h="16838"/>
      <w:pgMar w:top="1440" w:right="1701" w:bottom="1440" w:left="170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Pr>
                          </w:pPr>
                          <w:r>
                            <w:fldChar w:fldCharType="begin"/>
                          </w:r>
                          <w:r>
                            <w:rPr>
                              <w:rStyle w:val="10"/>
                            </w:rPr>
                            <w:instrText xml:space="preserve">PAGE  </w:instrText>
                          </w:r>
                          <w:r>
                            <w:fldChar w:fldCharType="separate"/>
                          </w:r>
                          <w:r>
                            <w:rPr>
                              <w:rStyle w:val="10"/>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Style w:val="10"/>
                      </w:rPr>
                    </w:pPr>
                    <w:r>
                      <w:fldChar w:fldCharType="begin"/>
                    </w:r>
                    <w:r>
                      <w:rPr>
                        <w:rStyle w:val="10"/>
                      </w:rPr>
                      <w:instrText xml:space="preserve">PAGE  </w:instrText>
                    </w:r>
                    <w:r>
                      <w:fldChar w:fldCharType="separate"/>
                    </w:r>
                    <w:r>
                      <w:rPr>
                        <w:rStyle w:val="10"/>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B91F6"/>
    <w:multiLevelType w:val="singleLevel"/>
    <w:tmpl w:val="57EB91F6"/>
    <w:lvl w:ilvl="0" w:tentative="0">
      <w:start w:val="1"/>
      <w:numFmt w:val="chineseCounting"/>
      <w:suff w:val="nothing"/>
      <w:lvlText w:val="%1、"/>
      <w:lvlJc w:val="left"/>
      <w:pPr>
        <w:ind w:left="640" w:firstLine="0"/>
      </w:pPr>
      <w:rPr>
        <w:rFonts w:hint="eastAsia"/>
      </w:rPr>
    </w:lvl>
  </w:abstractNum>
  <w:abstractNum w:abstractNumId="1">
    <w:nsid w:val="6C8C0E2E"/>
    <w:multiLevelType w:val="singleLevel"/>
    <w:tmpl w:val="6C8C0E2E"/>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NDcxODBmNTYyMTY0YzM4M2MwNjcxODMzNzY4M2MifQ=="/>
  </w:docVars>
  <w:rsids>
    <w:rsidRoot w:val="38C00AA6"/>
    <w:rsid w:val="08BA768A"/>
    <w:rsid w:val="16777D74"/>
    <w:rsid w:val="1A134420"/>
    <w:rsid w:val="21F536F2"/>
    <w:rsid w:val="24376F6E"/>
    <w:rsid w:val="29F54416"/>
    <w:rsid w:val="2D0B4249"/>
    <w:rsid w:val="2EDA6C9B"/>
    <w:rsid w:val="31184F95"/>
    <w:rsid w:val="33C64D45"/>
    <w:rsid w:val="37902E5F"/>
    <w:rsid w:val="38C00AA6"/>
    <w:rsid w:val="3915095E"/>
    <w:rsid w:val="3A5C6C74"/>
    <w:rsid w:val="3C5E2E22"/>
    <w:rsid w:val="3F1811DB"/>
    <w:rsid w:val="4391349D"/>
    <w:rsid w:val="5046080B"/>
    <w:rsid w:val="52DC434A"/>
    <w:rsid w:val="55062E0A"/>
    <w:rsid w:val="55B74952"/>
    <w:rsid w:val="56B85264"/>
    <w:rsid w:val="57607417"/>
    <w:rsid w:val="5A957D96"/>
    <w:rsid w:val="5C3F299B"/>
    <w:rsid w:val="651C2CCA"/>
    <w:rsid w:val="68F23334"/>
    <w:rsid w:val="7038074A"/>
    <w:rsid w:val="7282271C"/>
    <w:rsid w:val="73E22721"/>
    <w:rsid w:val="768F5519"/>
    <w:rsid w:val="77903967"/>
    <w:rsid w:val="782E7247"/>
    <w:rsid w:val="794F3985"/>
    <w:rsid w:val="7F90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99"/>
    <w:pPr>
      <w:snapToGrid w:val="0"/>
      <w:jc w:val="left"/>
    </w:pPr>
    <w:rPr>
      <w:sz w:val="18"/>
      <w:szCs w:val="18"/>
    </w:rPr>
  </w:style>
  <w:style w:type="paragraph" w:styleId="3">
    <w:name w:val="Body Text"/>
    <w:basedOn w:val="1"/>
    <w:next w:val="4"/>
    <w:qFormat/>
    <w:uiPriority w:val="0"/>
  </w:style>
  <w:style w:type="paragraph" w:styleId="4">
    <w:name w:val="toc 5"/>
    <w:basedOn w:val="1"/>
    <w:next w:val="1"/>
    <w:qFormat/>
    <w:uiPriority w:val="0"/>
    <w:pPr>
      <w:ind w:left="1680" w:leftChars="8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0">
    <w:name w:val="page number"/>
    <w:basedOn w:val="9"/>
    <w:qFormat/>
    <w:uiPriority w:val="0"/>
  </w:style>
  <w:style w:type="paragraph" w:customStyle="1" w:styleId="11">
    <w:name w:val="List Paragraph"/>
    <w:basedOn w:val="1"/>
    <w:qFormat/>
    <w:uiPriority w:val="0"/>
    <w:pPr>
      <w:ind w:firstLine="420" w:firstLineChars="200"/>
    </w:pPr>
    <w:rPr>
      <w:rFonts w:ascii="Calibri" w:hAnsi="Calibri"/>
    </w:rPr>
  </w:style>
  <w:style w:type="paragraph" w:customStyle="1" w:styleId="12">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6147</Words>
  <Characters>6695</Characters>
  <Lines>0</Lines>
  <Paragraphs>0</Paragraphs>
  <TotalTime>0</TotalTime>
  <ScaleCrop>false</ScaleCrop>
  <LinksUpToDate>false</LinksUpToDate>
  <CharactersWithSpaces>6921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2023-06-29T09:46:00Z</dcterms:created>
  <dc:creator>斐哥</dc:creator>
  <cp:lastModifiedBy>Administrator</cp:lastModifiedBy>
  <dcterms:modified xsi:type="dcterms:W3CDTF">2023-09-20T08:01:46Z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7DB110C50C9A484896097FB1292D1242</vt:lpwstr>
  </property>
</Properties>
</file>