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3360" w:firstLineChars="700"/>
        <w:jc w:val="both"/>
        <w:rPr>
          <w:rFonts w:hint="eastAsia"/>
          <w:sz w:val="48"/>
          <w:szCs w:val="48"/>
          <w:lang w:eastAsia="zh-CN"/>
        </w:rPr>
      </w:pPr>
    </w:p>
    <w:p>
      <w:pPr>
        <w:pStyle w:val="13"/>
        <w:ind w:firstLine="1920" w:firstLineChars="4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劳动人事争议仲裁院2022</w:t>
      </w:r>
      <w:r>
        <w:rPr>
          <w:rFonts w:hint="eastAsia"/>
          <w:sz w:val="48"/>
          <w:szCs w:val="48"/>
          <w:lang w:eastAsia="zh-CN"/>
        </w:rPr>
        <w:t>年度部门决算公开</w:t>
      </w:r>
    </w:p>
    <w:p>
      <w:pPr>
        <w:pStyle w:val="13"/>
        <w:spacing w:line="500" w:lineRule="exact"/>
        <w:ind w:firstLine="6144" w:firstLineChars="1700"/>
        <w:jc w:val="both"/>
        <w:rPr>
          <w:rFonts w:hint="eastAsia"/>
          <w:b/>
          <w:sz w:val="36"/>
          <w:szCs w:val="28"/>
        </w:rPr>
      </w:pPr>
    </w:p>
    <w:p>
      <w:pPr>
        <w:pStyle w:val="13"/>
        <w:spacing w:line="500" w:lineRule="exact"/>
        <w:ind w:firstLine="6626" w:firstLineChars="1500"/>
        <w:jc w:val="both"/>
        <w:rPr>
          <w:b/>
          <w:sz w:val="36"/>
          <w:szCs w:val="28"/>
        </w:rPr>
      </w:pPr>
      <w:r>
        <w:rPr>
          <w:rFonts w:hint="eastAsia"/>
          <w:b/>
          <w:sz w:val="44"/>
          <w:szCs w:val="44"/>
        </w:rPr>
        <w:t>目录</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val="en-US" w:eastAsia="zh-CN"/>
        </w:rPr>
        <w:t>新田县劳动人事争议仲裁院</w:t>
      </w:r>
      <w:r>
        <w:rPr>
          <w:rFonts w:hint="eastAsia" w:ascii="黑体" w:hAnsi="黑体" w:eastAsia="黑体" w:cs="黑体"/>
          <w:b/>
          <w:bCs w:val="0"/>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3"/>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新田县劳动人事争议仲裁院</w:t>
      </w:r>
      <w:r>
        <w:rPr>
          <w:rFonts w:hint="eastAsia" w:ascii="黑体" w:hAnsi="黑体" w:eastAsia="黑体" w:cs="黑体"/>
          <w:b/>
          <w:bCs/>
          <w:sz w:val="32"/>
          <w:szCs w:val="32"/>
        </w:rPr>
        <w:t>概况</w:t>
      </w: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1、传达、贯彻人事、劳动保障和人事劳动争议仲裁等法律法规；</w:t>
      </w:r>
    </w:p>
    <w:p>
      <w:pPr>
        <w:widowControl/>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2、负责处理注册登记的用人单位的人事劳动争议案件；</w:t>
      </w:r>
    </w:p>
    <w:p>
      <w:pPr>
        <w:widowControl/>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3、拟定各项规章制度并监督检查执行情况；</w:t>
      </w:r>
    </w:p>
    <w:p>
      <w:pPr>
        <w:widowControl/>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4、提供人事劳动保障法律法规和人事劳动争议调解仲裁咨询；</w:t>
      </w:r>
    </w:p>
    <w:p>
      <w:pPr>
        <w:widowControl/>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5、负责专兼职仲裁员的培训、考核、聘用和管理工作；</w:t>
      </w:r>
    </w:p>
    <w:p>
      <w:pPr>
        <w:widowControl/>
        <w:spacing w:line="600" w:lineRule="exact"/>
        <w:ind w:firstLine="640" w:firstLineChars="200"/>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6、负责办理人事劳动争议仲裁委员会的日常工作。</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仿宋" w:hAnsi="仿宋" w:eastAsia="仿宋" w:cs="仿宋"/>
          <w:sz w:val="32"/>
          <w:szCs w:val="32"/>
          <w:u w:val="none"/>
          <w:lang w:val="en-US" w:eastAsia="zh-CN"/>
        </w:rPr>
      </w:pPr>
      <w:r>
        <w:rPr>
          <w:rFonts w:hint="eastAsia" w:ascii="Times New Roman" w:hAnsi="Times New Roman" w:eastAsia="仿宋_GB2312" w:cs="仿宋_GB2312"/>
          <w:bCs/>
          <w:kern w:val="0"/>
          <w:sz w:val="32"/>
          <w:szCs w:val="32"/>
        </w:rPr>
        <w:t>（一）内设机构设置。</w:t>
      </w:r>
      <w:r>
        <w:rPr>
          <w:rFonts w:hint="eastAsia" w:ascii="仿宋" w:hAnsi="仿宋" w:eastAsia="仿宋" w:cs="仿宋"/>
          <w:sz w:val="32"/>
          <w:szCs w:val="32"/>
          <w:u w:val="none"/>
          <w:lang w:val="en-US" w:eastAsia="zh-CN"/>
        </w:rPr>
        <w:t>单位内设机构2个：办公室、仲裁庭</w:t>
      </w:r>
    </w:p>
    <w:p>
      <w:pPr>
        <w:widowControl/>
        <w:spacing w:line="600" w:lineRule="exact"/>
        <w:rPr>
          <w:rFonts w:hint="eastAsia" w:ascii="仿宋" w:hAnsi="仿宋" w:eastAsia="仿宋" w:cs="仿宋"/>
          <w:sz w:val="32"/>
          <w:szCs w:val="32"/>
          <w:u w:val="none"/>
          <w:lang w:val="en-US" w:eastAsia="zh-CN"/>
        </w:rPr>
      </w:pPr>
      <w:r>
        <w:rPr>
          <w:rFonts w:hint="eastAsia" w:ascii="Times New Roman" w:hAnsi="Times New Roman" w:eastAsia="仿宋_GB2312" w:cs="仿宋_GB2312"/>
          <w:bCs/>
          <w:kern w:val="0"/>
          <w:sz w:val="32"/>
          <w:szCs w:val="32"/>
        </w:rPr>
        <w:t>（二）决算单位构成。</w:t>
      </w:r>
      <w:r>
        <w:rPr>
          <w:rFonts w:hint="eastAsia" w:ascii="仿宋" w:hAnsi="仿宋" w:eastAsia="仿宋" w:cs="仿宋"/>
          <w:sz w:val="32"/>
          <w:szCs w:val="32"/>
          <w:u w:val="none"/>
          <w:lang w:val="en-US" w:eastAsia="zh-CN"/>
        </w:rPr>
        <w:t>劳动人事争议仲裁院单位2022年部门决算汇总公开单位构成包括：劳动人事争议仲裁院单位本级。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both"/>
        <w:rPr>
          <w:sz w:val="72"/>
          <w:szCs w:val="72"/>
        </w:rPr>
      </w:pPr>
    </w:p>
    <w:tbl>
      <w:tblPr>
        <w:tblStyle w:val="9"/>
        <w:tblW w:w="15729" w:type="dxa"/>
        <w:tblInd w:w="317" w:type="dxa"/>
        <w:tblLayout w:type="autofit"/>
        <w:tblCellMar>
          <w:top w:w="0" w:type="dxa"/>
          <w:left w:w="0" w:type="dxa"/>
          <w:bottom w:w="0" w:type="dxa"/>
          <w:right w:w="0" w:type="dxa"/>
        </w:tblCellMar>
      </w:tblPr>
      <w:tblGrid>
        <w:gridCol w:w="253"/>
        <w:gridCol w:w="539"/>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21"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6"/>
              <w:gridCol w:w="616"/>
              <w:gridCol w:w="1409"/>
              <w:gridCol w:w="5098"/>
              <w:gridCol w:w="1169"/>
              <w:gridCol w:w="467"/>
              <w:gridCol w:w="471"/>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部门：新田县劳动人事争议仲裁院</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27.99</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八、社会保障和就业支出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27.99</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27.99</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492" w:hRule="atLeast"/>
        </w:trPr>
        <w:tc>
          <w:tcPr>
            <w:tcW w:w="25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4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381" w:hRule="atLeast"/>
        </w:trPr>
        <w:tc>
          <w:tcPr>
            <w:tcW w:w="15621" w:type="dxa"/>
            <w:gridSpan w:val="18"/>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i w:val="0"/>
                <w:color w:val="000000"/>
                <w:kern w:val="0"/>
                <w:sz w:val="20"/>
                <w:szCs w:val="20"/>
                <w:u w:val="none"/>
                <w:lang w:val="en-US" w:eastAsia="zh-CN" w:bidi="ar"/>
              </w:rPr>
              <w:t xml:space="preserve">新田县劳动人事争议仲裁院                                                                                                                    </w:t>
            </w: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3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9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9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3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3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2080112</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劳动人事争议调解仲裁</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21"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23" w:hRule="atLeast"/>
        </w:trPr>
        <w:tc>
          <w:tcPr>
            <w:tcW w:w="15640" w:type="dxa"/>
            <w:gridSpan w:val="9"/>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 xml:space="preserve">新田县劳动人事争议仲裁院                                                                                                                   </w:t>
            </w: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2080112</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劳动人事争议调解仲裁</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新田县劳动人事争议仲裁院</w:t>
            </w:r>
            <w:r>
              <w:rPr>
                <w:rFonts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27.99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27.99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27.99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27.99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27.99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27.99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27.99</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27.99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27.99</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新田县劳动人事争议仲裁院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人力资源和社会保障管理事务</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2080112</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劳动人事争议调解仲裁</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eastAsia" w:ascii="ËÎÌå" w:hAnsi="ËÎÌå" w:eastAsia="ËÎÌå" w:cstheme="minorBidi"/>
                <w:color w:val="000000"/>
                <w:kern w:val="2"/>
                <w:sz w:val="22"/>
                <w:szCs w:val="24"/>
                <w:lang w:val="en-US" w:eastAsia="zh-CN" w:bidi="ar-SA"/>
              </w:rPr>
              <w:t>27.99</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93"/>
        <w:gridCol w:w="147"/>
        <w:gridCol w:w="93"/>
        <w:gridCol w:w="1387"/>
        <w:gridCol w:w="2015"/>
        <w:gridCol w:w="90"/>
        <w:gridCol w:w="688"/>
        <w:gridCol w:w="1112"/>
        <w:gridCol w:w="403"/>
        <w:gridCol w:w="1967"/>
        <w:gridCol w:w="137"/>
        <w:gridCol w:w="808"/>
        <w:gridCol w:w="1245"/>
        <w:gridCol w:w="88"/>
        <w:gridCol w:w="2094"/>
        <w:gridCol w:w="1426"/>
        <w:gridCol w:w="669"/>
        <w:gridCol w:w="252"/>
      </w:tblGrid>
      <w:tr>
        <w:tblPrEx>
          <w:tblCellMar>
            <w:top w:w="0" w:type="dxa"/>
            <w:left w:w="108" w:type="dxa"/>
            <w:bottom w:w="0" w:type="dxa"/>
            <w:right w:w="108" w:type="dxa"/>
          </w:tblCellMar>
        </w:tblPrEx>
        <w:trPr>
          <w:trHeight w:val="123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eastAsia="宋体" w:cs="宋体"/>
                <w:i w:val="0"/>
                <w:color w:val="000000"/>
                <w:kern w:val="0"/>
                <w:sz w:val="20"/>
                <w:szCs w:val="20"/>
                <w:u w:val="none"/>
                <w:lang w:val="en-US" w:eastAsia="zh-CN" w:bidi="ar"/>
              </w:rPr>
              <w:t>新田县劳动人事争议仲裁院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9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7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6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16.18</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11.07</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15.14</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1.71</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1.04</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0.24</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0.29</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0.21</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0.51</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1.14</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0.51</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0.91</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3.05</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1.40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1"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778"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14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9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77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7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45"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0.58</w:t>
            </w:r>
          </w:p>
        </w:tc>
        <w:tc>
          <w:tcPr>
            <w:tcW w:w="12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60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2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3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778"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16.69</w:t>
            </w:r>
          </w:p>
        </w:tc>
        <w:tc>
          <w:tcPr>
            <w:tcW w:w="928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2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11.30</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690" w:hRule="atLeast"/>
        </w:trPr>
        <w:tc>
          <w:tcPr>
            <w:tcW w:w="15362"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345" w:hRule="atLeast"/>
        </w:trPr>
        <w:tc>
          <w:tcPr>
            <w:tcW w:w="993"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40"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8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5"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03"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4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95"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450" w:hRule="atLeast"/>
        </w:trPr>
        <w:tc>
          <w:tcPr>
            <w:tcW w:w="15362" w:type="dxa"/>
            <w:gridSpan w:val="1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部门：新田县劳动人事争议仲裁院</w:t>
            </w:r>
          </w:p>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459" w:hRule="atLeast"/>
        </w:trPr>
        <w:tc>
          <w:tcPr>
            <w:tcW w:w="2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609" w:hRule="atLeast"/>
        </w:trPr>
        <w:tc>
          <w:tcPr>
            <w:tcW w:w="123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409" w:hRule="atLeast"/>
        </w:trPr>
        <w:tc>
          <w:tcPr>
            <w:tcW w:w="12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2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26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509" w:hRule="atLeast"/>
        </w:trPr>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2" w:type="dxa"/>
          <w:trHeight w:val="725" w:hRule="atLeast"/>
        </w:trPr>
        <w:tc>
          <w:tcPr>
            <w:tcW w:w="15362"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6"/>
        <w:gridCol w:w="677"/>
        <w:gridCol w:w="2202"/>
        <w:gridCol w:w="3174"/>
        <w:gridCol w:w="3174"/>
        <w:gridCol w:w="40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86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7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0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919" w:type="dxa"/>
            <w:gridSpan w:val="4"/>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部门：新田县劳动人事争议仲裁院</w:t>
            </w:r>
            <w:r>
              <w:rPr>
                <w:rFonts w:ascii="Times New Roman" w:hAnsi="Times New Roman" w:eastAsia="仿宋_GB2312" w:cs="Times New Roman"/>
                <w:color w:val="000000"/>
                <w:kern w:val="0"/>
                <w:szCs w:val="21"/>
              </w:rPr>
              <w:t xml:space="preserve"> </w:t>
            </w:r>
          </w:p>
        </w:tc>
        <w:tc>
          <w:tcPr>
            <w:tcW w:w="317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1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1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6"/>
        <w:gridCol w:w="1229"/>
        <w:gridCol w:w="1193"/>
        <w:gridCol w:w="1193"/>
        <w:gridCol w:w="1193"/>
        <w:gridCol w:w="1194"/>
        <w:gridCol w:w="1194"/>
        <w:gridCol w:w="1230"/>
        <w:gridCol w:w="1194"/>
        <w:gridCol w:w="1194"/>
        <w:gridCol w:w="1194"/>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6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88" w:type="dxa"/>
            <w:gridSpan w:val="3"/>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部门：新田县劳动人事争议仲裁院</w:t>
            </w:r>
            <w:r>
              <w:rPr>
                <w:rFonts w:ascii="Times New Roman" w:hAnsi="Times New Roman" w:eastAsia="仿宋_GB2312" w:cs="Times New Roman"/>
                <w:color w:val="000000"/>
                <w:kern w:val="0"/>
                <w:szCs w:val="21"/>
              </w:rPr>
              <w:t xml:space="preserve"> </w:t>
            </w:r>
          </w:p>
        </w:tc>
        <w:tc>
          <w:tcPr>
            <w:tcW w:w="119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3"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3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194"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8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5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8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86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1.20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3"/>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27.99万元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0.56</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人员工资增加。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27.99万元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0.56</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人员工资增加。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olor w:val="auto"/>
          <w:sz w:val="32"/>
          <w:szCs w:val="32"/>
        </w:rPr>
        <w:t>与上年相比，增加</w:t>
      </w:r>
      <w:r>
        <w:rPr>
          <w:rFonts w:hint="eastAsia" w:ascii="Times New Roman" w:hAnsi="Times New Roman" w:eastAsia="仿宋_GB2312"/>
          <w:color w:val="auto"/>
          <w:sz w:val="32"/>
          <w:szCs w:val="32"/>
          <w:lang w:val="en-US" w:eastAsia="zh-CN"/>
        </w:rPr>
        <w:t>0.56</w:t>
      </w:r>
      <w:r>
        <w:rPr>
          <w:rFonts w:hint="eastAsia" w:ascii="Times New Roman" w:hAnsi="Times New Roman" w:eastAsia="仿宋_GB2312"/>
          <w:color w:val="auto"/>
          <w:sz w:val="32"/>
          <w:szCs w:val="32"/>
        </w:rPr>
        <w:t>万元，增长</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%，主要是因为</w:t>
      </w:r>
      <w:r>
        <w:rPr>
          <w:rFonts w:hint="eastAsia" w:ascii="Times New Roman" w:hAnsi="Times New Roman" w:eastAsia="仿宋_GB2312"/>
          <w:color w:val="auto"/>
          <w:sz w:val="32"/>
          <w:szCs w:val="32"/>
          <w:lang w:val="en-US" w:eastAsia="zh-CN"/>
        </w:rPr>
        <w:t>人员工资增加。</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27.96</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预算调整后为27.99万元，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劳动人事争议调解仲裁</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27.96</w:t>
      </w:r>
      <w:r>
        <w:rPr>
          <w:rFonts w:hint="eastAsia" w:ascii="Times New Roman" w:hAnsi="Times New Roman" w:eastAsia="仿宋_GB2312"/>
          <w:sz w:val="32"/>
          <w:szCs w:val="32"/>
        </w:rPr>
        <w:t>万元，</w:t>
      </w:r>
      <w:r>
        <w:rPr>
          <w:rFonts w:hint="eastAsia" w:ascii="Times New Roman" w:hAnsi="Times New Roman" w:eastAsia="仿宋_GB2312" w:cs="黑体"/>
          <w:color w:val="000000"/>
          <w:kern w:val="0"/>
          <w:sz w:val="32"/>
          <w:szCs w:val="32"/>
          <w:lang w:val="en-US" w:eastAsia="zh-CN" w:bidi="ar-SA"/>
        </w:rPr>
        <w:t>预算调整后为27.99万元，</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27.99</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16.69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11.3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40</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工会经费、公务接待费、其他商品和服务支出。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olor w:val="FF0000"/>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决算数少于预算数</w:t>
      </w:r>
      <w:r>
        <w:rPr>
          <w:rFonts w:hint="eastAsia" w:ascii="Times New Roman" w:hAnsi="Times New Roman" w:eastAsia="仿宋_GB2312"/>
          <w:color w:val="auto"/>
          <w:sz w:val="32"/>
          <w:szCs w:val="32"/>
        </w:rPr>
        <w:t>的主要原因是</w:t>
      </w:r>
      <w:r>
        <w:rPr>
          <w:rFonts w:hint="eastAsia" w:ascii="Times New Roman" w:hAnsi="Times New Roman" w:eastAsia="仿宋_GB2312"/>
          <w:color w:val="auto"/>
          <w:sz w:val="32"/>
          <w:szCs w:val="32"/>
          <w:lang w:eastAsia="zh-CN"/>
        </w:rPr>
        <w:t>励行节约原则，</w:t>
      </w:r>
      <w:r>
        <w:rPr>
          <w:rFonts w:hint="eastAsia" w:ascii="Times New Roman" w:hAnsi="Times New Roman" w:eastAsia="仿宋_GB2312"/>
          <w:sz w:val="32"/>
          <w:szCs w:val="32"/>
          <w:lang w:val="en-US" w:eastAsia="zh-CN"/>
        </w:rPr>
        <w:t>压缩接待支出</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与上年相比减少</w:t>
      </w:r>
      <w:r>
        <w:rPr>
          <w:rFonts w:hint="eastAsia" w:ascii="Times New Roman" w:hAnsi="Times New Roman" w:eastAsia="仿宋_GB2312"/>
          <w:color w:val="auto"/>
          <w:sz w:val="32"/>
          <w:szCs w:val="32"/>
          <w:lang w:val="en-US" w:eastAsia="zh-CN"/>
        </w:rPr>
        <w:t>0.07</w:t>
      </w:r>
      <w:r>
        <w:rPr>
          <w:rFonts w:hint="eastAsia" w:ascii="Times New Roman" w:hAnsi="Times New Roman" w:eastAsia="仿宋_GB2312"/>
          <w:color w:val="auto"/>
          <w:sz w:val="32"/>
          <w:szCs w:val="32"/>
        </w:rPr>
        <w:t>万元，减少</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%,减少的主要原因是</w:t>
      </w:r>
      <w:r>
        <w:rPr>
          <w:rFonts w:hint="eastAsia" w:ascii="Times New Roman" w:hAnsi="Times New Roman" w:eastAsia="仿宋_GB2312"/>
          <w:sz w:val="32"/>
          <w:szCs w:val="32"/>
          <w:lang w:val="en-US" w:eastAsia="zh-CN"/>
        </w:rPr>
        <w:t>压缩接待支出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bookmarkStart w:id="3" w:name="_GoBack"/>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w:t>
      </w:r>
      <w:r>
        <w:rPr>
          <w:rFonts w:hint="eastAsia" w:ascii="Times New Roman" w:hAnsi="Times New Roman" w:eastAsia="仿宋_GB2312"/>
          <w:sz w:val="32"/>
          <w:szCs w:val="32"/>
        </w:rPr>
        <w:t>运行维护</w:t>
      </w:r>
      <w:r>
        <w:rPr>
          <w:rFonts w:hint="eastAsia" w:ascii="Times New Roman" w:hAnsi="Times New Roman" w:eastAsia="仿宋_GB2312"/>
          <w:sz w:val="32"/>
          <w:szCs w:val="32"/>
          <w:lang w:eastAsia="zh-CN"/>
        </w:rPr>
        <w:t>费支出</w:t>
      </w:r>
      <w:r>
        <w:rPr>
          <w:rFonts w:hint="eastAsia" w:ascii="Times New Roman" w:hAnsi="Times New Roman" w:eastAsia="仿宋_GB2312"/>
          <w:sz w:val="32"/>
          <w:szCs w:val="32"/>
        </w:rPr>
        <w:t>。</w:t>
      </w:r>
    </w:p>
    <w:bookmarkEnd w:id="3"/>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1.14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14</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76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上级来人及其他县市来人进行相关公务活动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本单位无政府性基金收支。</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11.3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val="en-US" w:eastAsia="zh-CN"/>
        </w:rPr>
        <w:t>持平。</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 w:hAnsi="仿宋" w:eastAsia="仿宋" w:cs="仿宋"/>
          <w:color w:val="000000"/>
          <w:sz w:val="32"/>
          <w:szCs w:val="32"/>
          <w:shd w:val="clear" w:fill="FFFFFF"/>
        </w:rPr>
      </w:pPr>
      <w:r>
        <w:rPr>
          <w:rFonts w:hint="eastAsia" w:ascii="仿宋" w:hAnsi="仿宋" w:eastAsia="仿宋" w:cs="仿宋"/>
          <w:color w:val="000000"/>
          <w:sz w:val="32"/>
          <w:szCs w:val="32"/>
          <w:shd w:val="clear" w:fill="FFFFFF"/>
        </w:rPr>
        <w:t>20</w:t>
      </w:r>
      <w:r>
        <w:rPr>
          <w:rFonts w:hint="eastAsia" w:ascii="仿宋" w:hAnsi="仿宋" w:eastAsia="仿宋" w:cs="仿宋"/>
          <w:color w:val="000000"/>
          <w:sz w:val="32"/>
          <w:szCs w:val="32"/>
          <w:shd w:val="clear" w:fill="FFFFFF"/>
          <w:lang w:val="en-US" w:eastAsia="zh-CN"/>
        </w:rPr>
        <w:t>22</w:t>
      </w:r>
      <w:r>
        <w:rPr>
          <w:rFonts w:hint="eastAsia" w:ascii="仿宋" w:hAnsi="仿宋" w:eastAsia="仿宋" w:cs="仿宋"/>
          <w:color w:val="000000"/>
          <w:sz w:val="32"/>
          <w:szCs w:val="32"/>
          <w:shd w:val="clear" w:fill="FFFFFF"/>
        </w:rPr>
        <w:t>年，</w:t>
      </w:r>
      <w:r>
        <w:rPr>
          <w:rFonts w:hint="eastAsia" w:ascii="仿宋" w:hAnsi="仿宋" w:eastAsia="仿宋" w:cs="仿宋"/>
          <w:color w:val="000000"/>
          <w:sz w:val="32"/>
          <w:szCs w:val="32"/>
          <w:shd w:val="clear" w:fill="FFFFFF"/>
          <w:lang w:val="en-US" w:eastAsia="zh-CN"/>
        </w:rPr>
        <w:t>本部门</w:t>
      </w:r>
      <w:r>
        <w:rPr>
          <w:rFonts w:hint="eastAsia" w:ascii="仿宋" w:hAnsi="仿宋" w:eastAsia="仿宋" w:cs="仿宋"/>
          <w:color w:val="000000"/>
          <w:sz w:val="32"/>
          <w:szCs w:val="32"/>
          <w:shd w:val="clear" w:fill="FFFFFF"/>
        </w:rPr>
        <w:t>积极履职，强化管理，较好地完成了年度工作目标。通过加强预算收支管理，不断建立健全内部管理制度，梳理内部管理流程，部门整体支出管理水平得到提升。部门整体支出绩效情况详见附件。</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8"/>
        <w:keepNext w:val="0"/>
        <w:keepLines w:val="0"/>
        <w:widowControl/>
        <w:suppressLineNumbers w:val="0"/>
        <w:pBdr>
          <w:bottom w:val="none" w:color="auto" w:sz="0" w:space="0"/>
        </w:pBdr>
        <w:spacing w:before="0" w:beforeAutospacing="0" w:after="0" w:afterAutospacing="0" w:line="450" w:lineRule="atLeast"/>
        <w:ind w:left="0" w:right="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fill="FFFFFF"/>
        </w:rPr>
        <w:t>1、预算准确率有待提高。年初预算编制不够精确，考虑不全面，导致年底决算数与年初预算数相差较大。原因是由于不是全口径预算,仅指</w:t>
      </w:r>
      <w:r>
        <w:rPr>
          <w:rFonts w:hint="eastAsia" w:ascii="仿宋" w:hAnsi="仿宋" w:eastAsia="仿宋" w:cs="仿宋"/>
          <w:color w:val="000000"/>
          <w:sz w:val="32"/>
          <w:szCs w:val="32"/>
          <w:shd w:val="clear" w:fill="FFFFFF"/>
          <w:lang w:val="en-US" w:eastAsia="zh-CN"/>
        </w:rPr>
        <w:t>县</w:t>
      </w:r>
      <w:r>
        <w:rPr>
          <w:rFonts w:hint="eastAsia" w:ascii="仿宋" w:hAnsi="仿宋" w:eastAsia="仿宋" w:cs="仿宋"/>
          <w:color w:val="000000"/>
          <w:sz w:val="32"/>
          <w:szCs w:val="32"/>
          <w:shd w:val="clear" w:fill="FFFFFF"/>
        </w:rPr>
        <w:t>级财政年初安排数，没有预算年中追加的调整预算拨款数。</w:t>
      </w:r>
    </w:p>
    <w:p>
      <w:pPr>
        <w:pStyle w:val="8"/>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shd w:val="clear" w:fill="FFFFFF"/>
        </w:rPr>
        <w:t>　　2、预算执行存在偏差。由于预算安排不足,造成部分科目实际支出比预算偏高，缺口资金只能调剂其他资金使用，存在着预算项目间互相进行调剂的情况。</w:t>
      </w:r>
    </w:p>
    <w:p>
      <w:pPr>
        <w:pStyle w:val="8"/>
        <w:keepNext w:val="0"/>
        <w:keepLines w:val="0"/>
        <w:widowControl/>
        <w:suppressLineNumbers w:val="0"/>
        <w:pBdr>
          <w:bottom w:val="none" w:color="auto" w:sz="0" w:space="0"/>
        </w:pBdr>
        <w:spacing w:before="0" w:beforeAutospacing="0" w:after="0" w:afterAutospacing="0" w:line="450" w:lineRule="atLeast"/>
        <w:ind w:left="0" w:right="0"/>
        <w:rPr>
          <w:rFonts w:hint="eastAsia" w:ascii="仿宋" w:hAnsi="仿宋" w:eastAsia="仿宋" w:cs="仿宋"/>
          <w:color w:val="000000"/>
          <w:sz w:val="32"/>
          <w:szCs w:val="32"/>
        </w:rPr>
      </w:pPr>
      <w:r>
        <w:rPr>
          <w:rFonts w:hint="eastAsia" w:ascii="仿宋" w:hAnsi="仿宋" w:eastAsia="仿宋" w:cs="仿宋"/>
          <w:color w:val="000000"/>
          <w:sz w:val="32"/>
          <w:szCs w:val="32"/>
          <w:shd w:val="clear" w:fill="FFFFFF"/>
        </w:rPr>
        <w:t>　　3、精细化管理有待加强。从绩效评价看，部门支出预算和绩效评价部分项目目标无法用量化指标来进行考评，需要进一步做到合理性与可操作性的有机统一。</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3"/>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3"/>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widowControl/>
        <w:spacing w:line="540" w:lineRule="exact"/>
        <w:jc w:val="left"/>
        <w:rPr>
          <w:rFonts w:hint="eastAsia" w:ascii="黑体" w:hAnsi="黑体" w:eastAsia="黑体" w:cs="黑体"/>
          <w:sz w:val="32"/>
          <w:szCs w:val="32"/>
          <w:highlight w:val="none"/>
        </w:rPr>
      </w:pPr>
    </w:p>
    <w:p>
      <w:pPr>
        <w:pStyle w:val="13"/>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172A27"/>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04E85"/>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7D50A2"/>
    <w:rsid w:val="07AC0C37"/>
    <w:rsid w:val="09AA26F7"/>
    <w:rsid w:val="15992F90"/>
    <w:rsid w:val="15A013BD"/>
    <w:rsid w:val="1BB263D0"/>
    <w:rsid w:val="1D2F4742"/>
    <w:rsid w:val="1ECC422C"/>
    <w:rsid w:val="1F4F0EF6"/>
    <w:rsid w:val="1FC4241C"/>
    <w:rsid w:val="24281D9A"/>
    <w:rsid w:val="293E0BC6"/>
    <w:rsid w:val="29CF0DBC"/>
    <w:rsid w:val="33145985"/>
    <w:rsid w:val="352C1D3C"/>
    <w:rsid w:val="37B75F9F"/>
    <w:rsid w:val="3A893739"/>
    <w:rsid w:val="3FE457A9"/>
    <w:rsid w:val="40ED2526"/>
    <w:rsid w:val="45297F7C"/>
    <w:rsid w:val="4A395A4C"/>
    <w:rsid w:val="539D138E"/>
    <w:rsid w:val="5777D4F5"/>
    <w:rsid w:val="5F8F08CA"/>
    <w:rsid w:val="5F9921AE"/>
    <w:rsid w:val="5FC6BB1E"/>
    <w:rsid w:val="5FF720F1"/>
    <w:rsid w:val="609B351E"/>
    <w:rsid w:val="61676B2C"/>
    <w:rsid w:val="64112FF4"/>
    <w:rsid w:val="64A54408"/>
    <w:rsid w:val="655F728B"/>
    <w:rsid w:val="665D22AE"/>
    <w:rsid w:val="684C4331"/>
    <w:rsid w:val="69651132"/>
    <w:rsid w:val="6EF96718"/>
    <w:rsid w:val="6F6C32A6"/>
    <w:rsid w:val="6F9B0B8C"/>
    <w:rsid w:val="737D59BA"/>
    <w:rsid w:val="74051308"/>
    <w:rsid w:val="75297C98"/>
    <w:rsid w:val="77B06588"/>
    <w:rsid w:val="77C37683"/>
    <w:rsid w:val="79D5630C"/>
    <w:rsid w:val="79D6679F"/>
    <w:rsid w:val="79FF515B"/>
    <w:rsid w:val="7DC401A9"/>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7800</Words>
  <Characters>8959</Characters>
  <Lines>63</Lines>
  <Paragraphs>18</Paragraphs>
  <TotalTime>0</TotalTime>
  <ScaleCrop>false</ScaleCrop>
  <LinksUpToDate>false</LinksUpToDate>
  <CharactersWithSpaces>10104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2023-09-26T03:08:55Z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A7A3AB37B7924E1BBCC8AAF6F26037C4</vt:lpwstr>
  </property>
</Properties>
</file>