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7"/>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11</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5</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eastAsia="仿宋_GB2312"/>
                <w:b/>
                <w:bCs/>
                <w:sz w:val="20"/>
                <w:szCs w:val="20"/>
                <w:highlight w:val="none"/>
              </w:rPr>
            </w:pP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27.99</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jc w:val="center"/>
              <w:rPr>
                <w:rFonts w:eastAsia="仿宋_GB2312"/>
                <w:b/>
                <w:bCs/>
                <w:sz w:val="20"/>
                <w:szCs w:val="20"/>
                <w:highlight w:val="none"/>
              </w:rPr>
            </w:pP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11.3</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11.30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1.77</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1.77</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1.2</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1.14</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1.2</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1</w:t>
            </w:r>
            <w:r>
              <w:rPr>
                <w:rFonts w:hint="eastAsia" w:eastAsia="仿宋_GB2312"/>
                <w:sz w:val="20"/>
                <w:szCs w:val="20"/>
                <w:highlight w:val="none"/>
              </w:rPr>
              <w:t>.</w:t>
            </w:r>
            <w:r>
              <w:rPr>
                <w:rFonts w:eastAsia="仿宋_GB2312"/>
                <w:sz w:val="20"/>
                <w:szCs w:val="20"/>
                <w:highlight w:val="none"/>
              </w:rPr>
              <w:t>（一个项目一行）</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eastAsia="仿宋_GB2312"/>
                <w:sz w:val="20"/>
                <w:szCs w:val="20"/>
                <w:highlight w:val="none"/>
              </w:rPr>
            </w:pP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（一个专项一行）</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 xml:space="preserve">（一个项目一行）  </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eastAsia="仿宋_GB2312"/>
                <w:sz w:val="20"/>
                <w:szCs w:val="20"/>
                <w:highlight w:val="none"/>
              </w:rPr>
              <w:t>　</w:t>
            </w:r>
          </w:p>
        </w:tc>
        <w:tc>
          <w:tcPr>
            <w:tcW w:w="784" w:type="dxa"/>
            <w:noWrap w:val="0"/>
            <w:vAlign w:val="center"/>
          </w:tcPr>
          <w:p>
            <w:pPr>
              <w:jc w:val="left"/>
              <w:rPr>
                <w:highlight w:val="none"/>
              </w:rPr>
            </w:pPr>
            <w:r>
              <w:rPr>
                <w:rFonts w:eastAsia="仿宋_GB2312"/>
                <w:sz w:val="20"/>
                <w:szCs w:val="20"/>
                <w:highlight w:val="none"/>
              </w:rPr>
              <w:t>　</w:t>
            </w:r>
          </w:p>
        </w:tc>
        <w:tc>
          <w:tcPr>
            <w:tcW w:w="1228"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62" w:type="dxa"/>
            <w:noWrap w:val="0"/>
            <w:vAlign w:val="center"/>
          </w:tcPr>
          <w:p>
            <w:pPr>
              <w:jc w:val="left"/>
              <w:rPr>
                <w:highlight w:val="none"/>
              </w:rPr>
            </w:pPr>
            <w:r>
              <w:rPr>
                <w:rFonts w:eastAsia="仿宋_GB2312"/>
                <w:sz w:val="20"/>
                <w:szCs w:val="20"/>
                <w:highlight w:val="none"/>
              </w:rPr>
              <w:t>　</w:t>
            </w:r>
          </w:p>
        </w:tc>
        <w:tc>
          <w:tcPr>
            <w:tcW w:w="1027"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45" w:type="dxa"/>
            <w:noWrap w:val="0"/>
            <w:vAlign w:val="center"/>
          </w:tcPr>
          <w:p>
            <w:pPr>
              <w:jc w:val="left"/>
              <w:rPr>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eastAsia" w:eastAsia="黑体"/>
          <w:sz w:val="32"/>
          <w:szCs w:val="32"/>
          <w:highlight w:val="none"/>
          <w:lang w:val="en-US" w:eastAsia="zh-CN"/>
        </w:rPr>
      </w:pPr>
      <w:r>
        <w:rPr>
          <w:rFonts w:eastAsia="仿宋_GB2312"/>
          <w:sz w:val="22"/>
          <w:highlight w:val="none"/>
        </w:rPr>
        <w:t>填表人：</w:t>
      </w:r>
      <w:r>
        <w:rPr>
          <w:rFonts w:hint="eastAsia" w:eastAsia="仿宋_GB2312"/>
          <w:sz w:val="22"/>
          <w:highlight w:val="none"/>
          <w:lang w:val="en-US" w:eastAsia="zh-CN"/>
        </w:rPr>
        <w:t>文斐</w:t>
      </w:r>
      <w:r>
        <w:rPr>
          <w:rFonts w:eastAsia="仿宋_GB2312"/>
          <w:sz w:val="22"/>
          <w:highlight w:val="none"/>
        </w:rPr>
        <w:t>填报日期：</w:t>
      </w:r>
      <w:r>
        <w:rPr>
          <w:rFonts w:hint="eastAsia" w:eastAsia="仿宋_GB2312"/>
          <w:sz w:val="22"/>
          <w:highlight w:val="none"/>
          <w:lang w:val="en-US" w:eastAsia="zh-CN"/>
        </w:rPr>
        <w:t>2023.7.2</w:t>
      </w:r>
      <w:r>
        <w:rPr>
          <w:rFonts w:eastAsia="仿宋_GB2312"/>
          <w:sz w:val="22"/>
          <w:highlight w:val="none"/>
        </w:rPr>
        <w:t>联系电话：</w:t>
      </w:r>
      <w:r>
        <w:rPr>
          <w:rFonts w:hint="eastAsia" w:eastAsia="仿宋_GB2312"/>
          <w:sz w:val="22"/>
          <w:highlight w:val="none"/>
          <w:lang w:val="en-US" w:eastAsia="zh-CN"/>
        </w:rPr>
        <w:t>13974694430</w:t>
      </w:r>
      <w:r>
        <w:rPr>
          <w:rFonts w:eastAsia="仿宋_GB2312"/>
          <w:sz w:val="22"/>
          <w:highlight w:val="none"/>
        </w:rPr>
        <w:t xml:space="preserve"> 单位负责人签字：</w:t>
      </w:r>
      <w:r>
        <w:rPr>
          <w:rFonts w:hint="eastAsia" w:eastAsia="仿宋_GB2312"/>
          <w:sz w:val="22"/>
          <w:highlight w:val="none"/>
          <w:lang w:val="en-US" w:eastAsia="zh-CN"/>
        </w:rPr>
        <w:t>杨勇</w:t>
      </w:r>
      <w:r>
        <w:rPr>
          <w:rFonts w:eastAsia="仿宋_GB2312"/>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新田县劳动人事争议仲裁院</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07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27.96</w:t>
            </w:r>
          </w:p>
        </w:tc>
        <w:tc>
          <w:tcPr>
            <w:tcW w:w="1078"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27.99</w:t>
            </w:r>
          </w:p>
        </w:tc>
        <w:tc>
          <w:tcPr>
            <w:tcW w:w="1202"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27.99</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43" w:type="dxa"/>
            <w:noWrap w:val="0"/>
            <w:vAlign w:val="center"/>
          </w:tcPr>
          <w:p>
            <w:pPr>
              <w:spacing w:line="240" w:lineRule="exact"/>
              <w:jc w:val="center"/>
              <w:rPr>
                <w:rFonts w:hint="eastAsia" w:eastAsia="仿宋_GB2312"/>
                <w:sz w:val="20"/>
                <w:szCs w:val="20"/>
                <w:highlight w:val="none"/>
                <w:lang w:val="en-US" w:eastAsia="zh-CN"/>
              </w:rPr>
            </w:pPr>
            <w:r>
              <w:rPr>
                <w:rFonts w:hint="eastAsia" w:eastAsia="仿宋_GB2312"/>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247"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27.99</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27.99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800" w:firstLineChars="400"/>
              <w:jc w:val="left"/>
              <w:rPr>
                <w:rFonts w:eastAsia="仿宋_GB2312"/>
                <w:color w:val="000000"/>
                <w:sz w:val="20"/>
                <w:szCs w:val="20"/>
                <w:highlight w:val="none"/>
              </w:rPr>
            </w:pPr>
            <w:r>
              <w:rPr>
                <w:rFonts w:eastAsia="仿宋_GB2312"/>
                <w:color w:val="000000"/>
                <w:sz w:val="20"/>
                <w:szCs w:val="20"/>
                <w:highlight w:val="none"/>
              </w:rPr>
              <w:t>政府性基金拨款：</w:t>
            </w:r>
          </w:p>
        </w:tc>
        <w:tc>
          <w:tcPr>
            <w:tcW w:w="4247" w:type="dxa"/>
            <w:gridSpan w:val="4"/>
            <w:noWrap w:val="0"/>
            <w:vAlign w:val="center"/>
          </w:tcPr>
          <w:p>
            <w:pPr>
              <w:spacing w:line="240" w:lineRule="exact"/>
              <w:ind w:firstLine="600" w:firstLineChars="300"/>
              <w:jc w:val="left"/>
              <w:rPr>
                <w:rFonts w:eastAsia="仿宋_GB2312"/>
                <w:color w:val="000000"/>
                <w:sz w:val="20"/>
                <w:szCs w:val="20"/>
                <w:highlight w:val="none"/>
              </w:rPr>
            </w:pPr>
            <w:r>
              <w:rPr>
                <w:rFonts w:eastAsia="仿宋_GB2312"/>
                <w:color w:val="000000"/>
                <w:sz w:val="20"/>
                <w:szCs w:val="20"/>
                <w:highlight w:val="none"/>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纳入专户管理的非税收入拨款：</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1400" w:firstLineChars="700"/>
              <w:jc w:val="left"/>
              <w:rPr>
                <w:rFonts w:eastAsia="仿宋_GB2312"/>
                <w:color w:val="000000"/>
                <w:sz w:val="20"/>
                <w:szCs w:val="20"/>
                <w:highlight w:val="none"/>
              </w:rPr>
            </w:pPr>
            <w:r>
              <w:rPr>
                <w:rFonts w:eastAsia="仿宋_GB2312"/>
                <w:color w:val="000000"/>
                <w:sz w:val="20"/>
                <w:szCs w:val="20"/>
                <w:highlight w:val="none"/>
              </w:rPr>
              <w:t>其他资金：</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4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center"/>
              <w:rPr>
                <w:rFonts w:eastAsia="仿宋_GB2312"/>
                <w:color w:val="000000"/>
                <w:sz w:val="20"/>
                <w:szCs w:val="20"/>
                <w:highlight w:val="none"/>
              </w:rPr>
            </w:pPr>
            <w:r>
              <w:rPr>
                <w:rFonts w:hint="eastAsia" w:ascii="仿宋_GB2312" w:hAnsi="宋体" w:eastAsia="仿宋_GB2312" w:cs="宋体"/>
                <w:kern w:val="0"/>
                <w:sz w:val="18"/>
                <w:szCs w:val="18"/>
              </w:rPr>
              <w:t>办理人事劳动争议仲裁</w:t>
            </w:r>
            <w:r>
              <w:rPr>
                <w:rFonts w:eastAsia="仿宋_GB2312"/>
                <w:color w:val="000000"/>
                <w:sz w:val="20"/>
                <w:szCs w:val="20"/>
                <w:highlight w:val="none"/>
              </w:rPr>
              <w:t>　</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6"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7</w:t>
            </w:r>
            <w:r>
              <w:rPr>
                <w:rFonts w:eastAsia="仿宋_GB2312"/>
                <w:color w:val="000000"/>
                <w:sz w:val="20"/>
                <w:szCs w:val="20"/>
                <w:highlight w:val="none"/>
              </w:rPr>
              <w:t>0分)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8" w:type="dxa"/>
            <w:noWrap w:val="0"/>
            <w:vAlign w:val="center"/>
          </w:tcPr>
          <w:p>
            <w:pPr>
              <w:spacing w:line="240" w:lineRule="exact"/>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仲裁调解案件</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30件</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31</w:t>
            </w:r>
          </w:p>
        </w:tc>
        <w:tc>
          <w:tcPr>
            <w:tcW w:w="71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仲裁裁决案件</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10件</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12</w:t>
            </w:r>
          </w:p>
        </w:tc>
        <w:tc>
          <w:tcPr>
            <w:tcW w:w="71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20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调解成功率</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91%</w:t>
            </w:r>
          </w:p>
        </w:tc>
        <w:tc>
          <w:tcPr>
            <w:tcW w:w="71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19</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及时率</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按时</w:t>
            </w:r>
          </w:p>
        </w:tc>
        <w:tc>
          <w:tcPr>
            <w:tcW w:w="1202" w:type="dxa"/>
            <w:noWrap w:val="0"/>
            <w:vAlign w:val="center"/>
          </w:tcPr>
          <w:p>
            <w:pPr>
              <w:spacing w:line="240" w:lineRule="exact"/>
              <w:jc w:val="left"/>
              <w:rPr>
                <w:rFonts w:hint="eastAsia"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按时</w:t>
            </w:r>
          </w:p>
        </w:tc>
        <w:tc>
          <w:tcPr>
            <w:tcW w:w="71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8</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2</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满意度</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71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20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19</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center"/>
              <w:rPr>
                <w:rFonts w:eastAsia="仿宋_GB2312"/>
                <w:color w:val="000000"/>
                <w:sz w:val="20"/>
                <w:szCs w:val="20"/>
                <w:highlight w:val="none"/>
              </w:rPr>
            </w:pPr>
          </w:p>
        </w:tc>
        <w:tc>
          <w:tcPr>
            <w:tcW w:w="884" w:type="dxa"/>
            <w:noWrap w:val="0"/>
            <w:vAlign w:val="center"/>
          </w:tcPr>
          <w:p>
            <w:pPr>
              <w:spacing w:line="240" w:lineRule="exact"/>
              <w:jc w:val="center"/>
              <w:rPr>
                <w:rFonts w:eastAsia="仿宋_GB2312"/>
                <w:color w:val="000000"/>
                <w:sz w:val="20"/>
                <w:szCs w:val="20"/>
                <w:highlight w:val="none"/>
              </w:rPr>
            </w:pP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95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2"/>
          <w:szCs w:val="22"/>
          <w:highlight w:val="none"/>
        </w:rPr>
        <w:sectPr>
          <w:footerReference r:id="rId3" w:type="default"/>
          <w:footerReference r:id="rId4"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val="en-US" w:eastAsia="zh-CN"/>
        </w:rPr>
        <w:t>文斐</w:t>
      </w:r>
      <w:r>
        <w:rPr>
          <w:rFonts w:eastAsia="仿宋_GB2312"/>
          <w:sz w:val="22"/>
          <w:szCs w:val="22"/>
          <w:highlight w:val="none"/>
        </w:rPr>
        <w:t xml:space="preserve"> 填报日期：</w:t>
      </w:r>
      <w:r>
        <w:rPr>
          <w:rFonts w:hint="eastAsia" w:eastAsia="仿宋_GB2312"/>
          <w:sz w:val="22"/>
          <w:szCs w:val="22"/>
          <w:highlight w:val="none"/>
          <w:lang w:val="en-US" w:eastAsia="zh-CN"/>
        </w:rPr>
        <w:t>2023.7.2</w:t>
      </w:r>
      <w:r>
        <w:rPr>
          <w:rFonts w:eastAsia="仿宋_GB2312"/>
          <w:sz w:val="22"/>
          <w:szCs w:val="22"/>
          <w:highlight w:val="none"/>
        </w:rPr>
        <w:t>联系电话：</w:t>
      </w:r>
      <w:r>
        <w:rPr>
          <w:rFonts w:hint="eastAsia" w:eastAsia="仿宋_GB2312"/>
          <w:sz w:val="22"/>
          <w:szCs w:val="22"/>
          <w:highlight w:val="none"/>
          <w:lang w:val="en-US" w:eastAsia="zh-CN"/>
        </w:rPr>
        <w:t>13974694430</w:t>
      </w:r>
      <w:r>
        <w:rPr>
          <w:rFonts w:hint="eastAsia" w:eastAsia="仿宋_GB2312"/>
          <w:sz w:val="22"/>
          <w:szCs w:val="22"/>
          <w:highlight w:val="none"/>
        </w:rPr>
        <w:t xml:space="preserve"> </w:t>
      </w:r>
      <w:r>
        <w:rPr>
          <w:rFonts w:eastAsia="仿宋_GB2312"/>
          <w:sz w:val="22"/>
          <w:szCs w:val="22"/>
          <w:highlight w:val="none"/>
        </w:rPr>
        <w:t>单位负责人签字：</w:t>
      </w:r>
      <w:r>
        <w:rPr>
          <w:rFonts w:hint="eastAsia" w:eastAsia="仿宋_GB2312"/>
          <w:sz w:val="22"/>
          <w:szCs w:val="22"/>
          <w:highlight w:val="none"/>
          <w:lang w:val="en-US" w:eastAsia="zh-CN"/>
        </w:rPr>
        <w:t>杨勇</w:t>
      </w:r>
      <w:r>
        <w:rPr>
          <w:rFonts w:eastAsia="仿宋_GB2312"/>
          <w:sz w:val="22"/>
          <w:szCs w:val="22"/>
          <w:highlight w:val="none"/>
        </w:rPr>
        <w:br w:type="page"/>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val="en-US" w:eastAsia="zh-CN"/>
        </w:rPr>
        <w:t>新田县劳动人事争议仲裁院</w:t>
      </w:r>
      <w:r>
        <w:rPr>
          <w:rFonts w:hint="eastAsia" w:ascii="方正小标宋简体" w:eastAsia="方正小标宋简体"/>
          <w:sz w:val="52"/>
          <w:szCs w:val="52"/>
          <w:highlight w:val="none"/>
        </w:rPr>
        <w:t>部门（单位）整体支出绩效自评报告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eastAsia="仿宋_GB2312"/>
          <w:sz w:val="32"/>
          <w:szCs w:val="32"/>
          <w:highlight w:val="none"/>
          <w:u w:val="single"/>
        </w:rPr>
        <w:t xml:space="preserve">（盖章）        </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年</w:t>
      </w:r>
      <w:r>
        <w:rPr>
          <w:rFonts w:hint="eastAsia" w:eastAsia="楷体_GB2312"/>
          <w:sz w:val="32"/>
          <w:szCs w:val="32"/>
          <w:highlight w:val="none"/>
          <w:lang w:val="en-US" w:eastAsia="zh-CN"/>
        </w:rPr>
        <w:t>6</w:t>
      </w:r>
      <w:r>
        <w:rPr>
          <w:rFonts w:eastAsia="楷体_GB2312"/>
          <w:sz w:val="32"/>
          <w:szCs w:val="32"/>
          <w:highlight w:val="none"/>
        </w:rPr>
        <w:t>月</w:t>
      </w:r>
      <w:r>
        <w:rPr>
          <w:rFonts w:hint="eastAsia" w:eastAsia="楷体_GB2312"/>
          <w:sz w:val="32"/>
          <w:szCs w:val="32"/>
          <w:highlight w:val="none"/>
          <w:lang w:val="en-US" w:eastAsia="zh-CN"/>
        </w:rPr>
        <w:t>30</w:t>
      </w:r>
      <w:r>
        <w:rPr>
          <w:rFonts w:eastAsia="楷体_GB2312"/>
          <w:sz w:val="32"/>
          <w:szCs w:val="32"/>
          <w:highlight w:val="none"/>
        </w:rPr>
        <w:t>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widowControl/>
        <w:wordWrap w:val="0"/>
        <w:spacing w:line="520" w:lineRule="exact"/>
        <w:ind w:firstLine="320" w:firstLineChars="1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单位职责</w:t>
      </w:r>
    </w:p>
    <w:p>
      <w:pPr>
        <w:widowControl/>
        <w:wordWrap w:val="0"/>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传</w:t>
      </w:r>
      <w:r>
        <w:rPr>
          <w:rFonts w:hint="eastAsia" w:ascii="仿宋_GB2312" w:hAnsi="宋体" w:eastAsia="仿宋_GB2312" w:cs="宋体"/>
          <w:kern w:val="0"/>
          <w:sz w:val="32"/>
          <w:szCs w:val="32"/>
          <w:lang w:eastAsia="zh-CN"/>
        </w:rPr>
        <w:t>达</w:t>
      </w:r>
      <w:r>
        <w:rPr>
          <w:rFonts w:hint="eastAsia" w:ascii="仿宋_GB2312" w:hAnsi="宋体" w:eastAsia="仿宋_GB2312" w:cs="宋体"/>
          <w:kern w:val="0"/>
          <w:sz w:val="32"/>
          <w:szCs w:val="32"/>
        </w:rPr>
        <w:t>、贯彻人事、劳动保障和人事劳动争议仲裁等法律法规；</w:t>
      </w:r>
    </w:p>
    <w:p>
      <w:pPr>
        <w:widowControl/>
        <w:wordWrap w:val="0"/>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负责处理注册登记的用人单位的人事劳动争议案件；</w:t>
      </w:r>
    </w:p>
    <w:p>
      <w:pPr>
        <w:widowControl/>
        <w:wordWrap w:val="0"/>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拟定各项规章制度并监督检查执行情况；</w:t>
      </w:r>
    </w:p>
    <w:p>
      <w:pPr>
        <w:widowControl/>
        <w:wordWrap w:val="0"/>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提供人事劳动保障法律法规和人事劳动争议调解仲裁咨询；</w:t>
      </w:r>
    </w:p>
    <w:p>
      <w:pPr>
        <w:widowControl/>
        <w:wordWrap w:val="0"/>
        <w:spacing w:line="52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负责专兼职仲裁员的培训、考核、聘用和管理工作；</w:t>
      </w:r>
    </w:p>
    <w:p>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负责办理人事劳动争议仲裁委员会的日常工作。</w:t>
      </w:r>
    </w:p>
    <w:p>
      <w:pPr>
        <w:ind w:firstLine="640" w:firstLineChars="200"/>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新田县劳动人事争议仲裁院是县人力资源和社会保障局的下属事业单位</w:t>
      </w:r>
      <w:r>
        <w:rPr>
          <w:rFonts w:hint="eastAsia" w:ascii="仿宋" w:hAnsi="仿宋" w:eastAsia="仿宋" w:cs="仿宋"/>
          <w:sz w:val="32"/>
          <w:szCs w:val="32"/>
          <w:u w:val="none"/>
        </w:rPr>
        <w:t>。20</w:t>
      </w:r>
      <w:r>
        <w:rPr>
          <w:rFonts w:hint="eastAsia" w:ascii="仿宋" w:hAnsi="仿宋" w:eastAsia="仿宋" w:cs="仿宋"/>
          <w:sz w:val="32"/>
          <w:szCs w:val="32"/>
          <w:u w:val="none"/>
          <w:lang w:val="en-US" w:eastAsia="zh-CN"/>
        </w:rPr>
        <w:t>22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底</w:t>
      </w:r>
      <w:r>
        <w:rPr>
          <w:rFonts w:hint="eastAsia" w:ascii="仿宋" w:hAnsi="仿宋" w:eastAsia="仿宋" w:cs="仿宋"/>
          <w:sz w:val="32"/>
          <w:szCs w:val="32"/>
          <w:u w:val="none"/>
        </w:rPr>
        <w:t>单位</w:t>
      </w:r>
      <w:r>
        <w:rPr>
          <w:rFonts w:hint="eastAsia" w:ascii="仿宋" w:hAnsi="仿宋" w:eastAsia="仿宋" w:cs="仿宋"/>
          <w:sz w:val="32"/>
          <w:szCs w:val="32"/>
          <w:u w:val="none"/>
          <w:lang w:val="en-US" w:eastAsia="zh-CN"/>
        </w:rPr>
        <w:t>事业</w:t>
      </w:r>
      <w:r>
        <w:rPr>
          <w:rFonts w:hint="eastAsia" w:ascii="仿宋" w:hAnsi="仿宋" w:eastAsia="仿宋" w:cs="仿宋"/>
          <w:sz w:val="32"/>
          <w:szCs w:val="32"/>
          <w:u w:val="none"/>
        </w:rPr>
        <w:t>编制人数1</w:t>
      </w:r>
      <w:r>
        <w:rPr>
          <w:rFonts w:hint="eastAsia" w:ascii="仿宋" w:hAnsi="仿宋" w:eastAsia="仿宋" w:cs="仿宋"/>
          <w:sz w:val="32"/>
          <w:szCs w:val="32"/>
          <w:u w:val="none"/>
          <w:lang w:val="en-US" w:eastAsia="zh-CN"/>
        </w:rPr>
        <w:t>1</w:t>
      </w:r>
      <w:r>
        <w:rPr>
          <w:rFonts w:hint="eastAsia" w:ascii="仿宋" w:hAnsi="仿宋" w:eastAsia="仿宋" w:cs="仿宋"/>
          <w:sz w:val="32"/>
          <w:szCs w:val="32"/>
          <w:u w:val="none"/>
        </w:rPr>
        <w:t>人，</w:t>
      </w:r>
      <w:r>
        <w:rPr>
          <w:rFonts w:hint="eastAsia" w:ascii="仿宋" w:hAnsi="仿宋" w:eastAsia="仿宋" w:cs="仿宋"/>
          <w:sz w:val="32"/>
          <w:szCs w:val="32"/>
          <w:u w:val="none"/>
          <w:lang w:val="en-US" w:eastAsia="zh-CN"/>
        </w:rPr>
        <w:t>年末</w:t>
      </w:r>
      <w:r>
        <w:rPr>
          <w:rFonts w:hint="eastAsia" w:ascii="仿宋" w:hAnsi="仿宋" w:eastAsia="仿宋" w:cs="仿宋"/>
          <w:sz w:val="32"/>
          <w:szCs w:val="32"/>
          <w:u w:val="none"/>
        </w:rPr>
        <w:t>在职人数</w:t>
      </w: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人。</w:t>
      </w:r>
      <w:r>
        <w:rPr>
          <w:rFonts w:hint="eastAsia" w:ascii="仿宋" w:hAnsi="仿宋" w:eastAsia="仿宋" w:cs="仿宋"/>
          <w:sz w:val="32"/>
          <w:szCs w:val="32"/>
          <w:u w:val="none"/>
          <w:lang w:val="en-US" w:eastAsia="zh-CN"/>
        </w:rPr>
        <w:t>单位内设机构2个：办公室、仲裁庭</w:t>
      </w:r>
    </w:p>
    <w:p>
      <w:pPr>
        <w:pStyle w:val="11"/>
        <w:keepNext w:val="0"/>
        <w:keepLines w:val="0"/>
        <w:pageBreakBefore w:val="0"/>
        <w:kinsoku/>
        <w:wordWrap/>
        <w:overflowPunct/>
        <w:topLinePunct w:val="0"/>
        <w:autoSpaceDE w:val="0"/>
        <w:bidi w:val="0"/>
        <w:snapToGrid/>
        <w:ind w:left="0" w:leftChars="0" w:firstLine="320" w:firstLineChars="100"/>
        <w:jc w:val="both"/>
        <w:textAlignment w:val="auto"/>
        <w:rPr>
          <w:rFonts w:hint="eastAsia" w:ascii="仿宋_GB2312" w:hAnsi="仿宋_GB2312" w:eastAsia="仿宋_GB2312" w:cs="仿宋_GB2312"/>
          <w:sz w:val="32"/>
          <w:szCs w:val="32"/>
          <w:highlight w:val="none"/>
        </w:rPr>
      </w:pPr>
      <w:r>
        <w:rPr>
          <w:rFonts w:hint="eastAsia" w:ascii="仿宋_GB2312" w:eastAsia="仿宋_GB2312"/>
          <w:sz w:val="32"/>
          <w:szCs w:val="32"/>
          <w:highlight w:val="none"/>
        </w:rPr>
        <w:t>（二）部门（单位）整体支出规模</w:t>
      </w:r>
    </w:p>
    <w:p>
      <w:pPr>
        <w:pStyle w:val="11"/>
        <w:keepNext w:val="0"/>
        <w:keepLines w:val="0"/>
        <w:pageBreakBefore w:val="0"/>
        <w:kinsoku/>
        <w:wordWrap/>
        <w:overflowPunct/>
        <w:topLinePunct w:val="0"/>
        <w:autoSpaceDE w:val="0"/>
        <w:bidi w:val="0"/>
        <w:snapToGrid/>
        <w:ind w:left="0" w:leftChars="0"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1、部门整体支出情况：</w:t>
      </w:r>
    </w:p>
    <w:p>
      <w:pPr>
        <w:pStyle w:val="11"/>
        <w:keepNext w:val="0"/>
        <w:keepLines w:val="0"/>
        <w:pageBreakBefore w:val="0"/>
        <w:widowControl/>
        <w:kinsoku/>
        <w:wordWrap/>
        <w:overflowPunct/>
        <w:topLinePunct w:val="0"/>
        <w:autoSpaceDE w:val="0"/>
        <w:autoSpaceDN/>
        <w:bidi w:val="0"/>
        <w:adjustRightInd/>
        <w:snapToGrid/>
        <w:ind w:left="0" w:leftChars="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ascii="仿宋" w:hAnsi="仿宋" w:eastAsia="仿宋" w:cs="仿宋"/>
          <w:sz w:val="30"/>
          <w:szCs w:val="30"/>
        </w:rPr>
        <w:t>02</w:t>
      </w:r>
      <w:r>
        <w:rPr>
          <w:rFonts w:hint="eastAsia" w:ascii="仿宋" w:hAnsi="仿宋" w:eastAsia="仿宋" w:cs="仿宋"/>
          <w:sz w:val="30"/>
          <w:szCs w:val="30"/>
          <w:lang w:val="en-US" w:eastAsia="zh-CN"/>
        </w:rPr>
        <w:t>2</w:t>
      </w:r>
      <w:r>
        <w:rPr>
          <w:rFonts w:hint="eastAsia" w:ascii="仿宋" w:hAnsi="仿宋" w:eastAsia="仿宋" w:cs="仿宋"/>
          <w:sz w:val="30"/>
          <w:szCs w:val="30"/>
        </w:rPr>
        <w:t>年部门整体支出规模</w:t>
      </w:r>
      <w:r>
        <w:rPr>
          <w:rFonts w:hint="eastAsia" w:ascii="仿宋" w:hAnsi="仿宋" w:eastAsia="仿宋" w:cs="仿宋"/>
          <w:sz w:val="30"/>
          <w:szCs w:val="30"/>
          <w:lang w:val="en-US" w:eastAsia="zh-CN"/>
        </w:rPr>
        <w:t>27.99</w:t>
      </w:r>
      <w:r>
        <w:rPr>
          <w:rFonts w:hint="eastAsia" w:ascii="仿宋" w:hAnsi="仿宋" w:eastAsia="仿宋" w:cs="仿宋"/>
          <w:sz w:val="30"/>
          <w:szCs w:val="30"/>
        </w:rPr>
        <w:t>万元，</w:t>
      </w:r>
      <w:r>
        <w:rPr>
          <w:rFonts w:hint="eastAsia" w:ascii="仿宋" w:hAnsi="仿宋" w:eastAsia="仿宋" w:cs="仿宋"/>
          <w:sz w:val="30"/>
          <w:szCs w:val="30"/>
          <w:lang w:val="en-US" w:eastAsia="zh-CN"/>
        </w:rPr>
        <w:t>其中：工资福利支出16.18万元、商品和服务支出11.07万元、对个人和家庭的补助0.51万元、资本性支出0.23万元。</w:t>
      </w:r>
    </w:p>
    <w:p>
      <w:pPr>
        <w:pStyle w:val="12"/>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2、部门预算收支决算情况：</w:t>
      </w:r>
    </w:p>
    <w:p>
      <w:pPr>
        <w:pStyle w:val="12"/>
        <w:keepNext w:val="0"/>
        <w:keepLines w:val="0"/>
        <w:pageBreakBefore w:val="0"/>
        <w:kinsoku/>
        <w:wordWrap/>
        <w:overflowPunct/>
        <w:topLinePunct w:val="0"/>
        <w:autoSpaceDE w:val="0"/>
        <w:bidi w:val="0"/>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27.99</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27.99</w:t>
      </w:r>
      <w:r>
        <w:rPr>
          <w:rFonts w:hint="eastAsia" w:ascii="仿宋_GB2312" w:hAnsi="仿宋_GB2312" w:eastAsia="仿宋_GB2312" w:cs="仿宋_GB2312"/>
          <w:sz w:val="32"/>
          <w:szCs w:val="32"/>
        </w:rPr>
        <w:t>万元。</w:t>
      </w:r>
    </w:p>
    <w:p>
      <w:pPr>
        <w:pStyle w:val="12"/>
        <w:keepNext w:val="0"/>
        <w:keepLines w:val="0"/>
        <w:pageBreakBefore w:val="0"/>
        <w:kinsoku/>
        <w:wordWrap/>
        <w:overflowPunct/>
        <w:topLinePunct w:val="0"/>
        <w:autoSpaceDE w:val="0"/>
        <w:bidi w:val="0"/>
        <w:snapToGrid/>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3、2022年“三公经费”支出1.14万元，其中：公务接待费1.14万元，无公车运行维护费用，无出国（境）费用。</w:t>
      </w:r>
    </w:p>
    <w:p>
      <w:pPr>
        <w:pStyle w:val="10"/>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widowControl/>
        <w:spacing w:line="600" w:lineRule="atLeast"/>
        <w:ind w:firstLine="660"/>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pStyle w:val="11"/>
        <w:keepNext w:val="0"/>
        <w:keepLines w:val="0"/>
        <w:pageBreakBefore w:val="0"/>
        <w:widowControl/>
        <w:kinsoku/>
        <w:wordWrap/>
        <w:overflowPunct/>
        <w:topLinePunct w:val="0"/>
        <w:autoSpaceDE w:val="0"/>
        <w:autoSpaceDN/>
        <w:bidi w:val="0"/>
        <w:adjustRightInd/>
        <w:snapToGrid/>
        <w:ind w:left="0" w:lef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年基本支出</w:t>
      </w:r>
      <w:r>
        <w:rPr>
          <w:rFonts w:hint="eastAsia" w:ascii="仿宋" w:hAnsi="仿宋" w:eastAsia="仿宋" w:cs="仿宋"/>
          <w:sz w:val="30"/>
          <w:szCs w:val="30"/>
          <w:lang w:val="en-US" w:eastAsia="zh-CN"/>
        </w:rPr>
        <w:t>决</w:t>
      </w:r>
      <w:r>
        <w:rPr>
          <w:rFonts w:hint="eastAsia" w:ascii="仿宋" w:hAnsi="仿宋" w:eastAsia="仿宋" w:cs="仿宋"/>
          <w:sz w:val="30"/>
          <w:szCs w:val="30"/>
        </w:rPr>
        <w:t>算数为</w:t>
      </w:r>
      <w:r>
        <w:rPr>
          <w:rFonts w:hint="eastAsia" w:ascii="仿宋" w:hAnsi="仿宋" w:eastAsia="仿宋" w:cs="仿宋"/>
          <w:sz w:val="30"/>
          <w:szCs w:val="30"/>
          <w:lang w:val="en-US" w:eastAsia="zh-CN"/>
        </w:rPr>
        <w:t>27.99</w:t>
      </w:r>
      <w:r>
        <w:rPr>
          <w:rFonts w:hint="eastAsia" w:ascii="仿宋" w:hAnsi="仿宋" w:eastAsia="仿宋" w:cs="仿宋"/>
          <w:sz w:val="30"/>
          <w:szCs w:val="30"/>
        </w:rPr>
        <w:t>万元，是指为保障单位机构正常运转、完成日常工作任务而发生的各项支出，包括</w:t>
      </w:r>
      <w:r>
        <w:rPr>
          <w:rFonts w:hint="eastAsia" w:ascii="仿宋" w:hAnsi="仿宋" w:eastAsia="仿宋" w:cs="仿宋"/>
          <w:sz w:val="30"/>
          <w:szCs w:val="30"/>
          <w:lang w:val="en-US" w:eastAsia="zh-CN"/>
        </w:rPr>
        <w:t>工资福利支出、商品和服务支出、对个人和家庭的补助、资本性支出。</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年“三公”经费</w:t>
      </w:r>
      <w:r>
        <w:rPr>
          <w:rFonts w:hint="eastAsia" w:ascii="仿宋" w:hAnsi="仿宋" w:eastAsia="仿宋" w:cs="仿宋"/>
          <w:sz w:val="30"/>
          <w:szCs w:val="30"/>
          <w:lang w:val="en-US" w:eastAsia="zh-CN"/>
        </w:rPr>
        <w:t>1.14</w:t>
      </w:r>
      <w:r>
        <w:rPr>
          <w:rFonts w:hint="eastAsia" w:ascii="仿宋" w:hAnsi="仿宋" w:eastAsia="仿宋" w:cs="仿宋"/>
          <w:sz w:val="30"/>
          <w:szCs w:val="30"/>
        </w:rPr>
        <w:t>万元，其中，公务接待费</w:t>
      </w:r>
      <w:r>
        <w:rPr>
          <w:rFonts w:hint="eastAsia" w:ascii="仿宋" w:hAnsi="仿宋" w:eastAsia="仿宋" w:cs="仿宋"/>
          <w:sz w:val="30"/>
          <w:szCs w:val="30"/>
          <w:lang w:val="en-US" w:eastAsia="zh-CN"/>
        </w:rPr>
        <w:t>1.2</w:t>
      </w:r>
      <w:r>
        <w:rPr>
          <w:rFonts w:hint="eastAsia" w:ascii="仿宋" w:hAnsi="仿宋" w:eastAsia="仿宋" w:cs="仿宋"/>
          <w:sz w:val="30"/>
          <w:szCs w:val="30"/>
        </w:rPr>
        <w:t>万元，公务用车购置及运行费</w:t>
      </w:r>
      <w:r>
        <w:rPr>
          <w:rFonts w:hint="eastAsia" w:ascii="仿宋" w:hAnsi="仿宋" w:eastAsia="仿宋" w:cs="仿宋"/>
          <w:sz w:val="30"/>
          <w:szCs w:val="30"/>
          <w:lang w:val="en-US" w:eastAsia="zh-CN"/>
        </w:rPr>
        <w:t>0</w:t>
      </w:r>
      <w:r>
        <w:rPr>
          <w:rFonts w:hint="eastAsia" w:ascii="仿宋" w:hAnsi="仿宋" w:eastAsia="仿宋" w:cs="仿宋"/>
          <w:sz w:val="30"/>
          <w:szCs w:val="30"/>
        </w:rPr>
        <w:t>万元（其中，公务用车购置费0万元，公务用车运行费</w:t>
      </w:r>
      <w:r>
        <w:rPr>
          <w:rFonts w:hint="eastAsia" w:ascii="仿宋" w:hAnsi="仿宋" w:eastAsia="仿宋" w:cs="仿宋"/>
          <w:sz w:val="30"/>
          <w:szCs w:val="30"/>
          <w:lang w:val="en-US" w:eastAsia="zh-CN"/>
        </w:rPr>
        <w:t>0</w:t>
      </w:r>
      <w:r>
        <w:rPr>
          <w:rFonts w:hint="eastAsia" w:ascii="仿宋" w:hAnsi="仿宋" w:eastAsia="仿宋" w:cs="仿宋"/>
          <w:sz w:val="30"/>
          <w:szCs w:val="30"/>
        </w:rPr>
        <w:t>万元），因公出国（境）费0万元。</w:t>
      </w:r>
    </w:p>
    <w:p>
      <w:pPr>
        <w:pStyle w:val="10"/>
        <w:spacing w:line="570" w:lineRule="exact"/>
        <w:ind w:left="0" w:leftChars="0" w:firstLine="640" w:firstLineChars="20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（二）项目支出情况</w:t>
      </w:r>
    </w:p>
    <w:p>
      <w:pPr>
        <w:pStyle w:val="10"/>
        <w:spacing w:line="570" w:lineRule="exact"/>
        <w:ind w:left="0" w:leftChars="0" w:firstLine="640" w:firstLineChars="200"/>
        <w:outlineLvl w:val="1"/>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2022年部门预算支出全部为基本支出，无项目支出。</w:t>
      </w:r>
    </w:p>
    <w:p>
      <w:pPr>
        <w:pStyle w:val="10"/>
        <w:spacing w:line="570" w:lineRule="exact"/>
        <w:ind w:firstLine="640"/>
        <w:outlineLvl w:val="1"/>
        <w:rPr>
          <w:rFonts w:ascii="Times New Roman" w:hAnsi="Times New Roman" w:eastAsia="仿宋_GB2312"/>
          <w:sz w:val="32"/>
          <w:szCs w:val="32"/>
          <w:highlight w:val="none"/>
        </w:rPr>
      </w:pP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三、政府性基金预算支出情况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我单位无政府性基金预算支出情况</w:t>
      </w: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四、国有资本经营预算支出情况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pPr>
        <w:pStyle w:val="10"/>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五、社会保险基金预算支出情况</w:t>
      </w:r>
      <w:r>
        <w:rPr>
          <w:rFonts w:hint="eastAsia" w:ascii="Times New Roman" w:hAnsi="Times New Roman" w:eastAsia="黑体"/>
          <w:sz w:val="32"/>
          <w:szCs w:val="32"/>
          <w:highlight w:val="none"/>
        </w:rPr>
        <w:t>。</w:t>
      </w:r>
    </w:p>
    <w:p>
      <w:pPr>
        <w:pStyle w:val="10"/>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u w:val="none"/>
          <w:lang w:val="en-US" w:eastAsia="zh-CN" w:bidi="ar"/>
        </w:rPr>
      </w:pPr>
      <w:r>
        <w:rPr>
          <w:rFonts w:hint="eastAsia" w:ascii="楷体_GB2312" w:hAnsi="楷体_GB2312" w:eastAsia="楷体_GB2312" w:cs="楷体_GB2312"/>
          <w:b/>
          <w:bCs w:val="0"/>
          <w:sz w:val="32"/>
          <w:szCs w:val="32"/>
          <w:lang w:val="en-US" w:eastAsia="zh-CN"/>
        </w:rPr>
        <w:t>1.强化效能提升，劳动关系稳固有序。</w:t>
      </w:r>
      <w:r>
        <w:rPr>
          <w:rFonts w:hint="eastAsia" w:ascii="仿宋_GB2312" w:hAnsi="仿宋_GB2312" w:eastAsia="仿宋_GB2312" w:cs="仿宋_GB2312"/>
          <w:sz w:val="32"/>
          <w:szCs w:val="32"/>
          <w:lang w:val="en-US" w:eastAsia="zh-CN"/>
        </w:rPr>
        <w:t>坚持“调解为主、全程调解”的原则，实行“阳光仲裁”，劳动人事关系整体上和谐稳定。</w:t>
      </w:r>
      <w:r>
        <w:rPr>
          <w:rFonts w:hint="eastAsia" w:ascii="仿宋_GB2312" w:hAnsi="仿宋_GB2312" w:eastAsia="仿宋_GB2312" w:cs="仿宋_GB2312"/>
          <w:sz w:val="32"/>
          <w:szCs w:val="32"/>
          <w:u w:val="none"/>
          <w:lang w:val="en-US" w:eastAsia="zh-CN" w:bidi="ar"/>
        </w:rPr>
        <w:t>全年正式立案43件，其中裁决结案12件，调解结案31件，案件调解率达到72%，在法定时限内结案率100%，涉案金额达340余万元，为劳动者挽回经济损失160余万元。案件数量呈逐年上升态势，未出现因案件处理不当导致的上访、投诉现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val="0"/>
          <w:sz w:val="32"/>
          <w:szCs w:val="32"/>
          <w:lang w:val="en-US" w:eastAsia="zh-CN"/>
        </w:rPr>
        <w:t>2.多措并举赋能，稳妥处理重大案件。</w:t>
      </w:r>
      <w:r>
        <w:rPr>
          <w:rFonts w:hint="eastAsia" w:ascii="仿宋_GB2312" w:hAnsi="仿宋_GB2312" w:eastAsia="仿宋_GB2312" w:cs="仿宋_GB2312"/>
          <w:color w:val="auto"/>
          <w:sz w:val="32"/>
          <w:szCs w:val="32"/>
          <w:lang w:val="en-US" w:eastAsia="zh-CN"/>
        </w:rPr>
        <w:t>今年以来，县荣达鞋业有限公司312名员工集体劳动争议案件备受多方关注。仲裁部门及时介入，积极处理集体信访，协调政府办、监察、矛调中心、信访等部门化解纠纷。督促公司支付2至3月工资80余万元；耐心接待做好登记、解释工作，稳控劳动者的情绪，引导员工尽早到相关工厂就业，召开了荣达公司职工信访处置协调会。依法进行仲裁程序，7月该案件已审理完结并向双方当事人送达了裁决书，多数员工对裁决结果表示满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sz w:val="32"/>
          <w:szCs w:val="32"/>
          <w:lang w:val="en-US" w:eastAsia="zh-CN"/>
        </w:rPr>
      </w:pPr>
      <w:r>
        <w:rPr>
          <w:rFonts w:hint="eastAsia" w:ascii="楷体_GB2312" w:hAnsi="楷体_GB2312" w:eastAsia="楷体_GB2312" w:cs="楷体_GB2312"/>
          <w:b/>
          <w:bCs w:val="0"/>
          <w:sz w:val="32"/>
          <w:szCs w:val="32"/>
          <w:lang w:val="en-US" w:eastAsia="zh-CN"/>
        </w:rPr>
        <w:t>3.依托人民调解，探索调解新模式。</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color w:val="000000"/>
          <w:sz w:val="32"/>
          <w:szCs w:val="32"/>
          <w:u w:val="none"/>
          <w:lang w:val="en-US" w:eastAsia="zh-CN" w:bidi="ar"/>
        </w:rPr>
        <w:t>加强组织机制建设。为进一步织密矛盾调解，根据全县“一站式”社会矛盾纠纷建设要求，成立县劳动人事争议人民调解委员，实现“六规范、五上墙”。</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color w:val="000000"/>
          <w:sz w:val="32"/>
          <w:szCs w:val="32"/>
          <w:u w:val="none"/>
          <w:lang w:val="en-US" w:eastAsia="zh-CN" w:bidi="ar"/>
        </w:rPr>
        <w:t>突出精细化管理。根据一站式社会矛盾纠纷调解中心统一调度，实行“统一受理、集中梳理、依法办理、限期处理”。</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color w:val="000000"/>
          <w:sz w:val="32"/>
          <w:szCs w:val="32"/>
          <w:u w:val="none"/>
          <w:lang w:val="en-US" w:eastAsia="zh-CN" w:bidi="ar"/>
        </w:rPr>
        <w:t>打造专业调解队伍。邀请劳动部门退休干部、法律工作者等担任人民调解员。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val="0"/>
          <w:sz w:val="32"/>
          <w:szCs w:val="32"/>
          <w:lang w:val="en-US" w:eastAsia="zh-CN"/>
        </w:rPr>
        <w:t>4.推动送法入企，提升精准服水平。</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开展劳动仲裁开放日活动。</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推行和完善巡回仲裁庭建设。将“流动仲裁庭”开在企业“家门口”，达到“处理一案、教育一片、和谐一方”的目的，实现仲裁关口前移。</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“掌握病症，对症下药”。通过与企业座谈、与人事经理沟通、与广大职工见面等形式，找出企业用工管理中的存在问题，并形成服务落实清单。</w:t>
      </w:r>
    </w:p>
    <w:p>
      <w:pPr>
        <w:pStyle w:val="10"/>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spacing w:line="240" w:lineRule="auto"/>
        <w:ind w:firstLine="640" w:firstLineChars="200"/>
        <w:rPr>
          <w:rFonts w:eastAsia="仿宋_GB2312"/>
          <w:sz w:val="32"/>
          <w:szCs w:val="32"/>
          <w:highlight w:val="none"/>
        </w:rPr>
      </w:pPr>
      <w:r>
        <w:rPr>
          <w:rFonts w:hint="eastAsia" w:ascii="仿宋" w:hAnsi="仿宋" w:eastAsia="仿宋" w:cs="仿宋"/>
          <w:sz w:val="32"/>
          <w:szCs w:val="32"/>
        </w:rPr>
        <w:t>随着部门预算改革的深入，财政预算管理整体水平得到了提升，财政资金使用效益和效果有所提高，但近年来我们在部门预算执行中发现以下问题：</w:t>
      </w:r>
      <w:r>
        <w:rPr>
          <w:rFonts w:hint="eastAsia" w:ascii="仿宋" w:hAnsi="仿宋" w:eastAsia="仿宋" w:cs="仿宋"/>
          <w:sz w:val="32"/>
          <w:szCs w:val="32"/>
          <w:lang w:eastAsia="zh-CN"/>
        </w:rPr>
        <w:t>预算执行未严格按照时间进度，主要表现在年初、年中用得少，年底用得多</w:t>
      </w:r>
      <w:r>
        <w:rPr>
          <w:rFonts w:hint="eastAsia" w:ascii="仿宋" w:hAnsi="仿宋" w:eastAsia="仿宋" w:cs="仿宋"/>
          <w:sz w:val="32"/>
          <w:szCs w:val="32"/>
        </w:rPr>
        <w:t>。预算编制的计划性和</w:t>
      </w:r>
      <w:r>
        <w:rPr>
          <w:rFonts w:hint="eastAsia" w:ascii="仿宋" w:hAnsi="仿宋" w:eastAsia="仿宋" w:cs="仿宋"/>
          <w:sz w:val="32"/>
          <w:szCs w:val="32"/>
          <w:lang w:eastAsia="zh-CN"/>
        </w:rPr>
        <w:t>预算</w:t>
      </w:r>
      <w:r>
        <w:rPr>
          <w:rFonts w:hint="eastAsia" w:ascii="仿宋" w:hAnsi="仿宋" w:eastAsia="仿宋" w:cs="仿宋"/>
          <w:sz w:val="32"/>
          <w:szCs w:val="32"/>
        </w:rPr>
        <w:t>执行</w:t>
      </w:r>
      <w:r>
        <w:rPr>
          <w:rFonts w:hint="eastAsia" w:ascii="仿宋" w:hAnsi="仿宋" w:eastAsia="仿宋" w:cs="仿宋"/>
          <w:sz w:val="32"/>
          <w:szCs w:val="32"/>
          <w:lang w:eastAsia="zh-CN"/>
        </w:rPr>
        <w:t>的</w:t>
      </w:r>
      <w:r>
        <w:rPr>
          <w:rFonts w:hint="eastAsia" w:ascii="仿宋" w:hAnsi="仿宋" w:eastAsia="仿宋" w:cs="仿宋"/>
          <w:sz w:val="32"/>
          <w:szCs w:val="32"/>
        </w:rPr>
        <w:t>管理有待</w:t>
      </w:r>
      <w:r>
        <w:rPr>
          <w:rFonts w:hint="eastAsia" w:ascii="仿宋" w:hAnsi="仿宋" w:eastAsia="仿宋" w:cs="仿宋"/>
          <w:sz w:val="32"/>
          <w:szCs w:val="32"/>
          <w:lang w:eastAsia="zh-CN"/>
        </w:rPr>
        <w:t>加强</w:t>
      </w:r>
      <w:r>
        <w:rPr>
          <w:rFonts w:hint="eastAsia" w:ascii="仿宋" w:hAnsi="仿宋" w:eastAsia="仿宋" w:cs="仿宋"/>
          <w:sz w:val="32"/>
          <w:szCs w:val="32"/>
        </w:rPr>
        <w:t>，制度的执行有待进一步强化，资金使用的合规性有待进一步规范。</w:t>
      </w:r>
    </w:p>
    <w:p>
      <w:pPr>
        <w:spacing w:line="570" w:lineRule="exact"/>
        <w:ind w:firstLine="640" w:firstLineChars="200"/>
        <w:jc w:val="left"/>
        <w:outlineLvl w:val="0"/>
        <w:rPr>
          <w:rFonts w:eastAsia="黑体"/>
          <w:sz w:val="32"/>
          <w:szCs w:val="32"/>
          <w:highlight w:val="none"/>
        </w:rPr>
      </w:pPr>
      <w:r>
        <w:rPr>
          <w:rFonts w:eastAsia="黑体"/>
          <w:sz w:val="32"/>
          <w:szCs w:val="32"/>
          <w:highlight w:val="none"/>
        </w:rPr>
        <w:t>八、下一步改进措施</w:t>
      </w:r>
    </w:p>
    <w:p>
      <w:pPr>
        <w:spacing w:line="570" w:lineRule="exact"/>
        <w:ind w:firstLine="640" w:firstLineChars="200"/>
        <w:jc w:val="left"/>
        <w:outlineLvl w:val="0"/>
        <w:rPr>
          <w:rFonts w:eastAsia="黑体"/>
          <w:sz w:val="32"/>
          <w:szCs w:val="32"/>
          <w:highlight w:val="none"/>
        </w:rPr>
      </w:pPr>
      <w:r>
        <w:rPr>
          <w:rFonts w:hint="eastAsia" w:ascii="仿宋" w:hAnsi="仿宋" w:eastAsia="仿宋" w:cs="仿宋"/>
          <w:sz w:val="32"/>
          <w:szCs w:val="32"/>
          <w:lang w:eastAsia="zh-CN"/>
        </w:rPr>
        <w:t>争取严格按照时间进度安排支出，财务督促办公室每季度进行结账，避免集中在年底支出，确保费用核算的及时性和完整性。</w:t>
      </w:r>
    </w:p>
    <w:p>
      <w:pPr>
        <w:numPr>
          <w:ilvl w:val="0"/>
          <w:numId w:val="2"/>
        </w:numPr>
        <w:spacing w:line="570" w:lineRule="exact"/>
        <w:ind w:firstLine="645"/>
        <w:jc w:val="left"/>
        <w:outlineLvl w:val="0"/>
        <w:rPr>
          <w:rFonts w:eastAsia="黑体"/>
          <w:sz w:val="32"/>
          <w:szCs w:val="32"/>
          <w:highlight w:val="none"/>
        </w:rPr>
      </w:pPr>
      <w:r>
        <w:rPr>
          <w:rFonts w:eastAsia="黑体"/>
          <w:sz w:val="32"/>
          <w:szCs w:val="32"/>
          <w:highlight w:val="none"/>
        </w:rPr>
        <w:t>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已公开</w:t>
      </w:r>
    </w:p>
    <w:p>
      <w:pPr>
        <w:numPr>
          <w:ilvl w:val="0"/>
          <w:numId w:val="2"/>
        </w:numPr>
        <w:spacing w:line="570" w:lineRule="exact"/>
        <w:ind w:left="0" w:leftChars="0" w:firstLine="645" w:firstLineChars="0"/>
        <w:jc w:val="left"/>
        <w:rPr>
          <w:rFonts w:eastAsia="黑体"/>
          <w:sz w:val="32"/>
          <w:szCs w:val="32"/>
          <w:highlight w:val="none"/>
        </w:rPr>
      </w:pPr>
      <w:r>
        <w:rPr>
          <w:rFonts w:eastAsia="黑体"/>
          <w:sz w:val="32"/>
          <w:szCs w:val="32"/>
          <w:highlight w:val="none"/>
        </w:rPr>
        <w:t>其他需要说明的情况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无</w:t>
      </w: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bookmarkStart w:id="0" w:name="_GoBack"/>
      <w:bookmarkEnd w:id="0"/>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sectPr>
      <w:headerReference r:id="rId6" w:type="first"/>
      <w:footerReference r:id="rId9" w:type="first"/>
      <w:footerReference r:id="rId7" w:type="default"/>
      <w:headerReference r:id="rId5" w:type="even"/>
      <w:footerReference r:id="rId8"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1">
    <w:nsid w:val="6C8C0E2E"/>
    <w:multiLevelType w:val="singleLevel"/>
    <w:tmpl w:val="6C8C0E2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38C00AA6"/>
    <w:rsid w:val="090E228E"/>
    <w:rsid w:val="098F15AA"/>
    <w:rsid w:val="15C42811"/>
    <w:rsid w:val="1F092F14"/>
    <w:rsid w:val="230604C0"/>
    <w:rsid w:val="267D0389"/>
    <w:rsid w:val="2D7A3CAC"/>
    <w:rsid w:val="38C00AA6"/>
    <w:rsid w:val="4A2326FB"/>
    <w:rsid w:val="61CD15EB"/>
    <w:rsid w:val="7112191B"/>
    <w:rsid w:val="722E0B0F"/>
    <w:rsid w:val="7FBF0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List Paragraph"/>
    <w:basedOn w:val="1"/>
    <w:qFormat/>
    <w:uiPriority w:val="0"/>
    <w:pPr>
      <w:ind w:firstLine="420" w:firstLineChars="200"/>
    </w:pPr>
    <w:rPr>
      <w:rFonts w:ascii="Calibri" w:hAnsi="Calibri"/>
    </w:rPr>
  </w:style>
  <w:style w:type="paragraph" w:customStyle="1" w:styleId="11">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2435</Words>
  <Characters>2670</Characters>
  <Lines>0</Lines>
  <Paragraphs>0</Paragraphs>
  <TotalTime>0</TotalTime>
  <ScaleCrop>false</ScaleCrop>
  <LinksUpToDate>false</LinksUpToDate>
  <CharactersWithSpaces>2889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2023-06-29T09:46:00Z</dcterms:created>
  <dc:creator>斐哥</dc:creator>
  <cp:lastModifiedBy>Administrator</cp:lastModifiedBy>
  <dcterms:modified xsi:type="dcterms:W3CDTF">2023-09-20T08:01:11Z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7DB110C50C9A484896097FB1292D1242</vt:lpwstr>
  </property>
</Properties>
</file>