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3360" w:firstLineChars="700"/>
        <w:jc w:val="both"/>
        <w:rPr>
          <w:rFonts w:hint="eastAsia"/>
          <w:sz w:val="48"/>
          <w:szCs w:val="48"/>
          <w:lang w:eastAsia="zh-CN"/>
        </w:rPr>
      </w:pPr>
    </w:p>
    <w:p>
      <w:pPr>
        <w:pStyle w:val="10"/>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幼儿园</w:t>
      </w:r>
      <w:r>
        <w:rPr>
          <w:rFonts w:hint="eastAsia"/>
          <w:sz w:val="48"/>
          <w:szCs w:val="48"/>
          <w:lang w:eastAsia="zh-CN"/>
        </w:rPr>
        <w:t>单位</w:t>
      </w:r>
      <w:r>
        <w:rPr>
          <w:rFonts w:hint="eastAsia"/>
          <w:sz w:val="48"/>
          <w:szCs w:val="48"/>
          <w:lang w:val="en-US" w:eastAsia="zh-CN"/>
        </w:rPr>
        <w:t>2022</w:t>
      </w:r>
      <w:r>
        <w:rPr>
          <w:rFonts w:hint="eastAsia"/>
          <w:sz w:val="48"/>
          <w:szCs w:val="48"/>
          <w:lang w:eastAsia="zh-CN"/>
        </w:rPr>
        <w:t>年度部门决算公开</w:t>
      </w:r>
    </w:p>
    <w:p>
      <w:pPr>
        <w:pStyle w:val="10"/>
        <w:spacing w:line="540" w:lineRule="exact"/>
        <w:jc w:val="center"/>
        <w:rPr>
          <w:sz w:val="56"/>
          <w:szCs w:val="56"/>
        </w:rPr>
      </w:pPr>
    </w:p>
    <w:p>
      <w:pPr>
        <w:pStyle w:val="10"/>
        <w:spacing w:line="500" w:lineRule="exact"/>
        <w:ind w:firstLine="6144" w:firstLineChars="1700"/>
        <w:jc w:val="both"/>
        <w:rPr>
          <w:rFonts w:hint="eastAsia"/>
          <w:b/>
          <w:sz w:val="36"/>
          <w:szCs w:val="28"/>
        </w:rPr>
      </w:pPr>
    </w:p>
    <w:p>
      <w:pPr>
        <w:pStyle w:val="10"/>
        <w:spacing w:line="500" w:lineRule="exact"/>
        <w:ind w:firstLine="6626" w:firstLineChars="1500"/>
        <w:jc w:val="both"/>
        <w:rPr>
          <w:b/>
          <w:sz w:val="36"/>
          <w:szCs w:val="28"/>
        </w:rPr>
      </w:pPr>
      <w:r>
        <w:rPr>
          <w:rFonts w:hint="eastAsia"/>
          <w:b/>
          <w:sz w:val="44"/>
          <w:szCs w:val="44"/>
        </w:rPr>
        <w:t>目录</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新田县幼儿园</w:t>
      </w:r>
      <w:r>
        <w:rPr>
          <w:rFonts w:hint="eastAsia" w:ascii="黑体" w:hAnsi="黑体" w:eastAsia="黑体" w:cs="黑体"/>
          <w:b/>
          <w:bCs w:val="0"/>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2022年度</w:t>
      </w:r>
      <w:r>
        <w:rPr>
          <w:rFonts w:hint="eastAsia" w:ascii="黑体" w:hAnsi="黑体" w:eastAsia="黑体" w:cs="黑体"/>
          <w:b/>
          <w:bCs w:val="0"/>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2022年度</w:t>
      </w:r>
      <w:r>
        <w:rPr>
          <w:rFonts w:hint="eastAsia" w:ascii="黑体" w:hAnsi="黑体" w:eastAsia="黑体" w:cs="黑体"/>
          <w:b/>
          <w:bCs w:val="0"/>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0"/>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新田县幼儿园</w:t>
      </w:r>
      <w:r>
        <w:rPr>
          <w:rFonts w:hint="eastAsia" w:ascii="黑体" w:hAnsi="黑体" w:eastAsia="黑体" w:cs="黑体"/>
          <w:b/>
          <w:bCs/>
          <w:sz w:val="32"/>
          <w:szCs w:val="32"/>
        </w:rPr>
        <w:t>概况</w:t>
      </w: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0"/>
        <w:numPr>
          <w:ilvl w:val="0"/>
          <w:numId w:val="0"/>
        </w:numPr>
        <w:spacing w:line="520" w:lineRule="exact"/>
        <w:rPr>
          <w:rFonts w:hint="eastAsia" w:ascii="宋体" w:hAnsi="宋体" w:eastAsia="宋体" w:cs="宋体"/>
          <w:sz w:val="28"/>
          <w:szCs w:val="28"/>
          <w:shd w:val="clear" w:color="auto" w:fill="auto"/>
        </w:rPr>
      </w:pPr>
      <w:r>
        <w:rPr>
          <w:rFonts w:hint="eastAsia" w:asciiTheme="minorEastAsia" w:hAnsiTheme="minorEastAsia" w:eastAsiaTheme="minorEastAsia" w:cstheme="minorEastAsia"/>
          <w:sz w:val="28"/>
          <w:szCs w:val="28"/>
        </w:rPr>
        <w:t>（一）</w:t>
      </w:r>
      <w:r>
        <w:rPr>
          <w:rFonts w:hint="eastAsia" w:ascii="宋体" w:hAnsi="宋体" w:eastAsia="宋体" w:cs="宋体"/>
          <w:sz w:val="28"/>
          <w:szCs w:val="28"/>
          <w:shd w:val="clear" w:color="auto" w:fill="auto"/>
        </w:rPr>
        <w:t>为学龄前儿童提供保育和教育服务。</w:t>
      </w:r>
    </w:p>
    <w:p>
      <w:pPr>
        <w:widowControl/>
        <w:spacing w:line="600" w:lineRule="exac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（二）幼儿保育、幼儿教育。</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宋体" w:hAnsi="宋体" w:eastAsia="宋体" w:cs="宋体"/>
          <w:color w:val="auto"/>
          <w:kern w:val="2"/>
          <w:sz w:val="28"/>
          <w:szCs w:val="28"/>
          <w:shd w:val="clear" w:color="auto" w:fill="auto"/>
          <w:lang w:val="en-US" w:eastAsia="zh-CN" w:bidi="ar"/>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新田县幼儿园</w:t>
      </w:r>
      <w:r>
        <w:rPr>
          <w:rFonts w:hint="eastAsia" w:ascii="Times New Roman" w:hAnsi="Times New Roman" w:eastAsia="仿宋_GB2312" w:cs="仿宋_GB2312"/>
          <w:bCs/>
          <w:kern w:val="0"/>
          <w:sz w:val="32"/>
          <w:szCs w:val="32"/>
        </w:rPr>
        <w:t>内设机构包括：</w:t>
      </w:r>
      <w:r>
        <w:rPr>
          <w:rFonts w:hint="eastAsia" w:ascii="宋体" w:hAnsi="宋体" w:eastAsia="宋体" w:cs="宋体"/>
          <w:sz w:val="28"/>
          <w:szCs w:val="28"/>
          <w:shd w:val="clear" w:color="auto" w:fill="auto"/>
          <w:lang w:val="en-US" w:eastAsia="zh-CN"/>
        </w:rPr>
        <w:t>园</w:t>
      </w:r>
      <w:r>
        <w:rPr>
          <w:rFonts w:hint="eastAsia" w:ascii="宋体" w:hAnsi="宋体" w:eastAsia="宋体" w:cs="宋体"/>
          <w:color w:val="auto"/>
          <w:kern w:val="2"/>
          <w:sz w:val="28"/>
          <w:szCs w:val="28"/>
          <w:shd w:val="clear" w:color="auto" w:fill="auto"/>
          <w:lang w:val="en-US" w:eastAsia="zh-CN" w:bidi="ar"/>
        </w:rPr>
        <w:t>长室、党支部办公室、办公室、教研室、财务室。</w:t>
      </w:r>
    </w:p>
    <w:p>
      <w:pPr>
        <w:jc w:val="both"/>
        <w:rPr>
          <w:rFonts w:ascii="黑体" w:hAnsi="黑体" w:eastAsia="黑体"/>
          <w:sz w:val="28"/>
          <w:szCs w:val="28"/>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新田县幼儿园</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heme="minorEastAsia" w:hAnsiTheme="minorEastAsia" w:cstheme="minorEastAsia"/>
          <w:bCs/>
          <w:kern w:val="0"/>
          <w:sz w:val="28"/>
          <w:szCs w:val="28"/>
          <w:lang w:val="en-US" w:eastAsia="zh-CN"/>
        </w:rPr>
        <w:t>只有新田县幼儿园</w:t>
      </w:r>
      <w:r>
        <w:rPr>
          <w:rFonts w:hint="eastAsia" w:asciiTheme="minorEastAsia" w:hAnsiTheme="minorEastAsia" w:eastAsiaTheme="minorEastAsia" w:cstheme="minorEastAsia"/>
          <w:bCs/>
          <w:kern w:val="0"/>
          <w:sz w:val="28"/>
          <w:szCs w:val="28"/>
        </w:rPr>
        <w:t>单位本级</w:t>
      </w:r>
      <w:r>
        <w:rPr>
          <w:rFonts w:hint="eastAsia" w:asciiTheme="minorEastAsia" w:hAnsiTheme="minorEastAsia" w:cstheme="minorEastAsia"/>
          <w:bCs/>
          <w:kern w:val="0"/>
          <w:sz w:val="28"/>
          <w:szCs w:val="28"/>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both"/>
        <w:rPr>
          <w:sz w:val="72"/>
          <w:szCs w:val="72"/>
        </w:rPr>
      </w:pPr>
    </w:p>
    <w:p>
      <w:pPr>
        <w:jc w:val="both"/>
        <w:rPr>
          <w:sz w:val="72"/>
          <w:szCs w:val="72"/>
        </w:rPr>
      </w:pPr>
    </w:p>
    <w:p>
      <w:pPr>
        <w:jc w:val="both"/>
        <w:rPr>
          <w:sz w:val="72"/>
          <w:szCs w:val="72"/>
        </w:rPr>
      </w:pPr>
    </w:p>
    <w:tbl>
      <w:tblPr>
        <w:tblStyle w:val="6"/>
        <w:tblW w:w="15219"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11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6"/>
              <w:gridCol w:w="616"/>
              <w:gridCol w:w="1334"/>
              <w:gridCol w:w="5027"/>
              <w:gridCol w:w="1101"/>
              <w:gridCol w:w="543"/>
              <w:gridCol w:w="1207"/>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86"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2022年度</w:t>
                  </w:r>
                  <w:r>
                    <w:rPr>
                      <w:rFonts w:hint="eastAsia" w:ascii="黑体" w:hAnsi="黑体" w:eastAsia="黑体" w:cs="黑体"/>
                      <w:b/>
                      <w:bCs/>
                      <w:sz w:val="32"/>
                      <w:szCs w:val="32"/>
                    </w:rPr>
                    <w:t>部门决算表</w:t>
                  </w:r>
                </w:p>
              </w:tc>
              <w:tc>
                <w:tcPr>
                  <w:tcW w:w="19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2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1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7"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8"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86"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2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1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7"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8"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86"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新田县幼儿园</w:t>
                  </w:r>
                  <w:r>
                    <w:rPr>
                      <w:rFonts w:ascii="Times New Roman" w:hAnsi="Times New Roman" w:eastAsia="仿宋_GB2312" w:cs="Times New Roman"/>
                      <w:color w:val="000000"/>
                      <w:kern w:val="0"/>
                      <w:szCs w:val="21"/>
                    </w:rPr>
                    <w:t xml:space="preserve"> </w:t>
                  </w: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2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1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7"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8"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21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52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953.78</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203.97</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1,157.76</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 w:type="pct"/>
                <w:trHeight w:val="397" w:hRule="atLeast"/>
              </w:trPr>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1,157.76</w:t>
                  </w:r>
                </w:p>
              </w:tc>
              <w:tc>
                <w:tcPr>
                  <w:tcW w:w="1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2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val="en-US" w:eastAsia="zh-CN"/>
              </w:rPr>
              <w:t>新田县幼儿园</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2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1,157.76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953.78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203.97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1,157.76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953.78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203.97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1,157.76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953.78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203.97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1,157.76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953.78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203.97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11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新田县幼儿园</w:t>
            </w:r>
          </w:p>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1,157.76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1,146.17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1,157.76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1,146.17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1,157.76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1,146.17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1,157.76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1,146.17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新田县幼儿园</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953.78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953.78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953.78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953.78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953.78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953.78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953.78</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953.78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953.78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新田县幼儿园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953.78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942.20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953.78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942.20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953.78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942.20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953.78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942.20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954"/>
        <w:gridCol w:w="239"/>
        <w:gridCol w:w="89"/>
        <w:gridCol w:w="1238"/>
        <w:gridCol w:w="1942"/>
        <w:gridCol w:w="81"/>
        <w:gridCol w:w="790"/>
        <w:gridCol w:w="1159"/>
        <w:gridCol w:w="293"/>
        <w:gridCol w:w="1893"/>
        <w:gridCol w:w="152"/>
        <w:gridCol w:w="718"/>
        <w:gridCol w:w="1160"/>
        <w:gridCol w:w="338"/>
        <w:gridCol w:w="2000"/>
        <w:gridCol w:w="1623"/>
        <w:gridCol w:w="576"/>
        <w:gridCol w:w="369"/>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新田县幼儿园</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425.19</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378.24</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143.11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25.80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19.84</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79.97</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135.65</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106.17</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65.74</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45.80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69.91</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23.97</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4.45</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29.05</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7.46</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68.98</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3.12</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3.26</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112.61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0.25</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0.92</w:t>
            </w: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77.21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9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428.31</w:t>
            </w:r>
          </w:p>
        </w:tc>
        <w:tc>
          <w:tcPr>
            <w:tcW w:w="9369"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513.899</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690" w:hRule="atLeast"/>
        </w:trPr>
        <w:tc>
          <w:tcPr>
            <w:tcW w:w="15258"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345" w:hRule="atLeast"/>
        </w:trPr>
        <w:tc>
          <w:tcPr>
            <w:tcW w:w="96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37"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2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690" w:hRule="atLeast"/>
        </w:trPr>
        <w:tc>
          <w:tcPr>
            <w:tcW w:w="2536"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新田县幼儿园</w:t>
            </w:r>
            <w:r>
              <w:rPr>
                <w:rFonts w:ascii="Times New Roman" w:hAnsi="Times New Roman" w:eastAsia="仿宋_GB2312" w:cs="Times New Roman"/>
                <w:color w:val="000000"/>
                <w:kern w:val="0"/>
                <w:szCs w:val="21"/>
              </w:rPr>
              <w:t xml:space="preserve"> </w:t>
            </w:r>
          </w:p>
        </w:tc>
        <w:tc>
          <w:tcPr>
            <w:tcW w:w="203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2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459"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609" w:hRule="atLeast"/>
        </w:trPr>
        <w:tc>
          <w:tcPr>
            <w:tcW w:w="11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409" w:hRule="atLeast"/>
        </w:trPr>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6" w:type="dxa"/>
          <w:trHeight w:val="725" w:hRule="atLeast"/>
        </w:trPr>
        <w:tc>
          <w:tcPr>
            <w:tcW w:w="15258"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说明：新田县幼儿园没有政府性基金收入，也没有使用政府性基金安排的支出，故本表无数据。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281"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新田县幼儿园</w:t>
            </w:r>
            <w:r>
              <w:rPr>
                <w:rFonts w:ascii="Times New Roman" w:hAnsi="Times New Roman" w:eastAsia="仿宋_GB2312" w:cs="Times New Roman"/>
                <w:color w:val="000000"/>
                <w:kern w:val="0"/>
                <w:szCs w:val="21"/>
              </w:rPr>
              <w:t xml:space="preserve"> </w:t>
            </w: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说明：新田县幼儿园没有使用国有资本经营预算安排的支出，故本表无数据。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1251"/>
        <w:gridCol w:w="1240"/>
        <w:gridCol w:w="1240"/>
        <w:gridCol w:w="1240"/>
        <w:gridCol w:w="1240"/>
        <w:gridCol w:w="1240"/>
        <w:gridCol w:w="1251"/>
        <w:gridCol w:w="1240"/>
        <w:gridCol w:w="1241"/>
        <w:gridCol w:w="124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7"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新田县幼儿园</w:t>
            </w:r>
            <w:r>
              <w:rPr>
                <w:rFonts w:ascii="Times New Roman" w:hAnsi="Times New Roman" w:eastAsia="仿宋_GB2312" w:cs="Times New Roman"/>
                <w:color w:val="000000"/>
                <w:kern w:val="0"/>
                <w:szCs w:val="21"/>
              </w:rPr>
              <w:t xml:space="preserve"> </w:t>
            </w: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6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0"/>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0"/>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stheme="minorEastAsia"/>
          <w:color w:val="auto"/>
          <w:sz w:val="28"/>
          <w:szCs w:val="28"/>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总计1157.76万元。与上年相比，减少</w:t>
      </w:r>
      <w:r>
        <w:rPr>
          <w:rFonts w:hint="eastAsia" w:ascii="Times New Roman" w:hAnsi="Times New Roman" w:eastAsia="仿宋_GB2312"/>
          <w:sz w:val="32"/>
          <w:szCs w:val="32"/>
          <w:lang w:val="en-US" w:eastAsia="zh-CN"/>
        </w:rPr>
        <w:t>745.970296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39.18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教师和幼儿数减少，导致人员工资福利收入减少</w:t>
      </w:r>
      <w:r>
        <w:rPr>
          <w:rFonts w:hint="eastAsia" w:asciiTheme="minorEastAsia" w:hAnsiTheme="minorEastAsia" w:eastAsiaTheme="minorEastAsia" w:cstheme="minorEastAsia"/>
          <w:color w:val="auto"/>
          <w:sz w:val="28"/>
          <w:szCs w:val="28"/>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stheme="minorEastAsia"/>
          <w:color w:val="auto"/>
          <w:sz w:val="28"/>
          <w:szCs w:val="28"/>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w:t>
      </w:r>
      <w:r>
        <w:rPr>
          <w:rFonts w:hint="eastAsia" w:ascii="Times New Roman" w:hAnsi="Times New Roman" w:eastAsia="仿宋_GB2312"/>
          <w:sz w:val="32"/>
          <w:szCs w:val="32"/>
          <w:lang w:val="en-US" w:eastAsia="zh-CN"/>
        </w:rPr>
        <w:t>出</w:t>
      </w:r>
      <w:r>
        <w:rPr>
          <w:rFonts w:hint="eastAsia" w:ascii="Times New Roman" w:hAnsi="Times New Roman" w:eastAsia="仿宋_GB2312"/>
          <w:sz w:val="32"/>
          <w:szCs w:val="32"/>
        </w:rPr>
        <w:t>总计1157.76万元。与上年相比，减少</w:t>
      </w:r>
      <w:r>
        <w:rPr>
          <w:rFonts w:hint="eastAsia" w:ascii="Times New Roman" w:hAnsi="Times New Roman" w:eastAsia="仿宋_GB2312"/>
          <w:sz w:val="32"/>
          <w:szCs w:val="32"/>
          <w:lang w:val="en-US" w:eastAsia="zh-CN"/>
        </w:rPr>
        <w:t>745.970296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39.18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教师和幼儿数减少，导致人员工资福利收入减少</w:t>
      </w:r>
      <w:r>
        <w:rPr>
          <w:rFonts w:hint="eastAsia" w:asciiTheme="minorEastAsia" w:hAnsiTheme="minorEastAsia" w:eastAsiaTheme="minorEastAsia" w:cstheme="minorEastAsia"/>
          <w:color w:val="auto"/>
          <w:sz w:val="28"/>
          <w:szCs w:val="28"/>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年度收入合计1157.76万元，其中：财政拨款收入953.78万元，占</w:t>
      </w:r>
      <w:r>
        <w:rPr>
          <w:rFonts w:hint="eastAsia" w:ascii="Times New Roman" w:hAnsi="Times New Roman" w:eastAsia="仿宋_GB2312"/>
          <w:sz w:val="32"/>
          <w:szCs w:val="32"/>
          <w:lang w:val="en-US" w:eastAsia="zh-CN"/>
        </w:rPr>
        <w:t>82.38</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%；事业收入203.97万元，占</w:t>
      </w:r>
      <w:r>
        <w:rPr>
          <w:rFonts w:hint="eastAsia" w:ascii="Times New Roman" w:hAnsi="Times New Roman" w:eastAsia="仿宋_GB2312"/>
          <w:sz w:val="32"/>
          <w:szCs w:val="32"/>
          <w:lang w:val="en-US" w:eastAsia="zh-CN"/>
        </w:rPr>
        <w:t>17.62</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年度支出合计1157.76万元，其中：基本支出1146.17万元，占</w:t>
      </w:r>
      <w:r>
        <w:rPr>
          <w:rFonts w:hint="eastAsia" w:ascii="Times New Roman" w:hAnsi="Times New Roman" w:eastAsia="仿宋_GB2312"/>
          <w:sz w:val="32"/>
          <w:szCs w:val="32"/>
          <w:lang w:val="en-US" w:eastAsia="zh-CN"/>
        </w:rPr>
        <w:t>99.00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11.58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支总计953.78万元，减少</w:t>
      </w:r>
      <w:r>
        <w:rPr>
          <w:rFonts w:hint="eastAsia" w:ascii="Times New Roman" w:hAnsi="Times New Roman" w:eastAsia="仿宋_GB2312"/>
          <w:sz w:val="32"/>
          <w:szCs w:val="32"/>
          <w:lang w:val="en-US" w:eastAsia="zh-CN"/>
        </w:rPr>
        <w:t>646.475296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40.40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教师和幼儿数减少，导致人员工资福利收入减少。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953.78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82.38</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646.475296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40.40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教师和幼儿数减少，导致人员工资福利收入减少。</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953.78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953.78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831.54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953.78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114.70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教育支出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学前教育</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831.54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953.78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114.70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基本支出的增加。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953.78</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428.31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44.91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513.89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53.88</w:t>
      </w:r>
      <w:r>
        <w:rPr>
          <w:rFonts w:hint="eastAsia" w:ascii="Times New Roman" w:hAnsi="Times New Roman" w:eastAsia="仿宋_GB2312"/>
          <w:sz w:val="32"/>
          <w:szCs w:val="32"/>
        </w:rPr>
        <w:t>%，主要包括办公费、印刷费、咨询费、手续费。</w:t>
      </w:r>
    </w:p>
    <w:p>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严控三公经费，厉行节约</w:t>
      </w:r>
      <w:r>
        <w:rPr>
          <w:rFonts w:hint="eastAsia" w:ascii="Times New Roman" w:hAnsi="Times New Roman" w:eastAsia="仿宋_GB2312"/>
          <w:sz w:val="32"/>
          <w:szCs w:val="32"/>
        </w:rPr>
        <w:t>。</w:t>
      </w:r>
    </w:p>
    <w:p>
      <w:pPr>
        <w:pStyle w:val="10"/>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原因是厉行节约，本年度未产生公务接待支出费。</w:t>
      </w:r>
    </w:p>
    <w:p>
      <w:pPr>
        <w:pStyle w:val="10"/>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原因是本单位无公车。</w:t>
      </w:r>
    </w:p>
    <w:p>
      <w:pPr>
        <w:pStyle w:val="10"/>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原因是本单位无公车。</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val="en-US" w:eastAsia="zh-CN"/>
        </w:rPr>
        <w:t>。</w:t>
      </w:r>
    </w:p>
    <w:p>
      <w:pPr>
        <w:pStyle w:val="10"/>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更新公务用车</w:t>
      </w:r>
      <w:r>
        <w:rPr>
          <w:rFonts w:hint="eastAsia" w:ascii="Times New Roman" w:hAnsi="Times New Roman" w:eastAsia="仿宋_GB2312"/>
          <w:color w:val="000000" w:themeColor="text1"/>
          <w:sz w:val="32"/>
          <w:szCs w:val="32"/>
          <w:lang w:val="en-US" w:eastAsia="zh-CN"/>
          <w14:textFill>
            <w14:solidFill>
              <w14:schemeClr w14:val="tx1"/>
            </w14:solidFill>
          </w14:textFill>
        </w:rPr>
        <w:t>0辆。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theme="minorBidi"/>
          <w:color w:val="auto"/>
          <w:kern w:val="2"/>
          <w:sz w:val="32"/>
          <w:szCs w:val="32"/>
          <w:lang w:val="en-US" w:eastAsia="zh-CN" w:bidi="ar-SA"/>
        </w:rPr>
        <w:t>本单位无政府性基金收支。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ind w:firstLine="640" w:firstLineChars="200"/>
        <w:rPr>
          <w:rFonts w:hint="default" w:asciiTheme="minorEastAsia" w:hAnsiTheme="minorEastAsia" w:eastAsiaTheme="minorEastAsia" w:cstheme="minorEastAsia"/>
          <w:color w:val="000000"/>
          <w:kern w:val="0"/>
          <w:sz w:val="28"/>
          <w:szCs w:val="28"/>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378.24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，与年初预算数一致，</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严控经费开支，厉行节约，较好地按照年初预算开支各项工作。</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，人数</w:t>
      </w:r>
      <w:r>
        <w:rPr>
          <w:rFonts w:hint="eastAsia" w:ascii="Times New Roman" w:hAnsi="Times New Roman" w:eastAsia="仿宋_GB2312"/>
          <w:sz w:val="32"/>
          <w:szCs w:val="32"/>
          <w:lang w:val="en-US" w:eastAsia="zh-CN"/>
        </w:rPr>
        <w:t>0人</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3.26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用于开展教师培训，人数1</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lang w:eastAsia="zh-CN"/>
        </w:rPr>
        <w:t>人，内容为幼儿教师业务培训；未举办节庆、晚会、论坛、赛事活动，支出金额为0元。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bookmarkStart w:id="3" w:name="_GoBack"/>
      <w:bookmarkEnd w:id="3"/>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根据预算绩效管理要求，我部门组织对2022 年度一般公共预算项目支出全面开展绩效自评，其中，一级项目0个，二级项目0个，共涉及资金0 万元，占一般公共预算项目支出总额的100%。组织对2022年度新田县幼儿园等0个政府性基金预算项目支出开展绩效自评，共涉及资金0万元，占政府性基金预算项目支出总额的0%。组织对2020 年度对新田县幼儿园等0个国有资本经营预算项目支出开展绩效自评，共涉及资金0 万元，占国有资本经营预算项目支出总额的0%。</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从评价情况来看，2022年，我校根据年初工作规划及财政预算计划，认真履职、强化管理，较好地完成了年度工作目标。</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新田县幼儿园一个单位开展整体支出绩效评价，涉及一般公共预算支出953.78万元，政府性基金预算支出0万元。从评价情况来看，2022年，我校根据年初工作规划及财政预算计划，认真履职、强化管理，较好地完成了年度工作目标。</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1.整体支出绩效目标与</w:t>
      </w:r>
      <w:r>
        <w:rPr>
          <w:rFonts w:hint="default" w:ascii="Times New Roman" w:hAnsi="Times New Roman" w:eastAsia="仿宋_GB2312" w:cs="黑体"/>
          <w:color w:val="000000"/>
          <w:kern w:val="0"/>
          <w:sz w:val="32"/>
          <w:szCs w:val="32"/>
          <w:lang w:val="en-US" w:eastAsia="zh-CN" w:bidi="ar-SA"/>
        </w:rPr>
        <w:t>部分产出的数量指标、质量指标缺乏对应性，关联性和可操作性不强。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2.对绩效目标的设定和各项指标的理解、认识不到位，导致绩效目标不够明确、不够细化、不够量化，缺乏可衡量性和可实现性。</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3.在预算绩效管理上存在不足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在行政事业单位中比较常规的考核方式就是年度考核，不过这种方式或多或少的也存在着一些不足，比如一些单位的管理不到位，缺乏一些考核标准，绩效考核的指标缺乏科学性、合理性，且考核标准人为主观因素比较多，绩效考核只注重结果，缺少预算实施过程中的管理，缺少对预算项目的前期的考察和分析，这样在很大程度上也会使得单位的财务状况出现一些问题，从而无法实现整个预算绩效管理应达到的效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4.行政事业单位预算绩效管理人员专业素质不高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行政事业单位的预算绩效考核工作是非常繁杂且专业的，这项工作需要相当强的专业能力，不过现如今我国的大多数行政事业单位中预算绩效考核人员大部分是由领导者及相关的工作人员组成，虽然看起来是由多个部门来进行统一的考核，不过，这些人员在专业素养上较为缺乏。更为重要的是在乡镇事业单位中，一些预算绩效管理人员的专业知识比较少，甚至有的对于预算绩效考核的内容都不清楚，这种考核基本上就是走个形式而已，长此以往，会阻碍</w:t>
      </w:r>
      <w:r>
        <w:rPr>
          <w:rFonts w:hint="eastAsia" w:ascii="Times New Roman" w:hAnsi="Times New Roman" w:eastAsia="仿宋_GB2312" w:cs="黑体"/>
          <w:color w:val="000000"/>
          <w:kern w:val="0"/>
          <w:sz w:val="32"/>
          <w:szCs w:val="32"/>
          <w:lang w:val="en-US" w:eastAsia="zh-CN" w:bidi="ar-SA"/>
        </w:rPr>
        <w:t>学校的专业化</w:t>
      </w:r>
      <w:r>
        <w:rPr>
          <w:rFonts w:hint="default" w:ascii="Times New Roman" w:hAnsi="Times New Roman" w:eastAsia="仿宋_GB2312" w:cs="黑体"/>
          <w:color w:val="000000"/>
          <w:kern w:val="0"/>
          <w:sz w:val="32"/>
          <w:szCs w:val="32"/>
          <w:lang w:val="en-US" w:eastAsia="zh-CN" w:bidi="ar-SA"/>
        </w:rPr>
        <w:t>发展。</w:t>
      </w:r>
    </w:p>
    <w:p>
      <w:pPr>
        <w:pStyle w:val="10"/>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0"/>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0"/>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105CB8"/>
    <w:multiLevelType w:val="singleLevel"/>
    <w:tmpl w:val="3B105CB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NzI4NTExZWY1NDJmZDkzZTdjMzJiMjY2ZTdjYj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347F34"/>
    <w:rsid w:val="09AA26F7"/>
    <w:rsid w:val="0B3A27EA"/>
    <w:rsid w:val="0C373A04"/>
    <w:rsid w:val="0C7D4F91"/>
    <w:rsid w:val="1668716C"/>
    <w:rsid w:val="1D49555A"/>
    <w:rsid w:val="1ECC422C"/>
    <w:rsid w:val="1F4F0EF6"/>
    <w:rsid w:val="202A71E9"/>
    <w:rsid w:val="24FD3DC3"/>
    <w:rsid w:val="28385A29"/>
    <w:rsid w:val="2C52224E"/>
    <w:rsid w:val="332B175B"/>
    <w:rsid w:val="3FE457A9"/>
    <w:rsid w:val="445B335A"/>
    <w:rsid w:val="488847BF"/>
    <w:rsid w:val="4D875772"/>
    <w:rsid w:val="4F0F4367"/>
    <w:rsid w:val="55900BE9"/>
    <w:rsid w:val="57282D5D"/>
    <w:rsid w:val="5777D4F5"/>
    <w:rsid w:val="57FF2B7C"/>
    <w:rsid w:val="5F8F08CA"/>
    <w:rsid w:val="5FC6BB1E"/>
    <w:rsid w:val="5FF720F1"/>
    <w:rsid w:val="609B351E"/>
    <w:rsid w:val="64A54408"/>
    <w:rsid w:val="6EF96718"/>
    <w:rsid w:val="6F9B0B8C"/>
    <w:rsid w:val="737D59BA"/>
    <w:rsid w:val="77B06588"/>
    <w:rsid w:val="77C37683"/>
    <w:rsid w:val="783B2690"/>
    <w:rsid w:val="79FF515B"/>
    <w:rsid w:val="7E691FE5"/>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6340</Words>
  <Characters>7895</Characters>
  <Lines>63</Lines>
  <Paragraphs>18</Paragraphs>
  <TotalTime>1</TotalTime>
  <ScaleCrop>false</ScaleCrop>
  <LinksUpToDate>false</LinksUpToDate>
  <CharactersWithSpaces>8726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2023-10-07T08:32:49Z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CC6A23FE9FAC434CBBF78A1B6832FB7D_12</vt:lpwstr>
  </property>
</Properties>
</file>