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3360" w:firstLineChars="700"/>
        <w:jc w:val="both"/>
        <w:rPr>
          <w:rFonts w:hint="eastAsia"/>
          <w:sz w:val="48"/>
          <w:szCs w:val="48"/>
          <w:lang w:eastAsia="zh-CN"/>
        </w:rPr>
      </w:pPr>
    </w:p>
    <w:p>
      <w:pPr>
        <w:pStyle w:val="9"/>
        <w:ind w:firstLine="3360" w:firstLineChars="700"/>
        <w:jc w:val="both"/>
        <w:rPr>
          <w:rFonts w:hint="eastAsia"/>
          <w:sz w:val="48"/>
          <w:szCs w:val="48"/>
          <w:lang w:eastAsia="zh-CN"/>
        </w:rPr>
      </w:pPr>
      <w:r>
        <w:rPr>
          <w:rFonts w:hint="eastAsia"/>
          <w:sz w:val="48"/>
          <w:szCs w:val="48"/>
          <w:lang w:eastAsia="zh-CN"/>
        </w:rPr>
        <w:t>新田县新隆中心小学</w:t>
      </w:r>
      <w:r>
        <w:rPr>
          <w:rFonts w:hint="eastAsia"/>
          <w:sz w:val="48"/>
          <w:szCs w:val="48"/>
          <w:lang w:val="en-US" w:eastAsia="zh-CN"/>
        </w:rPr>
        <w:t>2022</w:t>
      </w:r>
      <w:r>
        <w:rPr>
          <w:rFonts w:hint="eastAsia"/>
          <w:sz w:val="48"/>
          <w:szCs w:val="48"/>
          <w:lang w:eastAsia="zh-CN"/>
        </w:rPr>
        <w:t>年度部门决算公开</w:t>
      </w:r>
    </w:p>
    <w:p>
      <w:pPr>
        <w:pStyle w:val="9"/>
        <w:jc w:val="center"/>
        <w:rPr>
          <w:sz w:val="48"/>
          <w:szCs w:val="48"/>
        </w:rPr>
      </w:pPr>
    </w:p>
    <w:p>
      <w:pPr>
        <w:pStyle w:val="9"/>
        <w:spacing w:line="540" w:lineRule="exact"/>
        <w:jc w:val="center"/>
        <w:rPr>
          <w:sz w:val="56"/>
          <w:szCs w:val="56"/>
        </w:rPr>
      </w:pPr>
    </w:p>
    <w:p>
      <w:pPr>
        <w:pStyle w:val="9"/>
        <w:spacing w:line="500" w:lineRule="exact"/>
        <w:ind w:firstLine="6144" w:firstLineChars="1700"/>
        <w:jc w:val="both"/>
        <w:rPr>
          <w:rFonts w:hint="eastAsia"/>
          <w:b/>
          <w:sz w:val="36"/>
          <w:szCs w:val="28"/>
        </w:rPr>
      </w:pPr>
    </w:p>
    <w:p>
      <w:pPr>
        <w:pStyle w:val="9"/>
        <w:spacing w:line="500" w:lineRule="exact"/>
        <w:ind w:firstLine="6626" w:firstLineChars="1500"/>
        <w:jc w:val="both"/>
        <w:rPr>
          <w:b/>
          <w:sz w:val="36"/>
          <w:szCs w:val="28"/>
        </w:rPr>
      </w:pPr>
      <w:r>
        <w:rPr>
          <w:rFonts w:hint="eastAsia"/>
          <w:b/>
          <w:sz w:val="44"/>
          <w:szCs w:val="44"/>
        </w:rPr>
        <w:t>目录</w:t>
      </w:r>
    </w:p>
    <w:p>
      <w:pPr>
        <w:pStyle w:val="9"/>
        <w:spacing w:line="500" w:lineRule="exact"/>
        <w:rPr>
          <w:rFonts w:hint="eastAsia" w:ascii="黑体" w:hAnsi="黑体" w:eastAsia="黑体" w:cs="黑体"/>
          <w:b w:val="0"/>
          <w:bCs/>
          <w:sz w:val="28"/>
          <w:szCs w:val="28"/>
        </w:rPr>
      </w:pPr>
    </w:p>
    <w:p>
      <w:pPr>
        <w:pStyle w:val="9"/>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第一部分</w:t>
      </w:r>
      <w:r>
        <w:rPr>
          <w:rFonts w:hint="eastAsia" w:ascii="黑体" w:hAnsi="黑体" w:eastAsia="黑体" w:cs="黑体"/>
          <w:b/>
          <w:bCs w:val="0"/>
          <w:sz w:val="28"/>
          <w:szCs w:val="28"/>
          <w:lang w:val="en-US" w:eastAsia="zh-CN"/>
        </w:rPr>
        <w:t xml:space="preserve"> </w:t>
      </w:r>
      <w:r>
        <w:rPr>
          <w:rFonts w:hint="eastAsia" w:hAnsi="黑体" w:cs="黑体"/>
          <w:b/>
          <w:bCs w:val="0"/>
          <w:sz w:val="28"/>
          <w:szCs w:val="28"/>
          <w:lang w:eastAsia="zh-CN"/>
        </w:rPr>
        <w:t>新隆中心小学</w:t>
      </w:r>
      <w:r>
        <w:rPr>
          <w:rFonts w:hint="eastAsia" w:ascii="黑体" w:hAnsi="黑体" w:eastAsia="黑体" w:cs="黑体"/>
          <w:b/>
          <w:bCs w:val="0"/>
          <w:sz w:val="28"/>
          <w:szCs w:val="28"/>
        </w:rPr>
        <w:t>概况</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9"/>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第二部分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部门决算表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9"/>
        <w:spacing w:line="500" w:lineRule="exact"/>
        <w:rPr>
          <w:rFonts w:hint="eastAsia" w:ascii="黑体" w:hAnsi="黑体" w:eastAsia="黑体" w:cs="黑体"/>
          <w:b w:val="0"/>
          <w:bCs/>
          <w:sz w:val="28"/>
          <w:szCs w:val="28"/>
        </w:rPr>
      </w:pPr>
    </w:p>
    <w:p>
      <w:pPr>
        <w:pStyle w:val="9"/>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第三部分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部门决算情况说明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七、一般公共预算财政拨款三公经费支出决算情况说明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pPr>
        <w:pStyle w:val="9"/>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十三、关于预算绩效情况的说明</w:t>
      </w:r>
    </w:p>
    <w:p>
      <w:pPr>
        <w:pStyle w:val="9"/>
        <w:spacing w:line="500" w:lineRule="exact"/>
        <w:rPr>
          <w:rFonts w:hint="eastAsia" w:ascii="黑体" w:hAnsi="黑体" w:eastAsia="黑体" w:cs="黑体"/>
          <w:b/>
          <w:bCs w:val="0"/>
          <w:sz w:val="28"/>
          <w:szCs w:val="28"/>
        </w:rPr>
      </w:pPr>
      <w:r>
        <w:rPr>
          <w:rFonts w:hint="eastAsia" w:ascii="黑体" w:hAnsi="黑体" w:eastAsia="黑体" w:cs="黑体"/>
          <w:b/>
          <w:bCs w:val="0"/>
          <w:sz w:val="28"/>
          <w:szCs w:val="28"/>
        </w:rPr>
        <w:t>第四部分</w:t>
      </w:r>
      <w:r>
        <w:rPr>
          <w:rFonts w:hint="eastAsia" w:ascii="黑体" w:hAnsi="黑体" w:eastAsia="黑体" w:cs="黑体"/>
          <w:b/>
          <w:bCs w:val="0"/>
          <w:sz w:val="28"/>
          <w:szCs w:val="28"/>
          <w:lang w:val="en-US" w:eastAsia="zh-CN"/>
        </w:rPr>
        <w:t xml:space="preserve"> </w:t>
      </w:r>
      <w:r>
        <w:rPr>
          <w:rFonts w:hint="eastAsia" w:ascii="黑体" w:hAnsi="黑体" w:eastAsia="黑体" w:cs="黑体"/>
          <w:b/>
          <w:bCs w:val="0"/>
          <w:sz w:val="28"/>
          <w:szCs w:val="28"/>
        </w:rPr>
        <w:t>名词解释</w:t>
      </w:r>
    </w:p>
    <w:p>
      <w:pPr>
        <w:pStyle w:val="9"/>
        <w:spacing w:line="500" w:lineRule="exact"/>
        <w:rPr>
          <w:rFonts w:hint="eastAsia" w:ascii="黑体" w:hAnsi="黑体" w:eastAsia="黑体" w:cs="黑体"/>
          <w:b/>
          <w:bCs w:val="0"/>
          <w:sz w:val="28"/>
          <w:szCs w:val="28"/>
        </w:rPr>
      </w:pPr>
      <w:r>
        <w:rPr>
          <w:rFonts w:ascii="黑体" w:hAnsi="黑体" w:eastAsia="黑体" w:cs="黑体"/>
          <w:b/>
          <w:bCs w:val="0"/>
          <w:color w:val="000000"/>
          <w:kern w:val="0"/>
          <w:sz w:val="28"/>
          <w:szCs w:val="28"/>
        </w:rPr>
        <w:t>第五部分</w:t>
      </w:r>
      <w:r>
        <w:rPr>
          <w:rFonts w:hint="eastAsia" w:hAnsi="黑体" w:cs="黑体"/>
          <w:b/>
          <w:bCs w:val="0"/>
          <w:color w:val="000000"/>
          <w:kern w:val="0"/>
          <w:sz w:val="28"/>
          <w:szCs w:val="28"/>
          <w:lang w:val="en-US" w:eastAsia="zh-CN"/>
        </w:rPr>
        <w:t xml:space="preserve"> </w:t>
      </w:r>
      <w:r>
        <w:rPr>
          <w:rFonts w:ascii="黑体" w:hAnsi="黑体" w:eastAsia="黑体" w:cs="黑体"/>
          <w:b/>
          <w:bCs w:val="0"/>
          <w:color w:val="000000"/>
          <w:kern w:val="0"/>
          <w:sz w:val="28"/>
          <w:szCs w:val="28"/>
        </w:rPr>
        <w:t>附件</w:t>
      </w:r>
    </w:p>
    <w:p>
      <w:pPr>
        <w:jc w:val="both"/>
        <w:rPr>
          <w:rFonts w:hint="eastAsia" w:ascii="黑体" w:hAnsi="黑体" w:eastAsia="黑体" w:cs="黑体"/>
          <w:b/>
          <w:bCs w:val="0"/>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rFonts w:hint="eastAsia" w:ascii="黑体" w:hAnsi="黑体" w:eastAsia="黑体" w:cs="黑体"/>
          <w:sz w:val="32"/>
          <w:szCs w:val="32"/>
        </w:rPr>
      </w:pPr>
    </w:p>
    <w:p>
      <w:pPr>
        <w:jc w:val="both"/>
        <w:rPr>
          <w:b/>
          <w:bCs/>
          <w:sz w:val="72"/>
          <w:szCs w:val="72"/>
        </w:rPr>
      </w:pPr>
      <w:r>
        <w:rPr>
          <w:rFonts w:hint="eastAsia" w:ascii="黑体" w:hAnsi="黑体" w:eastAsia="黑体" w:cs="黑体"/>
          <w:b/>
          <w:bCs/>
          <w:sz w:val="32"/>
          <w:szCs w:val="32"/>
        </w:rPr>
        <w:t xml:space="preserve">第一部分 </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lang w:eastAsia="zh-CN"/>
        </w:rPr>
        <w:t>新隆中心小学</w:t>
      </w:r>
      <w:r>
        <w:rPr>
          <w:rFonts w:hint="eastAsia" w:ascii="黑体" w:hAnsi="黑体" w:eastAsia="黑体" w:cs="黑体"/>
          <w:b/>
          <w:bCs/>
          <w:sz w:val="32"/>
          <w:szCs w:val="32"/>
        </w:rPr>
        <w:t>概况</w:t>
      </w:r>
    </w:p>
    <w:p>
      <w:pPr>
        <w:pStyle w:val="10"/>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pPr>
        <w:ind w:firstLine="800" w:firstLineChars="250"/>
        <w:jc w:val="lef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（一）主要职能：实施小学阶段义务教育，促进基础教育发展，开展小学学历教育（相关社会服务）。</w:t>
      </w:r>
    </w:p>
    <w:p>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（一）内设机构设置。新隆中心</w:t>
      </w:r>
      <w:r>
        <w:rPr>
          <w:rFonts w:hint="eastAsia" w:ascii="Times New Roman" w:hAnsi="Times New Roman" w:eastAsia="仿宋_GB2312" w:cs="仿宋_GB2312"/>
          <w:bCs/>
          <w:kern w:val="0"/>
          <w:sz w:val="32"/>
          <w:szCs w:val="32"/>
          <w:lang w:eastAsia="zh-CN"/>
        </w:rPr>
        <w:t>小学</w:t>
      </w:r>
      <w:r>
        <w:rPr>
          <w:rFonts w:hint="eastAsia" w:ascii="Times New Roman" w:hAnsi="Times New Roman" w:eastAsia="仿宋_GB2312" w:cs="仿宋_GB2312"/>
          <w:bCs/>
          <w:kern w:val="0"/>
          <w:sz w:val="32"/>
          <w:szCs w:val="32"/>
        </w:rPr>
        <w:t>单位内设机构包括：本单位事业机构一个</w:t>
      </w:r>
    </w:p>
    <w:p>
      <w:pPr>
        <w:widowControl/>
        <w:spacing w:line="600" w:lineRule="exact"/>
        <w:rPr>
          <w:rFonts w:hint="eastAsia" w:ascii="Times New Roman" w:hAnsi="Times New Roman" w:eastAsia="仿宋_GB2312" w:cs="仿宋_GB2312"/>
          <w:bCs/>
          <w:kern w:val="0"/>
          <w:sz w:val="32"/>
          <w:szCs w:val="32"/>
        </w:rPr>
      </w:pPr>
      <w:r>
        <w:rPr>
          <w:rFonts w:hint="eastAsia" w:ascii="Times New Roman" w:hAnsi="Times New Roman" w:eastAsia="仿宋_GB2312" w:cs="仿宋_GB2312"/>
          <w:bCs/>
          <w:kern w:val="0"/>
          <w:sz w:val="32"/>
          <w:szCs w:val="32"/>
        </w:rPr>
        <w:t>（二）决算单位构成。新隆中心小学202</w:t>
      </w:r>
      <w:r>
        <w:rPr>
          <w:rFonts w:hint="eastAsia" w:ascii="Times New Roman" w:hAnsi="Times New Roman" w:eastAsia="仿宋_GB2312" w:cs="仿宋_GB2312"/>
          <w:bCs/>
          <w:kern w:val="0"/>
          <w:sz w:val="32"/>
          <w:szCs w:val="32"/>
          <w:lang w:val="en-US" w:eastAsia="zh-CN"/>
        </w:rPr>
        <w:t>2</w:t>
      </w:r>
      <w:r>
        <w:rPr>
          <w:rFonts w:hint="eastAsia" w:ascii="Times New Roman" w:hAnsi="Times New Roman" w:eastAsia="仿宋_GB2312" w:cs="仿宋_GB2312"/>
          <w:bCs/>
          <w:kern w:val="0"/>
          <w:sz w:val="32"/>
          <w:szCs w:val="32"/>
        </w:rPr>
        <w:t>年部门决算汇总公开单位构成包括：新隆中心小学单位本级。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both"/>
        <w:rPr>
          <w:sz w:val="72"/>
          <w:szCs w:val="72"/>
        </w:rPr>
      </w:pPr>
    </w:p>
    <w:p>
      <w:pPr>
        <w:jc w:val="left"/>
        <w:rPr>
          <w:rFonts w:hint="eastAsia" w:ascii="黑体" w:hAnsi="黑体" w:eastAsia="黑体" w:cs="黑体"/>
          <w:b/>
          <w:bCs/>
          <w:sz w:val="32"/>
          <w:szCs w:val="32"/>
        </w:rPr>
        <w:sectPr>
          <w:pgSz w:w="16838" w:h="11906" w:orient="landscape"/>
          <w:pgMar w:top="720" w:right="720" w:bottom="720" w:left="720" w:header="851" w:footer="992" w:gutter="0"/>
          <w:cols w:space="425" w:num="1"/>
          <w:docGrid w:type="lines" w:linePitch="312" w:charSpace="0"/>
        </w:sectPr>
      </w:pPr>
    </w:p>
    <w:tbl>
      <w:tblPr>
        <w:tblStyle w:val="5"/>
        <w:tblW w:w="15219" w:type="dxa"/>
        <w:tblInd w:w="317" w:type="dxa"/>
        <w:tblLayout w:type="autofit"/>
        <w:tblCellMar>
          <w:top w:w="0" w:type="dxa"/>
          <w:left w:w="0" w:type="dxa"/>
          <w:bottom w:w="0" w:type="dxa"/>
          <w:right w:w="0" w:type="dxa"/>
        </w:tblCellMar>
      </w:tblPr>
      <w:tblGrid>
        <w:gridCol w:w="247"/>
        <w:gridCol w:w="529"/>
        <w:gridCol w:w="108"/>
        <w:gridCol w:w="1837"/>
        <w:gridCol w:w="108"/>
        <w:gridCol w:w="1629"/>
        <w:gridCol w:w="108"/>
        <w:gridCol w:w="1629"/>
        <w:gridCol w:w="108"/>
        <w:gridCol w:w="1629"/>
        <w:gridCol w:w="108"/>
        <w:gridCol w:w="1629"/>
        <w:gridCol w:w="108"/>
        <w:gridCol w:w="1629"/>
        <w:gridCol w:w="108"/>
        <w:gridCol w:w="1629"/>
        <w:gridCol w:w="108"/>
        <w:gridCol w:w="2354"/>
        <w:gridCol w:w="108"/>
      </w:tblGrid>
      <w:tr>
        <w:tblPrEx>
          <w:tblCellMar>
            <w:top w:w="0" w:type="dxa"/>
            <w:left w:w="0" w:type="dxa"/>
            <w:bottom w:w="0" w:type="dxa"/>
            <w:right w:w="0" w:type="dxa"/>
          </w:tblCellMar>
        </w:tblPrEx>
        <w:trPr>
          <w:gridAfter w:val="1"/>
          <w:wAfter w:w="108" w:type="dxa"/>
          <w:trHeight w:val="435" w:hRule="atLeast"/>
        </w:trPr>
        <w:tc>
          <w:tcPr>
            <w:tcW w:w="15111" w:type="dxa"/>
            <w:gridSpan w:val="18"/>
            <w:tcBorders>
              <w:top w:val="nil"/>
              <w:left w:val="nil"/>
              <w:bottom w:val="nil"/>
              <w:right w:val="nil"/>
            </w:tcBorders>
            <w:shd w:val="clear" w:color="auto" w:fill="auto"/>
            <w:noWrap/>
            <w:tcMar>
              <w:top w:w="15" w:type="dxa"/>
              <w:left w:w="15" w:type="dxa"/>
              <w:bottom w:w="0" w:type="dxa"/>
              <w:right w:w="15" w:type="dxa"/>
            </w:tcMar>
            <w:vAlign w:val="center"/>
          </w:tcPr>
          <w:tbl>
            <w:tblPr>
              <w:tblStyle w:val="5"/>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91"/>
              <w:gridCol w:w="616"/>
              <w:gridCol w:w="1408"/>
              <w:gridCol w:w="5092"/>
              <w:gridCol w:w="1168"/>
              <w:gridCol w:w="466"/>
              <w:gridCol w:w="470"/>
              <w:gridCol w:w="18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444" w:type="pct"/>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r>
                    <w:rPr>
                      <w:rFonts w:hint="eastAsia" w:ascii="黑体" w:hAnsi="黑体" w:eastAsia="黑体" w:cs="黑体"/>
                      <w:b/>
                      <w:bCs/>
                      <w:sz w:val="32"/>
                      <w:szCs w:val="32"/>
                    </w:rPr>
                    <w:t>第二部分</w:t>
                  </w:r>
                  <w:r>
                    <w:rPr>
                      <w:rFonts w:hint="eastAsia" w:ascii="黑体" w:hAnsi="黑体" w:eastAsia="黑体" w:cs="黑体"/>
                      <w:b/>
                      <w:bCs/>
                      <w:sz w:val="32"/>
                      <w:szCs w:val="32"/>
                      <w:lang w:val="en-US" w:eastAsia="zh-CN"/>
                    </w:rPr>
                    <w:t xml:space="preserve"> </w:t>
                  </w:r>
                  <w:r>
                    <w:rPr>
                      <w:rFonts w:hint="eastAsia" w:ascii="黑体" w:hAnsi="黑体" w:eastAsia="黑体" w:cs="黑体"/>
                      <w:b/>
                      <w:bCs/>
                      <w:sz w:val="32"/>
                      <w:szCs w:val="32"/>
                    </w:rPr>
                    <w:t>部门决算表</w:t>
                  </w:r>
                </w:p>
              </w:tc>
              <w:tc>
                <w:tcPr>
                  <w:tcW w:w="194"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5000" w:type="pct"/>
                  <w:gridSpan w:val="8"/>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44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9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444" w:type="pct"/>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p>
              </w:tc>
              <w:tc>
                <w:tcPr>
                  <w:tcW w:w="194"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453"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1637" w:type="pct"/>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524" w:type="pct"/>
                  <w:gridSpan w:val="2"/>
                  <w:tcBorders>
                    <w:top w:val="nil"/>
                    <w:left w:val="nil"/>
                    <w:bottom w:val="nil"/>
                    <w:right w:val="nil"/>
                  </w:tcBorders>
                  <w:shd w:val="clear" w:color="auto" w:fill="FFFFFF"/>
                  <w:noWrap/>
                  <w:vAlign w:val="center"/>
                </w:tcPr>
                <w:p>
                  <w:pPr>
                    <w:jc w:val="right"/>
                    <w:rPr>
                      <w:rFonts w:hint="eastAsia" w:ascii="宋体" w:hAnsi="宋体" w:eastAsia="宋体" w:cs="宋体"/>
                      <w:i w:val="0"/>
                      <w:color w:val="000000"/>
                      <w:sz w:val="24"/>
                      <w:szCs w:val="24"/>
                      <w:u w:val="none"/>
                    </w:rPr>
                  </w:pPr>
                </w:p>
              </w:tc>
              <w:tc>
                <w:tcPr>
                  <w:tcW w:w="745" w:type="pct"/>
                  <w:gridSpan w:val="2"/>
                  <w:tcBorders>
                    <w:top w:val="nil"/>
                    <w:left w:val="nil"/>
                    <w:bottom w:val="nil"/>
                    <w:right w:val="nil"/>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2092" w:type="pct"/>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2309" w:type="pct"/>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sz w:val="24"/>
                      <w:szCs w:val="24"/>
                      <w:u w:val="none"/>
                    </w:rPr>
                  </w:pP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847.79</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847.79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eastAsia="宋体" w:cs="宋体"/>
                      <w:i w:val="0"/>
                      <w:color w:val="000000"/>
                      <w:sz w:val="22"/>
                      <w:szCs w:val="22"/>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0"/>
                      <w:szCs w:val="20"/>
                      <w:u w:val="none"/>
                    </w:rPr>
                  </w:pP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847.79</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847.79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c>
                <w:tcPr>
                  <w:tcW w:w="16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98" w:type="pct"/>
                <w:trHeight w:val="397" w:hRule="atLeast"/>
              </w:trPr>
              <w:tc>
                <w:tcPr>
                  <w:tcW w:w="144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194"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right"/>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rPr>
                    <w:t>847.79</w:t>
                  </w:r>
                </w:p>
              </w:tc>
              <w:tc>
                <w:tcPr>
                  <w:tcW w:w="163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377"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29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b/>
                      <w:i w:val="0"/>
                      <w:color w:val="000000"/>
                      <w:sz w:val="22"/>
                      <w:szCs w:val="22"/>
                      <w:u w:val="none"/>
                    </w:rPr>
                  </w:pPr>
                  <w:r>
                    <w:rPr>
                      <w:rFonts w:hint="eastAsia" w:ascii="宋体" w:hAnsi="宋体" w:eastAsia="宋体" w:cs="宋体"/>
                      <w:b/>
                      <w:i w:val="0"/>
                      <w:color w:val="000000"/>
                      <w:sz w:val="22"/>
                      <w:szCs w:val="22"/>
                      <w:u w:val="none"/>
                    </w:rPr>
                    <w:t>847.79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5000" w:type="pct"/>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9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300"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94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ind w:firstLine="800" w:firstLineChars="400"/>
              <w:jc w:val="both"/>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gridAfter w:val="1"/>
          <w:wAfter w:w="108" w:type="dxa"/>
          <w:trHeight w:val="285" w:hRule="atLeast"/>
        </w:trPr>
        <w:tc>
          <w:tcPr>
            <w:tcW w:w="28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rPr>
            </w:pPr>
            <w:r>
              <w:rPr>
                <w:rFonts w:hint="eastAsia"/>
                <w:color w:val="000000"/>
                <w:sz w:val="20"/>
                <w:szCs w:val="20"/>
              </w:rPr>
              <w:t>部门：</w:t>
            </w:r>
          </w:p>
        </w:tc>
        <w:tc>
          <w:tcPr>
            <w:tcW w:w="1945"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both"/>
              <w:rPr>
                <w:rFonts w:ascii="宋体" w:hAnsi="宋体" w:eastAsia="宋体" w:cs="宋体"/>
                <w:sz w:val="24"/>
                <w:szCs w:val="24"/>
              </w:rPr>
            </w:pP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rPr>
            </w:pPr>
            <w:r>
              <w:rPr>
                <w:rFonts w:hint="eastAsia"/>
                <w:color w:val="000000"/>
                <w:sz w:val="20"/>
                <w:szCs w:val="20"/>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ind w:firstLine="800" w:firstLineChars="400"/>
              <w:jc w:val="both"/>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gridAfter w:val="1"/>
          <w:wAfter w:w="108" w:type="dxa"/>
          <w:trHeight w:val="450" w:hRule="atLeast"/>
        </w:trPr>
        <w:tc>
          <w:tcPr>
            <w:tcW w:w="2227"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737"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46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gridAfter w:val="1"/>
          <w:wAfter w:w="108" w:type="dxa"/>
          <w:trHeight w:val="450" w:hRule="atLeast"/>
        </w:trPr>
        <w:tc>
          <w:tcPr>
            <w:tcW w:w="282"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1945"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08" w:type="dxa"/>
          <w:trHeight w:val="450" w:hRule="atLeast"/>
        </w:trPr>
        <w:tc>
          <w:tcPr>
            <w:tcW w:w="28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945" w:type="dxa"/>
            <w:gridSpan w:val="2"/>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37"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462"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gridAfter w:val="1"/>
          <w:wAfter w:w="108" w:type="dxa"/>
          <w:trHeight w:val="450" w:hRule="atLeast"/>
        </w:trPr>
        <w:tc>
          <w:tcPr>
            <w:tcW w:w="222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737"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462"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gridAfter w:val="1"/>
          <w:wAfter w:w="108" w:type="dxa"/>
          <w:trHeight w:val="450" w:hRule="atLeast"/>
        </w:trPr>
        <w:tc>
          <w:tcPr>
            <w:tcW w:w="2227"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847.79</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847.79</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r>
      <w:tr>
        <w:tblPrEx>
          <w:tblCellMar>
            <w:top w:w="0" w:type="dxa"/>
            <w:left w:w="0" w:type="dxa"/>
            <w:bottom w:w="0" w:type="dxa"/>
            <w:right w:w="0" w:type="dxa"/>
          </w:tblCellMar>
        </w:tblPrEx>
        <w:trPr>
          <w:gridAfter w:val="1"/>
          <w:wAfter w:w="108" w:type="dxa"/>
          <w:trHeight w:val="450" w:hRule="atLeast"/>
        </w:trPr>
        <w:tc>
          <w:tcPr>
            <w:tcW w:w="2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205</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教育支出</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847.79</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847.79</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2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20502</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普通教育</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rPr>
              <w:t>847.79</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847.79</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2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2050202</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xml:space="preserve">  小学教育</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847.79</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847.79</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ascii="宋体" w:hAnsi="宋体" w:eastAsia="宋体" w:cs="宋体"/>
                <w:i w:val="0"/>
                <w:color w:val="000000"/>
                <w:sz w:val="22"/>
                <w:szCs w:val="22"/>
                <w:u w:val="none"/>
                <w:lang w:val="en-US" w:eastAsia="zh-CN"/>
              </w:rPr>
              <w:t>0</w:t>
            </w: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2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2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450" w:hRule="atLeast"/>
        </w:trPr>
        <w:tc>
          <w:tcPr>
            <w:tcW w:w="282"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945" w:type="dxa"/>
            <w:gridSpan w:val="2"/>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37"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462" w:type="dxa"/>
            <w:gridSpan w:val="2"/>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gridAfter w:val="1"/>
          <w:wAfter w:w="108" w:type="dxa"/>
          <w:trHeight w:val="615" w:hRule="atLeast"/>
        </w:trPr>
        <w:tc>
          <w:tcPr>
            <w:tcW w:w="15111" w:type="dxa"/>
            <w:gridSpan w:val="18"/>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pPr>
        <w:widowControl/>
        <w:rPr>
          <w:rFonts w:ascii="Times New Roman" w:hAnsi="Times New Roman" w:eastAsia="方正小标宋_GBK" w:cs="Times New Roman"/>
          <w:color w:val="000000"/>
          <w:kern w:val="0"/>
          <w:sz w:val="36"/>
          <w:szCs w:val="36"/>
        </w:rPr>
      </w:pPr>
    </w:p>
    <w:tbl>
      <w:tblPr>
        <w:tblStyle w:val="5"/>
        <w:tblW w:w="15640" w:type="dxa"/>
        <w:tblInd w:w="93" w:type="dxa"/>
        <w:tblLayout w:type="fixed"/>
        <w:tblCellMar>
          <w:top w:w="0" w:type="dxa"/>
          <w:left w:w="108" w:type="dxa"/>
          <w:bottom w:w="0" w:type="dxa"/>
          <w:right w:w="108" w:type="dxa"/>
        </w:tblCellMar>
      </w:tblPr>
      <w:tblGrid>
        <w:gridCol w:w="1259"/>
        <w:gridCol w:w="240"/>
        <w:gridCol w:w="1481"/>
        <w:gridCol w:w="1952"/>
        <w:gridCol w:w="1991"/>
        <w:gridCol w:w="1991"/>
        <w:gridCol w:w="1991"/>
        <w:gridCol w:w="1991"/>
        <w:gridCol w:w="2744"/>
      </w:tblGrid>
      <w:tr>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59"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2980" w:type="dxa"/>
            <w:gridSpan w:val="3"/>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color w:val="000000"/>
                <w:kern w:val="0"/>
                <w:sz w:val="20"/>
                <w:szCs w:val="20"/>
                <w:lang w:eastAsia="zh-CN"/>
              </w:rPr>
              <w:t>新隆中心小学</w:t>
            </w:r>
          </w:p>
        </w:tc>
        <w:tc>
          <w:tcPr>
            <w:tcW w:w="19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9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1481"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48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9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2980"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lang w:val="en-US" w:eastAsia="zh-CN" w:bidi="ar-SA"/>
              </w:rPr>
            </w:pPr>
            <w:r>
              <w:rPr>
                <w:rFonts w:hint="eastAsia"/>
              </w:rPr>
              <w:t>847.79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rPr>
              <w:t>810.84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lang w:val="en-US" w:eastAsia="zh-CN" w:bidi="ar-SA"/>
              </w:rPr>
            </w:pPr>
            <w:r>
              <w:rPr>
                <w:rFonts w:hint="eastAsia"/>
              </w:rPr>
              <w:t>36.96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205</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教育支出</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rPr>
              <w:t>847.79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rPr>
              <w:t>810.84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rPr>
              <w:t>36.96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20502</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普通教育</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rPr>
              <w:t>847.79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rPr>
              <w:t>810.84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rPr>
              <w:t>36.96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2050202</w:t>
            </w:r>
          </w:p>
        </w:tc>
        <w:tc>
          <w:tcPr>
            <w:tcW w:w="1481"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0"/>
                <w:sz w:val="24"/>
                <w:szCs w:val="24"/>
              </w:rPr>
            </w:pPr>
            <w:r>
              <w:rPr>
                <w:rFonts w:hint="eastAsia"/>
              </w:rPr>
              <w:t xml:space="preserve">  小学教育</w:t>
            </w:r>
          </w:p>
        </w:tc>
        <w:tc>
          <w:tcPr>
            <w:tcW w:w="1952" w:type="dxa"/>
            <w:tcBorders>
              <w:top w:val="nil"/>
              <w:left w:val="nil"/>
              <w:bottom w:val="single" w:color="auto" w:sz="4" w:space="0"/>
              <w:right w:val="single" w:color="auto" w:sz="4" w:space="0"/>
            </w:tcBorders>
            <w:shd w:val="clear" w:color="auto" w:fill="auto"/>
            <w:noWrap/>
            <w:vAlign w:val="center"/>
          </w:tcPr>
          <w:p>
            <w:pPr>
              <w:jc w:val="right"/>
              <w:rPr>
                <w:rFonts w:ascii="宋体" w:hAnsi="宋体" w:eastAsia="宋体" w:cs="宋体"/>
                <w:kern w:val="0"/>
                <w:sz w:val="24"/>
                <w:szCs w:val="24"/>
              </w:rPr>
            </w:pPr>
            <w:r>
              <w:rPr>
                <w:rFonts w:hint="eastAsia"/>
              </w:rPr>
              <w:t>847.79</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rPr>
              <w:t>810.84</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rPr>
              <w:t>36.96</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81" w:type="dxa"/>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9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5"/>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6"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3596"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2"/>
              </w:rPr>
              <w:t>847.79</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847.79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847.79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2"/>
              </w:rPr>
              <w:t>847.79</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847.79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847.79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4"/>
                <w:szCs w:val="24"/>
                <w:lang w:val="en-US" w:eastAsia="zh-CN"/>
              </w:rPr>
              <w:t>0</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jc w:val="center"/>
              <w:textAlignment w:val="auto"/>
              <w:rPr>
                <w:rFonts w:ascii="宋体" w:hAnsi="宋体" w:eastAsia="宋体" w:cs="宋体"/>
                <w:kern w:val="0"/>
                <w:sz w:val="22"/>
              </w:rPr>
            </w:pPr>
            <w:r>
              <w:rPr>
                <w:rFonts w:hint="eastAsia" w:ascii="宋体" w:hAnsi="宋体" w:eastAsia="宋体" w:cs="宋体"/>
                <w:kern w:val="0"/>
                <w:sz w:val="22"/>
              </w:rPr>
              <w:t>847.79</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847.79</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847.79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kern w:val="0"/>
                <w:sz w:val="24"/>
                <w:szCs w:val="24"/>
                <w:lang w:val="en-US" w:eastAsia="zh-CN"/>
              </w:rPr>
              <w:t>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5"/>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847.79</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810.84</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hint="eastAsia"/>
              </w:rPr>
              <w:t>36.96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205</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847.79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810.84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36.96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20502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普通教育</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847.79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810.84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36.96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2050202</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 xml:space="preserve">  小学教育</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847.79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810.84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hint="eastAsia"/>
              </w:rPr>
              <w:t>36.96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5"/>
        <w:tblW w:w="15767" w:type="dxa"/>
        <w:tblInd w:w="0" w:type="dxa"/>
        <w:tblLayout w:type="fixed"/>
        <w:tblCellMar>
          <w:top w:w="0" w:type="dxa"/>
          <w:left w:w="108" w:type="dxa"/>
          <w:bottom w:w="0" w:type="dxa"/>
          <w:right w:w="108" w:type="dxa"/>
        </w:tblCellMar>
      </w:tblPr>
      <w:tblGrid>
        <w:gridCol w:w="985"/>
        <w:gridCol w:w="239"/>
        <w:gridCol w:w="93"/>
        <w:gridCol w:w="1283"/>
        <w:gridCol w:w="2019"/>
        <w:gridCol w:w="77"/>
        <w:gridCol w:w="861"/>
        <w:gridCol w:w="1095"/>
        <w:gridCol w:w="304"/>
        <w:gridCol w:w="1967"/>
        <w:gridCol w:w="127"/>
        <w:gridCol w:w="668"/>
        <w:gridCol w:w="1136"/>
        <w:gridCol w:w="353"/>
        <w:gridCol w:w="2078"/>
        <w:gridCol w:w="1690"/>
        <w:gridCol w:w="389"/>
        <w:gridCol w:w="403"/>
      </w:tblGrid>
      <w:tr>
        <w:tblPrEx>
          <w:tblCellMar>
            <w:top w:w="0" w:type="dxa"/>
            <w:left w:w="108" w:type="dxa"/>
            <w:bottom w:w="0" w:type="dxa"/>
            <w:right w:w="108" w:type="dxa"/>
          </w:tblCellMar>
        </w:tblPrEx>
        <w:trPr>
          <w:trHeight w:val="113" w:hRule="atLeast"/>
        </w:trPr>
        <w:tc>
          <w:tcPr>
            <w:tcW w:w="15767" w:type="dxa"/>
            <w:gridSpan w:val="18"/>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131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0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938"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27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95"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4121" w:type="dxa"/>
            <w:gridSpan w:val="3"/>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792"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645.74</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82.51</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228.07</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59.89</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59.96</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79.41</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36.96</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0.16</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31.60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128.78</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49.41</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2.91</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12.35</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19.14</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5.36</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1.51</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1.85</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66.50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0.28</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0.45</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82.59</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0.13</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77.23</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1.71</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0.19</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0.11</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1.20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3.55</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kern w:val="0"/>
                <w:sz w:val="24"/>
                <w:szCs w:val="24"/>
                <w:lang w:val="en-US" w:eastAsia="zh-CN"/>
              </w:rPr>
              <w:t>0</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1317" w:type="dxa"/>
            <w:gridSpan w:val="3"/>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0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5"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27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795"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16.07</w:t>
            </w:r>
          </w:p>
        </w:tc>
        <w:tc>
          <w:tcPr>
            <w:tcW w:w="11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4121"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619"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938"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728.33</w:t>
            </w:r>
          </w:p>
        </w:tc>
        <w:tc>
          <w:tcPr>
            <w:tcW w:w="9418" w:type="dxa"/>
            <w:gridSpan w:val="9"/>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792"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82.51</w:t>
            </w:r>
          </w:p>
        </w:tc>
      </w:tr>
      <w:tr>
        <w:tblPrEx>
          <w:tblCellMar>
            <w:top w:w="0" w:type="dxa"/>
            <w:left w:w="108" w:type="dxa"/>
            <w:bottom w:w="0" w:type="dxa"/>
            <w:right w:w="108" w:type="dxa"/>
          </w:tblCellMar>
        </w:tblPrEx>
        <w:trPr>
          <w:trHeight w:val="284" w:hRule="exact"/>
        </w:trPr>
        <w:tc>
          <w:tcPr>
            <w:tcW w:w="15767" w:type="dxa"/>
            <w:gridSpan w:val="18"/>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690" w:hRule="atLeast"/>
        </w:trPr>
        <w:tc>
          <w:tcPr>
            <w:tcW w:w="15364"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345" w:hRule="atLeast"/>
        </w:trPr>
        <w:tc>
          <w:tcPr>
            <w:tcW w:w="985"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39"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376"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096"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6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5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690" w:hRule="atLeast"/>
        </w:trPr>
        <w:tc>
          <w:tcPr>
            <w:tcW w:w="2600" w:type="dxa"/>
            <w:gridSpan w:val="4"/>
            <w:tcBorders>
              <w:top w:val="nil"/>
              <w:left w:val="nil"/>
              <w:bottom w:val="nil"/>
              <w:right w:val="nil"/>
            </w:tcBorders>
            <w:shd w:val="clear" w:color="auto" w:fill="FFFFFF"/>
            <w:noWrap/>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p>
        </w:tc>
        <w:tc>
          <w:tcPr>
            <w:tcW w:w="2096"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260"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94"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15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8"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7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459" w:hRule="atLeast"/>
        </w:trPr>
        <w:tc>
          <w:tcPr>
            <w:tcW w:w="2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2"/>
                <w:lang w:val="en-US" w:eastAsia="zh-CN" w:bidi="ar"/>
              </w:rPr>
              <w:t xml:space="preserve">   </w:t>
            </w:r>
            <w:r>
              <w:rPr>
                <w:rStyle w:val="13"/>
                <w:lang w:val="en-US" w:eastAsia="zh-CN" w:bidi="ar"/>
              </w:rPr>
              <w:t>目</w:t>
            </w:r>
          </w:p>
        </w:tc>
        <w:tc>
          <w:tcPr>
            <w:tcW w:w="209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3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609" w:hRule="atLeast"/>
        </w:trPr>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15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20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409"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15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2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26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509" w:hRule="atLeast"/>
        </w:trPr>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3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2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1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03" w:type="dxa"/>
          <w:trHeight w:val="725" w:hRule="atLeast"/>
        </w:trPr>
        <w:tc>
          <w:tcPr>
            <w:tcW w:w="15364"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5"/>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6"/>
        <w:gridCol w:w="668"/>
        <w:gridCol w:w="2167"/>
        <w:gridCol w:w="3120"/>
        <w:gridCol w:w="3120"/>
        <w:gridCol w:w="39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4"/>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基本支出</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w:t>
            </w:r>
          </w:p>
        </w:tc>
      </w:tr>
    </w:tbl>
    <w:p>
      <w:pPr>
        <w:widowControl/>
        <w:jc w:val="center"/>
        <w:rPr>
          <w:rFonts w:hint="eastAsia" w:ascii="Times New Roman" w:hAnsi="Times New Roman" w:eastAsia="方正小标宋_GBK" w:cs="Times New Roman"/>
          <w:color w:val="000000"/>
          <w:kern w:val="0"/>
          <w:sz w:val="36"/>
          <w:szCs w:val="36"/>
        </w:rPr>
      </w:pPr>
    </w:p>
    <w:tbl>
      <w:tblPr>
        <w:tblStyle w:val="5"/>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076"/>
        <w:gridCol w:w="1219"/>
        <w:gridCol w:w="1170"/>
        <w:gridCol w:w="1170"/>
        <w:gridCol w:w="1170"/>
        <w:gridCol w:w="1170"/>
        <w:gridCol w:w="1170"/>
        <w:gridCol w:w="1219"/>
        <w:gridCol w:w="1170"/>
        <w:gridCol w:w="1170"/>
        <w:gridCol w:w="1171"/>
        <w:gridCol w:w="12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0" w:type="auto"/>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Times New Roman" w:hAnsi="Times New Roman" w:eastAsia="仿宋_GB2312" w:cs="Times New Roman"/>
                <w:color w:val="000000"/>
                <w:kern w:val="0"/>
                <w:szCs w:val="21"/>
                <w:lang w:eastAsia="zh-CN"/>
              </w:rPr>
              <w:t>新隆中心小学</w:t>
            </w:r>
            <w:r>
              <w:rPr>
                <w:rFonts w:ascii="Times New Roman" w:hAnsi="Times New Roman" w:eastAsia="仿宋_GB2312" w:cs="Times New Roman"/>
                <w:color w:val="000000"/>
                <w:kern w:val="0"/>
                <w:szCs w:val="21"/>
              </w:rPr>
              <w:t xml:space="preserve"> </w:t>
            </w: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2"/>
                <w:szCs w:val="22"/>
                <w:u w:val="none"/>
              </w:rPr>
            </w:pPr>
            <w:r>
              <w:rPr>
                <w:rFonts w:hint="eastAsia" w:ascii="宋体" w:hAnsi="宋体" w:eastAsia="宋体" w:cs="宋体"/>
                <w:kern w:val="0"/>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p>
    <w:p>
      <w:pPr>
        <w:pStyle w:val="9"/>
        <w:numPr>
          <w:ilvl w:val="0"/>
          <w:numId w:val="0"/>
        </w:numPr>
        <w:jc w:val="left"/>
        <w:rPr>
          <w:rFonts w:hint="default" w:eastAsia="黑体"/>
          <w:b/>
          <w:bCs/>
          <w:sz w:val="32"/>
          <w:szCs w:val="32"/>
          <w:lang w:val="en-US" w:eastAsia="zh-CN"/>
        </w:rPr>
      </w:pPr>
      <w:r>
        <w:rPr>
          <w:rFonts w:hint="eastAsia"/>
          <w:b/>
          <w:bCs/>
          <w:sz w:val="32"/>
          <w:szCs w:val="32"/>
          <w:lang w:eastAsia="zh-CN"/>
        </w:rPr>
        <w:t>第三部分</w:t>
      </w:r>
      <w:r>
        <w:rPr>
          <w:rFonts w:hint="eastAsia"/>
          <w:b/>
          <w:bCs/>
          <w:sz w:val="32"/>
          <w:szCs w:val="32"/>
          <w:lang w:val="en-US" w:eastAsia="zh-CN"/>
        </w:rPr>
        <w:t xml:space="preserve"> 2022年度部门决算情况说明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收、支</w:t>
      </w:r>
      <w:r>
        <w:rPr>
          <w:rFonts w:hint="eastAsia" w:ascii="Times New Roman" w:hAnsi="Times New Roman" w:eastAsia="仿宋_GB2312"/>
          <w:sz w:val="32"/>
          <w:szCs w:val="32"/>
        </w:rPr>
        <w:t>总计847.79万元。与上年相比，增加115.21万元，增长15.73%，主要是因为本年度校舍维修支出增加</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年度收入合计847.79万元，其中：财政拨款收入847.79万元，占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年度支出合计847.79万元，其中：基本支出810.84万元，占95.64%；项目支出36.96万元，占4.36%；上缴上级支出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收、支</w:t>
      </w:r>
      <w:r>
        <w:rPr>
          <w:rFonts w:hint="eastAsia" w:ascii="Times New Roman" w:hAnsi="Times New Roman" w:eastAsia="仿宋_GB2312"/>
          <w:sz w:val="32"/>
          <w:szCs w:val="32"/>
        </w:rPr>
        <w:t>总计847.79万元。与上年相比，增加115.21万元，增长15.73%，主要是因为本年度校舍维修支出增加</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（一）财政拨款支出决算总体情况</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年度财政拨款支出847.79万元，占本年支出合计的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%，与上年相比，财政拨款支出增加115.21万元，增长15.73%，主要是因为本年度校舍维修支出增加</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（二）财政拨款支出决算结构情况</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年度财政拨款支出847.79万元，主要用于以下方面：一般公共服务（类）支出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%；教育（类）支出847.79万元，占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（三）财政拨款支出决算具体情况</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年度财政拨款支出年初预算数为857.79万元，支出决算数为847.79万元，完成年初预算的98.83%，其中：</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教育支出</w:t>
      </w:r>
      <w:r>
        <w:rPr>
          <w:rFonts w:hint="eastAsia" w:ascii="Times New Roman" w:hAnsi="Times New Roman" w:eastAsia="仿宋_GB2312"/>
          <w:sz w:val="32"/>
          <w:szCs w:val="32"/>
        </w:rPr>
        <w:t>（类）</w:t>
      </w:r>
      <w:r>
        <w:rPr>
          <w:rFonts w:hint="eastAsia" w:ascii="Times New Roman" w:hAnsi="Times New Roman" w:eastAsia="仿宋_GB2312"/>
          <w:sz w:val="32"/>
          <w:szCs w:val="32"/>
          <w:lang w:val="en-US" w:eastAsia="zh-CN"/>
        </w:rPr>
        <w:t>普通教育</w:t>
      </w:r>
      <w:r>
        <w:rPr>
          <w:rFonts w:hint="eastAsia" w:ascii="Times New Roman" w:hAnsi="Times New Roman" w:eastAsia="仿宋_GB2312"/>
          <w:sz w:val="32"/>
          <w:szCs w:val="32"/>
        </w:rPr>
        <w:t>（款）</w:t>
      </w:r>
      <w:r>
        <w:rPr>
          <w:rFonts w:hint="eastAsia" w:ascii="Times New Roman" w:hAnsi="Times New Roman" w:eastAsia="仿宋_GB2312"/>
          <w:sz w:val="32"/>
          <w:szCs w:val="32"/>
          <w:lang w:val="en-US" w:eastAsia="zh-CN"/>
        </w:rPr>
        <w:t>小学教育</w:t>
      </w:r>
      <w:r>
        <w:rPr>
          <w:rFonts w:hint="eastAsia" w:ascii="Times New Roman" w:hAnsi="Times New Roman" w:eastAsia="仿宋_GB2312"/>
          <w:sz w:val="32"/>
          <w:szCs w:val="32"/>
        </w:rPr>
        <w:t>（项）。</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年初预算为857.79万元，支出决算为847.79万元，完成年初预算的98.83%，决算数小于年初预算数的主要原因是：</w:t>
      </w:r>
      <w:r>
        <w:rPr>
          <w:rFonts w:hint="eastAsia" w:ascii="Times New Roman" w:hAnsi="Times New Roman" w:eastAsia="仿宋_GB2312"/>
          <w:sz w:val="32"/>
          <w:szCs w:val="32"/>
          <w:lang w:eastAsia="zh-CN"/>
        </w:rPr>
        <w:t>本年度我单位实行了开源节流；学生人数减少，经费支出减少。</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年度财政拨款基本支出810.84万元，其中：</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rPr>
        <w:t>728.33万元，占基本支出的89.82%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主要包括基本工资、津贴补贴、奖金、伙食补助费</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rPr>
        <w:t>82.51万元，占基本支出的10.18%，主要包括办公费、印刷费、咨询费、手续费。</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七、财政拨款三公经费支出决算情况说明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“三公”经费财政拨款支出预算为0万元，支出决算为0万元，因预算数为0，无法计算预算完成百分比，其中：</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因公出国（境）费支出预算为0万元，支出决算为0万元，因预算数为0，无法计算预算完成百分比。决算数与预算数一致，与上年相比持平。原因是上年及本年均无出国出境情况，无相关费用支出。</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公务接待费支出预算为0万元，支出决算为0万元，因预算数为0，无法计算预算完成百分比。决算数与预算数一致，与上年相比持平。原因是上年及本年均无相关费用支出。</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公务用车购置费支出预算为0万元，支出决算为0万元，因预算数为0，无法计算预算完成百分比。决算数与预算数一致，与上年相比持平。原因是上年及本年均无相关费用支出。</w:t>
      </w:r>
    </w:p>
    <w:p>
      <w:pPr>
        <w:pStyle w:val="9"/>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公务用车运行维护费支出预算为0万元，支出决算为0万元，因预算数为0，无法计算预算完成百分比。决算数与预算数一致，与上年相比持平。原因是上年及本年均无相关费用支出。</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仿宋_GB2312" w:cs="楷体"/>
          <w:b/>
          <w:bCs/>
          <w:i/>
          <w:color w:val="auto"/>
          <w:sz w:val="32"/>
          <w:szCs w:val="32"/>
          <w:lang w:eastAsia="zh-CN"/>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p>
    <w:p>
      <w:pPr>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cstheme="minorBidi"/>
          <w:color w:val="auto"/>
          <w:kern w:val="2"/>
          <w:sz w:val="32"/>
          <w:szCs w:val="32"/>
          <w:lang w:val="en-US" w:eastAsia="zh-CN" w:bidi="ar-SA"/>
        </w:rPr>
      </w:pPr>
      <w:r>
        <w:rPr>
          <w:rFonts w:hint="eastAsia" w:ascii="Times New Roman" w:hAnsi="Times New Roman" w:eastAsia="仿宋_GB2312" w:cstheme="minorBidi"/>
          <w:color w:val="auto"/>
          <w:kern w:val="2"/>
          <w:sz w:val="32"/>
          <w:szCs w:val="32"/>
          <w:lang w:val="en-US" w:eastAsia="zh-CN" w:bidi="ar-SA"/>
        </w:rPr>
        <w:t>本单位无政府性基金收支。</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b/>
          <w:sz w:val="32"/>
          <w:szCs w:val="32"/>
        </w:rPr>
      </w:pPr>
      <w:r>
        <w:rPr>
          <w:rFonts w:hint="eastAsia" w:ascii="Times New Roman" w:hAnsi="Times New Roman" w:eastAsia="仿宋_GB2312"/>
          <w:b/>
          <w:sz w:val="32"/>
          <w:szCs w:val="32"/>
        </w:rPr>
        <w:t>九、关于机关运行经费支出说明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年度机关运行经费支出82.51万元，比上年决算数减少20.26万元，降低19.71%。主要原因是：</w:t>
      </w:r>
      <w:r>
        <w:rPr>
          <w:rFonts w:hint="eastAsia" w:ascii="Times New Roman" w:hAnsi="Times New Roman" w:eastAsia="仿宋_GB2312"/>
          <w:sz w:val="32"/>
          <w:szCs w:val="32"/>
          <w:lang w:eastAsia="zh-CN"/>
        </w:rPr>
        <w:t>本年度我单位实行了开源节流；学生人数减少，经费支出减少</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，人数</w:t>
      </w:r>
      <w:r>
        <w:rPr>
          <w:rFonts w:hint="eastAsia" w:ascii="Times New Roman" w:hAnsi="Times New Roman" w:eastAsia="仿宋_GB2312"/>
          <w:sz w:val="32"/>
          <w:szCs w:val="32"/>
          <w:lang w:val="en-US" w:eastAsia="zh-CN"/>
        </w:rPr>
        <w:t>0人</w:t>
      </w:r>
      <w:bookmarkStart w:id="3" w:name="_GoBack"/>
      <w:bookmarkEnd w:id="3"/>
      <w:r>
        <w:rPr>
          <w:rFonts w:hint="eastAsia" w:ascii="Times New Roman" w:hAnsi="Times New Roman" w:eastAsia="仿宋_GB2312"/>
          <w:sz w:val="32"/>
          <w:szCs w:val="32"/>
        </w:rPr>
        <w:t>；开支培训费0.13万元，用于开展各类提升教师素养培训，人数</w:t>
      </w:r>
      <w:r>
        <w:rPr>
          <w:rFonts w:hint="eastAsia" w:ascii="Times New Roman" w:hAnsi="Times New Roman" w:eastAsia="仿宋_GB2312"/>
          <w:sz w:val="32"/>
          <w:szCs w:val="32"/>
          <w:lang w:val="en-US" w:eastAsia="zh-CN"/>
        </w:rPr>
        <w:t>53</w:t>
      </w:r>
      <w:r>
        <w:rPr>
          <w:rFonts w:hint="eastAsia" w:ascii="Times New Roman" w:hAnsi="Times New Roman" w:eastAsia="仿宋_GB2312"/>
          <w:sz w:val="32"/>
          <w:szCs w:val="32"/>
        </w:rPr>
        <w:t>人，内容为教师教学技能比拼、教师职业素养提升、各类教师外出培训</w:t>
      </w:r>
      <w:r>
        <w:rPr>
          <w:rFonts w:hint="eastAsia" w:ascii="Times New Roman" w:hAnsi="Times New Roman" w:eastAsia="仿宋_GB2312"/>
          <w:sz w:val="32"/>
          <w:szCs w:val="32"/>
          <w:lang w:eastAsia="zh-CN"/>
        </w:rPr>
        <w:t>及校本培训</w:t>
      </w:r>
      <w:r>
        <w:rPr>
          <w:rFonts w:hint="eastAsia" w:ascii="Times New Roman" w:hAnsi="Times New Roman" w:eastAsia="仿宋_GB2312"/>
          <w:sz w:val="32"/>
          <w:szCs w:val="32"/>
        </w:rPr>
        <w:t>等；</w:t>
      </w:r>
      <w:r>
        <w:rPr>
          <w:rFonts w:hint="eastAsia" w:ascii="Times New Roman" w:hAnsi="Times New Roman" w:eastAsia="仿宋_GB2312"/>
          <w:sz w:val="32"/>
          <w:szCs w:val="32"/>
          <w:lang w:eastAsia="zh-CN"/>
        </w:rPr>
        <w:t>未</w:t>
      </w:r>
      <w:r>
        <w:rPr>
          <w:rFonts w:hint="eastAsia" w:ascii="Times New Roman" w:hAnsi="Times New Roman" w:eastAsia="仿宋_GB2312"/>
          <w:sz w:val="32"/>
          <w:szCs w:val="32"/>
        </w:rPr>
        <w:t>举办节庆、晚会、论坛、赛事活动，开支</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%。货物采购授予中小企业合同金额占货物支出金额的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%，工程采购授予中小企业合同金额占工程支出金额的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%，服务采购授予中小企业合同金额占服务支出金额的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十二、关于国有资产占用情况说明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ascii="Times New Roman" w:hAnsi="Times New Roman" w:eastAsia="仿宋_GB2312"/>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年12月31日，本单位共有车辆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辆，其中，主要领导干部用车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辆；单位价值50万元以上通用设备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台（套）；单位价值100万元以上专用设备</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台（套）。</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十三、关于</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2</w:t>
      </w:r>
      <w:r>
        <w:rPr>
          <w:rFonts w:hint="eastAsia" w:ascii="黑体" w:hAnsi="黑体" w:eastAsia="黑体" w:cs="黑体"/>
          <w:b w:val="0"/>
          <w:bCs/>
          <w:sz w:val="32"/>
          <w:szCs w:val="32"/>
        </w:rPr>
        <w:t>年度预算绩效情况的说明</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根据预算绩效管理要求，我部门组织对</w:t>
      </w: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lang w:eastAsia="zh-CN"/>
        </w:rPr>
        <w:t>年度一般公共预算项目支出全面开展绩效自评，其中，一级项目</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个，二级项目</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个，共涉及资金</w:t>
      </w:r>
      <w:r>
        <w:rPr>
          <w:rFonts w:hint="eastAsia" w:ascii="Times New Roman" w:hAnsi="Times New Roman" w:eastAsia="仿宋_GB2312"/>
          <w:sz w:val="32"/>
          <w:szCs w:val="32"/>
          <w:lang w:val="en-US" w:eastAsia="zh-CN"/>
        </w:rPr>
        <w:t>36.96</w:t>
      </w:r>
      <w:r>
        <w:rPr>
          <w:rFonts w:hint="eastAsia" w:ascii="Times New Roman" w:hAnsi="Times New Roman" w:eastAsia="仿宋_GB2312"/>
          <w:sz w:val="32"/>
          <w:szCs w:val="32"/>
          <w:lang w:eastAsia="zh-CN"/>
        </w:rPr>
        <w:t>万元，占一般公共预算项目支出总额的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2022</w:t>
      </w:r>
      <w:r>
        <w:rPr>
          <w:rFonts w:hint="eastAsia" w:ascii="Times New Roman" w:hAnsi="Times New Roman" w:eastAsia="仿宋_GB2312"/>
          <w:sz w:val="32"/>
          <w:szCs w:val="32"/>
          <w:lang w:eastAsia="zh-CN"/>
        </w:rPr>
        <w:t>年度本单位无政府性基金预算项目和国有资本经营预算项目，因此无需对政府性基金预算项目和国有资本经营预算项目展开绩效自评。</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组织对</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lang w:eastAsia="zh-CN"/>
        </w:rPr>
        <w:t>个项目开展了部门评价，涉及一般公共预算支出</w:t>
      </w:r>
      <w:r>
        <w:rPr>
          <w:rFonts w:hint="eastAsia" w:ascii="Times New Roman" w:hAnsi="Times New Roman" w:eastAsia="仿宋_GB2312"/>
          <w:sz w:val="32"/>
          <w:szCs w:val="32"/>
          <w:lang w:val="en-US" w:eastAsia="zh-CN"/>
        </w:rPr>
        <w:t>36.96</w:t>
      </w:r>
      <w:r>
        <w:rPr>
          <w:rFonts w:hint="eastAsia" w:ascii="Times New Roman" w:hAnsi="Times New Roman" w:eastAsia="仿宋_GB2312"/>
          <w:sz w:val="32"/>
          <w:szCs w:val="32"/>
          <w:lang w:eastAsia="zh-CN"/>
        </w:rPr>
        <w:t>万元，政府性基金预算支出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万元，国有资本经营预算支出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万元。从评价情况来看，一是学校加强组织领导，安排部署了绩效评价工作，明确了专人负责；二是制定了实施方案，确保绩效评价工作有章可循，有序开展。</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组织发本单位开展整体支出绩效评价，涉及一般公共预算支出</w:t>
      </w:r>
      <w:r>
        <w:rPr>
          <w:rFonts w:hint="eastAsia" w:ascii="Times New Roman" w:hAnsi="Times New Roman" w:eastAsia="仿宋_GB2312"/>
          <w:sz w:val="32"/>
          <w:szCs w:val="32"/>
          <w:lang w:val="en-US" w:eastAsia="zh-CN"/>
        </w:rPr>
        <w:t>847.79</w:t>
      </w:r>
      <w:r>
        <w:rPr>
          <w:rFonts w:hint="eastAsia" w:ascii="Times New Roman" w:hAnsi="Times New Roman" w:eastAsia="仿宋_GB2312"/>
          <w:sz w:val="32"/>
          <w:szCs w:val="32"/>
          <w:lang w:eastAsia="zh-CN"/>
        </w:rPr>
        <w:t>万元，政府性基金预算支出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万元。从评价情况来看，一是学校加强组织领导，安排部署了绩效评价工作，明确了专人负责；二是制定了实施方案，确保绩效评价工作有章可循，有序开展。</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存在的问题及原因分析</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部分绩效指标及目标值有待进一步优化和完善。</w:t>
      </w:r>
    </w:p>
    <w:p>
      <w:pPr>
        <w:pStyle w:val="9"/>
        <w:keepNext w:val="0"/>
        <w:keepLines w:val="0"/>
        <w:pageBreakBefore w:val="0"/>
        <w:widowControl w:val="0"/>
        <w:kinsoku/>
        <w:wordWrap/>
        <w:overflowPunct/>
        <w:topLinePunct w:val="0"/>
        <w:bidi w:val="0"/>
        <w:snapToGrid/>
        <w:spacing w:line="600" w:lineRule="exact"/>
        <w:ind w:firstLine="640" w:firstLineChars="200"/>
        <w:jc w:val="both"/>
        <w:textAlignment w:val="auto"/>
        <w:rPr>
          <w:sz w:val="72"/>
          <w:szCs w:val="72"/>
        </w:rPr>
      </w:pPr>
      <w:r>
        <w:rPr>
          <w:rFonts w:hint="eastAsia" w:ascii="Times New Roman" w:hAnsi="Times New Roman" w:eastAsia="仿宋_GB2312"/>
          <w:sz w:val="32"/>
          <w:szCs w:val="32"/>
        </w:rPr>
        <w:t>下一步改进措施：一是编制项目绩效指标时，对项目指标的科学性、合理性、可测性进行反复论证，使之能够合理、客观、科学地反映项目的产出和效果。二是进一步强化绩效结果应用，把绩效评价结果作为下一年度安排资金预算，预算编制的重要依据，加强对资金的管理。</w:t>
      </w:r>
    </w:p>
    <w:p>
      <w:pPr>
        <w:pStyle w:val="9"/>
        <w:jc w:val="center"/>
        <w:rPr>
          <w:sz w:val="72"/>
          <w:szCs w:val="72"/>
        </w:rPr>
      </w:pP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pStyle w:val="9"/>
        <w:jc w:val="both"/>
        <w:rPr>
          <w:rFonts w:hint="eastAsia" w:ascii="黑体" w:hAnsi="黑体" w:eastAsia="黑体" w:cs="黑体"/>
          <w:b/>
          <w:bCs/>
          <w:color w:val="000000"/>
          <w:kern w:val="0"/>
          <w:sz w:val="32"/>
          <w:szCs w:val="32"/>
        </w:rPr>
      </w:pPr>
      <w:r>
        <w:rPr>
          <w:rFonts w:hint="eastAsia" w:ascii="黑体" w:hAnsi="黑体" w:eastAsia="黑体" w:cs="黑体"/>
          <w:b/>
          <w:bCs/>
          <w:sz w:val="32"/>
          <w:szCs w:val="32"/>
        </w:rPr>
        <w:t>第四部分</w:t>
      </w:r>
      <w:r>
        <w:rPr>
          <w:rFonts w:hint="eastAsia" w:ascii="黑体" w:hAnsi="黑体" w:eastAsia="黑体" w:cs="黑体"/>
          <w:b/>
          <w:bCs/>
          <w:sz w:val="32"/>
          <w:szCs w:val="32"/>
          <w:lang w:val="en-US" w:eastAsia="zh-CN"/>
        </w:rPr>
        <w:t xml:space="preserve"> </w:t>
      </w:r>
      <w:r>
        <w:rPr>
          <w:rFonts w:hint="eastAsia" w:ascii="黑体" w:hAnsi="黑体" w:eastAsia="黑体" w:cs="黑体"/>
          <w:b/>
          <w:bCs/>
          <w:color w:val="000000"/>
          <w:kern w:val="0"/>
          <w:sz w:val="32"/>
          <w:szCs w:val="32"/>
        </w:rPr>
        <w:t>名词解释</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一、收入科目</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财政拨款收入：指财政当年拨付的资金。</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二、支出科目</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1.基本支出：指为保障机构正常运转、完成日常工作任务而发生的人员支出和公用支出。</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2.项目支出：指在基本支出之外为完成特定行政任务和事业发展目标所发生的支出。</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3.年末结转和结余：指本年度或以前年度预算安排、因客观条件发生变化无法按原计划实施，需延迟到以后年度按有关规定继续使用的资金。</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三、“三公”经费</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纳入省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四、机关运行经费</w:t>
      </w:r>
    </w:p>
    <w:p>
      <w:pPr>
        <w:pStyle w:val="9"/>
        <w:ind w:firstLine="560" w:firstLineChars="200"/>
        <w:jc w:val="both"/>
        <w:rPr>
          <w:rFonts w:hint="eastAsia" w:asciiTheme="minorEastAsia" w:hAnsiTheme="minorEastAsia" w:eastAsiaTheme="minorEastAsia" w:cstheme="minorEastAsia"/>
          <w:color w:val="000000"/>
          <w:kern w:val="0"/>
          <w:sz w:val="28"/>
          <w:szCs w:val="28"/>
        </w:rPr>
      </w:pPr>
      <w:r>
        <w:rPr>
          <w:rFonts w:hint="eastAsia" w:asciiTheme="minorEastAsia" w:hAnsiTheme="minorEastAsia" w:eastAsiaTheme="minorEastAsia" w:cstheme="minorEastAsia"/>
          <w:color w:val="000000"/>
          <w:kern w:val="0"/>
          <w:sz w:val="28"/>
          <w:szCs w:val="28"/>
        </w:rPr>
        <w:t>是指各部门的公用经费，包括办公及印刷费、邮电费、差旅费、会议费、福利费、日常维修费、专用资料及一般设备购置费、办公用房水电费、网络租赁费、办公用房取暖费、办公用房物业管理费、公务用车运行维护费以及其他费用。</w:t>
      </w:r>
    </w:p>
    <w:p>
      <w:pPr>
        <w:pStyle w:val="9"/>
        <w:ind w:firstLine="640" w:firstLineChars="200"/>
        <w:jc w:val="both"/>
        <w:rPr>
          <w:rFonts w:hint="eastAsia" w:ascii="黑体" w:hAnsi="黑体" w:eastAsia="黑体" w:cs="黑体"/>
          <w:b/>
          <w:bCs/>
          <w:color w:val="000000"/>
          <w:kern w:val="0"/>
          <w:sz w:val="32"/>
          <w:szCs w:val="32"/>
        </w:rPr>
      </w:pPr>
      <w:r>
        <w:rPr>
          <w:rFonts w:hint="eastAsia" w:ascii="黑体" w:hAnsi="黑体" w:eastAsia="黑体" w:cs="黑体"/>
          <w:b/>
          <w:bCs/>
          <w:sz w:val="32"/>
          <w:szCs w:val="32"/>
        </w:rPr>
        <w:t>第五部分</w:t>
      </w:r>
      <w:r>
        <w:rPr>
          <w:rFonts w:hint="eastAsia" w:ascii="黑体" w:hAnsi="黑体" w:eastAsia="黑体" w:cs="黑体"/>
          <w:b/>
          <w:bCs/>
          <w:sz w:val="32"/>
          <w:szCs w:val="32"/>
          <w:lang w:val="en-US" w:eastAsia="zh-CN"/>
        </w:rPr>
        <w:t xml:space="preserve"> </w:t>
      </w:r>
      <w:r>
        <w:rPr>
          <w:rFonts w:hint="eastAsia" w:ascii="黑体" w:hAnsi="黑体" w:eastAsia="黑体" w:cs="黑体"/>
          <w:b/>
          <w:bCs/>
          <w:color w:val="000000"/>
          <w:kern w:val="0"/>
          <w:sz w:val="32"/>
          <w:szCs w:val="32"/>
        </w:rPr>
        <w:t>附件</w:t>
      </w:r>
    </w:p>
    <w:p>
      <w:pPr>
        <w:ind w:firstLine="560" w:firstLineChars="200"/>
        <w:jc w:val="center"/>
        <w:rPr>
          <w:rFonts w:hint="eastAsia" w:asciiTheme="minorEastAsia" w:hAnsiTheme="minorEastAsia" w:eastAsiaTheme="minorEastAsia" w:cstheme="minorEastAsia"/>
          <w:b/>
          <w:color w:val="000000"/>
          <w:kern w:val="0"/>
          <w:sz w:val="28"/>
          <w:szCs w:val="28"/>
        </w:rPr>
      </w:pPr>
      <w:r>
        <w:rPr>
          <w:rFonts w:hint="eastAsia" w:asciiTheme="minorEastAsia" w:hAnsiTheme="minorEastAsia" w:cstheme="minorEastAsia"/>
          <w:b/>
          <w:color w:val="000000"/>
          <w:kern w:val="0"/>
          <w:sz w:val="28"/>
          <w:szCs w:val="28"/>
          <w:lang w:eastAsia="zh-CN"/>
        </w:rPr>
        <w:t>202</w:t>
      </w:r>
      <w:r>
        <w:rPr>
          <w:rFonts w:hint="eastAsia" w:asciiTheme="minorEastAsia" w:hAnsiTheme="minorEastAsia" w:cstheme="minorEastAsia"/>
          <w:b/>
          <w:color w:val="000000"/>
          <w:kern w:val="0"/>
          <w:sz w:val="28"/>
          <w:szCs w:val="28"/>
          <w:lang w:val="en-US" w:eastAsia="zh-CN"/>
        </w:rPr>
        <w:t>2</w:t>
      </w:r>
      <w:r>
        <w:rPr>
          <w:rFonts w:hint="eastAsia" w:asciiTheme="minorEastAsia" w:hAnsiTheme="minorEastAsia" w:eastAsiaTheme="minorEastAsia" w:cstheme="minorEastAsia"/>
          <w:b/>
          <w:color w:val="000000"/>
          <w:kern w:val="0"/>
          <w:sz w:val="28"/>
          <w:szCs w:val="28"/>
        </w:rPr>
        <w:t>年度部门整体支出绩效评价报告</w:t>
      </w:r>
    </w:p>
    <w:p>
      <w:pPr>
        <w:pStyle w:val="9"/>
        <w:jc w:val="center"/>
        <w:rPr>
          <w:sz w:val="72"/>
          <w:szCs w:val="7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00007A87" w:usb1="8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楷体">
    <w:altName w:val="楷体_GB2312"/>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A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EyNzI4NTExZWY1NDJmZDkzZTdjMzJiMjY2ZTdjYjE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1479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21A27AB"/>
    <w:rsid w:val="09AA26F7"/>
    <w:rsid w:val="10765096"/>
    <w:rsid w:val="10B27E4F"/>
    <w:rsid w:val="10E85BA5"/>
    <w:rsid w:val="16CD5893"/>
    <w:rsid w:val="1CA062FE"/>
    <w:rsid w:val="1DD73B0A"/>
    <w:rsid w:val="1ECC422C"/>
    <w:rsid w:val="1F4F0EF6"/>
    <w:rsid w:val="1FCB1B9B"/>
    <w:rsid w:val="240464EA"/>
    <w:rsid w:val="2459453D"/>
    <w:rsid w:val="24FA7FA1"/>
    <w:rsid w:val="274036D3"/>
    <w:rsid w:val="29B35110"/>
    <w:rsid w:val="303F633B"/>
    <w:rsid w:val="346741BA"/>
    <w:rsid w:val="38F0031C"/>
    <w:rsid w:val="3A77753E"/>
    <w:rsid w:val="3D4F3E78"/>
    <w:rsid w:val="3F270DAE"/>
    <w:rsid w:val="3FE457A9"/>
    <w:rsid w:val="3FEE2E14"/>
    <w:rsid w:val="44F208A0"/>
    <w:rsid w:val="4A50737E"/>
    <w:rsid w:val="4D0B7F5F"/>
    <w:rsid w:val="4F331771"/>
    <w:rsid w:val="4FBA3327"/>
    <w:rsid w:val="51B01DB1"/>
    <w:rsid w:val="5777D4F5"/>
    <w:rsid w:val="5F8F08CA"/>
    <w:rsid w:val="5FBC5DC5"/>
    <w:rsid w:val="5FC6BB1E"/>
    <w:rsid w:val="5FF720F1"/>
    <w:rsid w:val="609B351E"/>
    <w:rsid w:val="62F56542"/>
    <w:rsid w:val="633D1B90"/>
    <w:rsid w:val="64A54408"/>
    <w:rsid w:val="66E42545"/>
    <w:rsid w:val="67F56318"/>
    <w:rsid w:val="6A3020EB"/>
    <w:rsid w:val="6DC077A5"/>
    <w:rsid w:val="6EA5070D"/>
    <w:rsid w:val="6EF96718"/>
    <w:rsid w:val="6F9B0B8C"/>
    <w:rsid w:val="71EE675A"/>
    <w:rsid w:val="737D59BA"/>
    <w:rsid w:val="77B06588"/>
    <w:rsid w:val="77C37683"/>
    <w:rsid w:val="79FF515B"/>
    <w:rsid w:val="7E9F11B4"/>
    <w:rsid w:val="7FC69637"/>
    <w:rsid w:val="7FFDB408"/>
    <w:rsid w:val="CBFF70E0"/>
    <w:rsid w:val="EEABED75"/>
    <w:rsid w:val="FB36E1A6"/>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0">
    <w:name w:val="List Paragraph"/>
    <w:basedOn w:val="1"/>
    <w:qFormat/>
    <w:uiPriority w:val="34"/>
    <w:pPr>
      <w:ind w:firstLine="420" w:firstLineChars="200"/>
    </w:pPr>
  </w:style>
  <w:style w:type="character" w:customStyle="1" w:styleId="11">
    <w:name w:val="批注框文本 Char"/>
    <w:basedOn w:val="6"/>
    <w:link w:val="2"/>
    <w:semiHidden/>
    <w:qFormat/>
    <w:uiPriority w:val="99"/>
    <w:rPr>
      <w:sz w:val="18"/>
      <w:szCs w:val="18"/>
    </w:rPr>
  </w:style>
  <w:style w:type="character" w:customStyle="1" w:styleId="12">
    <w:name w:val="font01"/>
    <w:basedOn w:val="6"/>
    <w:qFormat/>
    <w:uiPriority w:val="0"/>
    <w:rPr>
      <w:rFonts w:hint="eastAsia" w:ascii="宋体" w:hAnsi="宋体" w:eastAsia="宋体" w:cs="宋体"/>
      <w:color w:val="000000"/>
      <w:sz w:val="22"/>
      <w:szCs w:val="22"/>
      <w:u w:val="none"/>
    </w:rPr>
  </w:style>
  <w:style w:type="character" w:customStyle="1" w:styleId="13">
    <w:name w:val="font21"/>
    <w:basedOn w:val="6"/>
    <w:qFormat/>
    <w:uiPriority w:val="0"/>
    <w:rPr>
      <w:rFonts w:hint="eastAsia" w:ascii="宋体" w:hAnsi="宋体" w:eastAsia="宋体" w:cs="宋体"/>
      <w:color w:val="000000"/>
      <w:sz w:val="24"/>
      <w:szCs w:val="24"/>
      <w:u w:val="none"/>
    </w:rPr>
  </w:style>
  <w:style w:type="character" w:customStyle="1" w:styleId="14">
    <w:name w:val="font1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5710</Words>
  <Characters>6763</Characters>
  <Lines>63</Lines>
  <Paragraphs>18</Paragraphs>
  <TotalTime>0</TotalTime>
  <ScaleCrop>false</ScaleCrop>
  <LinksUpToDate>false</LinksUpToDate>
  <CharactersWithSpaces>7642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2020-07-04T18:32:00Z</dcterms:created>
  <dc:creator>李航 null</dc:creator>
  <cp:lastModifiedBy>Administrator</cp:lastModifiedBy>
  <cp:lastPrinted>2023-08-15T09:28:00Z</cp:lastPrinted>
  <dcterms:modified xsi:type="dcterms:W3CDTF">2023-10-07T08:13:06Z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A6C2147F7CFE4AEDBB1D9E1DB40EB20A_12</vt:lpwstr>
  </property>
</Properties>
</file>