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sz w:val="48"/>
          <w:szCs w:val="48"/>
        </w:rPr>
      </w:pPr>
    </w:p>
    <w:p>
      <w:pPr>
        <w:pStyle w:val="11"/>
        <w:ind w:firstLine="3360" w:firstLineChars="700"/>
        <w:jc w:val="both"/>
        <w:rPr>
          <w:sz w:val="48"/>
          <w:szCs w:val="48"/>
        </w:rPr>
      </w:pPr>
      <w:r>
        <w:rPr>
          <w:rFonts w:hint="eastAsia"/>
          <w:sz w:val="48"/>
          <w:szCs w:val="48"/>
        </w:rPr>
        <w:t>新田县第一中学2022年度部门决算公开</w:t>
      </w: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Ansi="黑体"/>
          <w:bCs/>
          <w:sz w:val="28"/>
          <w:szCs w:val="28"/>
        </w:rPr>
      </w:pPr>
    </w:p>
    <w:p>
      <w:pPr>
        <w:pStyle w:val="11"/>
        <w:spacing w:line="500" w:lineRule="exact"/>
        <w:rPr>
          <w:rFonts w:hAnsi="黑体"/>
          <w:b/>
          <w:sz w:val="28"/>
          <w:szCs w:val="28"/>
        </w:rPr>
      </w:pPr>
      <w:r>
        <w:rPr>
          <w:rFonts w:hint="eastAsia" w:hAnsi="黑体"/>
          <w:b/>
          <w:sz w:val="28"/>
          <w:szCs w:val="28"/>
        </w:rPr>
        <w:t>第一部分新田县第一中学概况</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Ansi="黑体"/>
          <w:b/>
          <w:sz w:val="28"/>
          <w:szCs w:val="28"/>
        </w:rPr>
      </w:pPr>
      <w:r>
        <w:rPr>
          <w:rFonts w:hint="eastAsia" w:hAnsi="黑体"/>
          <w:b/>
          <w:sz w:val="28"/>
          <w:szCs w:val="28"/>
        </w:rPr>
        <w:t>第二部分部门决算表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Ansi="黑体"/>
          <w:bCs/>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Ansi="黑体"/>
          <w:b/>
          <w:sz w:val="28"/>
          <w:szCs w:val="28"/>
        </w:rPr>
      </w:pPr>
      <w:r>
        <w:rPr>
          <w:rFonts w:hint="eastAsia" w:hAnsi="黑体"/>
          <w:b/>
          <w:sz w:val="28"/>
          <w:szCs w:val="28"/>
        </w:rPr>
        <w:t>第三部分部门决算情况说明</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Ansi="黑体"/>
          <w:b/>
          <w:sz w:val="28"/>
          <w:szCs w:val="28"/>
        </w:rPr>
      </w:pPr>
      <w:r>
        <w:rPr>
          <w:rFonts w:hint="eastAsia" w:hAnsi="黑体"/>
          <w:b/>
          <w:sz w:val="28"/>
          <w:szCs w:val="28"/>
        </w:rPr>
        <w:t>第四部分名词解释</w:t>
      </w:r>
    </w:p>
    <w:p>
      <w:pPr>
        <w:pStyle w:val="11"/>
        <w:spacing w:line="500" w:lineRule="exact"/>
        <w:rPr>
          <w:rFonts w:hAnsi="黑体"/>
          <w:b/>
          <w:sz w:val="28"/>
          <w:szCs w:val="28"/>
        </w:rPr>
      </w:pPr>
      <w:r>
        <w:rPr>
          <w:rFonts w:hAnsi="黑体"/>
          <w:b/>
          <w:sz w:val="28"/>
          <w:szCs w:val="28"/>
        </w:rPr>
        <w:t>第五部分附件</w:t>
      </w:r>
    </w:p>
    <w:p>
      <w:pPr>
        <w:rPr>
          <w:rFonts w:ascii="黑体" w:hAnsi="黑体" w:eastAsia="黑体" w:cs="黑体"/>
          <w:b/>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ind w:firstLine="1108" w:firstLineChars="345"/>
        <w:rPr>
          <w:b/>
          <w:bCs/>
          <w:sz w:val="72"/>
          <w:szCs w:val="72"/>
        </w:rPr>
      </w:pPr>
      <w:r>
        <w:rPr>
          <w:rFonts w:hint="eastAsia" w:ascii="黑体" w:hAnsi="黑体" w:eastAsia="黑体" w:cs="黑体"/>
          <w:b/>
          <w:bCs/>
          <w:sz w:val="32"/>
          <w:szCs w:val="32"/>
        </w:rPr>
        <w:t>第一部分新田县第一中学概况</w:t>
      </w:r>
    </w:p>
    <w:p>
      <w:pPr>
        <w:pStyle w:val="12"/>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pStyle w:val="6"/>
        <w:spacing w:beforeAutospacing="0" w:afterAutospacing="0" w:line="30" w:lineRule="atLeast"/>
        <w:ind w:firstLine="320" w:firstLineChars="100"/>
        <w:jc w:val="both"/>
        <w:rPr>
          <w:rFonts w:asciiTheme="minorEastAsia" w:hAnsiTheme="minorEastAsia" w:cstheme="minorEastAsia"/>
          <w:sz w:val="28"/>
          <w:szCs w:val="28"/>
        </w:rPr>
      </w:pPr>
      <w:r>
        <w:rPr>
          <w:rFonts w:hint="eastAsia" w:ascii="仿宋" w:hAnsi="仿宋" w:eastAsia="仿宋" w:cs="仿宋_GB2312"/>
          <w:sz w:val="32"/>
          <w:szCs w:val="32"/>
        </w:rPr>
        <w:t xml:space="preserve">　 </w:t>
      </w:r>
      <w:r>
        <w:rPr>
          <w:rFonts w:hint="eastAsia" w:ascii="Times New Roman" w:hAnsi="Times New Roman" w:eastAsia="仿宋_GB2312" w:cs="仿宋_GB2312"/>
          <w:bCs/>
          <w:kern w:val="0"/>
          <w:sz w:val="32"/>
          <w:szCs w:val="32"/>
          <w:lang w:val="en-US" w:eastAsia="zh-CN" w:bidi="ar-SA"/>
        </w:rPr>
        <w:t xml:space="preserve"> 本单位主要职能是实施基础教育教学工作，促进基础教育发展，开展高中学历教育,初中学历教育。</w:t>
      </w:r>
    </w:p>
    <w:p>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pStyle w:val="6"/>
        <w:spacing w:beforeAutospacing="0" w:afterAutospacing="0" w:line="30" w:lineRule="atLeast"/>
        <w:ind w:firstLine="320" w:firstLineChars="10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内设机构设置。新田县第一中学内设机构包括：根据编委核定，我校属财政全额拨款事业单位，内设校长书记室、副校长室、工会、办公室、总务处、教务处、政教处、督导室、科研处、保卫处、信息管理中心、团委会。</w:t>
      </w:r>
    </w:p>
    <w:p>
      <w:pPr>
        <w:widowControl/>
        <w:spacing w:line="600" w:lineRule="exact"/>
        <w:ind w:firstLine="480" w:firstLineChars="15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（二）决算单位构成。新田县第一中学2022年部门决算汇总公开单位构成包括：新田县第一中学本级。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p>
      <w:pPr>
        <w:rPr>
          <w:sz w:val="72"/>
          <w:szCs w:val="72"/>
        </w:rPr>
      </w:pPr>
    </w:p>
    <w:tbl>
      <w:tblPr>
        <w:tblStyle w:val="7"/>
        <w:tblW w:w="15702" w:type="dxa"/>
        <w:tblInd w:w="317" w:type="dxa"/>
        <w:tblLayout w:type="autofit"/>
        <w:tblCellMar>
          <w:top w:w="0" w:type="dxa"/>
          <w:left w:w="0" w:type="dxa"/>
          <w:bottom w:w="0" w:type="dxa"/>
          <w:right w:w="0" w:type="dxa"/>
        </w:tblCellMar>
      </w:tblPr>
      <w:tblGrid>
        <w:gridCol w:w="244"/>
        <w:gridCol w:w="521"/>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594"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Layout w:type="autofit"/>
              <w:tblCellMar>
                <w:top w:w="0" w:type="dxa"/>
                <w:left w:w="108" w:type="dxa"/>
                <w:bottom w:w="0" w:type="dxa"/>
                <w:right w:w="108" w:type="dxa"/>
              </w:tblCellMar>
            </w:tblPr>
            <w:tblGrid>
              <w:gridCol w:w="4478"/>
              <w:gridCol w:w="616"/>
              <w:gridCol w:w="1397"/>
              <w:gridCol w:w="5079"/>
              <w:gridCol w:w="1157"/>
              <w:gridCol w:w="491"/>
              <w:gridCol w:w="495"/>
              <w:gridCol w:w="1848"/>
            </w:tblGrid>
            <w:tr>
              <w:tblPrEx>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r>
                    <w:rPr>
                      <w:rFonts w:hint="eastAsia" w:ascii="黑体" w:hAnsi="黑体" w:eastAsia="黑体" w:cs="黑体"/>
                      <w:b/>
                      <w:bCs/>
                      <w:sz w:val="32"/>
                      <w:szCs w:val="32"/>
                    </w:rPr>
                    <w:t>第二部分部门决算表</w:t>
                  </w:r>
                </w:p>
              </w:tc>
              <w:tc>
                <w:tcPr>
                  <w:tcW w:w="194" w:type="pct"/>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453" w:type="pct"/>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637" w:type="pct"/>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524" w:type="pct"/>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745" w:type="pct"/>
                  <w:gridSpan w:val="2"/>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94"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53"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637"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524" w:type="pct"/>
                  <w:gridSpan w:val="2"/>
                  <w:tcBorders>
                    <w:top w:val="nil"/>
                    <w:left w:val="nil"/>
                    <w:bottom w:val="nil"/>
                    <w:right w:val="nil"/>
                  </w:tcBorders>
                  <w:shd w:val="clear" w:color="auto" w:fill="FFFFFF"/>
                  <w:noWrap/>
                  <w:vAlign w:val="center"/>
                </w:tcPr>
                <w:p>
                  <w:pPr>
                    <w:ind w:right="240"/>
                    <w:jc w:val="right"/>
                    <w:rPr>
                      <w:rFonts w:ascii="宋体" w:hAnsi="宋体" w:eastAsia="宋体" w:cs="宋体"/>
                      <w:color w:val="000000"/>
                      <w:sz w:val="24"/>
                      <w:szCs w:val="24"/>
                    </w:rPr>
                  </w:pPr>
                </w:p>
              </w:tc>
              <w:tc>
                <w:tcPr>
                  <w:tcW w:w="745" w:type="pct"/>
                  <w:gridSpan w:val="2"/>
                  <w:tcBorders>
                    <w:top w:val="nil"/>
                    <w:left w:val="nil"/>
                    <w:bottom w:val="nil"/>
                    <w:right w:val="nil"/>
                  </w:tcBorders>
                  <w:shd w:val="clear" w:color="auto" w:fill="FFFFFF"/>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新田县第一中学</w:t>
                  </w:r>
                </w:p>
              </w:tc>
              <w:tc>
                <w:tcPr>
                  <w:tcW w:w="194"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53"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637"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524" w:type="pct"/>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745" w:type="pct"/>
                  <w:gridSpan w:val="2"/>
                  <w:tcBorders>
                    <w:top w:val="nil"/>
                    <w:left w:val="nil"/>
                    <w:bottom w:val="nil"/>
                    <w:right w:val="nil"/>
                  </w:tcBorders>
                  <w:shd w:val="clear" w:color="auto" w:fill="FFFFFF"/>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4494.43</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1035.31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6107.59</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5529.74</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6107.59</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577.85</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6107.59</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color w:val="000000"/>
                      <w:sz w:val="22"/>
                    </w:rPr>
                  </w:pPr>
                  <w:r>
                    <w:rPr>
                      <w:rFonts w:hint="eastAsia" w:ascii="宋体" w:hAnsi="宋体" w:eastAsia="宋体" w:cs="宋体"/>
                      <w:color w:val="000000"/>
                      <w:sz w:val="22"/>
                    </w:rPr>
                    <w:t>6107.59</w:t>
                  </w:r>
                </w:p>
              </w:tc>
            </w:tr>
            <w:tr>
              <w:tblPrEx>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ascii="华文中宋" w:hAnsi="华文中宋" w:eastAsia="华文中宋"/>
                <w:color w:val="000000"/>
                <w:sz w:val="32"/>
                <w:szCs w:val="32"/>
              </w:rPr>
            </w:pPr>
          </w:p>
          <w:p>
            <w:pPr>
              <w:jc w:val="center"/>
              <w:rPr>
                <w:rFonts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2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76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Times New Roman" w:hAnsi="Times New Roman" w:eastAsia="仿宋_GB2312" w:cs="Times New Roman"/>
                <w:color w:val="000000"/>
                <w:kern w:val="0"/>
                <w:szCs w:val="21"/>
              </w:rPr>
              <w:t>新田县第一中学</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10"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6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1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1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5529.74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4494.43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1035.31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w:t>
            </w:r>
            <w:r>
              <w:rPr>
                <w:rFonts w:ascii="Times New Roman" w:hAnsi="Times New Roman" w:eastAsia="仿宋_GB2312" w:cs="Times New Roman"/>
                <w:kern w:val="0"/>
                <w:szCs w:val="21"/>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教育支出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5529.74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4494.43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1035.31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普通教育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sz w:val="24"/>
                <w:szCs w:val="24"/>
              </w:rPr>
            </w:pPr>
            <w:r>
              <w:rPr>
                <w:rFonts w:hint="eastAsia"/>
              </w:rPr>
              <w:t>5529.74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4494.43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1035.31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2050204</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高中教育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5529.74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4494.43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1035.31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594"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ascii="宋体" w:hAnsi="宋体" w:eastAsia="宋体" w:cs="宋体"/>
                <w:color w:val="000000"/>
                <w:kern w:val="0"/>
                <w:sz w:val="20"/>
                <w:szCs w:val="20"/>
              </w:rPr>
              <w:pict>
                <v:rect id="_x0000_s2050" o:spid="_x0000_s2050" o:spt="1" style="position:absolute;left:0pt;margin-left:35.55pt;margin-top:14.4pt;height:20.35pt;width:97.15pt;z-index:251659264;mso-width-relative:page;mso-height-relative:page;" stroked="f" coordsize="21600,21600">
                  <v:path/>
                  <v:fill focussize="0,0"/>
                  <v:stroke on="f"/>
                  <v:imagedata o:title=""/>
                  <o:lock v:ext="edit"/>
                  <v:textbox>
                    <w:txbxContent>
                      <w:p>
                        <w:r>
                          <w:rPr>
                            <w:rFonts w:hint="eastAsia"/>
                          </w:rPr>
                          <w:t>新田县第一中学</w:t>
                        </w:r>
                      </w:p>
                    </w:txbxContent>
                  </v:textbox>
                </v:rect>
              </w:pict>
            </w: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8" w:hRule="atLeast"/>
        </w:trPr>
        <w:tc>
          <w:tcPr>
            <w:tcW w:w="1259" w:type="dxa"/>
            <w:tcBorders>
              <w:top w:val="nil"/>
              <w:left w:val="nil"/>
              <w:bottom w:val="nil"/>
              <w:right w:val="nil"/>
            </w:tcBorders>
            <w:shd w:val="clear" w:color="000000" w:fill="FFFFFF"/>
            <w:noWrap/>
            <w:vAlign w:val="center"/>
          </w:tcPr>
          <w:p>
            <w:pPr>
              <w:widowControl/>
              <w:ind w:left="700" w:hanging="700" w:hangingChars="35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 </w:t>
            </w:r>
          </w:p>
        </w:tc>
        <w:tc>
          <w:tcPr>
            <w:tcW w:w="240" w:type="dxa"/>
            <w:tcBorders>
              <w:top w:val="nil"/>
              <w:left w:val="nil"/>
              <w:bottom w:val="nil"/>
              <w:right w:val="nil"/>
            </w:tcBorders>
            <w:shd w:val="clear" w:color="000000" w:fill="FFFFFF"/>
            <w:noWrap/>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ind w:right="480"/>
              <w:rPr>
                <w:rFonts w:ascii="宋体" w:hAnsi="宋体" w:eastAsia="宋体" w:cs="宋体"/>
                <w:kern w:val="0"/>
                <w:sz w:val="24"/>
                <w:szCs w:val="24"/>
              </w:rPr>
            </w:pP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6107.59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5839.4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268.2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w:t>
            </w:r>
            <w:r>
              <w:rPr>
                <w:rFonts w:ascii="Times New Roman" w:hAnsi="Times New Roman" w:eastAsia="仿宋_GB2312" w:cs="Times New Roman"/>
                <w:kern w:val="0"/>
                <w:szCs w:val="21"/>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教育支出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6107.59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5839.4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268.2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普通教育</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6107.59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5839.4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268.2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2050204</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高中教育</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6107.59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5839.4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268.2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新田县第一中学</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4494.43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5072.28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5072.28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4494.43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5072.28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5072.28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577.85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577.85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5072.28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5072.28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5072.28</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新田县第一中学</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5072.28</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4963.02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109.26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5072.28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4963.02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109.26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普通教育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5072.28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4963.02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109.26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2050204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高中教育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5072.28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4963.02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109.26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15839" w:type="dxa"/>
        <w:tblInd w:w="0" w:type="dxa"/>
        <w:tblLayout w:type="autofit"/>
        <w:tblCellMar>
          <w:top w:w="0" w:type="dxa"/>
          <w:left w:w="108" w:type="dxa"/>
          <w:bottom w:w="0" w:type="dxa"/>
          <w:right w:w="108" w:type="dxa"/>
        </w:tblCellMar>
      </w:tblPr>
      <w:tblGrid>
        <w:gridCol w:w="956"/>
        <w:gridCol w:w="239"/>
        <w:gridCol w:w="102"/>
        <w:gridCol w:w="1243"/>
        <w:gridCol w:w="1950"/>
        <w:gridCol w:w="109"/>
        <w:gridCol w:w="947"/>
        <w:gridCol w:w="1162"/>
        <w:gridCol w:w="305"/>
        <w:gridCol w:w="1900"/>
        <w:gridCol w:w="169"/>
        <w:gridCol w:w="822"/>
        <w:gridCol w:w="1092"/>
        <w:gridCol w:w="353"/>
        <w:gridCol w:w="2007"/>
        <w:gridCol w:w="1637"/>
        <w:gridCol w:w="458"/>
        <w:gridCol w:w="388"/>
      </w:tblGrid>
      <w:tr>
        <w:tblPrEx>
          <w:tblCellMar>
            <w:top w:w="0" w:type="dxa"/>
            <w:left w:w="108" w:type="dxa"/>
            <w:bottom w:w="0" w:type="dxa"/>
            <w:right w:w="108" w:type="dxa"/>
          </w:tblCellMar>
        </w:tblPrEx>
        <w:trPr>
          <w:trHeight w:val="113" w:hRule="atLeast"/>
        </w:trPr>
        <w:tc>
          <w:tcPr>
            <w:tcW w:w="15839"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新田县第一中学公开06表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9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4285.777</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526.22</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1607.84</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84.86</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59.4</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531.48</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118.43</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1120.03</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21.4</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68.99</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338.04</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61.61</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31.18</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168.64</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24.97</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181.67</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9.54</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225.18</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63.94</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103.35</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32.6</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99.8</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4.94</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6.32</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18.25</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14.32</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0.8</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18.5</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66.73</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2.04</w:t>
            </w: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9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26.16</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49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4318.37</w:t>
            </w:r>
          </w:p>
        </w:tc>
        <w:tc>
          <w:tcPr>
            <w:tcW w:w="944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r>
              <w:rPr>
                <w:rFonts w:hint="eastAsia" w:ascii="宋体" w:hAnsi="宋体" w:eastAsia="宋体" w:cs="宋体"/>
                <w:color w:val="000000"/>
                <w:kern w:val="0"/>
                <w:szCs w:val="18"/>
              </w:rPr>
              <w:t>644.65</w:t>
            </w:r>
          </w:p>
        </w:tc>
      </w:tr>
      <w:tr>
        <w:tblPrEx>
          <w:tblCellMar>
            <w:top w:w="0" w:type="dxa"/>
            <w:left w:w="108" w:type="dxa"/>
            <w:bottom w:w="0" w:type="dxa"/>
            <w:right w:w="108" w:type="dxa"/>
          </w:tblCellMar>
        </w:tblPrEx>
        <w:trPr>
          <w:trHeight w:val="284" w:hRule="exact"/>
        </w:trPr>
        <w:tc>
          <w:tcPr>
            <w:tcW w:w="15839"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388" w:type="dxa"/>
          <w:trHeight w:val="690" w:hRule="atLeast"/>
        </w:trPr>
        <w:tc>
          <w:tcPr>
            <w:tcW w:w="15451"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108" w:type="dxa"/>
            <w:bottom w:w="0" w:type="dxa"/>
            <w:right w:w="108" w:type="dxa"/>
          </w:tblCellMar>
        </w:tblPrEx>
        <w:trPr>
          <w:gridAfter w:val="1"/>
          <w:wAfter w:w="388" w:type="dxa"/>
          <w:trHeight w:val="345" w:hRule="atLeast"/>
        </w:trPr>
        <w:tc>
          <w:tcPr>
            <w:tcW w:w="95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39"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345"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05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414"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6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67"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07"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95"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gridAfter w:val="1"/>
          <w:wAfter w:w="388" w:type="dxa"/>
          <w:trHeight w:val="690" w:hRule="atLeast"/>
        </w:trPr>
        <w:tc>
          <w:tcPr>
            <w:tcW w:w="4599" w:type="dxa"/>
            <w:gridSpan w:val="6"/>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新田县第一中学</w:t>
            </w:r>
          </w:p>
        </w:tc>
        <w:tc>
          <w:tcPr>
            <w:tcW w:w="2414"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6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67"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07"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95"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388" w:type="dxa"/>
          <w:trHeight w:val="459" w:hRule="atLeast"/>
        </w:trPr>
        <w:tc>
          <w:tcPr>
            <w:tcW w:w="2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5"/>
                <w:rFonts w:hint="default"/>
              </w:rPr>
              <w:t>目</w:t>
            </w:r>
          </w:p>
        </w:tc>
        <w:tc>
          <w:tcPr>
            <w:tcW w:w="20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4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0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CellMar>
            <w:top w:w="0" w:type="dxa"/>
            <w:left w:w="108" w:type="dxa"/>
            <w:bottom w:w="0" w:type="dxa"/>
            <w:right w:w="108" w:type="dxa"/>
          </w:tblCellMar>
        </w:tblPrEx>
        <w:trPr>
          <w:gridAfter w:val="1"/>
          <w:wAfter w:w="388" w:type="dxa"/>
          <w:trHeight w:val="609" w:hRule="atLeast"/>
        </w:trPr>
        <w:tc>
          <w:tcPr>
            <w:tcW w:w="1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4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2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88" w:type="dxa"/>
          <w:trHeight w:val="409" w:hRule="atLeast"/>
        </w:trPr>
        <w:tc>
          <w:tcPr>
            <w:tcW w:w="1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4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88" w:type="dxa"/>
          <w:trHeight w:val="509" w:hRule="atLeast"/>
        </w:trPr>
        <w:tc>
          <w:tcPr>
            <w:tcW w:w="1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4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88" w:type="dxa"/>
          <w:trHeight w:val="509" w:hRule="atLeast"/>
        </w:trPr>
        <w:tc>
          <w:tcPr>
            <w:tcW w:w="2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CellMar>
            <w:top w:w="0" w:type="dxa"/>
            <w:left w:w="108" w:type="dxa"/>
            <w:bottom w:w="0" w:type="dxa"/>
            <w:right w:w="108" w:type="dxa"/>
          </w:tblCellMar>
        </w:tblPrEx>
        <w:trPr>
          <w:gridAfter w:val="1"/>
          <w:wAfter w:w="388" w:type="dxa"/>
          <w:trHeight w:val="509" w:hRule="atLeast"/>
        </w:trPr>
        <w:tc>
          <w:tcPr>
            <w:tcW w:w="2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r>
      <w:tr>
        <w:tblPrEx>
          <w:tblCellMar>
            <w:top w:w="0" w:type="dxa"/>
            <w:left w:w="108" w:type="dxa"/>
            <w:bottom w:w="0" w:type="dxa"/>
            <w:right w:w="108" w:type="dxa"/>
          </w:tblCellMar>
        </w:tblPrEx>
        <w:trPr>
          <w:gridAfter w:val="1"/>
          <w:wAfter w:w="38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仿宋_GB2312" w:cs="Times New Roman"/>
                <w:kern w:val="0"/>
                <w:szCs w:val="21"/>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仿宋_GB2312" w:cs="Times New Roman"/>
                <w:kern w:val="0"/>
                <w:szCs w:val="21"/>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8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8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8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8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8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88" w:type="dxa"/>
          <w:trHeight w:val="725" w:hRule="atLeast"/>
        </w:trPr>
        <w:tc>
          <w:tcPr>
            <w:tcW w:w="15451" w:type="dxa"/>
            <w:gridSpan w:val="1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7"/>
        <w:tblW w:w="15120" w:type="dxa"/>
        <w:tblInd w:w="93" w:type="dxa"/>
        <w:tblLayout w:type="autofit"/>
        <w:tblCellMar>
          <w:top w:w="0" w:type="dxa"/>
          <w:left w:w="108" w:type="dxa"/>
          <w:bottom w:w="0" w:type="dxa"/>
          <w:right w:w="108" w:type="dxa"/>
        </w:tblCellMar>
      </w:tblPr>
      <w:tblGrid>
        <w:gridCol w:w="2286"/>
        <w:gridCol w:w="659"/>
        <w:gridCol w:w="2132"/>
        <w:gridCol w:w="3065"/>
        <w:gridCol w:w="3065"/>
        <w:gridCol w:w="3913"/>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228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659"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13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06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06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新田县第一中学</w:t>
            </w:r>
          </w:p>
        </w:tc>
        <w:tc>
          <w:tcPr>
            <w:tcW w:w="659"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13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06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06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48" w:hRule="atLeast"/>
        </w:trPr>
        <w:tc>
          <w:tcPr>
            <w:tcW w:w="5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6"/>
                <w:rFonts w:hint="default"/>
              </w:rPr>
              <w:t>目</w:t>
            </w:r>
          </w:p>
        </w:tc>
        <w:tc>
          <w:tcPr>
            <w:tcW w:w="10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CellMar>
            <w:top w:w="0" w:type="dxa"/>
            <w:left w:w="108" w:type="dxa"/>
            <w:bottom w:w="0" w:type="dxa"/>
            <w:right w:w="108" w:type="dxa"/>
          </w:tblCellMar>
        </w:tblPrEx>
        <w:trPr>
          <w:trHeight w:val="548" w:hRule="atLeast"/>
        </w:trPr>
        <w:tc>
          <w:tcPr>
            <w:tcW w:w="29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3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CellMar>
            <w:top w:w="0" w:type="dxa"/>
            <w:left w:w="108" w:type="dxa"/>
            <w:bottom w:w="0" w:type="dxa"/>
            <w:right w:w="108" w:type="dxa"/>
          </w:tblCellMar>
        </w:tblPrEx>
        <w:trPr>
          <w:trHeight w:val="548" w:hRule="atLeast"/>
        </w:trPr>
        <w:tc>
          <w:tcPr>
            <w:tcW w:w="2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5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48" w:hRule="atLeast"/>
        </w:trPr>
        <w:tc>
          <w:tcPr>
            <w:tcW w:w="5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r>
      <w:tr>
        <w:tblPrEx>
          <w:tblCellMar>
            <w:top w:w="0" w:type="dxa"/>
            <w:left w:w="108" w:type="dxa"/>
            <w:bottom w:w="0" w:type="dxa"/>
            <w:right w:w="108" w:type="dxa"/>
          </w:tblCellMar>
        </w:tblPrEx>
        <w:trPr>
          <w:trHeight w:val="548" w:hRule="atLeast"/>
        </w:trPr>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仿宋_GB2312" w:cs="Times New Roman"/>
                <w:kern w:val="0"/>
                <w:szCs w:val="21"/>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仿宋_GB2312" w:cs="Times New Roman"/>
                <w:kern w:val="0"/>
                <w:szCs w:val="21"/>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w:t>
            </w:r>
          </w:p>
        </w:tc>
      </w:tr>
    </w:tbl>
    <w:p>
      <w:pPr>
        <w:widowControl/>
        <w:jc w:val="center"/>
        <w:rPr>
          <w:rFonts w:ascii="Times New Roman" w:hAnsi="Times New Roman" w:eastAsia="方正小标宋_GBK" w:cs="Times New Roman"/>
          <w:color w:val="000000"/>
          <w:kern w:val="0"/>
          <w:sz w:val="36"/>
          <w:szCs w:val="36"/>
        </w:rPr>
      </w:pPr>
    </w:p>
    <w:tbl>
      <w:tblPr>
        <w:tblStyle w:val="7"/>
        <w:tblW w:w="15140" w:type="dxa"/>
        <w:tblInd w:w="93" w:type="dxa"/>
        <w:tblLayout w:type="autofit"/>
        <w:tblCellMar>
          <w:top w:w="0" w:type="dxa"/>
          <w:left w:w="108" w:type="dxa"/>
          <w:bottom w:w="0" w:type="dxa"/>
          <w:right w:w="108" w:type="dxa"/>
        </w:tblCellMar>
      </w:tblPr>
      <w:tblGrid>
        <w:gridCol w:w="2286"/>
        <w:gridCol w:w="1207"/>
        <w:gridCol w:w="1147"/>
        <w:gridCol w:w="1147"/>
        <w:gridCol w:w="1147"/>
        <w:gridCol w:w="1147"/>
        <w:gridCol w:w="1147"/>
        <w:gridCol w:w="1208"/>
        <w:gridCol w:w="1147"/>
        <w:gridCol w:w="1147"/>
        <w:gridCol w:w="1147"/>
        <w:gridCol w:w="1263"/>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新田县第一中学</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839"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3</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11"/>
        <w:ind w:firstLine="411" w:firstLineChars="147"/>
        <w:rPr>
          <w:b/>
          <w:bCs/>
          <w:sz w:val="28"/>
          <w:szCs w:val="28"/>
        </w:rPr>
      </w:pPr>
      <w:r>
        <w:rPr>
          <w:rFonts w:hint="eastAsia"/>
          <w:b/>
          <w:bCs/>
          <w:sz w:val="28"/>
          <w:szCs w:val="28"/>
        </w:rPr>
        <w:t>第三部分 2022年度部门决算情况说明</w:t>
      </w:r>
    </w:p>
    <w:p>
      <w:pPr>
        <w:pStyle w:val="11"/>
        <w:spacing w:line="600" w:lineRule="exact"/>
        <w:ind w:firstLine="560" w:firstLineChars="200"/>
        <w:rPr>
          <w:rFonts w:hAnsi="黑体"/>
          <w:bCs/>
          <w:sz w:val="28"/>
          <w:szCs w:val="28"/>
        </w:rPr>
      </w:pPr>
      <w:r>
        <w:rPr>
          <w:rFonts w:hint="eastAsia" w:hAnsi="黑体"/>
          <w:bCs/>
          <w:sz w:val="28"/>
          <w:szCs w:val="28"/>
        </w:rPr>
        <w:t>一、收入支出决算总体情况说明</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本单位2022年收</w:t>
      </w:r>
      <w:r>
        <w:rPr>
          <w:rFonts w:hint="eastAsia" w:ascii="仿宋_GB2312" w:eastAsia="仿宋_GB2312"/>
          <w:sz w:val="28"/>
          <w:szCs w:val="28"/>
          <w:lang w:eastAsia="zh-CN"/>
        </w:rPr>
        <w:t>、</w:t>
      </w:r>
      <w:r>
        <w:rPr>
          <w:rFonts w:hint="eastAsia" w:ascii="仿宋_GB2312" w:eastAsia="仿宋_GB2312"/>
          <w:sz w:val="28"/>
          <w:szCs w:val="28"/>
        </w:rPr>
        <w:t>支</w:t>
      </w:r>
      <w:r>
        <w:rPr>
          <w:rFonts w:hint="eastAsia" w:ascii="仿宋_GB2312" w:eastAsia="仿宋_GB2312"/>
          <w:sz w:val="28"/>
          <w:szCs w:val="28"/>
          <w:lang w:eastAsia="zh-CN"/>
        </w:rPr>
        <w:t>总计</w:t>
      </w:r>
      <w:r>
        <w:rPr>
          <w:rFonts w:hint="eastAsia" w:ascii="仿宋_GB2312" w:eastAsia="仿宋_GB2312"/>
          <w:sz w:val="28"/>
          <w:szCs w:val="28"/>
        </w:rPr>
        <w:t>6107.59万元。与上年相比增加了791.29万元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14.88%</w:t>
      </w:r>
      <w:r>
        <w:rPr>
          <w:rFonts w:hint="eastAsia" w:ascii="仿宋_GB2312" w:eastAsia="仿宋_GB2312"/>
          <w:sz w:val="28"/>
          <w:szCs w:val="28"/>
        </w:rPr>
        <w:t>。增加的原因为：本年度人员经费支出增加，主要原因是课后服务费的列支。</w:t>
      </w:r>
    </w:p>
    <w:p>
      <w:pPr>
        <w:pStyle w:val="11"/>
        <w:spacing w:line="600" w:lineRule="exact"/>
        <w:ind w:firstLine="560" w:firstLineChars="200"/>
        <w:rPr>
          <w:rFonts w:hAnsi="黑体"/>
          <w:bCs/>
          <w:sz w:val="28"/>
          <w:szCs w:val="28"/>
        </w:rPr>
      </w:pPr>
      <w:r>
        <w:rPr>
          <w:rFonts w:hint="eastAsia" w:hAnsi="黑体"/>
          <w:bCs/>
          <w:sz w:val="28"/>
          <w:szCs w:val="28"/>
        </w:rPr>
        <w:t>二、收入决算情况说明</w:t>
      </w:r>
    </w:p>
    <w:p>
      <w:pPr>
        <w:pStyle w:val="11"/>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2022年度收入合计</w:t>
      </w:r>
      <w:r>
        <w:rPr>
          <w:rFonts w:hint="eastAsia" w:ascii="Times New Roman" w:hAnsi="Times New Roman" w:eastAsia="仿宋_GB2312"/>
          <w:sz w:val="28"/>
          <w:szCs w:val="28"/>
          <w:lang w:val="en-US" w:eastAsia="zh-CN"/>
        </w:rPr>
        <w:t>5529.74</w:t>
      </w:r>
      <w:r>
        <w:rPr>
          <w:rFonts w:hint="eastAsia" w:ascii="Times New Roman" w:hAnsi="Times New Roman" w:eastAsia="仿宋_GB2312"/>
          <w:sz w:val="28"/>
          <w:szCs w:val="28"/>
        </w:rPr>
        <w:t>万元，其中：财政拨款收入</w:t>
      </w:r>
      <w:r>
        <w:rPr>
          <w:rFonts w:hint="eastAsia" w:ascii="Times New Roman" w:hAnsi="Times New Roman" w:eastAsia="仿宋_GB2312"/>
          <w:sz w:val="28"/>
          <w:szCs w:val="28"/>
          <w:lang w:val="en-US" w:eastAsia="zh-CN"/>
        </w:rPr>
        <w:t>4494.43</w:t>
      </w:r>
      <w:r>
        <w:rPr>
          <w:rFonts w:hint="eastAsia" w:ascii="Times New Roman" w:hAnsi="Times New Roman" w:eastAsia="仿宋_GB2312"/>
          <w:sz w:val="28"/>
          <w:szCs w:val="28"/>
        </w:rPr>
        <w:t>万元，占8</w:t>
      </w:r>
      <w:r>
        <w:rPr>
          <w:rFonts w:hint="eastAsia" w:ascii="Times New Roman" w:hAnsi="Times New Roman" w:eastAsia="仿宋_GB2312"/>
          <w:sz w:val="28"/>
          <w:szCs w:val="28"/>
          <w:lang w:val="en-US" w:eastAsia="zh-CN"/>
        </w:rPr>
        <w:t>1.28</w:t>
      </w:r>
      <w:r>
        <w:rPr>
          <w:rFonts w:hint="eastAsia" w:ascii="Times New Roman" w:hAnsi="Times New Roman" w:eastAsia="仿宋_GB2312"/>
          <w:sz w:val="28"/>
          <w:szCs w:val="28"/>
        </w:rPr>
        <w:t>%；上级补助收入0万元，占0%；事业收入1035.31万元，占</w:t>
      </w:r>
      <w:r>
        <w:rPr>
          <w:rFonts w:hint="eastAsia" w:ascii="Times New Roman" w:hAnsi="Times New Roman" w:eastAsia="仿宋_GB2312"/>
          <w:sz w:val="28"/>
          <w:szCs w:val="28"/>
          <w:lang w:val="en-US" w:eastAsia="zh-CN"/>
        </w:rPr>
        <w:t>18.72</w:t>
      </w:r>
      <w:r>
        <w:rPr>
          <w:rFonts w:hint="eastAsia" w:ascii="Times New Roman" w:hAnsi="Times New Roman" w:eastAsia="仿宋_GB2312"/>
          <w:sz w:val="28"/>
          <w:szCs w:val="28"/>
        </w:rPr>
        <w:t>%；经营收入0万元，占0%；附属单位上缴收入0万元，占0%；其他收入0万元，占0%。</w:t>
      </w:r>
    </w:p>
    <w:p>
      <w:pPr>
        <w:pStyle w:val="11"/>
        <w:spacing w:line="600" w:lineRule="exact"/>
        <w:ind w:firstLine="560" w:firstLineChars="200"/>
        <w:rPr>
          <w:rFonts w:hAnsi="黑体"/>
          <w:bCs/>
          <w:sz w:val="28"/>
          <w:szCs w:val="28"/>
        </w:rPr>
      </w:pPr>
      <w:r>
        <w:rPr>
          <w:rFonts w:hint="eastAsia" w:hAnsi="黑体"/>
          <w:bCs/>
          <w:sz w:val="28"/>
          <w:szCs w:val="28"/>
        </w:rPr>
        <w:t>三、支出决算情况说明</w:t>
      </w:r>
    </w:p>
    <w:p>
      <w:pPr>
        <w:pStyle w:val="11"/>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2022年度支出合计6107.59万元，其中</w:t>
      </w:r>
      <w:r>
        <w:rPr>
          <w:rFonts w:hint="eastAsia" w:ascii="Times New Roman" w:hAnsi="Times New Roman" w:eastAsia="仿宋_GB2312"/>
          <w:color w:val="auto"/>
          <w:sz w:val="28"/>
          <w:szCs w:val="28"/>
        </w:rPr>
        <w:t>：基本支出5839.4万元，占95.6%；项目支出268.2万元，占4.4%；</w:t>
      </w:r>
      <w:r>
        <w:rPr>
          <w:rFonts w:hint="eastAsia" w:ascii="Times New Roman" w:hAnsi="Times New Roman" w:eastAsia="仿宋_GB2312"/>
          <w:sz w:val="28"/>
          <w:szCs w:val="28"/>
        </w:rPr>
        <w:t>上缴上级支出0万元，占0%；经营支出0万元，占0%；对附属单位补助支出0万元，占0%。</w:t>
      </w:r>
    </w:p>
    <w:p>
      <w:pPr>
        <w:pStyle w:val="11"/>
        <w:spacing w:line="600" w:lineRule="exact"/>
        <w:ind w:firstLine="560" w:firstLineChars="200"/>
        <w:rPr>
          <w:rFonts w:hAnsi="黑体"/>
          <w:bCs/>
          <w:sz w:val="28"/>
          <w:szCs w:val="28"/>
        </w:rPr>
      </w:pPr>
      <w:r>
        <w:rPr>
          <w:rFonts w:hint="eastAsia" w:hAnsi="黑体"/>
          <w:bCs/>
          <w:sz w:val="28"/>
          <w:szCs w:val="28"/>
        </w:rPr>
        <w:t>四、财政拨款收入支出决算总体情况说明</w:t>
      </w:r>
    </w:p>
    <w:p>
      <w:pPr>
        <w:snapToGrid w:val="0"/>
        <w:spacing w:line="520" w:lineRule="exact"/>
        <w:ind w:firstLine="560" w:firstLineChars="200"/>
        <w:rPr>
          <w:rFonts w:ascii="Times New Roman" w:hAnsi="Times New Roman" w:eastAsia="仿宋_GB2312" w:cs="黑体"/>
          <w:color w:val="000000"/>
          <w:kern w:val="0"/>
          <w:sz w:val="28"/>
          <w:szCs w:val="28"/>
        </w:rPr>
      </w:pPr>
      <w:r>
        <w:rPr>
          <w:rFonts w:hint="eastAsia" w:ascii="Times New Roman" w:hAnsi="Times New Roman" w:eastAsia="仿宋_GB2312" w:cs="黑体"/>
          <w:color w:val="000000"/>
          <w:kern w:val="0"/>
          <w:sz w:val="28"/>
          <w:szCs w:val="28"/>
        </w:rPr>
        <w:t>2022年度财政拨款收入</w:t>
      </w:r>
      <w:r>
        <w:rPr>
          <w:rFonts w:hint="eastAsia" w:ascii="Times New Roman" w:hAnsi="Times New Roman" w:eastAsia="仿宋_GB2312" w:cs="黑体"/>
          <w:color w:val="auto"/>
          <w:kern w:val="0"/>
          <w:sz w:val="28"/>
          <w:szCs w:val="28"/>
        </w:rPr>
        <w:t>总计5072.28万元、支出总计5072.28万元，与上年</w:t>
      </w:r>
      <w:r>
        <w:rPr>
          <w:rFonts w:hint="eastAsia" w:ascii="Times New Roman" w:hAnsi="Times New Roman" w:eastAsia="仿宋_GB2312" w:cs="黑体"/>
          <w:color w:val="000000"/>
          <w:kern w:val="0"/>
          <w:sz w:val="28"/>
          <w:szCs w:val="28"/>
        </w:rPr>
        <w:t>相比减少了187.4万元，减少3.6%，减少的原因为：本年度公用经费支出减少了。</w:t>
      </w:r>
    </w:p>
    <w:p>
      <w:pPr>
        <w:pStyle w:val="11"/>
        <w:spacing w:line="600" w:lineRule="exact"/>
        <w:ind w:firstLine="560" w:firstLineChars="200"/>
        <w:rPr>
          <w:rFonts w:hAnsi="黑体"/>
          <w:bCs/>
          <w:sz w:val="28"/>
          <w:szCs w:val="28"/>
        </w:rPr>
      </w:pPr>
      <w:r>
        <w:rPr>
          <w:rFonts w:hint="eastAsia" w:hAnsi="黑体"/>
          <w:bCs/>
          <w:sz w:val="28"/>
          <w:szCs w:val="28"/>
        </w:rPr>
        <w:t>五、一般公共预算财政拨款支出决算情况说明</w:t>
      </w:r>
    </w:p>
    <w:p>
      <w:pPr>
        <w:pStyle w:val="11"/>
        <w:spacing w:line="600" w:lineRule="exact"/>
        <w:ind w:firstLine="560" w:firstLineChars="200"/>
        <w:rPr>
          <w:rFonts w:ascii="楷体" w:hAnsi="楷体" w:eastAsia="楷体" w:cs="楷体"/>
          <w:bCs/>
          <w:sz w:val="28"/>
          <w:szCs w:val="28"/>
        </w:rPr>
      </w:pPr>
      <w:r>
        <w:rPr>
          <w:rFonts w:hint="eastAsia" w:ascii="楷体" w:hAnsi="楷体" w:eastAsia="楷体" w:cs="楷体"/>
          <w:bCs/>
          <w:sz w:val="28"/>
          <w:szCs w:val="28"/>
        </w:rPr>
        <w:t>（一）财政拨款支出决算总体情况</w:t>
      </w:r>
    </w:p>
    <w:p>
      <w:pPr>
        <w:pStyle w:val="11"/>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rPr>
        <w:t>2022年度财政拨款支出5072.28万元，占本年支出合计的83%，与上年相比增加了390.5万元，增加了8.3%。主要是因为人员经费的增加。</w:t>
      </w:r>
    </w:p>
    <w:p>
      <w:pPr>
        <w:pStyle w:val="11"/>
        <w:spacing w:line="600" w:lineRule="exact"/>
        <w:ind w:firstLine="420" w:firstLineChars="150"/>
        <w:rPr>
          <w:rFonts w:ascii="楷体" w:hAnsi="楷体" w:eastAsia="楷体" w:cs="楷体"/>
          <w:bCs/>
          <w:sz w:val="28"/>
          <w:szCs w:val="28"/>
        </w:rPr>
      </w:pPr>
      <w:r>
        <w:rPr>
          <w:rFonts w:hint="eastAsia" w:ascii="楷体" w:hAnsi="楷体" w:eastAsia="楷体" w:cs="楷体"/>
          <w:bCs/>
          <w:sz w:val="28"/>
          <w:szCs w:val="28"/>
        </w:rPr>
        <w:t>（二）财政拨款支出决算结构情况</w:t>
      </w:r>
    </w:p>
    <w:p>
      <w:pPr>
        <w:pStyle w:val="11"/>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2022年度财政拨款支出5072.28万元，主要用于以下方面：一般公共服务（类）支出0万元，占0%；教育（类）支出5072.28万元，占100%.</w:t>
      </w:r>
    </w:p>
    <w:p>
      <w:pPr>
        <w:pStyle w:val="11"/>
        <w:spacing w:line="600" w:lineRule="exact"/>
        <w:ind w:firstLine="277" w:firstLineChars="99"/>
        <w:rPr>
          <w:rFonts w:ascii="楷体" w:hAnsi="楷体" w:eastAsia="楷体" w:cs="楷体"/>
          <w:bCs/>
          <w:sz w:val="28"/>
          <w:szCs w:val="28"/>
        </w:rPr>
      </w:pPr>
      <w:r>
        <w:rPr>
          <w:rFonts w:hint="eastAsia" w:ascii="楷体" w:hAnsi="楷体" w:eastAsia="楷体" w:cs="楷体"/>
          <w:bCs/>
          <w:sz w:val="28"/>
          <w:szCs w:val="28"/>
        </w:rPr>
        <w:t>（三）财政拨款支出决算具体情况</w:t>
      </w:r>
    </w:p>
    <w:p>
      <w:pPr>
        <w:pStyle w:val="11"/>
        <w:spacing w:line="600" w:lineRule="exact"/>
        <w:ind w:left="319" w:leftChars="152" w:firstLine="420" w:firstLineChars="150"/>
        <w:rPr>
          <w:rFonts w:ascii="Times New Roman" w:hAnsi="Times New Roman" w:eastAsia="仿宋_GB2312"/>
          <w:sz w:val="28"/>
          <w:szCs w:val="28"/>
        </w:rPr>
      </w:pPr>
      <w:r>
        <w:rPr>
          <w:rFonts w:hint="eastAsia" w:ascii="Times New Roman" w:hAnsi="Times New Roman" w:eastAsia="仿宋_GB2312"/>
          <w:sz w:val="28"/>
          <w:szCs w:val="28"/>
        </w:rPr>
        <w:t>2022年度财政拨款支出年初预算数为5072.38万元，支出决算数为5072.28万元，完成年初预算的99.99%，其中：</w:t>
      </w:r>
    </w:p>
    <w:p>
      <w:pPr>
        <w:pStyle w:val="11"/>
        <w:ind w:firstLine="700" w:firstLineChars="250"/>
        <w:rPr>
          <w:rFonts w:ascii="Times New Roman" w:hAnsi="Times New Roman" w:eastAsia="仿宋_GB2312"/>
          <w:sz w:val="28"/>
          <w:szCs w:val="28"/>
        </w:rPr>
      </w:pPr>
      <w:r>
        <w:rPr>
          <w:rFonts w:hint="eastAsia" w:ascii="Times New Roman" w:hAnsi="Times New Roman" w:eastAsia="仿宋_GB2312"/>
          <w:sz w:val="28"/>
          <w:szCs w:val="28"/>
          <w:lang w:val="en-US" w:eastAsia="zh-CN"/>
        </w:rPr>
        <w:t>1、</w:t>
      </w:r>
      <w:r>
        <w:rPr>
          <w:rFonts w:hint="eastAsia" w:ascii="Times New Roman" w:hAnsi="Times New Roman" w:eastAsia="仿宋_GB2312"/>
          <w:sz w:val="28"/>
          <w:szCs w:val="28"/>
        </w:rPr>
        <w:t>教育支出（类）普通教育（款）</w:t>
      </w:r>
      <w:r>
        <w:rPr>
          <w:rFonts w:hint="eastAsia" w:ascii="Times New Roman" w:hAnsi="Times New Roman" w:eastAsia="仿宋_GB2312"/>
          <w:sz w:val="28"/>
          <w:szCs w:val="28"/>
          <w:lang w:eastAsia="zh-CN"/>
        </w:rPr>
        <w:t>高</w:t>
      </w:r>
      <w:r>
        <w:rPr>
          <w:rFonts w:hint="eastAsia" w:ascii="Times New Roman" w:hAnsi="Times New Roman" w:eastAsia="仿宋_GB2312"/>
          <w:sz w:val="28"/>
          <w:szCs w:val="28"/>
        </w:rPr>
        <w:t>中教育（项）。</w:t>
      </w:r>
    </w:p>
    <w:p>
      <w:pPr>
        <w:pStyle w:val="11"/>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年初预算为5072.38万元，支出决算为5072.28万元，完成年初预算的99.99%，决算数</w:t>
      </w:r>
      <w:r>
        <w:rPr>
          <w:rFonts w:hint="eastAsia" w:ascii="Times New Roman" w:hAnsi="Times New Roman" w:eastAsia="仿宋_GB2312"/>
          <w:sz w:val="28"/>
          <w:szCs w:val="28"/>
          <w:lang w:eastAsia="zh-CN"/>
        </w:rPr>
        <w:t>小于</w:t>
      </w:r>
      <w:r>
        <w:rPr>
          <w:rFonts w:hint="eastAsia" w:ascii="Times New Roman" w:hAnsi="Times New Roman" w:eastAsia="仿宋_GB2312"/>
          <w:sz w:val="28"/>
          <w:szCs w:val="28"/>
        </w:rPr>
        <w:t>年初预算数</w:t>
      </w:r>
      <w:r>
        <w:rPr>
          <w:rFonts w:hint="eastAsia" w:ascii="Times New Roman" w:hAnsi="Times New Roman" w:eastAsia="仿宋_GB2312"/>
          <w:sz w:val="28"/>
          <w:szCs w:val="28"/>
          <w:lang w:eastAsia="zh-CN"/>
        </w:rPr>
        <w:t>的主要原因是：厉行节约</w:t>
      </w:r>
      <w:r>
        <w:rPr>
          <w:rFonts w:hint="eastAsia" w:ascii="Times New Roman" w:hAnsi="Times New Roman" w:eastAsia="仿宋_GB2312"/>
          <w:sz w:val="28"/>
          <w:szCs w:val="28"/>
        </w:rPr>
        <w:t>。</w:t>
      </w:r>
    </w:p>
    <w:p>
      <w:pPr>
        <w:pStyle w:val="11"/>
        <w:spacing w:line="600" w:lineRule="exact"/>
        <w:ind w:firstLine="560" w:firstLineChars="200"/>
        <w:rPr>
          <w:rFonts w:hAnsi="黑体"/>
          <w:bCs/>
          <w:sz w:val="28"/>
          <w:szCs w:val="28"/>
        </w:rPr>
      </w:pPr>
      <w:r>
        <w:rPr>
          <w:rFonts w:hint="eastAsia" w:hAnsi="黑体"/>
          <w:bCs/>
          <w:sz w:val="28"/>
          <w:szCs w:val="28"/>
        </w:rPr>
        <w:t>六、一般公共预算财政拨款基本支出决算情况说明</w:t>
      </w:r>
    </w:p>
    <w:p>
      <w:pPr>
        <w:pStyle w:val="11"/>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2022年度财政拨款基本支出4963.02万元，其中：</w:t>
      </w:r>
    </w:p>
    <w:p>
      <w:pPr>
        <w:pStyle w:val="11"/>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b/>
          <w:bCs/>
          <w:sz w:val="28"/>
          <w:szCs w:val="28"/>
        </w:rPr>
        <w:t>人员经费</w:t>
      </w:r>
      <w:r>
        <w:rPr>
          <w:rFonts w:hint="eastAsia" w:ascii="Times New Roman" w:hAnsi="Times New Roman" w:eastAsia="仿宋_GB2312"/>
          <w:sz w:val="28"/>
          <w:szCs w:val="28"/>
        </w:rPr>
        <w:t>4318.37万元，占基本支出的87%,主要包括基本工资、津贴补贴、奖金、绩效工资、社会保障缴费、其他工资福利支出、对个人和家庭人补助等</w:t>
      </w:r>
      <w:r>
        <w:rPr>
          <w:rFonts w:hint="eastAsia" w:ascii="Times New Roman" w:hAnsi="Times New Roman" w:eastAsia="仿宋_GB2312"/>
          <w:sz w:val="28"/>
          <w:szCs w:val="28"/>
        </w:rPr>
        <w:t>。</w:t>
      </w:r>
    </w:p>
    <w:p>
      <w:pPr>
        <w:pStyle w:val="11"/>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b/>
          <w:bCs/>
          <w:sz w:val="28"/>
          <w:szCs w:val="28"/>
        </w:rPr>
        <w:t>公用经费</w:t>
      </w:r>
      <w:r>
        <w:rPr>
          <w:rFonts w:hint="eastAsia" w:ascii="Times New Roman" w:hAnsi="Times New Roman" w:eastAsia="仿宋_GB2312"/>
          <w:sz w:val="28"/>
          <w:szCs w:val="28"/>
        </w:rPr>
        <w:t>644.65万元，占基本支出的13%，主要包括办公费、印刷费、水费、电费、维护费、培训费、工会经费、资本性支出等。</w:t>
      </w:r>
    </w:p>
    <w:p>
      <w:pPr>
        <w:pStyle w:val="11"/>
        <w:spacing w:line="600" w:lineRule="exact"/>
        <w:ind w:firstLine="560" w:firstLineChars="200"/>
        <w:rPr>
          <w:rFonts w:ascii="Times New Roman" w:hAnsi="Times New Roman" w:eastAsia="仿宋_GB2312"/>
          <w:b/>
          <w:sz w:val="28"/>
          <w:szCs w:val="28"/>
        </w:rPr>
      </w:pPr>
      <w:r>
        <w:rPr>
          <w:rFonts w:hint="eastAsia" w:hAnsi="黑体"/>
          <w:bCs/>
          <w:sz w:val="28"/>
          <w:szCs w:val="28"/>
        </w:rPr>
        <w:t>七、财政拨款三公经费支出决算情况说明</w:t>
      </w:r>
    </w:p>
    <w:p>
      <w:pPr>
        <w:pStyle w:val="11"/>
        <w:spacing w:line="600" w:lineRule="exact"/>
        <w:ind w:firstLine="560" w:firstLineChars="200"/>
        <w:rPr>
          <w:rFonts w:ascii="楷体" w:hAnsi="楷体" w:eastAsia="楷体" w:cs="楷体"/>
          <w:b/>
          <w:sz w:val="28"/>
          <w:szCs w:val="28"/>
        </w:rPr>
      </w:pPr>
      <w:r>
        <w:rPr>
          <w:rFonts w:hint="eastAsia" w:ascii="楷体" w:hAnsi="楷体" w:eastAsia="楷体" w:cs="楷体"/>
          <w:b/>
          <w:sz w:val="28"/>
          <w:szCs w:val="28"/>
        </w:rPr>
        <w:t>（一）“三公”经费财政拨款支出决算总体情况说明</w:t>
      </w:r>
    </w:p>
    <w:p>
      <w:pPr>
        <w:pStyle w:val="11"/>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rPr>
        <w:t>“三公”经费财政拨款支出预算为</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万</w:t>
      </w:r>
      <w:r>
        <w:rPr>
          <w:rFonts w:hint="eastAsia" w:ascii="Times New Roman" w:hAnsi="Times New Roman" w:eastAsia="仿宋_GB2312"/>
          <w:sz w:val="28"/>
          <w:szCs w:val="28"/>
        </w:rPr>
        <w:t>元，支出决算为3万元，完成预算的</w:t>
      </w: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0%，其中：</w:t>
      </w:r>
    </w:p>
    <w:p>
      <w:pPr>
        <w:pStyle w:val="11"/>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rPr>
        <w:t>因公出国（境）费支出预算为0万元，支出决算为0万元，因预算数为0，无法计算预算完成百分比。决算数与预算数一致，与上年相比持平。原因是上年及本年均无出国出境情况，无相关费用支出。。</w:t>
      </w:r>
    </w:p>
    <w:p>
      <w:pPr>
        <w:pStyle w:val="11"/>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rPr>
        <w:t>公务接待费支出预算为</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万元，支出决算为3万元，完成预算的</w:t>
      </w: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0%，决决算数与预算数一致</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与上年相比减少0.1万元</w:t>
      </w:r>
      <w:r>
        <w:rPr>
          <w:rFonts w:hint="eastAsia" w:ascii="Times New Roman" w:hAnsi="Times New Roman" w:eastAsia="仿宋_GB2312"/>
          <w:sz w:val="28"/>
          <w:szCs w:val="28"/>
          <w:lang w:eastAsia="zh-CN"/>
        </w:rPr>
        <w:t>，减少</w:t>
      </w:r>
      <w:r>
        <w:rPr>
          <w:rFonts w:hint="eastAsia" w:ascii="Times New Roman" w:hAnsi="Times New Roman" w:eastAsia="仿宋_GB2312"/>
          <w:sz w:val="28"/>
          <w:szCs w:val="28"/>
          <w:lang w:val="en-US" w:eastAsia="zh-CN"/>
        </w:rPr>
        <w:t>3.2%，减少</w:t>
      </w:r>
      <w:r>
        <w:rPr>
          <w:rFonts w:hint="eastAsia" w:ascii="Times New Roman" w:hAnsi="Times New Roman" w:eastAsia="仿宋_GB2312"/>
          <w:sz w:val="28"/>
          <w:szCs w:val="28"/>
        </w:rPr>
        <w:t>的主要原因是：党的十八大后厉行节约反对浪费的要求减少公务接待费。</w:t>
      </w:r>
      <w:r>
        <w:rPr>
          <w:rFonts w:ascii="Times New Roman" w:hAnsi="Times New Roman" w:eastAsia="仿宋_GB2312"/>
          <w:sz w:val="28"/>
          <w:szCs w:val="28"/>
        </w:rPr>
        <w:t xml:space="preserve"> </w:t>
      </w:r>
    </w:p>
    <w:p>
      <w:pPr>
        <w:pStyle w:val="11"/>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公务用车购置费支出预算为0万元，支出决算为0万元，因预算数为0，无法计算预算完成百分比。决算数与预算数一致，与上年相比持平。原因是上年及本年均无相关费用支出。</w:t>
      </w:r>
    </w:p>
    <w:p>
      <w:pPr>
        <w:pStyle w:val="11"/>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公务用车运行维护费支出预算为0万元，支出决算为0万元，因预算数为0，无法计算预算完成百分比。决算数与预算数一致，与上年相比持平。原因是上年及本年均无相关费用支出。</w:t>
      </w:r>
    </w:p>
    <w:p>
      <w:pPr>
        <w:pStyle w:val="11"/>
        <w:spacing w:line="600" w:lineRule="exact"/>
        <w:ind w:firstLine="560" w:firstLineChars="200"/>
        <w:rPr>
          <w:rFonts w:ascii="楷体" w:hAnsi="楷体" w:eastAsia="楷体" w:cs="楷体"/>
          <w:b/>
          <w:sz w:val="28"/>
          <w:szCs w:val="28"/>
        </w:rPr>
      </w:pPr>
      <w:r>
        <w:rPr>
          <w:rFonts w:hint="eastAsia" w:ascii="楷体" w:hAnsi="楷体" w:eastAsia="楷体" w:cs="楷体"/>
          <w:b/>
          <w:sz w:val="28"/>
          <w:szCs w:val="28"/>
        </w:rPr>
        <w:t>（二）“三公”经费财政拨款支出决算具体情况说明</w:t>
      </w:r>
    </w:p>
    <w:p>
      <w:pPr>
        <w:pStyle w:val="11"/>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2022年度“三公”经费财政拨款支出决算中，公务接待费支出决算3万元，占100%,因公出国（境）费支出决算0万元，占0%,公务用车购置费及运行维护费支出决算0万元，占0%。其中：</w:t>
      </w:r>
    </w:p>
    <w:p>
      <w:pPr>
        <w:pStyle w:val="11"/>
        <w:spacing w:line="600" w:lineRule="exact"/>
        <w:ind w:firstLine="560" w:firstLineChars="200"/>
        <w:rPr>
          <w:rFonts w:ascii="楷体" w:hAnsi="楷体" w:eastAsia="楷体" w:cs="楷体"/>
          <w:b/>
          <w:bCs/>
          <w:i/>
          <w:color w:val="auto"/>
          <w:sz w:val="28"/>
          <w:szCs w:val="28"/>
        </w:rPr>
      </w:pPr>
      <w:r>
        <w:rPr>
          <w:rFonts w:hint="eastAsia" w:ascii="Times New Roman" w:hAnsi="Times New Roman" w:eastAsia="仿宋_GB2312"/>
          <w:sz w:val="28"/>
          <w:szCs w:val="28"/>
        </w:rPr>
        <w:t>1、因公出国（境）费支出决算为0万元，全年安排因公出国（境）团组0个，累计0人次</w:t>
      </w:r>
      <w:r>
        <w:rPr>
          <w:rFonts w:hint="eastAsia" w:ascii="楷体" w:hAnsi="楷体" w:eastAsia="楷体" w:cs="楷体"/>
          <w:b/>
          <w:bCs/>
          <w:i/>
          <w:color w:val="auto"/>
          <w:sz w:val="28"/>
          <w:szCs w:val="28"/>
        </w:rPr>
        <w:t>。</w:t>
      </w:r>
    </w:p>
    <w:p>
      <w:pPr>
        <w:pStyle w:val="11"/>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rPr>
        <w:t>2、公务接待费支出决算为3万元，全年共接待来访团组28个、来宾280人次，主要是接待本县外的上级单位来校指导工作及兄弟学校来校交流工作发生的接待支出。</w:t>
      </w:r>
    </w:p>
    <w:p>
      <w:pPr>
        <w:spacing w:line="600" w:lineRule="exact"/>
        <w:ind w:firstLine="700" w:firstLineChars="250"/>
        <w:rPr>
          <w:rFonts w:ascii="楷体" w:hAnsi="楷体" w:eastAsia="楷体" w:cs="楷体"/>
          <w:b/>
          <w:bCs/>
          <w:i/>
          <w:kern w:val="0"/>
          <w:sz w:val="28"/>
          <w:szCs w:val="28"/>
        </w:rPr>
      </w:pPr>
      <w:r>
        <w:rPr>
          <w:rFonts w:hint="eastAsia" w:ascii="Times New Roman" w:hAnsi="Times New Roman" w:eastAsia="仿宋_GB2312"/>
          <w:sz w:val="28"/>
          <w:szCs w:val="28"/>
        </w:rPr>
        <w:t>3、公务用车购置费及运行维护费支出决算为0万元，其中：公务用车购置费0万元，更新公务用车0辆</w:t>
      </w:r>
      <w:r>
        <w:rPr>
          <w:rFonts w:hint="eastAsia" w:ascii="Times New Roman" w:hAnsi="Times New Roman" w:eastAsia="仿宋_GB2312"/>
          <w:color w:val="000000" w:themeColor="text1"/>
          <w:sz w:val="28"/>
          <w:szCs w:val="28"/>
        </w:rPr>
        <w:t>。</w:t>
      </w:r>
      <w:r>
        <w:rPr>
          <w:rFonts w:hint="eastAsia" w:ascii="Times New Roman" w:hAnsi="Times New Roman" w:eastAsia="仿宋_GB2312"/>
          <w:sz w:val="28"/>
          <w:szCs w:val="28"/>
        </w:rPr>
        <w:t>公务用车运行维护费0万元，截止2022年12月31日，我单位开支财政拨款的公务用车保有量为0辆。</w:t>
      </w:r>
    </w:p>
    <w:p>
      <w:pPr>
        <w:pStyle w:val="11"/>
        <w:spacing w:line="600" w:lineRule="exact"/>
        <w:ind w:firstLine="560" w:firstLineChars="200"/>
        <w:rPr>
          <w:rFonts w:hAnsi="黑体"/>
          <w:bCs/>
          <w:sz w:val="28"/>
          <w:szCs w:val="28"/>
        </w:rPr>
      </w:pPr>
      <w:r>
        <w:rPr>
          <w:rFonts w:hint="eastAsia" w:hAnsi="黑体"/>
          <w:bCs/>
          <w:sz w:val="28"/>
          <w:szCs w:val="28"/>
        </w:rPr>
        <w:t>八、政府性基金预算收入支出决算情况</w:t>
      </w:r>
    </w:p>
    <w:p>
      <w:pPr>
        <w:pStyle w:val="11"/>
        <w:spacing w:line="600" w:lineRule="exact"/>
        <w:ind w:left="280" w:hanging="280" w:hangingChars="100"/>
        <w:rPr>
          <w:rFonts w:ascii="Times New Roman" w:hAnsi="Times New Roman" w:eastAsia="仿宋_GB2312" w:cstheme="minorBidi"/>
          <w:color w:val="auto"/>
          <w:kern w:val="2"/>
          <w:sz w:val="28"/>
          <w:szCs w:val="28"/>
        </w:rPr>
      </w:pPr>
      <w:r>
        <w:rPr>
          <w:rFonts w:hint="eastAsia" w:ascii="Times New Roman" w:hAnsi="Times New Roman" w:eastAsia="仿宋_GB2312"/>
          <w:sz w:val="28"/>
          <w:szCs w:val="28"/>
        </w:rPr>
        <w:t xml:space="preserve">     2022年度</w:t>
      </w:r>
      <w:r>
        <w:rPr>
          <w:rFonts w:hint="eastAsia" w:ascii="Times New Roman" w:hAnsi="Times New Roman" w:eastAsia="仿宋_GB2312" w:cstheme="minorBidi"/>
          <w:color w:val="auto"/>
          <w:kern w:val="2"/>
          <w:sz w:val="28"/>
          <w:szCs w:val="28"/>
        </w:rPr>
        <w:t>我单位没有政府性基金收入，也没有使用政府性基金安排的支出。</w:t>
      </w:r>
      <w:r>
        <w:rPr>
          <w:rFonts w:ascii="Times New Roman" w:hAnsi="Times New Roman" w:eastAsia="仿宋_GB2312" w:cstheme="minorBidi"/>
          <w:color w:val="auto"/>
          <w:kern w:val="2"/>
          <w:sz w:val="28"/>
          <w:szCs w:val="28"/>
        </w:rPr>
        <w:t xml:space="preserve"> </w:t>
      </w:r>
    </w:p>
    <w:p>
      <w:pPr>
        <w:pStyle w:val="11"/>
        <w:spacing w:line="600" w:lineRule="exact"/>
        <w:ind w:firstLine="560" w:firstLineChars="200"/>
        <w:rPr>
          <w:rFonts w:ascii="Times New Roman" w:hAnsi="Times New Roman" w:eastAsia="仿宋_GB2312" w:cstheme="minorBidi"/>
          <w:b/>
          <w:color w:val="auto"/>
          <w:kern w:val="2"/>
          <w:sz w:val="28"/>
          <w:szCs w:val="28"/>
        </w:rPr>
      </w:pPr>
      <w:r>
        <w:rPr>
          <w:rFonts w:hint="eastAsia" w:ascii="Times New Roman" w:hAnsi="Times New Roman" w:eastAsia="仿宋_GB2312" w:cstheme="minorBidi"/>
          <w:b/>
          <w:color w:val="auto"/>
          <w:kern w:val="2"/>
          <w:sz w:val="28"/>
          <w:szCs w:val="28"/>
        </w:rPr>
        <w:t>九、关于机关运行经费支出说明</w:t>
      </w:r>
    </w:p>
    <w:p>
      <w:pPr>
        <w:ind w:firstLine="560" w:firstLineChars="200"/>
        <w:rPr>
          <w:rFonts w:asciiTheme="minorEastAsia" w:hAnsiTheme="minorEastAsia" w:cstheme="minorEastAsia"/>
          <w:color w:val="000000"/>
          <w:kern w:val="0"/>
          <w:sz w:val="28"/>
          <w:szCs w:val="28"/>
        </w:rPr>
      </w:pPr>
      <w:r>
        <w:rPr>
          <w:rFonts w:hint="eastAsia" w:ascii="Times New Roman" w:hAnsi="Times New Roman" w:eastAsia="仿宋_GB2312"/>
          <w:sz w:val="28"/>
          <w:szCs w:val="28"/>
        </w:rPr>
        <w:t>本部门2022年度机关运行经费支</w:t>
      </w:r>
      <w:r>
        <w:rPr>
          <w:rFonts w:hint="eastAsia" w:ascii="Times New Roman" w:hAnsi="Times New Roman" w:eastAsia="仿宋_GB2312"/>
          <w:color w:val="auto"/>
          <w:sz w:val="28"/>
          <w:szCs w:val="28"/>
        </w:rPr>
        <w:t>出</w:t>
      </w:r>
      <w:r>
        <w:rPr>
          <w:rFonts w:hint="eastAsia" w:ascii="Times New Roman" w:hAnsi="Times New Roman" w:eastAsia="仿宋_GB2312"/>
          <w:color w:val="auto"/>
          <w:sz w:val="28"/>
          <w:szCs w:val="28"/>
          <w:lang w:val="en-US" w:eastAsia="zh-CN"/>
        </w:rPr>
        <w:t>644.65</w:t>
      </w:r>
      <w:r>
        <w:rPr>
          <w:rFonts w:hint="eastAsia" w:ascii="Times New Roman" w:hAnsi="Times New Roman" w:eastAsia="仿宋_GB2312"/>
          <w:sz w:val="28"/>
          <w:szCs w:val="28"/>
        </w:rPr>
        <w:t>万元，与年初预算数相比基本持平。</w:t>
      </w:r>
    </w:p>
    <w:p>
      <w:pPr>
        <w:pStyle w:val="11"/>
        <w:spacing w:line="600" w:lineRule="exact"/>
        <w:ind w:firstLine="560" w:firstLineChars="200"/>
        <w:rPr>
          <w:rFonts w:hAnsi="黑体"/>
          <w:bCs/>
          <w:sz w:val="28"/>
          <w:szCs w:val="28"/>
        </w:rPr>
      </w:pPr>
      <w:r>
        <w:rPr>
          <w:rFonts w:hint="eastAsia" w:hAnsi="黑体"/>
          <w:bCs/>
          <w:sz w:val="28"/>
          <w:szCs w:val="28"/>
        </w:rPr>
        <w:t>十、一般性支出情况说明</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rPr>
        <w:t>022年本部门开支会议费0万元</w:t>
      </w:r>
      <w:r>
        <w:rPr>
          <w:rFonts w:hint="eastAsia" w:ascii="Times New Roman" w:hAnsi="Times New Roman" w:eastAsia="仿宋_GB2312"/>
          <w:sz w:val="28"/>
          <w:szCs w:val="28"/>
          <w:lang w:eastAsia="zh-CN"/>
        </w:rPr>
        <w:t>，人数</w:t>
      </w:r>
      <w:r>
        <w:rPr>
          <w:rFonts w:hint="eastAsia" w:ascii="Times New Roman" w:hAnsi="Times New Roman" w:eastAsia="仿宋_GB2312"/>
          <w:sz w:val="28"/>
          <w:szCs w:val="28"/>
          <w:lang w:val="en-US" w:eastAsia="zh-CN"/>
        </w:rPr>
        <w:t>0人</w:t>
      </w:r>
      <w:r>
        <w:rPr>
          <w:rFonts w:hint="eastAsia" w:ascii="Times New Roman" w:hAnsi="Times New Roman" w:eastAsia="仿宋_GB2312"/>
          <w:sz w:val="28"/>
          <w:szCs w:val="28"/>
        </w:rPr>
        <w:t>；开支培训费99.8万元，用于开展老师业务能力培训，教学研究、文体活动的开支。培训人数300人次，内容为：提升教师教学水平及班级管理能力、德育等素质方面培训；</w:t>
      </w:r>
      <w:r>
        <w:rPr>
          <w:rFonts w:hint="eastAsia" w:ascii="Times New Roman" w:hAnsi="Times New Roman" w:eastAsia="仿宋_GB2312"/>
          <w:sz w:val="28"/>
          <w:szCs w:val="28"/>
          <w:lang w:eastAsia="zh-CN"/>
        </w:rPr>
        <w:t>未</w:t>
      </w:r>
      <w:r>
        <w:rPr>
          <w:rFonts w:hint="eastAsia" w:ascii="Times New Roman" w:hAnsi="Times New Roman" w:eastAsia="仿宋_GB2312"/>
          <w:sz w:val="28"/>
          <w:szCs w:val="28"/>
        </w:rPr>
        <w:t>举办节庆、晚会、论坛、赛事活动，开支</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w:t>
      </w:r>
    </w:p>
    <w:p>
      <w:pPr>
        <w:pStyle w:val="11"/>
        <w:spacing w:line="600" w:lineRule="exact"/>
        <w:ind w:firstLine="560" w:firstLineChars="200"/>
        <w:rPr>
          <w:rFonts w:hAnsi="黑体"/>
          <w:bCs/>
          <w:sz w:val="28"/>
          <w:szCs w:val="28"/>
        </w:rPr>
      </w:pPr>
      <w:r>
        <w:rPr>
          <w:rFonts w:hint="eastAsia" w:hAnsi="黑体"/>
          <w:bCs/>
          <w:sz w:val="28"/>
          <w:szCs w:val="28"/>
        </w:rPr>
        <w:t>十一、关于政府采购支出说明</w:t>
      </w:r>
    </w:p>
    <w:p>
      <w:pPr>
        <w:pStyle w:val="11"/>
        <w:spacing w:line="600" w:lineRule="exact"/>
        <w:ind w:firstLine="560" w:firstLineChars="200"/>
        <w:rPr>
          <w:rFonts w:hint="eastAsia" w:ascii="Times New Roman" w:hAnsi="Times New Roman" w:eastAsia="仿宋_GB2312" w:cstheme="minorBidi"/>
          <w:color w:val="auto"/>
          <w:kern w:val="2"/>
          <w:sz w:val="28"/>
          <w:szCs w:val="28"/>
          <w:lang w:val="en-US" w:eastAsia="zh-CN" w:bidi="ar-SA"/>
        </w:rPr>
      </w:pPr>
      <w:r>
        <w:rPr>
          <w:rFonts w:hint="eastAsia" w:ascii="Times New Roman" w:hAnsi="Times New Roman" w:eastAsia="仿宋_GB2312" w:cstheme="minorBidi"/>
          <w:color w:val="auto"/>
          <w:kern w:val="2"/>
          <w:sz w:val="28"/>
          <w:szCs w:val="28"/>
          <w:lang w:val="en-US" w:eastAsia="zh-CN" w:bidi="ar-SA"/>
        </w:rPr>
        <w:t>本部门2022年度政府采购支出总额386.4万元，其中：政府采购货物支出118.2 万元、政府采购工程支出268.2万元、政府采购服务支出0万元。授予中小企业合同金额386.4万元，占政府采购支出总额的100%，其中：授予小微企业合同金额0万元，占政府采购支出总额的0%。货物采购授予中小企业合同金额占货物支出金额的31%，工程采购授予中小企业合同金额占工程支出金额的69%，服务采购授予中小企业合同金额占服务支出金额的0%。</w:t>
      </w:r>
    </w:p>
    <w:p>
      <w:pPr>
        <w:pStyle w:val="11"/>
        <w:spacing w:line="600" w:lineRule="exact"/>
        <w:ind w:firstLine="560" w:firstLineChars="200"/>
        <w:rPr>
          <w:rFonts w:hAnsi="黑体"/>
          <w:bCs/>
          <w:sz w:val="28"/>
          <w:szCs w:val="28"/>
        </w:rPr>
      </w:pPr>
      <w:r>
        <w:rPr>
          <w:rFonts w:hint="eastAsia" w:hAnsi="黑体"/>
          <w:bCs/>
          <w:sz w:val="28"/>
          <w:szCs w:val="28"/>
        </w:rPr>
        <w:t>十二、关于国有资产占用情况说明</w:t>
      </w:r>
    </w:p>
    <w:p>
      <w:pPr>
        <w:pStyle w:val="11"/>
        <w:spacing w:line="600" w:lineRule="exact"/>
        <w:ind w:firstLine="56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28"/>
          <w:szCs w:val="28"/>
          <w:lang w:val="en-US" w:eastAsia="zh-CN" w:bidi="ar-SA"/>
        </w:rPr>
        <w:t>截至2022年12月31日，本单位共有车辆0辆，其中，主要领导干部用车0辆，机要通信用车0辆、应急保障用车0辆、执法执勤用车0辆、特种专业技术用车0辆、其他用车0辆；单位价值50万元以上通用设备1台（套）；单位价值100万元以上专用设备0台（套）。</w:t>
      </w:r>
    </w:p>
    <w:p>
      <w:pPr>
        <w:pStyle w:val="11"/>
        <w:spacing w:line="600" w:lineRule="exact"/>
        <w:ind w:firstLine="560" w:firstLineChars="200"/>
        <w:rPr>
          <w:rFonts w:hAnsi="黑体"/>
          <w:bCs/>
          <w:sz w:val="28"/>
          <w:szCs w:val="28"/>
        </w:rPr>
      </w:pPr>
      <w:r>
        <w:rPr>
          <w:rFonts w:hint="eastAsia" w:hAnsi="黑体"/>
          <w:bCs/>
          <w:sz w:val="28"/>
          <w:szCs w:val="28"/>
        </w:rPr>
        <w:t>十三、关于</w:t>
      </w:r>
      <w:r>
        <w:rPr>
          <w:rFonts w:hint="eastAsia" w:ascii="Times New Roman" w:hAnsi="Times New Roman" w:eastAsia="仿宋_GB2312"/>
          <w:sz w:val="28"/>
          <w:szCs w:val="28"/>
        </w:rPr>
        <w:t>2022</w:t>
      </w:r>
      <w:r>
        <w:rPr>
          <w:rFonts w:hint="eastAsia" w:hAnsi="黑体"/>
          <w:bCs/>
          <w:sz w:val="28"/>
          <w:szCs w:val="28"/>
        </w:rPr>
        <w:t>年度预算绩效情况的说明</w:t>
      </w:r>
      <w:bookmarkStart w:id="3" w:name="_GoBack"/>
      <w:bookmarkEnd w:id="3"/>
    </w:p>
    <w:p>
      <w:pPr>
        <w:pStyle w:val="11"/>
        <w:spacing w:line="600" w:lineRule="exact"/>
        <w:ind w:firstLine="560" w:firstLineChars="200"/>
        <w:rPr>
          <w:rFonts w:ascii="楷体" w:hAnsi="楷体" w:eastAsia="楷体" w:cs="楷体"/>
          <w:b/>
          <w:bCs/>
          <w:sz w:val="28"/>
          <w:szCs w:val="28"/>
        </w:rPr>
      </w:pPr>
      <w:r>
        <w:rPr>
          <w:rFonts w:hint="eastAsia" w:ascii="楷体" w:hAnsi="楷体" w:eastAsia="楷体" w:cs="楷体"/>
          <w:b/>
          <w:bCs/>
          <w:sz w:val="28"/>
          <w:szCs w:val="28"/>
        </w:rPr>
        <w:t>（一）部门整体支出绩效情况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预算执行方面来说，我校正常严格按照年初预算执行，部分资金由于年初未纳入预算，年中追加资金。从预算管理方面来说，我校公用经费控制率、“三公经费”控制率均已达标；从产出效率的方面来说，职责履行、履职效益产出良好。</w:t>
      </w:r>
    </w:p>
    <w:p>
      <w:pPr>
        <w:pStyle w:val="6"/>
        <w:spacing w:beforeAutospacing="0" w:afterAutospacing="0" w:line="560" w:lineRule="atLeast"/>
        <w:ind w:firstLine="640" w:firstLineChars="200"/>
        <w:jc w:val="both"/>
        <w:rPr>
          <w:rFonts w:ascii="仿宋_GB2312" w:hAnsi="仿宋_GB2312" w:eastAsia="仿宋_GB2312" w:cs="仿宋_GB2312"/>
          <w:color w:val="000000"/>
          <w:sz w:val="32"/>
          <w:szCs w:val="32"/>
        </w:rPr>
      </w:pPr>
      <w:r>
        <w:rPr>
          <w:rFonts w:hint="eastAsia" w:ascii="仿宋_GB2312" w:eastAsia="仿宋_GB2312"/>
          <w:sz w:val="32"/>
          <w:szCs w:val="32"/>
        </w:rPr>
        <w:t>从经费支出情况看：支出预算控制较好。在现有教育经费的情况下，量入为出，</w:t>
      </w:r>
      <w:r>
        <w:rPr>
          <w:rFonts w:hint="eastAsia" w:ascii="仿宋_GB2312" w:hAnsi="仿宋_GB2312" w:eastAsia="仿宋_GB2312" w:cs="仿宋_GB2312"/>
          <w:color w:val="000000"/>
          <w:sz w:val="32"/>
          <w:szCs w:val="32"/>
        </w:rPr>
        <w:t>力保学校教育教学工作的有效开展以及学校工作的正常运行</w:t>
      </w:r>
      <w:r>
        <w:rPr>
          <w:rFonts w:hint="eastAsia" w:ascii="仿宋_GB2312" w:eastAsia="仿宋_GB2312"/>
          <w:sz w:val="32"/>
          <w:szCs w:val="32"/>
        </w:rPr>
        <w:t>。“三公”经费总额为</w:t>
      </w:r>
      <w:r>
        <w:rPr>
          <w:rFonts w:hint="eastAsia" w:ascii="仿宋" w:hAnsi="仿宋" w:eastAsia="仿宋" w:cs="仿宋"/>
          <w:bCs/>
          <w:sz w:val="32"/>
          <w:szCs w:val="32"/>
        </w:rPr>
        <w:t>3.0043</w:t>
      </w:r>
      <w:r>
        <w:rPr>
          <w:rFonts w:hint="eastAsia" w:ascii="仿宋_GB2312" w:eastAsia="仿宋_GB2312"/>
          <w:sz w:val="32"/>
          <w:szCs w:val="32"/>
        </w:rPr>
        <w:t>万元，均为公务接待支出。</w:t>
      </w:r>
    </w:p>
    <w:p>
      <w:pPr>
        <w:pStyle w:val="11"/>
        <w:spacing w:line="600" w:lineRule="exact"/>
        <w:ind w:firstLine="560" w:firstLineChars="200"/>
        <w:rPr>
          <w:rFonts w:ascii="楷体" w:hAnsi="楷体" w:eastAsia="楷体" w:cs="楷体"/>
          <w:b/>
          <w:bCs/>
          <w:sz w:val="28"/>
          <w:szCs w:val="28"/>
        </w:rPr>
      </w:pPr>
      <w:r>
        <w:rPr>
          <w:rFonts w:hint="eastAsia" w:ascii="楷体" w:hAnsi="楷体" w:eastAsia="楷体" w:cs="楷体"/>
          <w:b/>
          <w:bCs/>
          <w:sz w:val="28"/>
          <w:szCs w:val="28"/>
        </w:rPr>
        <w:t>（二）存在的问题及原因分析</w:t>
      </w:r>
    </w:p>
    <w:p>
      <w:pPr>
        <w:pStyle w:val="6"/>
        <w:shd w:val="clear" w:color="auto" w:fill="FFFFFF"/>
        <w:spacing w:beforeAutospacing="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预算编制工作有待细化。预算编制不够明确和细化，预算编制的合理性需要提高，预算执行力度还要进一步加强。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今后工作中进一步建立健全财务制度，规范财务管理，规范教育教学行为；提高教育教学质量，加强校园文化建设，加强学校廉政建设。按照财政支出绩效管理的要求，建立科学的财政资金效益考评制度体系，不断提高财政资金使用管理的水平和效率。</w:t>
      </w:r>
    </w:p>
    <w:p>
      <w:pPr>
        <w:pStyle w:val="11"/>
        <w:jc w:val="center"/>
        <w:rPr>
          <w:sz w:val="28"/>
          <w:szCs w:val="28"/>
        </w:rPr>
      </w:pPr>
    </w:p>
    <w:p>
      <w:pPr>
        <w:widowControl/>
        <w:jc w:val="left"/>
        <w:rPr>
          <w:rFonts w:cs="黑体" w:asciiTheme="minorEastAsia" w:hAnsiTheme="minorEastAsia"/>
          <w:color w:val="000000"/>
          <w:kern w:val="0"/>
          <w:sz w:val="28"/>
          <w:szCs w:val="28"/>
        </w:rPr>
      </w:pPr>
      <w:r>
        <w:rPr>
          <w:rFonts w:hint="eastAsia" w:ascii="方正小标宋_GBK" w:hAnsi="方正小标宋_GBK" w:eastAsia="方正小标宋_GBK" w:cs="方正小标宋_GBK"/>
          <w:color w:val="000000"/>
          <w:kern w:val="0"/>
          <w:sz w:val="28"/>
          <w:szCs w:val="28"/>
        </w:rPr>
        <w:br w:type="page"/>
      </w:r>
    </w:p>
    <w:p>
      <w:pPr>
        <w:pStyle w:val="11"/>
        <w:jc w:val="both"/>
        <w:rPr>
          <w:rFonts w:hAnsi="黑体"/>
          <w:b/>
          <w:bCs/>
          <w:sz w:val="32"/>
          <w:szCs w:val="32"/>
        </w:rPr>
      </w:pPr>
      <w:r>
        <w:rPr>
          <w:rFonts w:hint="eastAsia" w:hAnsi="黑体"/>
          <w:b/>
          <w:bCs/>
          <w:sz w:val="32"/>
          <w:szCs w:val="32"/>
        </w:rPr>
        <w:t>第四部分名词解释</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一、收入科目</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财政拨款收入：指财政当年拨付的资金。</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二、支出科目</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1.基本支出：指为保障机构正常运转、完成日常工作任务而发生的人员支出和公用支出。</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2.项目支出：指在基本支出之外为完成特定行政任务和事业发展目标所发生的支出。</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三、“三公”经费</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四、机关运行经费</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Ansi="黑体"/>
          <w:b/>
          <w:bCs/>
          <w:sz w:val="32"/>
          <w:szCs w:val="32"/>
        </w:rPr>
      </w:pPr>
      <w:r>
        <w:rPr>
          <w:rFonts w:hint="eastAsia" w:hAnsi="黑体"/>
          <w:b/>
          <w:bCs/>
          <w:sz w:val="32"/>
          <w:szCs w:val="32"/>
        </w:rPr>
        <w:t>第五部分附件</w:t>
      </w:r>
    </w:p>
    <w:p>
      <w:pPr>
        <w:ind w:firstLine="560" w:firstLineChars="200"/>
        <w:jc w:val="center"/>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2022年度部门整体支出绩效评价报告</w:t>
      </w: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A19B7"/>
    <w:multiLevelType w:val="multilevel"/>
    <w:tmpl w:val="409A19B7"/>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EyNzI4NTExZWY1NDJmZDkzZTdjMzJiMjY2ZTdjYjEifQ=="/>
  </w:docVars>
  <w:rsids>
    <w:rsidRoot w:val="004506F9"/>
    <w:rsid w:val="0002229B"/>
    <w:rsid w:val="000273BD"/>
    <w:rsid w:val="00040CBC"/>
    <w:rsid w:val="000415B7"/>
    <w:rsid w:val="00041E3F"/>
    <w:rsid w:val="00055DAA"/>
    <w:rsid w:val="00061F7B"/>
    <w:rsid w:val="000658A3"/>
    <w:rsid w:val="00074155"/>
    <w:rsid w:val="000A3F69"/>
    <w:rsid w:val="000B4009"/>
    <w:rsid w:val="000C3FF7"/>
    <w:rsid w:val="00103957"/>
    <w:rsid w:val="00134105"/>
    <w:rsid w:val="00152C6D"/>
    <w:rsid w:val="00162D39"/>
    <w:rsid w:val="001678BD"/>
    <w:rsid w:val="00182373"/>
    <w:rsid w:val="001A67DB"/>
    <w:rsid w:val="001C3C29"/>
    <w:rsid w:val="001D51E5"/>
    <w:rsid w:val="001E080D"/>
    <w:rsid w:val="001E53D0"/>
    <w:rsid w:val="001F0C3B"/>
    <w:rsid w:val="00202C82"/>
    <w:rsid w:val="00207862"/>
    <w:rsid w:val="00214427"/>
    <w:rsid w:val="00226CB7"/>
    <w:rsid w:val="0024639F"/>
    <w:rsid w:val="0025063E"/>
    <w:rsid w:val="00264552"/>
    <w:rsid w:val="00264EF9"/>
    <w:rsid w:val="00265724"/>
    <w:rsid w:val="0027426B"/>
    <w:rsid w:val="00286696"/>
    <w:rsid w:val="002B0705"/>
    <w:rsid w:val="002B7A3D"/>
    <w:rsid w:val="002E0A30"/>
    <w:rsid w:val="002E631D"/>
    <w:rsid w:val="003130C4"/>
    <w:rsid w:val="00316C4B"/>
    <w:rsid w:val="0032192B"/>
    <w:rsid w:val="003479BD"/>
    <w:rsid w:val="0037197D"/>
    <w:rsid w:val="003768D5"/>
    <w:rsid w:val="003926B9"/>
    <w:rsid w:val="003C47E6"/>
    <w:rsid w:val="003C4FC2"/>
    <w:rsid w:val="003F3B4A"/>
    <w:rsid w:val="00416E61"/>
    <w:rsid w:val="0042790C"/>
    <w:rsid w:val="004301FE"/>
    <w:rsid w:val="004506F9"/>
    <w:rsid w:val="004717A2"/>
    <w:rsid w:val="00473DF3"/>
    <w:rsid w:val="00487911"/>
    <w:rsid w:val="00491741"/>
    <w:rsid w:val="004B0CEE"/>
    <w:rsid w:val="00500E5F"/>
    <w:rsid w:val="005122EF"/>
    <w:rsid w:val="0051416D"/>
    <w:rsid w:val="0051441A"/>
    <w:rsid w:val="00517C33"/>
    <w:rsid w:val="00517D5F"/>
    <w:rsid w:val="00523644"/>
    <w:rsid w:val="0054069E"/>
    <w:rsid w:val="00544866"/>
    <w:rsid w:val="005767CC"/>
    <w:rsid w:val="00590D9F"/>
    <w:rsid w:val="00595D26"/>
    <w:rsid w:val="00597B33"/>
    <w:rsid w:val="005A74E6"/>
    <w:rsid w:val="005B404E"/>
    <w:rsid w:val="005C1A78"/>
    <w:rsid w:val="005D4D55"/>
    <w:rsid w:val="005E2CFB"/>
    <w:rsid w:val="005F2103"/>
    <w:rsid w:val="005F3D1C"/>
    <w:rsid w:val="00617087"/>
    <w:rsid w:val="0062378F"/>
    <w:rsid w:val="00641842"/>
    <w:rsid w:val="00651EEC"/>
    <w:rsid w:val="00686673"/>
    <w:rsid w:val="00691E8C"/>
    <w:rsid w:val="006A22C4"/>
    <w:rsid w:val="006A2ED0"/>
    <w:rsid w:val="006A351B"/>
    <w:rsid w:val="006B0422"/>
    <w:rsid w:val="006C1B53"/>
    <w:rsid w:val="006D7730"/>
    <w:rsid w:val="006E5284"/>
    <w:rsid w:val="006F3EB5"/>
    <w:rsid w:val="006F48A1"/>
    <w:rsid w:val="00702E34"/>
    <w:rsid w:val="00704395"/>
    <w:rsid w:val="00710FE7"/>
    <w:rsid w:val="00717621"/>
    <w:rsid w:val="00720FF1"/>
    <w:rsid w:val="00727A53"/>
    <w:rsid w:val="00742228"/>
    <w:rsid w:val="00787B42"/>
    <w:rsid w:val="00790CA9"/>
    <w:rsid w:val="007C4539"/>
    <w:rsid w:val="007C5334"/>
    <w:rsid w:val="007F3657"/>
    <w:rsid w:val="00812ED5"/>
    <w:rsid w:val="008277D9"/>
    <w:rsid w:val="0084478C"/>
    <w:rsid w:val="0086638C"/>
    <w:rsid w:val="00875C28"/>
    <w:rsid w:val="008A3E8D"/>
    <w:rsid w:val="008D009F"/>
    <w:rsid w:val="008F2B5C"/>
    <w:rsid w:val="009237C4"/>
    <w:rsid w:val="00944C48"/>
    <w:rsid w:val="00950252"/>
    <w:rsid w:val="00967F5D"/>
    <w:rsid w:val="009A04E3"/>
    <w:rsid w:val="009A0F95"/>
    <w:rsid w:val="009A1A24"/>
    <w:rsid w:val="009B3ADF"/>
    <w:rsid w:val="009C3B52"/>
    <w:rsid w:val="009E6817"/>
    <w:rsid w:val="009E6E9A"/>
    <w:rsid w:val="00A01D2B"/>
    <w:rsid w:val="00A171C7"/>
    <w:rsid w:val="00A42218"/>
    <w:rsid w:val="00A70249"/>
    <w:rsid w:val="00A70B02"/>
    <w:rsid w:val="00A71D9F"/>
    <w:rsid w:val="00A92E9F"/>
    <w:rsid w:val="00AA78B0"/>
    <w:rsid w:val="00AB18FF"/>
    <w:rsid w:val="00AF018A"/>
    <w:rsid w:val="00AF15F3"/>
    <w:rsid w:val="00AF3415"/>
    <w:rsid w:val="00B33BEA"/>
    <w:rsid w:val="00B35989"/>
    <w:rsid w:val="00B57C9F"/>
    <w:rsid w:val="00B63572"/>
    <w:rsid w:val="00B719C5"/>
    <w:rsid w:val="00B845B3"/>
    <w:rsid w:val="00B85D8B"/>
    <w:rsid w:val="00BA6D18"/>
    <w:rsid w:val="00BB4A40"/>
    <w:rsid w:val="00BD6C3E"/>
    <w:rsid w:val="00BE3674"/>
    <w:rsid w:val="00C10681"/>
    <w:rsid w:val="00C3049A"/>
    <w:rsid w:val="00C31B1E"/>
    <w:rsid w:val="00C77645"/>
    <w:rsid w:val="00C96E6D"/>
    <w:rsid w:val="00CA315C"/>
    <w:rsid w:val="00CA433C"/>
    <w:rsid w:val="00CC686A"/>
    <w:rsid w:val="00CE04C3"/>
    <w:rsid w:val="00CE7680"/>
    <w:rsid w:val="00CE76A0"/>
    <w:rsid w:val="00D148C6"/>
    <w:rsid w:val="00D17A8A"/>
    <w:rsid w:val="00D415BA"/>
    <w:rsid w:val="00D63780"/>
    <w:rsid w:val="00D644EE"/>
    <w:rsid w:val="00DD06FF"/>
    <w:rsid w:val="00DD16F1"/>
    <w:rsid w:val="00DD3120"/>
    <w:rsid w:val="00DD5FE9"/>
    <w:rsid w:val="00E00C7A"/>
    <w:rsid w:val="00E04353"/>
    <w:rsid w:val="00E23A98"/>
    <w:rsid w:val="00E328EB"/>
    <w:rsid w:val="00E37D6C"/>
    <w:rsid w:val="00E4404F"/>
    <w:rsid w:val="00E55B68"/>
    <w:rsid w:val="00E561AE"/>
    <w:rsid w:val="00E67BE6"/>
    <w:rsid w:val="00E8683C"/>
    <w:rsid w:val="00EA2B72"/>
    <w:rsid w:val="00F74360"/>
    <w:rsid w:val="00FB33CC"/>
    <w:rsid w:val="00FB462F"/>
    <w:rsid w:val="00FC6683"/>
    <w:rsid w:val="00FE16FA"/>
    <w:rsid w:val="00FE328A"/>
    <w:rsid w:val="00FE6269"/>
    <w:rsid w:val="00FF44F5"/>
    <w:rsid w:val="00FF5CD6"/>
    <w:rsid w:val="07313455"/>
    <w:rsid w:val="09AA26F7"/>
    <w:rsid w:val="1ECC422C"/>
    <w:rsid w:val="1ECC7E19"/>
    <w:rsid w:val="1F4F0EF6"/>
    <w:rsid w:val="273458F7"/>
    <w:rsid w:val="3FE457A9"/>
    <w:rsid w:val="41007E93"/>
    <w:rsid w:val="52EA3017"/>
    <w:rsid w:val="5777D4F5"/>
    <w:rsid w:val="5F8F08CA"/>
    <w:rsid w:val="5FC6BB1E"/>
    <w:rsid w:val="5FF720F1"/>
    <w:rsid w:val="609B351E"/>
    <w:rsid w:val="62E51E0E"/>
    <w:rsid w:val="64A54408"/>
    <w:rsid w:val="68261937"/>
    <w:rsid w:val="6EF96718"/>
    <w:rsid w:val="6F9B0B8C"/>
    <w:rsid w:val="737D59BA"/>
    <w:rsid w:val="77B06588"/>
    <w:rsid w:val="77C37683"/>
    <w:rsid w:val="78ED0B41"/>
    <w:rsid w:val="79FF515B"/>
    <w:rsid w:val="7E9F11B4"/>
    <w:rsid w:val="7FC69637"/>
    <w:rsid w:val="7FFDB408"/>
    <w:rsid w:val="CBFF70E0"/>
    <w:rsid w:val="EEABED75"/>
    <w:rsid w:val="FB36E1A6"/>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27E91-8B5D-43A0-8CC7-1A4D9AFF68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5916</Words>
  <Characters>7118</Characters>
  <Lines>63</Lines>
  <Paragraphs>18</Paragraphs>
  <TotalTime>2</TotalTime>
  <ScaleCrop>false</ScaleCrop>
  <LinksUpToDate>false</LinksUpToDate>
  <CharactersWithSpaces>7608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2023-09-05T01:25:00Z</dcterms:created>
  <dc:creator>李航 null</dc:creator>
  <cp:lastModifiedBy>Administrator</cp:lastModifiedBy>
  <cp:lastPrinted>2023-08-15T09:28:00Z</cp:lastPrinted>
  <dcterms:modified xsi:type="dcterms:W3CDTF">2023-09-28T02:11:08Z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88DF8B2BEB2D490195178D0F46C0AE02_12</vt:lpwstr>
  </property>
</Properties>
</file>