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3360" w:firstLineChars="700"/>
        <w:jc w:val="both"/>
        <w:rPr>
          <w:rFonts w:hint="eastAsia"/>
          <w:sz w:val="48"/>
          <w:szCs w:val="48"/>
          <w:lang w:eastAsia="zh-CN"/>
        </w:rPr>
      </w:pPr>
    </w:p>
    <w:p>
      <w:pPr>
        <w:pStyle w:val="11"/>
        <w:ind w:firstLine="3360" w:firstLineChars="700"/>
        <w:jc w:val="both"/>
        <w:rPr>
          <w:sz w:val="56"/>
          <w:szCs w:val="56"/>
        </w:rPr>
      </w:pPr>
      <w:r>
        <w:rPr>
          <w:rFonts w:hint="eastAsia"/>
          <w:sz w:val="48"/>
          <w:szCs w:val="48"/>
          <w:lang w:eastAsia="zh-CN"/>
        </w:rPr>
        <w:t>新田县</w:t>
      </w:r>
      <w:r>
        <w:rPr>
          <w:rFonts w:hint="eastAsia"/>
          <w:sz w:val="48"/>
          <w:szCs w:val="48"/>
          <w:lang w:val="en-US" w:eastAsia="zh-CN"/>
        </w:rPr>
        <w:t>陶岭中心小学2022</w:t>
      </w:r>
      <w:r>
        <w:rPr>
          <w:rFonts w:hint="eastAsia"/>
          <w:sz w:val="48"/>
          <w:szCs w:val="48"/>
          <w:lang w:eastAsia="zh-CN"/>
        </w:rPr>
        <w:t>年度部门决算公开</w:t>
      </w:r>
    </w:p>
    <w:p>
      <w:pPr>
        <w:pStyle w:val="11"/>
        <w:spacing w:line="500" w:lineRule="exact"/>
        <w:ind w:firstLine="6144" w:firstLineChars="1700"/>
        <w:jc w:val="both"/>
        <w:rPr>
          <w:rFonts w:hint="eastAsia"/>
          <w:b/>
          <w:sz w:val="36"/>
          <w:szCs w:val="28"/>
        </w:rPr>
      </w:pPr>
    </w:p>
    <w:p>
      <w:pPr>
        <w:pStyle w:val="11"/>
        <w:spacing w:line="500" w:lineRule="exact"/>
        <w:ind w:firstLine="6626" w:firstLineChars="1500"/>
        <w:jc w:val="both"/>
        <w:rPr>
          <w:b/>
          <w:sz w:val="36"/>
          <w:szCs w:val="28"/>
        </w:rPr>
      </w:pPr>
      <w:r>
        <w:rPr>
          <w:rFonts w:hint="eastAsia"/>
          <w:b/>
          <w:sz w:val="44"/>
          <w:szCs w:val="44"/>
        </w:rPr>
        <w:t>目录</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新田县陶岭中心小学</w:t>
      </w:r>
      <w:r>
        <w:rPr>
          <w:rFonts w:hint="eastAsia" w:ascii="黑体" w:hAnsi="黑体" w:eastAsia="黑体" w:cs="黑体"/>
          <w:b/>
          <w:bCs w:val="0"/>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1"/>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新田县陶岭中心小学</w:t>
      </w:r>
      <w:r>
        <w:rPr>
          <w:rFonts w:hint="eastAsia" w:ascii="黑体" w:hAnsi="黑体" w:eastAsia="黑体" w:cs="黑体"/>
          <w:b/>
          <w:bCs/>
          <w:sz w:val="32"/>
          <w:szCs w:val="32"/>
        </w:rPr>
        <w:t>概况</w:t>
      </w: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（一）贯彻党的教育方针，坚持社会主义办学方向，对学生进行德 育、智育、体育、美育和劳动教育等方面的教育.</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（二）配合各级人民政府依法动员适龄儿童、少年入学，严格控制 学生辍学，依法保证适龄儿童、少年接受九年义务教育</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bCs/>
          <w:kern w:val="0"/>
          <w:sz w:val="32"/>
          <w:szCs w:val="32"/>
        </w:rPr>
        <w:t>（一）</w:t>
      </w:r>
      <w:r>
        <w:rPr>
          <w:rFonts w:hint="eastAsia" w:ascii="Times New Roman" w:hAnsi="Times New Roman" w:eastAsia="仿宋_GB2312" w:cs="仿宋_GB2312"/>
          <w:sz w:val="32"/>
          <w:szCs w:val="32"/>
        </w:rPr>
        <w:t>内设机构设置。</w:t>
      </w:r>
      <w:r>
        <w:rPr>
          <w:rFonts w:hint="eastAsia" w:ascii="Times New Roman" w:hAnsi="Times New Roman" w:eastAsia="仿宋_GB2312" w:cs="仿宋_GB2312"/>
          <w:sz w:val="32"/>
          <w:szCs w:val="32"/>
          <w:lang w:val="en-US" w:eastAsia="zh-CN"/>
        </w:rPr>
        <w:t>陶岭学校</w:t>
      </w:r>
      <w:r>
        <w:rPr>
          <w:rFonts w:hint="eastAsia" w:ascii="Times New Roman" w:hAnsi="Times New Roman" w:eastAsia="仿宋_GB2312" w:cs="仿宋_GB2312"/>
          <w:sz w:val="32"/>
          <w:szCs w:val="32"/>
        </w:rPr>
        <w:t>内设机构包括：校长室、教导处、总务处、安全管理办公室</w:t>
      </w:r>
      <w:r>
        <w:rPr>
          <w:rFonts w:hint="eastAsia" w:ascii="Times New Roman" w:hAnsi="Times New Roman" w:eastAsia="仿宋_GB2312" w:cs="仿宋_GB2312"/>
          <w:sz w:val="32"/>
          <w:szCs w:val="32"/>
          <w:lang w:eastAsia="zh-CN"/>
        </w:rPr>
        <w:t>。</w:t>
      </w:r>
    </w:p>
    <w:p>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bCs/>
          <w:kern w:val="0"/>
          <w:sz w:val="32"/>
          <w:szCs w:val="32"/>
        </w:rPr>
        <w:t>（二）</w:t>
      </w:r>
      <w:r>
        <w:rPr>
          <w:rFonts w:hint="eastAsia" w:ascii="Times New Roman" w:hAnsi="Times New Roman" w:eastAsia="仿宋_GB2312" w:cs="仿宋_GB2312"/>
          <w:sz w:val="32"/>
          <w:szCs w:val="32"/>
        </w:rPr>
        <w:t>决算单位构成。</w:t>
      </w:r>
      <w:r>
        <w:rPr>
          <w:rFonts w:hint="eastAsia" w:ascii="Times New Roman" w:hAnsi="Times New Roman" w:eastAsia="仿宋_GB2312" w:cs="仿宋_GB2312"/>
          <w:sz w:val="32"/>
          <w:szCs w:val="32"/>
          <w:lang w:val="en-US" w:eastAsia="zh-CN"/>
        </w:rPr>
        <w:t>陶岭学校</w:t>
      </w: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年部门决算汇总公开单位构成包括：</w:t>
      </w:r>
      <w:r>
        <w:rPr>
          <w:rFonts w:hint="eastAsia" w:ascii="Times New Roman" w:hAnsi="Times New Roman" w:eastAsia="仿宋_GB2312" w:cs="仿宋_GB2312"/>
          <w:sz w:val="32"/>
          <w:szCs w:val="32"/>
          <w:lang w:val="en-US" w:eastAsia="zh-CN"/>
        </w:rPr>
        <w:t>陶岭学校</w:t>
      </w:r>
      <w:r>
        <w:rPr>
          <w:rFonts w:hint="eastAsia" w:ascii="Times New Roman" w:hAnsi="Times New Roman" w:eastAsia="仿宋_GB2312" w:cs="仿宋_GB2312"/>
          <w:sz w:val="32"/>
          <w:szCs w:val="32"/>
        </w:rPr>
        <w:t>本级</w:t>
      </w:r>
    </w:p>
    <w:p>
      <w:pPr>
        <w:widowControl/>
        <w:spacing w:line="600" w:lineRule="exact"/>
        <w:rPr>
          <w:rFonts w:hint="eastAsia" w:ascii="Times New Roman" w:hAnsi="Times New Roman" w:eastAsia="仿宋_GB2312" w:cs="仿宋_GB2312"/>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tbl>
      <w:tblPr>
        <w:tblStyle w:val="7"/>
        <w:tblW w:w="15367" w:type="dxa"/>
        <w:tblInd w:w="317" w:type="dxa"/>
        <w:tblLayout w:type="autofit"/>
        <w:tblCellMar>
          <w:top w:w="0" w:type="dxa"/>
          <w:left w:w="0" w:type="dxa"/>
          <w:bottom w:w="0" w:type="dxa"/>
          <w:right w:w="0" w:type="dxa"/>
        </w:tblCellMar>
      </w:tblPr>
      <w:tblGrid>
        <w:gridCol w:w="255"/>
        <w:gridCol w:w="545"/>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259"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6"/>
              <w:gridCol w:w="616"/>
              <w:gridCol w:w="1274"/>
              <w:gridCol w:w="5019"/>
              <w:gridCol w:w="1091"/>
              <w:gridCol w:w="692"/>
              <w:gridCol w:w="701"/>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39"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20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3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3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新田县陶岭中心小学</w:t>
                  </w:r>
                </w:p>
              </w:tc>
              <w:tc>
                <w:tcPr>
                  <w:tcW w:w="2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209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1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1,363.53</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1363.53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1,363.53</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7" w:firstLineChars="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1363.53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1363.53</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rPr>
                    <w:t>1363.53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0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4112"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Times New Roman" w:hAnsi="Times New Roman" w:eastAsia="仿宋_GB2312" w:cs="Times New Roman"/>
                <w:color w:val="000000"/>
                <w:kern w:val="0"/>
                <w:szCs w:val="21"/>
                <w:lang w:val="en-US" w:eastAsia="zh-CN"/>
              </w:rPr>
              <w:t>新田县陶岭中心小学</w:t>
            </w:r>
            <w:r>
              <w:rPr>
                <w:rFonts w:ascii="Times New Roman" w:hAnsi="Times New Roman" w:eastAsia="仿宋_GB2312" w:cs="Times New Roman"/>
                <w:color w:val="000000"/>
                <w:kern w:val="0"/>
                <w:szCs w:val="21"/>
              </w:rPr>
              <w:t xml:space="preserve"> </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4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4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1363.53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1363.53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cs="宋体" w:eastAsiaTheme="minorEastAsia"/>
                <w:sz w:val="24"/>
                <w:szCs w:val="24"/>
                <w:lang w:val="en-US" w:eastAsia="zh-CN"/>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1363.53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1363.53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rPr>
              <w:t>1363.53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1363.53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1363.53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1363.53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259"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4932"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新田县陶岭中心小学</w:t>
            </w:r>
            <w:r>
              <w:rPr>
                <w:rFonts w:ascii="Times New Roman" w:hAnsi="Times New Roman" w:eastAsia="仿宋_GB2312" w:cs="Times New Roman"/>
                <w:color w:val="000000"/>
                <w:kern w:val="0"/>
                <w:szCs w:val="21"/>
              </w:rPr>
              <w:t xml:space="preserve"> </w:t>
            </w: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1363.53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1,195.34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168.20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1363.53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1,195.34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168.20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1363.53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1,195.34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168.20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1363.53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1,195.34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168.20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fixed"/>
        <w:tblCellMar>
          <w:top w:w="0" w:type="dxa"/>
          <w:left w:w="108" w:type="dxa"/>
          <w:bottom w:w="0" w:type="dxa"/>
          <w:right w:w="108" w:type="dxa"/>
        </w:tblCellMar>
      </w:tblPr>
      <w:tblGrid>
        <w:gridCol w:w="3591"/>
        <w:gridCol w:w="436"/>
        <w:gridCol w:w="1414"/>
        <w:gridCol w:w="176"/>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1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新田县陶岭中心小学</w:t>
            </w:r>
            <w:r>
              <w:rPr>
                <w:rFonts w:ascii="Times New Roman" w:hAnsi="Times New Roman" w:eastAsia="仿宋_GB2312" w:cs="Times New Roman"/>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1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44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080"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0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0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4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1,363.53</w:t>
            </w:r>
          </w:p>
        </w:tc>
        <w:tc>
          <w:tcPr>
            <w:tcW w:w="30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4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0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4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0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4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4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1,363.53</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1,363.53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4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4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4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0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4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1,363.53</w:t>
            </w:r>
          </w:p>
        </w:tc>
        <w:tc>
          <w:tcPr>
            <w:tcW w:w="30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1,363.53</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1,363.53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4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c>
          <w:tcPr>
            <w:tcW w:w="308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4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c>
          <w:tcPr>
            <w:tcW w:w="30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4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c>
          <w:tcPr>
            <w:tcW w:w="30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4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c>
          <w:tcPr>
            <w:tcW w:w="30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4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1,363.53</w:t>
            </w:r>
          </w:p>
        </w:tc>
        <w:tc>
          <w:tcPr>
            <w:tcW w:w="308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1,363.53</w:t>
            </w:r>
          </w:p>
        </w:tc>
        <w:tc>
          <w:tcPr>
            <w:tcW w:w="139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1,363.53</w:t>
            </w:r>
          </w:p>
        </w:tc>
        <w:tc>
          <w:tcPr>
            <w:tcW w:w="13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kern w:val="0"/>
                <w:sz w:val="22"/>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新田县陶岭中心小学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1,363.53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1,195.34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168.20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1,363.53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1,195.34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168.20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普通教育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1,363.53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1,195.34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168.20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2050202</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1,363.53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1,195.34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168.20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fixed"/>
        <w:tblCellMar>
          <w:top w:w="0" w:type="dxa"/>
          <w:left w:w="108" w:type="dxa"/>
          <w:bottom w:w="0" w:type="dxa"/>
          <w:right w:w="108" w:type="dxa"/>
        </w:tblCellMar>
      </w:tblPr>
      <w:tblGrid>
        <w:gridCol w:w="950"/>
        <w:gridCol w:w="240"/>
        <w:gridCol w:w="90"/>
        <w:gridCol w:w="1236"/>
        <w:gridCol w:w="1938"/>
        <w:gridCol w:w="84"/>
        <w:gridCol w:w="820"/>
        <w:gridCol w:w="1157"/>
        <w:gridCol w:w="292"/>
        <w:gridCol w:w="1888"/>
        <w:gridCol w:w="158"/>
        <w:gridCol w:w="746"/>
        <w:gridCol w:w="1158"/>
        <w:gridCol w:w="338"/>
        <w:gridCol w:w="1996"/>
        <w:gridCol w:w="1619"/>
        <w:gridCol w:w="550"/>
        <w:gridCol w:w="3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新田县陶岭中心小学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5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981.50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113.933</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359.32</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51.88</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94.16</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2.71</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115.52</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184.94</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68.46</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6.39</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23.39</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39.48</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4.59</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49.08</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3.45</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42.56</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99.90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0.53</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95.58</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1.09</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6.05</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5.89</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4.32</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28.45</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5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1081.41</w:t>
            </w:r>
          </w:p>
        </w:tc>
        <w:tc>
          <w:tcPr>
            <w:tcW w:w="9352"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113.939</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690" w:hRule="atLeast"/>
        </w:trPr>
        <w:tc>
          <w:tcPr>
            <w:tcW w:w="15260" w:type="dxa"/>
            <w:gridSpan w:val="17"/>
            <w:tcBorders>
              <w:top w:val="nil"/>
              <w:left w:val="nil"/>
              <w:bottom w:val="nil"/>
              <w:right w:val="nil"/>
            </w:tcBorders>
            <w:shd w:val="clear" w:color="auto" w:fill="FFFFFF"/>
            <w:vAlign w:val="center"/>
          </w:tcPr>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345" w:hRule="atLeast"/>
        </w:trPr>
        <w:tc>
          <w:tcPr>
            <w:tcW w:w="95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2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2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6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4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4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9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6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690" w:hRule="atLeast"/>
        </w:trPr>
        <w:tc>
          <w:tcPr>
            <w:tcW w:w="4538"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新田县陶岭中心小学</w:t>
            </w:r>
          </w:p>
        </w:tc>
        <w:tc>
          <w:tcPr>
            <w:tcW w:w="226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4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4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9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6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459" w:hRule="atLeast"/>
        </w:trPr>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0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609" w:hRule="atLeast"/>
        </w:trPr>
        <w:tc>
          <w:tcPr>
            <w:tcW w:w="11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409" w:hRule="atLeast"/>
        </w:trPr>
        <w:tc>
          <w:tcPr>
            <w:tcW w:w="11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509" w:hRule="atLeast"/>
        </w:trPr>
        <w:tc>
          <w:tcPr>
            <w:tcW w:w="11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509" w:hRule="atLeast"/>
        </w:trPr>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509" w:hRule="atLeast"/>
        </w:trPr>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509" w:hRule="atLeast"/>
        </w:trPr>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509" w:hRule="atLeast"/>
        </w:trPr>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509" w:hRule="atLeast"/>
        </w:trPr>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509" w:hRule="atLeast"/>
        </w:trPr>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509" w:hRule="atLeast"/>
        </w:trPr>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509" w:hRule="atLeast"/>
        </w:trPr>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4" w:type="dxa"/>
          <w:trHeight w:val="725" w:hRule="atLeast"/>
        </w:trPr>
        <w:tc>
          <w:tcPr>
            <w:tcW w:w="152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06"/>
        <w:gridCol w:w="641"/>
        <w:gridCol w:w="2061"/>
        <w:gridCol w:w="2956"/>
        <w:gridCol w:w="2956"/>
        <w:gridCol w:w="3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新田县陶岭中心小学</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06"/>
        <w:gridCol w:w="1186"/>
        <w:gridCol w:w="1100"/>
        <w:gridCol w:w="1100"/>
        <w:gridCol w:w="1100"/>
        <w:gridCol w:w="1100"/>
        <w:gridCol w:w="1100"/>
        <w:gridCol w:w="1186"/>
        <w:gridCol w:w="1100"/>
        <w:gridCol w:w="1101"/>
        <w:gridCol w:w="1101"/>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新田县陶岭中心小学</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1"/>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val="en-US" w:eastAsia="zh-CN"/>
        </w:rPr>
        <w:t>入</w:t>
      </w:r>
      <w:r>
        <w:rPr>
          <w:rFonts w:hint="eastAsia" w:ascii="Times New Roman" w:hAnsi="Times New Roman" w:eastAsia="仿宋_GB2312"/>
          <w:sz w:val="32"/>
          <w:szCs w:val="32"/>
        </w:rPr>
        <w:t>总计1363.53万元。与上年相比，减少</w:t>
      </w:r>
      <w:r>
        <w:rPr>
          <w:rFonts w:hint="eastAsia" w:ascii="Times New Roman" w:hAnsi="Times New Roman" w:eastAsia="仿宋_GB2312"/>
          <w:sz w:val="32"/>
          <w:szCs w:val="32"/>
          <w:lang w:val="en-US" w:eastAsia="zh-CN"/>
        </w:rPr>
        <w:t>121.59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9.79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学校建设减少，收入减少。</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w:t>
      </w:r>
      <w:r>
        <w:rPr>
          <w:rFonts w:hint="eastAsia" w:ascii="Times New Roman" w:hAnsi="Times New Roman" w:eastAsia="仿宋_GB2312"/>
          <w:sz w:val="32"/>
          <w:szCs w:val="32"/>
          <w:lang w:val="en-US" w:eastAsia="zh-CN"/>
        </w:rPr>
        <w:t>出</w:t>
      </w:r>
      <w:r>
        <w:rPr>
          <w:rFonts w:hint="eastAsia" w:ascii="Times New Roman" w:hAnsi="Times New Roman" w:eastAsia="仿宋_GB2312"/>
          <w:sz w:val="32"/>
          <w:szCs w:val="32"/>
        </w:rPr>
        <w:t>总计1363.53万元。与上年相比，减少</w:t>
      </w:r>
      <w:r>
        <w:rPr>
          <w:rFonts w:hint="eastAsia" w:ascii="Times New Roman" w:hAnsi="Times New Roman" w:eastAsia="仿宋_GB2312"/>
          <w:sz w:val="32"/>
          <w:szCs w:val="32"/>
          <w:lang w:val="en-US" w:eastAsia="zh-CN"/>
        </w:rPr>
        <w:t>121.59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9.79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学校建设减少。</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年度收入合计1363.53万元，其中：财政拨款收入1363.53万元，占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年度支出合计1363.53万元，其中：基本支出1195.34万元，占</w:t>
      </w:r>
      <w:r>
        <w:rPr>
          <w:rFonts w:hint="eastAsia" w:ascii="Times New Roman" w:hAnsi="Times New Roman" w:eastAsia="仿宋_GB2312"/>
          <w:sz w:val="32"/>
          <w:szCs w:val="32"/>
          <w:lang w:val="en-US" w:eastAsia="zh-CN"/>
        </w:rPr>
        <w:t>87.67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168.20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12.33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val="en-US" w:eastAsia="zh-CN"/>
        </w:rPr>
        <w:t>入</w:t>
      </w:r>
      <w:r>
        <w:rPr>
          <w:rFonts w:hint="eastAsia" w:ascii="Times New Roman" w:hAnsi="Times New Roman" w:eastAsia="仿宋_GB2312"/>
          <w:sz w:val="32"/>
          <w:szCs w:val="32"/>
        </w:rPr>
        <w:t>总计1363.53万元，与上年相比，减少</w:t>
      </w:r>
      <w:r>
        <w:rPr>
          <w:rFonts w:hint="eastAsia" w:ascii="Times New Roman" w:hAnsi="Times New Roman" w:eastAsia="仿宋_GB2312"/>
          <w:sz w:val="32"/>
          <w:szCs w:val="32"/>
          <w:lang w:val="en-US" w:eastAsia="zh-CN"/>
        </w:rPr>
        <w:t>121.59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9.79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学校建设减少。</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w:t>
      </w:r>
      <w:r>
        <w:rPr>
          <w:rFonts w:hint="eastAsia" w:ascii="Times New Roman" w:hAnsi="Times New Roman" w:eastAsia="仿宋_GB2312"/>
          <w:sz w:val="32"/>
          <w:szCs w:val="32"/>
          <w:lang w:val="en-US" w:eastAsia="zh-CN"/>
        </w:rPr>
        <w:t>出</w:t>
      </w:r>
      <w:r>
        <w:rPr>
          <w:rFonts w:hint="eastAsia" w:ascii="Times New Roman" w:hAnsi="Times New Roman" w:eastAsia="仿宋_GB2312"/>
          <w:sz w:val="32"/>
          <w:szCs w:val="32"/>
        </w:rPr>
        <w:t>总计1363.53万元，与上年相比，减少</w:t>
      </w:r>
      <w:r>
        <w:rPr>
          <w:rFonts w:hint="eastAsia" w:ascii="Times New Roman" w:hAnsi="Times New Roman" w:eastAsia="仿宋_GB2312"/>
          <w:sz w:val="32"/>
          <w:szCs w:val="32"/>
          <w:lang w:val="en-US" w:eastAsia="zh-CN"/>
        </w:rPr>
        <w:t>121.59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9.79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学校建设减少。</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年度财政拨款支出1363.53万元，占本年支出合计的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财政拨款支出</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121.59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9.79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学校建设减少。</w:t>
      </w:r>
    </w:p>
    <w:p>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年度财政拨款支出1363.53万元，主要用于以下方面：一般公共服务（类）支出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%；教育（类）支出1363.53万元，占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年度财政拨款支出年初预算数为1363.53万元，支出决算数为1363.53万元，完成年初预算的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教育（类）一般公共预算财政拨款（款）</w:t>
      </w:r>
      <w:r>
        <w:rPr>
          <w:rFonts w:hint="eastAsia" w:ascii="Times New Roman" w:hAnsi="Times New Roman" w:eastAsia="仿宋_GB2312"/>
          <w:sz w:val="32"/>
          <w:szCs w:val="32"/>
          <w:lang w:val="en-US" w:eastAsia="zh-CN"/>
        </w:rPr>
        <w:t>小学教育</w:t>
      </w:r>
      <w:r>
        <w:rPr>
          <w:rFonts w:hint="eastAsia" w:ascii="Times New Roman" w:hAnsi="Times New Roman" w:eastAsia="仿宋_GB2312"/>
          <w:sz w:val="32"/>
          <w:szCs w:val="32"/>
        </w:rPr>
        <w:t>（项）。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年初预算为1363.53万元，支出决算为1363.53万元，完成年初预算的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1081.41万元，占基本支出的</w:t>
      </w:r>
      <w:r>
        <w:rPr>
          <w:rFonts w:hint="eastAsia" w:ascii="Times New Roman" w:hAnsi="Times New Roman" w:eastAsia="仿宋_GB2312"/>
          <w:sz w:val="32"/>
          <w:szCs w:val="32"/>
          <w:lang w:val="en-US" w:eastAsia="zh-CN"/>
        </w:rPr>
        <w:t>79.31</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绩效工资等</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113.93万元，占基本支出的</w:t>
      </w:r>
      <w:r>
        <w:rPr>
          <w:rFonts w:hint="eastAsia" w:ascii="Times New Roman" w:hAnsi="Times New Roman" w:eastAsia="仿宋_GB2312"/>
          <w:sz w:val="32"/>
          <w:szCs w:val="32"/>
          <w:lang w:val="en-US" w:eastAsia="zh-CN"/>
        </w:rPr>
        <w:t>8.36</w:t>
      </w:r>
      <w:r>
        <w:rPr>
          <w:rFonts w:hint="eastAsia" w:ascii="Times New Roman" w:hAnsi="Times New Roman" w:eastAsia="仿宋_GB2312"/>
          <w:sz w:val="32"/>
          <w:szCs w:val="32"/>
        </w:rPr>
        <w:t>%，主要包括办公费、印刷费、咨询费、手续费。</w:t>
      </w:r>
    </w:p>
    <w:p>
      <w:pPr>
        <w:pStyle w:val="11"/>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“三公”经费财政拨款支出预算为0万元，支出决算为0万元，因预算数为0，无法计算预算完成百分比，其中：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因公出国（境）费支出预算为0万元，支出决算为0万元，因预算数为0，无法计算预算完成百分比。决算数与预算数一致，与上年相比持平。原因是上年及本年均无出国出境情况，无相关费用支出。</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公务接待费支出预算为0万元，支出决算为0万元，因预算数为0，无法计算预算完成百分比。决算数与预算数一致，与上年相比持平。原因是上年及本年均无相关费用支出。</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公务用车购置费支出预算为0万元，支出决算为0万元，因预算数为0，无法计算预算完成百分比。决算数与预算数一致，与上年相比持平。原因是上年及本年均无相关费用支出。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公务用车运行维护费支出预算为0万元，支出决算为0万元，因预算数为0，无法计算预算完成百分比。决算数与预算数一致，与上年相比持平。原因是上年及本年均无相关费用支出。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新田县陶岭中心小学</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cstheme="minorBidi"/>
          <w:color w:val="auto"/>
          <w:kern w:val="2"/>
          <w:sz w:val="32"/>
          <w:szCs w:val="32"/>
          <w:lang w:val="en-US" w:eastAsia="zh-CN" w:bidi="ar-SA"/>
        </w:rPr>
        <w:t>本单位无政府性基金收支</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113.93</w:t>
      </w:r>
      <w:r>
        <w:rPr>
          <w:rFonts w:hint="eastAsia" w:ascii="Times New Roman" w:hAnsi="Times New Roman" w:eastAsia="仿宋_GB2312"/>
          <w:sz w:val="32"/>
          <w:szCs w:val="32"/>
        </w:rPr>
        <w:t>万元，比年初预算数减少</w:t>
      </w:r>
      <w:r>
        <w:rPr>
          <w:rFonts w:hint="eastAsia" w:ascii="Times New Roman" w:hAnsi="Times New Roman" w:eastAsia="仿宋_GB2312"/>
          <w:sz w:val="32"/>
          <w:szCs w:val="32"/>
          <w:lang w:val="en-US" w:eastAsia="zh-CN"/>
        </w:rPr>
        <w:t>6.07</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5.06</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我单位严格控制支出</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召开会议，人数</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0.53</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教师</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新课标提质减负</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pPr>
      <w:r>
        <w:rPr>
          <w:rFonts w:hint="eastAsia" w:ascii="Times New Roman" w:hAnsi="Times New Roman" w:eastAsia="仿宋_GB2312" w:cs="Times New Roman"/>
          <w:color w:val="000000"/>
          <w:kern w:val="2"/>
          <w:sz w:val="32"/>
          <w:szCs w:val="32"/>
          <w:highlight w:val="none"/>
          <w:lang w:val="en-US" w:eastAsia="zh-CN" w:bidi="ar-SA"/>
        </w:rPr>
        <w:t>政府“四本预算”包括一般公共预算、政府性基金预算、国有资本经营预算、社会保险基金预算，我单位为全额拨款事业单位，所有经费来源于一般公共预算拨款收入，所列支出均为教育支出，以为人民服务为宗旨，办好人民满意的教育为理念，在2022年度部门整体支出绩效自评中取得了不错的分数。回顾过去一年，学生安全方面，在学校领导及县教育局的正确领导下，本单位无发生学生重大安全事故，始终把学生的生命健康权放在首位；教育教学方面，积极响应教育部发展素质教育的号召，结合本校的具体实际，以新课标改革为主线，满足学生的个性化发展需求，开设了劳动课、篮球社、羽毛球社、武术操等社团课，极大丰富了学生的课后生活；人际关系方面，全体教职工团结协作，潜心教学，保证了教学活动的正常开展，但受制于经费、软硬件设施等条件，人才流失严重，学生学习成绩仍有较大上升空间；家校合作方面，取得了家长的一致好评，在社会上有较好的口碑；财务管理方面，本单位严格遵守政府会计准则制度，坚持“收支两条线”原则，统筹好资金的预算编制、使用，合法合规合理开支，保障学生的合法权益，积极主动为教师办理岗位异动、调资、缴纳社保等业务，切实保证教师的切身利益。</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spacing w:line="570" w:lineRule="exact"/>
        <w:ind w:firstLine="616" w:firstLineChars="200"/>
        <w:jc w:val="left"/>
        <w:rPr>
          <w:rFonts w:hint="eastAsia" w:eastAsia="仿宋_GB2312"/>
          <w:spacing w:val="-6"/>
          <w:sz w:val="32"/>
          <w:szCs w:val="32"/>
          <w:highlight w:val="none"/>
          <w:lang w:val="en-US" w:eastAsia="zh-CN"/>
        </w:rPr>
      </w:pPr>
      <w:r>
        <w:rPr>
          <w:rFonts w:hint="eastAsia" w:eastAsia="仿宋_GB2312"/>
          <w:spacing w:val="-6"/>
          <w:sz w:val="32"/>
          <w:szCs w:val="32"/>
          <w:highlight w:val="none"/>
          <w:lang w:val="en-US" w:eastAsia="zh-CN"/>
        </w:rPr>
        <w:t>1.部门整体支出绩效自评表为单位内部自评所得，对结果客观性、公正性有一定影响；</w:t>
      </w:r>
    </w:p>
    <w:p>
      <w:pPr>
        <w:spacing w:line="570" w:lineRule="exact"/>
        <w:ind w:firstLine="616" w:firstLineChars="200"/>
        <w:jc w:val="left"/>
        <w:rPr>
          <w:rFonts w:hint="default" w:eastAsia="仿宋_GB2312"/>
          <w:spacing w:val="-6"/>
          <w:sz w:val="32"/>
          <w:szCs w:val="32"/>
          <w:highlight w:val="none"/>
          <w:lang w:val="en-US" w:eastAsia="zh-CN"/>
        </w:rPr>
      </w:pPr>
      <w:r>
        <w:rPr>
          <w:rFonts w:hint="eastAsia" w:eastAsia="仿宋_GB2312"/>
          <w:spacing w:val="-6"/>
          <w:sz w:val="32"/>
          <w:szCs w:val="32"/>
          <w:highlight w:val="none"/>
          <w:lang w:val="en-US" w:eastAsia="zh-CN"/>
        </w:rPr>
        <w:t>2.预算的编制受多种因素影响，如人为主管因素、市场价格波动等，导致不能合理的作出预估，执行偏离绩效目标。</w:t>
      </w:r>
    </w:p>
    <w:p>
      <w:pPr>
        <w:pStyle w:val="11"/>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1"/>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1"/>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bookmarkStart w:id="3" w:name="_GoBack"/>
      <w:bookmarkEnd w:id="3"/>
      <w:r>
        <w:rPr>
          <w:rFonts w:hint="eastAsia" w:asciiTheme="minorEastAsia" w:hAnsiTheme="minorEastAsia" w:eastAsiaTheme="minorEastAsia" w:cstheme="minorEastAsia"/>
          <w:b/>
          <w:color w:val="000000"/>
          <w:kern w:val="0"/>
          <w:sz w:val="28"/>
          <w:szCs w:val="28"/>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DF9D9A"/>
    <w:multiLevelType w:val="singleLevel"/>
    <w:tmpl w:val="B9DF9D9A"/>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NzI4NTExZWY1NDJmZDkzZTdjMzJiMjY2ZTdjYj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B522C6"/>
    <w:rsid w:val="07831C1A"/>
    <w:rsid w:val="09AA26F7"/>
    <w:rsid w:val="19E75A60"/>
    <w:rsid w:val="1ECC422C"/>
    <w:rsid w:val="1F4F0EF6"/>
    <w:rsid w:val="31190EBD"/>
    <w:rsid w:val="3FE457A9"/>
    <w:rsid w:val="4921009D"/>
    <w:rsid w:val="5777D4F5"/>
    <w:rsid w:val="5AE80EC5"/>
    <w:rsid w:val="5F8F08CA"/>
    <w:rsid w:val="5FC6BB1E"/>
    <w:rsid w:val="5FF720F1"/>
    <w:rsid w:val="609B351E"/>
    <w:rsid w:val="64A54408"/>
    <w:rsid w:val="6EF96718"/>
    <w:rsid w:val="6F9B0B8C"/>
    <w:rsid w:val="737D59BA"/>
    <w:rsid w:val="77B06588"/>
    <w:rsid w:val="77C37683"/>
    <w:rsid w:val="79FF515B"/>
    <w:rsid w:val="7BF55D74"/>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6741</Words>
  <Characters>7948</Characters>
  <Lines>63</Lines>
  <Paragraphs>18</Paragraphs>
  <TotalTime>0</TotalTime>
  <ScaleCrop>false</ScaleCrop>
  <LinksUpToDate>false</LinksUpToDate>
  <CharactersWithSpaces>8891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2023-10-08T01:13:09Z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826B3FBE3183476096D6E4ED957CB7F6_13</vt:lpwstr>
  </property>
</Properties>
</file>