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hint="eastAsia" w:ascii="黑体" w:hAnsi="黑体" w:eastAsia="黑体" w:cs="黑体"/>
          <w:b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  <w:lang w:eastAsia="zh-CN"/>
        </w:rPr>
        <w:t>新田县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201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年政府性债务余额情况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说明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  <w:t xml:space="preserve"> 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，政府债务总限额288488万元，其中一般债务限额269268万元，专项债务限额19220万元。截止2018年底，地方政府债务余额290648万元，其中一般债务余额271428万元，专项债务余额19220。一般债务余额超限额2160万元，主要是因为省厅2015年及以前年度发行的债券，债务系统已作还本，而国库实际尚有2160万元未还本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（二）地方政府债券发行情况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2018年，省转贷新增债务限额27100万元，全部为新增一般债券。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债券资金安排如下：2018年易地扶贫搬迁项目23645万元，自然村通组路建设项目1155万元，特殊学校建设700万元，美丽乡村建设人居环境整治500万元，双碧学校运动场300万元，新建教学楼800万元。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2018年偿还地方政府债券本金6601万元，其中一般债券4635万元，专项债务1966万元，支付地方政府债券利息7982万元，其中一般债券利息7316万元，专项债券利息666万元。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5CC1"/>
    <w:rsid w:val="29D0613A"/>
    <w:rsid w:val="61F05BC2"/>
    <w:rsid w:val="66894B15"/>
    <w:rsid w:val="699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666666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disabled"/>
    <w:basedOn w:val="4"/>
    <w:qFormat/>
    <w:uiPriority w:val="0"/>
    <w:rPr>
      <w:color w:val="999999"/>
      <w:bdr w:val="single" w:color="C5C5C5" w:sz="6" w:space="0"/>
    </w:rPr>
  </w:style>
  <w:style w:type="character" w:customStyle="1" w:styleId="14">
    <w:name w:val="current"/>
    <w:basedOn w:val="4"/>
    <w:qFormat/>
    <w:uiPriority w:val="0"/>
    <w:rPr>
      <w:b/>
      <w:color w:val="FFFFFF"/>
      <w:bdr w:val="single" w:color="0371B9" w:sz="6" w:space="0"/>
      <w:shd w:val="clear" w:fill="0371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2018-12-20T06:59:00Z</dcterms:created>
  <dc:creator>Administrator</dc:creator>
  <cp:lastModifiedBy>Administrator</cp:lastModifiedBy>
  <dcterms:modified xsi:type="dcterms:W3CDTF">2021-06-09T06:42:16Z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09346FCCFF4746CCA2815354EAA979A2</vt:lpwstr>
  </property>
</Properties>
</file>