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F09FE">
      <w:pPr>
        <w:widowControl/>
        <w:spacing w:line="600" w:lineRule="exact"/>
        <w:jc w:val="center"/>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新田县2022年度政府决算公开说明</w:t>
      </w:r>
    </w:p>
    <w:p w14:paraId="7952AC0A">
      <w:pPr>
        <w:pStyle w:val="3"/>
        <w:rPr>
          <w:rFonts w:hint="default"/>
          <w:lang w:val="en-US" w:eastAsia="zh-CN"/>
        </w:rPr>
      </w:pPr>
    </w:p>
    <w:p w14:paraId="72D9F24F">
      <w:pPr>
        <w:widowControl/>
        <w:spacing w:line="600" w:lineRule="exact"/>
        <w:ind w:firstLine="627" w:firstLineChars="196"/>
        <w:jc w:val="left"/>
        <w:rPr>
          <w:rFonts w:hint="eastAsia" w:eastAsia="黑体"/>
          <w:bCs/>
          <w:kern w:val="0"/>
          <w:sz w:val="32"/>
          <w:szCs w:val="32"/>
          <w:lang w:eastAsia="zh-CN"/>
        </w:rPr>
      </w:pPr>
      <w:r>
        <w:rPr>
          <w:rFonts w:eastAsia="黑体"/>
          <w:bCs/>
          <w:kern w:val="0"/>
          <w:sz w:val="32"/>
          <w:szCs w:val="32"/>
        </w:rPr>
        <w:t>一、</w:t>
      </w:r>
      <w:r>
        <w:rPr>
          <w:rFonts w:hint="eastAsia" w:eastAsia="黑体"/>
          <w:bCs/>
          <w:kern w:val="0"/>
          <w:sz w:val="32"/>
          <w:szCs w:val="32"/>
          <w:lang w:eastAsia="zh-CN"/>
        </w:rPr>
        <w:t>关于</w:t>
      </w:r>
      <w:r>
        <w:rPr>
          <w:rFonts w:eastAsia="黑体"/>
          <w:bCs/>
          <w:kern w:val="0"/>
          <w:sz w:val="32"/>
          <w:szCs w:val="32"/>
        </w:rPr>
        <w:t>税收返还和转移支付情况</w:t>
      </w:r>
      <w:r>
        <w:rPr>
          <w:rFonts w:hint="eastAsia" w:eastAsia="黑体"/>
          <w:bCs/>
          <w:kern w:val="0"/>
          <w:sz w:val="32"/>
          <w:szCs w:val="32"/>
          <w:lang w:eastAsia="zh-CN"/>
        </w:rPr>
        <w:t>的说明</w:t>
      </w:r>
    </w:p>
    <w:p w14:paraId="5B33A9C5">
      <w:pPr>
        <w:spacing w:line="600" w:lineRule="exact"/>
        <w:ind w:firstLine="640" w:firstLineChars="200"/>
        <w:rPr>
          <w:rFonts w:eastAsia="仿宋_GB2312"/>
          <w:color w:val="000000"/>
          <w:sz w:val="32"/>
          <w:szCs w:val="32"/>
        </w:rPr>
      </w:pPr>
      <w:r>
        <w:rPr>
          <w:rFonts w:hint="eastAsia" w:ascii="仿宋" w:hAnsi="仿宋" w:eastAsia="仿宋" w:cs="仿宋"/>
          <w:sz w:val="32"/>
          <w:szCs w:val="32"/>
          <w:highlight w:val="none"/>
          <w:lang w:val="en-US" w:eastAsia="zh-CN"/>
        </w:rPr>
        <w:t>2022</w:t>
      </w:r>
      <w:r>
        <w:rPr>
          <w:rFonts w:eastAsia="仿宋_GB2312"/>
          <w:color w:val="000000"/>
          <w:sz w:val="32"/>
          <w:szCs w:val="32"/>
        </w:rPr>
        <w:t>年，税收返还和转移支付预算</w:t>
      </w:r>
      <w:r>
        <w:rPr>
          <w:rFonts w:hint="eastAsia" w:eastAsia="仿宋_GB2312"/>
          <w:color w:val="000000"/>
          <w:sz w:val="32"/>
          <w:szCs w:val="32"/>
          <w:lang w:val="en-US" w:eastAsia="zh-CN"/>
        </w:rPr>
        <w:t>252778</w:t>
      </w:r>
      <w:r>
        <w:rPr>
          <w:rFonts w:hint="eastAsia" w:eastAsia="仿宋_GB2312"/>
          <w:color w:val="000000"/>
          <w:sz w:val="32"/>
          <w:szCs w:val="32"/>
          <w:lang w:eastAsia="zh-CN"/>
        </w:rPr>
        <w:t>万元</w:t>
      </w:r>
      <w:r>
        <w:rPr>
          <w:rFonts w:eastAsia="仿宋_GB2312"/>
          <w:color w:val="000000"/>
          <w:sz w:val="32"/>
          <w:szCs w:val="32"/>
        </w:rPr>
        <w:t>，比上年</w:t>
      </w:r>
      <w:r>
        <w:rPr>
          <w:rFonts w:hint="eastAsia" w:eastAsia="仿宋_GB2312"/>
          <w:color w:val="000000"/>
          <w:sz w:val="32"/>
          <w:szCs w:val="32"/>
          <w:lang w:eastAsia="zh-CN"/>
        </w:rPr>
        <w:t>增加</w:t>
      </w:r>
      <w:r>
        <w:rPr>
          <w:rFonts w:hint="eastAsia" w:eastAsia="仿宋_GB2312"/>
          <w:color w:val="000000"/>
          <w:sz w:val="32"/>
          <w:szCs w:val="32"/>
          <w:lang w:val="en-US" w:eastAsia="zh-CN"/>
        </w:rPr>
        <w:t>41330万元</w:t>
      </w:r>
      <w:r>
        <w:rPr>
          <w:rFonts w:eastAsia="仿宋_GB2312"/>
          <w:color w:val="000000"/>
          <w:sz w:val="32"/>
          <w:szCs w:val="32"/>
        </w:rPr>
        <w:t>，</w:t>
      </w:r>
      <w:r>
        <w:rPr>
          <w:rFonts w:hint="eastAsia" w:eastAsia="仿宋_GB2312"/>
          <w:color w:val="000000"/>
          <w:sz w:val="32"/>
          <w:szCs w:val="32"/>
          <w:lang w:eastAsia="zh-CN"/>
        </w:rPr>
        <w:t>增长</w:t>
      </w:r>
      <w:r>
        <w:rPr>
          <w:rFonts w:hint="eastAsia" w:eastAsia="仿宋_GB2312"/>
          <w:color w:val="000000"/>
          <w:sz w:val="32"/>
          <w:szCs w:val="32"/>
          <w:lang w:val="en-US" w:eastAsia="zh-CN"/>
        </w:rPr>
        <w:t>19.55</w:t>
      </w:r>
      <w:r>
        <w:rPr>
          <w:rFonts w:hint="eastAsia" w:ascii="仿宋" w:hAnsi="仿宋" w:eastAsia="仿宋" w:cs="仿宋"/>
          <w:sz w:val="32"/>
          <w:szCs w:val="32"/>
          <w:highlight w:val="none"/>
          <w:lang w:val="en-US" w:eastAsia="zh-CN"/>
        </w:rPr>
        <w:t>%，</w:t>
      </w:r>
      <w:r>
        <w:rPr>
          <w:rFonts w:hint="eastAsia" w:ascii="仿宋_GB2312" w:hAnsi="仿宋_GB2312" w:eastAsia="仿宋_GB2312" w:cs="仿宋_GB2312"/>
          <w:sz w:val="32"/>
          <w:szCs w:val="32"/>
          <w:highlight w:val="none"/>
          <w:lang w:val="en-US" w:eastAsia="zh-CN"/>
        </w:rPr>
        <w:t>财政运行稳健有力。</w:t>
      </w:r>
      <w:r>
        <w:rPr>
          <w:rFonts w:eastAsia="仿宋_GB2312"/>
          <w:color w:val="000000"/>
          <w:sz w:val="32"/>
          <w:szCs w:val="32"/>
        </w:rPr>
        <w:t>其中：</w:t>
      </w:r>
    </w:p>
    <w:p w14:paraId="79B1CA22">
      <w:pPr>
        <w:spacing w:line="600" w:lineRule="exact"/>
        <w:ind w:firstLine="643" w:firstLineChars="200"/>
        <w:rPr>
          <w:rFonts w:eastAsia="楷体_GB2312"/>
          <w:b/>
          <w:color w:val="000000"/>
          <w:sz w:val="32"/>
          <w:szCs w:val="32"/>
        </w:rPr>
      </w:pPr>
      <w:r>
        <w:rPr>
          <w:rFonts w:eastAsia="楷体_GB2312"/>
          <w:b/>
          <w:color w:val="000000"/>
          <w:sz w:val="32"/>
          <w:szCs w:val="32"/>
        </w:rPr>
        <w:t>（一）税收返还</w:t>
      </w:r>
    </w:p>
    <w:p w14:paraId="7711F238">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税收返还</w:t>
      </w:r>
      <w:r>
        <w:rPr>
          <w:rFonts w:hint="eastAsia" w:ascii="仿宋_GB2312" w:hAnsi="仿宋_GB2312" w:eastAsia="仿宋_GB2312" w:cs="仿宋_GB2312"/>
          <w:sz w:val="32"/>
          <w:szCs w:val="32"/>
          <w:highlight w:val="none"/>
          <w:lang w:val="en-US" w:eastAsia="zh-CN"/>
        </w:rPr>
        <w:t>4319万元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highlight w:val="none"/>
          <w:lang w:val="en-US" w:eastAsia="zh-CN"/>
        </w:rPr>
        <w:t>与上年持平</w:t>
      </w:r>
      <w:r>
        <w:rPr>
          <w:rFonts w:hint="eastAsia" w:ascii="仿宋_GB2312" w:hAnsi="仿宋_GB2312" w:eastAsia="仿宋_GB2312" w:cs="仿宋_GB2312"/>
          <w:color w:val="000000"/>
          <w:sz w:val="32"/>
          <w:szCs w:val="32"/>
        </w:rPr>
        <w:t>。其中：</w:t>
      </w:r>
    </w:p>
    <w:p w14:paraId="32366DB1">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所得税基数返还收入</w:t>
      </w:r>
      <w:r>
        <w:rPr>
          <w:rFonts w:hint="eastAsia" w:ascii="仿宋_GB2312" w:hAnsi="仿宋_GB2312" w:eastAsia="仿宋_GB2312" w:cs="仿宋_GB2312"/>
          <w:color w:val="000000"/>
          <w:sz w:val="32"/>
          <w:szCs w:val="32"/>
          <w:lang w:val="en-US" w:eastAsia="zh-CN"/>
        </w:rPr>
        <w:t>455万元；</w:t>
      </w:r>
      <w:r>
        <w:rPr>
          <w:rFonts w:hint="eastAsia" w:ascii="仿宋_GB2312" w:hAnsi="仿宋_GB2312" w:eastAsia="仿宋_GB2312" w:cs="仿宋_GB2312"/>
          <w:color w:val="000000"/>
          <w:sz w:val="32"/>
          <w:szCs w:val="32"/>
        </w:rPr>
        <w:t xml:space="preserve"> </w:t>
      </w:r>
    </w:p>
    <w:p w14:paraId="726D4DCD">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成品油税费改革税收返还收入</w:t>
      </w:r>
      <w:r>
        <w:rPr>
          <w:rFonts w:hint="eastAsia" w:ascii="仿宋_GB2312" w:hAnsi="仿宋_GB2312" w:eastAsia="仿宋_GB2312" w:cs="仿宋_GB2312"/>
          <w:color w:val="000000"/>
          <w:sz w:val="32"/>
          <w:szCs w:val="32"/>
          <w:lang w:val="en-US" w:eastAsia="zh-CN"/>
        </w:rPr>
        <w:t>977万元；</w:t>
      </w:r>
    </w:p>
    <w:p w14:paraId="71324A9F">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增值税税收返还收入</w:t>
      </w:r>
      <w:r>
        <w:rPr>
          <w:rFonts w:hint="eastAsia" w:ascii="仿宋_GB2312" w:hAnsi="仿宋_GB2312" w:eastAsia="仿宋_GB2312" w:cs="仿宋_GB2312"/>
          <w:color w:val="000000"/>
          <w:sz w:val="32"/>
          <w:szCs w:val="32"/>
          <w:lang w:val="en-US" w:eastAsia="zh-CN"/>
        </w:rPr>
        <w:t>733万元；</w:t>
      </w:r>
    </w:p>
    <w:p w14:paraId="46E22970">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消费税税收返还收入</w:t>
      </w:r>
      <w:r>
        <w:rPr>
          <w:rFonts w:hint="eastAsia" w:ascii="仿宋_GB2312" w:hAnsi="仿宋_GB2312" w:eastAsia="仿宋_GB2312" w:cs="仿宋_GB2312"/>
          <w:color w:val="000000"/>
          <w:sz w:val="32"/>
          <w:szCs w:val="32"/>
          <w:lang w:val="en-US" w:eastAsia="zh-CN"/>
        </w:rPr>
        <w:t>1万元；</w:t>
      </w:r>
    </w:p>
    <w:p w14:paraId="5DB4D285">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增值税“五五分享”税收返还收入</w:t>
      </w:r>
      <w:r>
        <w:rPr>
          <w:rFonts w:hint="eastAsia" w:ascii="仿宋_GB2312" w:hAnsi="仿宋_GB2312" w:eastAsia="仿宋_GB2312" w:cs="仿宋_GB2312"/>
          <w:color w:val="000000"/>
          <w:sz w:val="32"/>
          <w:szCs w:val="32"/>
          <w:lang w:val="en-US" w:eastAsia="zh-CN"/>
        </w:rPr>
        <w:t>1865万元；</w:t>
      </w:r>
    </w:p>
    <w:p w14:paraId="2E923E1B">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其他返还性收入</w:t>
      </w:r>
      <w:r>
        <w:rPr>
          <w:rFonts w:hint="eastAsia" w:ascii="仿宋_GB2312" w:hAnsi="仿宋_GB2312" w:eastAsia="仿宋_GB2312" w:cs="仿宋_GB2312"/>
          <w:color w:val="000000"/>
          <w:sz w:val="32"/>
          <w:szCs w:val="32"/>
          <w:lang w:val="en-US" w:eastAsia="zh-CN"/>
        </w:rPr>
        <w:t>288万元。</w:t>
      </w:r>
    </w:p>
    <w:p w14:paraId="5B050E72">
      <w:pPr>
        <w:spacing w:line="600" w:lineRule="exact"/>
        <w:ind w:firstLine="643" w:firstLineChars="200"/>
        <w:rPr>
          <w:rFonts w:eastAsia="楷体_GB2312"/>
          <w:b/>
          <w:color w:val="000000"/>
          <w:sz w:val="32"/>
          <w:szCs w:val="32"/>
        </w:rPr>
      </w:pPr>
      <w:r>
        <w:rPr>
          <w:rFonts w:eastAsia="楷体_GB2312"/>
          <w:b/>
          <w:color w:val="000000"/>
          <w:sz w:val="32"/>
          <w:szCs w:val="32"/>
        </w:rPr>
        <w:t>（二）一般性转移支付</w:t>
      </w:r>
    </w:p>
    <w:p w14:paraId="25FC77DA">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一般性转移支付</w:t>
      </w:r>
      <w:r>
        <w:rPr>
          <w:rFonts w:hint="eastAsia" w:ascii="仿宋_GB2312" w:hAnsi="仿宋_GB2312" w:eastAsia="仿宋_GB2312" w:cs="仿宋_GB2312"/>
          <w:color w:val="000000"/>
          <w:sz w:val="32"/>
          <w:szCs w:val="32"/>
          <w:lang w:val="en-US" w:eastAsia="zh-CN"/>
        </w:rPr>
        <w:t>226007万元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highlight w:val="none"/>
          <w:lang w:val="en-US" w:eastAsia="zh-CN"/>
        </w:rPr>
        <w:t>增加36873万元，增长19.5%，主要是均衡性、县级基本财力保障机制奖补、补充县区财力转移支付收入等财力性转移支付增加</w:t>
      </w:r>
      <w:r>
        <w:rPr>
          <w:rFonts w:hint="eastAsia" w:ascii="仿宋_GB2312" w:hAnsi="仿宋_GB2312" w:eastAsia="仿宋_GB2312" w:cs="仿宋_GB2312"/>
          <w:color w:val="000000"/>
          <w:sz w:val="32"/>
          <w:szCs w:val="32"/>
        </w:rPr>
        <w:t>。其中：</w:t>
      </w:r>
    </w:p>
    <w:p w14:paraId="3C8A5EA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体制补助收入0万元，</w:t>
      </w:r>
      <w:r>
        <w:rPr>
          <w:rFonts w:hint="eastAsia" w:ascii="仿宋_GB2312" w:hAnsi="仿宋_GB2312" w:eastAsia="仿宋_GB2312" w:cs="仿宋_GB2312"/>
          <w:sz w:val="32"/>
          <w:szCs w:val="32"/>
          <w:highlight w:val="none"/>
          <w:lang w:val="en-US" w:eastAsia="zh-CN"/>
        </w:rPr>
        <w:t>与2021年持平。</w:t>
      </w:r>
    </w:p>
    <w:p w14:paraId="576D417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均衡性转移支付收入58297万元，</w:t>
      </w:r>
      <w:r>
        <w:rPr>
          <w:rFonts w:hint="eastAsia" w:ascii="仿宋_GB2312" w:hAnsi="仿宋_GB2312" w:eastAsia="仿宋_GB2312" w:cs="仿宋_GB2312"/>
          <w:sz w:val="32"/>
          <w:szCs w:val="32"/>
          <w:highlight w:val="none"/>
          <w:lang w:val="en-US" w:eastAsia="zh-CN"/>
        </w:rPr>
        <w:t>增加9631万元，增长19.79%，原因是按省厅提前下达及已下达了的指标文金额进行测算后进行预算安排。</w:t>
      </w:r>
    </w:p>
    <w:p w14:paraId="6159978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县级基本财力保障机制奖补资金收入21043万元，</w:t>
      </w:r>
      <w:r>
        <w:rPr>
          <w:rFonts w:hint="eastAsia" w:ascii="仿宋_GB2312" w:hAnsi="仿宋_GB2312" w:eastAsia="仿宋_GB2312" w:cs="仿宋_GB2312"/>
          <w:sz w:val="32"/>
          <w:szCs w:val="32"/>
          <w:highlight w:val="none"/>
          <w:lang w:val="en-US" w:eastAsia="zh-CN"/>
        </w:rPr>
        <w:t>增加1991万元，增长10.45%，原因是按2021年执行数进行测算后进行预算安排。</w:t>
      </w:r>
    </w:p>
    <w:p w14:paraId="4C2ED8E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结算补助收入4631万元，</w:t>
      </w:r>
      <w:r>
        <w:rPr>
          <w:rFonts w:hint="eastAsia" w:ascii="仿宋_GB2312" w:hAnsi="仿宋_GB2312" w:eastAsia="仿宋_GB2312" w:cs="仿宋_GB2312"/>
          <w:sz w:val="32"/>
          <w:szCs w:val="32"/>
          <w:highlight w:val="none"/>
          <w:lang w:val="en-US" w:eastAsia="zh-CN"/>
        </w:rPr>
        <w:t>与上年持平</w:t>
      </w:r>
      <w:r>
        <w:rPr>
          <w:rFonts w:hint="eastAsia" w:ascii="仿宋_GB2312" w:hAnsi="仿宋_GB2312" w:eastAsia="仿宋_GB2312" w:cs="仿宋_GB2312"/>
          <w:color w:val="auto"/>
          <w:sz w:val="32"/>
          <w:szCs w:val="32"/>
          <w:highlight w:val="none"/>
          <w:lang w:val="en-US" w:eastAsia="zh-CN"/>
        </w:rPr>
        <w:t>。</w:t>
      </w:r>
    </w:p>
    <w:p w14:paraId="245823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企业事业单位划转补助收入-209万元，</w:t>
      </w:r>
      <w:r>
        <w:rPr>
          <w:rFonts w:hint="eastAsia" w:ascii="仿宋_GB2312" w:hAnsi="仿宋_GB2312" w:eastAsia="仿宋_GB2312" w:cs="仿宋_GB2312"/>
          <w:sz w:val="32"/>
          <w:szCs w:val="32"/>
          <w:highlight w:val="none"/>
          <w:lang w:val="en-US" w:eastAsia="zh-CN"/>
        </w:rPr>
        <w:t>与上年持平</w:t>
      </w:r>
      <w:r>
        <w:rPr>
          <w:rFonts w:hint="eastAsia" w:ascii="仿宋_GB2312" w:hAnsi="仿宋_GB2312" w:eastAsia="仿宋_GB2312" w:cs="仿宋_GB2312"/>
          <w:color w:val="auto"/>
          <w:sz w:val="32"/>
          <w:szCs w:val="32"/>
          <w:highlight w:val="none"/>
          <w:lang w:val="en-US" w:eastAsia="zh-CN"/>
        </w:rPr>
        <w:t>。</w:t>
      </w:r>
    </w:p>
    <w:p w14:paraId="556B6E6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产粮（油）大县奖励资金收入325万元，</w:t>
      </w:r>
      <w:r>
        <w:rPr>
          <w:rFonts w:hint="eastAsia" w:ascii="仿宋_GB2312" w:hAnsi="仿宋_GB2312" w:eastAsia="仿宋_GB2312" w:cs="仿宋_GB2312"/>
          <w:sz w:val="32"/>
          <w:szCs w:val="32"/>
          <w:highlight w:val="none"/>
          <w:lang w:val="en-US" w:eastAsia="zh-CN"/>
        </w:rPr>
        <w:t>增加15万元，增长4.84%</w:t>
      </w:r>
      <w:r>
        <w:rPr>
          <w:rFonts w:hint="eastAsia" w:ascii="仿宋_GB2312" w:hAnsi="仿宋_GB2312" w:eastAsia="仿宋_GB2312" w:cs="仿宋_GB2312"/>
          <w:color w:val="auto"/>
          <w:sz w:val="32"/>
          <w:szCs w:val="32"/>
          <w:highlight w:val="none"/>
          <w:lang w:val="en-US" w:eastAsia="zh-CN"/>
        </w:rPr>
        <w:t>。</w:t>
      </w:r>
    </w:p>
    <w:p w14:paraId="27CCF6A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color w:val="auto"/>
          <w:sz w:val="32"/>
          <w:szCs w:val="32"/>
          <w:highlight w:val="none"/>
          <w:lang w:val="en-US" w:eastAsia="zh-CN"/>
        </w:rPr>
        <w:t>重点生态功能区转移支付收入7897万元，</w:t>
      </w:r>
      <w:r>
        <w:rPr>
          <w:rFonts w:hint="eastAsia" w:ascii="仿宋_GB2312" w:hAnsi="仿宋_GB2312" w:eastAsia="仿宋_GB2312" w:cs="仿宋_GB2312"/>
          <w:sz w:val="32"/>
          <w:szCs w:val="32"/>
          <w:highlight w:val="none"/>
          <w:lang w:val="en-US" w:eastAsia="zh-CN"/>
        </w:rPr>
        <w:t>增加848万元，增长12.03%，原因是按2021年执行数进行测算后进行预算安排</w:t>
      </w:r>
      <w:r>
        <w:rPr>
          <w:rFonts w:hint="eastAsia" w:ascii="仿宋_GB2312" w:hAnsi="仿宋_GB2312" w:eastAsia="仿宋_GB2312" w:cs="仿宋_GB2312"/>
          <w:color w:val="auto"/>
          <w:sz w:val="32"/>
          <w:szCs w:val="32"/>
          <w:highlight w:val="none"/>
          <w:lang w:val="en-US" w:eastAsia="zh-CN"/>
        </w:rPr>
        <w:t>。</w:t>
      </w:r>
    </w:p>
    <w:p w14:paraId="52C4D9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lang w:val="en-US" w:eastAsia="zh-CN"/>
        </w:rPr>
      </w:pPr>
      <w:r>
        <w:rPr>
          <w:rFonts w:hint="eastAsia" w:ascii="仿宋_GB2312" w:hAnsi="仿宋_GB2312" w:eastAsia="仿宋_GB2312" w:cs="仿宋_GB2312"/>
          <w:color w:val="auto"/>
          <w:sz w:val="32"/>
          <w:szCs w:val="32"/>
          <w:highlight w:val="none"/>
          <w:lang w:val="en-US" w:eastAsia="zh-CN"/>
        </w:rPr>
        <w:t>（8）固定数额补助收入8434万元，减少90万元，下降1.06%。</w:t>
      </w:r>
    </w:p>
    <w:p w14:paraId="01E1172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color w:val="auto"/>
          <w:sz w:val="32"/>
          <w:szCs w:val="32"/>
          <w:highlight w:val="none"/>
          <w:lang w:val="en-US" w:eastAsia="zh-CN"/>
        </w:rPr>
        <w:t>革命老区转移支付收入160万元，</w:t>
      </w:r>
      <w:r>
        <w:rPr>
          <w:rFonts w:hint="eastAsia" w:ascii="仿宋_GB2312" w:hAnsi="仿宋_GB2312" w:eastAsia="仿宋_GB2312" w:cs="仿宋_GB2312"/>
          <w:sz w:val="32"/>
          <w:szCs w:val="32"/>
          <w:highlight w:val="none"/>
          <w:lang w:val="en-US" w:eastAsia="zh-CN"/>
        </w:rPr>
        <w:t>与上年持平。</w:t>
      </w:r>
    </w:p>
    <w:p w14:paraId="176C16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color w:val="auto"/>
          <w:sz w:val="32"/>
          <w:szCs w:val="32"/>
          <w:highlight w:val="none"/>
          <w:lang w:val="en-US" w:eastAsia="zh-CN"/>
        </w:rPr>
        <w:t>欠发达地区转移支付收入10096万元，减少1600</w:t>
      </w:r>
      <w:r>
        <w:rPr>
          <w:rFonts w:hint="eastAsia" w:ascii="仿宋_GB2312" w:hAnsi="仿宋_GB2312" w:eastAsia="仿宋_GB2312" w:cs="仿宋_GB2312"/>
          <w:sz w:val="32"/>
          <w:szCs w:val="32"/>
          <w:highlight w:val="none"/>
          <w:lang w:val="en-US" w:eastAsia="zh-CN"/>
        </w:rPr>
        <w:t>万元，下降13.68%，原因是2022年我县已非贫困县</w:t>
      </w:r>
      <w:r>
        <w:rPr>
          <w:rFonts w:hint="eastAsia" w:ascii="仿宋_GB2312" w:hAnsi="仿宋_GB2312" w:eastAsia="仿宋_GB2312" w:cs="仿宋_GB2312"/>
          <w:color w:val="auto"/>
          <w:sz w:val="32"/>
          <w:szCs w:val="32"/>
          <w:highlight w:val="none"/>
          <w:lang w:val="en-US" w:eastAsia="zh-CN"/>
        </w:rPr>
        <w:t>。</w:t>
      </w:r>
    </w:p>
    <w:p w14:paraId="2362BEF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（11）增值税留抵退税转移支付收入351万元，增加351万元。原因是2022年开展留抵退税获得的奖补资金。</w:t>
      </w:r>
    </w:p>
    <w:p w14:paraId="461230D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（12）其他退税减税降费转移支付收入878万元，增加878万元。</w:t>
      </w:r>
      <w:r>
        <w:rPr>
          <w:rFonts w:hint="eastAsia" w:ascii="仿宋_GB2312" w:hAnsi="仿宋_GB2312" w:eastAsia="仿宋_GB2312" w:cs="仿宋_GB2312"/>
          <w:color w:val="auto"/>
          <w:sz w:val="32"/>
          <w:szCs w:val="32"/>
          <w:highlight w:val="none"/>
          <w:lang w:val="en-US" w:eastAsia="zh-CN"/>
        </w:rPr>
        <w:t>原因是2022年开展留抵退税获得的奖补资金</w:t>
      </w:r>
      <w:r>
        <w:rPr>
          <w:rFonts w:hint="eastAsia" w:ascii="仿宋_GB2312" w:hAnsi="仿宋_GB2312" w:eastAsia="仿宋_GB2312" w:cs="仿宋_GB2312"/>
          <w:sz w:val="32"/>
          <w:szCs w:val="32"/>
          <w:highlight w:val="none"/>
          <w:lang w:val="en-US" w:eastAsia="zh-CN"/>
        </w:rPr>
        <w:t>。</w:t>
      </w:r>
    </w:p>
    <w:p w14:paraId="5FF94E9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（13）补充县区财力转移支付收入14765万元，增加14765万元。原因是2022年省厅下达一次性补充县区财力资金。</w:t>
      </w:r>
    </w:p>
    <w:p w14:paraId="561E84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（14）其他一般性转移支付收入4346万元，增加1783万元，增长69.57%，原因是按2021年执行数进行测算后进行预算安排。</w:t>
      </w:r>
    </w:p>
    <w:p w14:paraId="4725C97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（15）共同财政事权转移支付收入94993万元，</w:t>
      </w:r>
      <w:r>
        <w:rPr>
          <w:rFonts w:hint="eastAsia" w:ascii="仿宋_GB2312" w:hAnsi="仿宋_GB2312" w:eastAsia="仿宋_GB2312" w:cs="仿宋_GB2312"/>
          <w:sz w:val="32"/>
          <w:szCs w:val="32"/>
          <w:highlight w:val="none"/>
          <w:lang w:val="en-US" w:eastAsia="zh-CN"/>
        </w:rPr>
        <w:t>增长8301万元，增长9.57%，主要原因是</w:t>
      </w:r>
      <w:r>
        <w:rPr>
          <w:rFonts w:hint="eastAsia" w:ascii="仿宋_GB2312" w:hAnsi="仿宋_GB2312" w:eastAsia="仿宋_GB2312" w:cs="仿宋_GB2312"/>
          <w:sz w:val="32"/>
          <w:szCs w:val="32"/>
          <w:lang w:val="en-US" w:eastAsia="zh-CN"/>
        </w:rPr>
        <w:t>按省厅下达指标文金额进行估测</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其中：公共安全共同财政事权转移支付收入1283万元</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教育共同财政事权转移支付收入20815万元；科学技术共同财政事权转移支付收入82万元；文化旅游体育与传媒共同财政事权转移支付收入614万元；社会保障和就业共同财政事权转移支付收入20770万元；医疗卫生共同财政事权转移支付收入26208万元；节能环保共同财政事权转移支付收入431万元；农林水共同财政事权转移支付收入18312万元；交通运输共同财政事权转移支付收入4634万元；住房保障共同财政事权转移支付收入1171万元；粮油物资储备共同财政事权转移支付收入108万元；灾害防治及应急管理共同财政事权转移支付收入565万元。</w:t>
      </w:r>
    </w:p>
    <w:p w14:paraId="33512A0B">
      <w:pPr>
        <w:spacing w:line="580" w:lineRule="exact"/>
        <w:ind w:firstLine="643" w:firstLineChars="200"/>
        <w:rPr>
          <w:rFonts w:eastAsia="楷体_GB2312"/>
          <w:b/>
          <w:color w:val="000000"/>
          <w:sz w:val="32"/>
          <w:szCs w:val="32"/>
        </w:rPr>
      </w:pPr>
      <w:r>
        <w:rPr>
          <w:rFonts w:eastAsia="楷体_GB2312"/>
          <w:b/>
          <w:color w:val="000000"/>
          <w:sz w:val="32"/>
          <w:szCs w:val="32"/>
        </w:rPr>
        <w:t>（三）专项转移支付</w:t>
      </w:r>
    </w:p>
    <w:p w14:paraId="3EE5ED09">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专项转移支付收入22452万元，</w:t>
      </w:r>
      <w:r>
        <w:rPr>
          <w:rFonts w:hint="eastAsia" w:ascii="仿宋_GB2312" w:hAnsi="仿宋_GB2312" w:eastAsia="仿宋_GB2312" w:cs="仿宋_GB2312"/>
          <w:sz w:val="32"/>
          <w:szCs w:val="32"/>
          <w:highlight w:val="none"/>
          <w:lang w:val="en-US" w:eastAsia="zh-CN"/>
        </w:rPr>
        <w:t>增加4457万元，主要原因是考虑到部分项目调整因素</w:t>
      </w:r>
      <w:r>
        <w:rPr>
          <w:rFonts w:hint="eastAsia" w:ascii="仿宋_GB2312" w:hAnsi="仿宋_GB2312" w:eastAsia="仿宋_GB2312" w:cs="仿宋_GB2312"/>
          <w:color w:val="000000"/>
          <w:sz w:val="32"/>
          <w:szCs w:val="32"/>
        </w:rPr>
        <w:t>。其中：</w:t>
      </w:r>
    </w:p>
    <w:p w14:paraId="53AC18C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（1）一般公共服务395万元；</w:t>
      </w:r>
    </w:p>
    <w:p w14:paraId="314A72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公共安全71万元</w:t>
      </w:r>
      <w:r>
        <w:rPr>
          <w:rFonts w:hint="eastAsia" w:ascii="仿宋_GB2312" w:hAnsi="仿宋_GB2312" w:eastAsia="仿宋_GB2312" w:cs="仿宋_GB2312"/>
          <w:sz w:val="32"/>
          <w:szCs w:val="32"/>
          <w:highlight w:val="none"/>
          <w:lang w:val="en-US" w:eastAsia="zh-CN"/>
        </w:rPr>
        <w:t>；</w:t>
      </w:r>
    </w:p>
    <w:p w14:paraId="7E2E65D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教育997万元</w:t>
      </w:r>
      <w:r>
        <w:rPr>
          <w:rFonts w:hint="eastAsia" w:ascii="仿宋_GB2312" w:hAnsi="仿宋_GB2312" w:eastAsia="仿宋_GB2312" w:cs="仿宋_GB2312"/>
          <w:sz w:val="32"/>
          <w:szCs w:val="32"/>
          <w:highlight w:val="none"/>
          <w:lang w:val="en-US" w:eastAsia="zh-CN"/>
        </w:rPr>
        <w:t>；</w:t>
      </w:r>
    </w:p>
    <w:p w14:paraId="05D353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科学技术130万元；</w:t>
      </w:r>
    </w:p>
    <w:p w14:paraId="1F2E31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（5）文化旅游体育与传媒111万元；</w:t>
      </w:r>
    </w:p>
    <w:p w14:paraId="57BB8B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（6）社会保障和就业488万元；</w:t>
      </w:r>
    </w:p>
    <w:p w14:paraId="5FC57CD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（7）卫生健康</w:t>
      </w:r>
      <w:r>
        <w:rPr>
          <w:rFonts w:hint="eastAsia" w:ascii="仿宋_GB2312" w:hAnsi="仿宋_GB2312" w:eastAsia="仿宋_GB2312" w:cs="仿宋_GB2312"/>
          <w:color w:val="auto"/>
          <w:sz w:val="32"/>
          <w:szCs w:val="32"/>
          <w:highlight w:val="none"/>
          <w:lang w:val="en-US" w:eastAsia="zh-CN"/>
        </w:rPr>
        <w:t>353万元</w:t>
      </w:r>
      <w:r>
        <w:rPr>
          <w:rFonts w:hint="eastAsia" w:ascii="仿宋_GB2312" w:hAnsi="仿宋_GB2312" w:eastAsia="仿宋_GB2312" w:cs="仿宋_GB2312"/>
          <w:sz w:val="32"/>
          <w:szCs w:val="32"/>
          <w:highlight w:val="none"/>
          <w:lang w:val="en-US" w:eastAsia="zh-CN"/>
        </w:rPr>
        <w:t>；</w:t>
      </w:r>
    </w:p>
    <w:p w14:paraId="00FC309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（8）节能环保4490万元；</w:t>
      </w:r>
    </w:p>
    <w:p w14:paraId="007F85E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（9）城乡社区40万元；</w:t>
      </w:r>
    </w:p>
    <w:p w14:paraId="06C4E7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（10）农林水9792万元；</w:t>
      </w:r>
    </w:p>
    <w:p w14:paraId="7CB8AA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（11）交通运输837万元；</w:t>
      </w:r>
    </w:p>
    <w:p w14:paraId="771509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（12）资源勘探信息93万元；</w:t>
      </w:r>
    </w:p>
    <w:p w14:paraId="663AF3B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（13）商业服务业等支出582万元；</w:t>
      </w:r>
    </w:p>
    <w:p w14:paraId="7A9B227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（14）金融支出35万元；</w:t>
      </w:r>
    </w:p>
    <w:p w14:paraId="49C0DB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（15）自然资源海洋气象支出275万元；</w:t>
      </w:r>
    </w:p>
    <w:p w14:paraId="6F748E7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（16）住房保障支出2642万元；</w:t>
      </w:r>
    </w:p>
    <w:p w14:paraId="630F3B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（17）粮油物资储备支出5万元；</w:t>
      </w:r>
    </w:p>
    <w:p w14:paraId="224576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（18）灾害防治及应急管理支出1116万元；</w:t>
      </w:r>
    </w:p>
    <w:p w14:paraId="49640A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（19）其他收入0万元。</w:t>
      </w:r>
    </w:p>
    <w:p w14:paraId="0EF9D0B2">
      <w:pPr>
        <w:pStyle w:val="3"/>
        <w:rPr>
          <w:rFonts w:hint="eastAsia"/>
          <w:lang w:val="en-US" w:eastAsia="zh-CN"/>
        </w:rPr>
      </w:pPr>
    </w:p>
    <w:p w14:paraId="16C7369A">
      <w:pPr>
        <w:spacing w:line="580" w:lineRule="exact"/>
        <w:ind w:firstLine="640" w:firstLineChars="200"/>
        <w:rPr>
          <w:rFonts w:hint="eastAsia" w:eastAsia="黑体"/>
          <w:color w:val="000000"/>
          <w:sz w:val="32"/>
          <w:szCs w:val="32"/>
          <w:lang w:eastAsia="zh-CN"/>
        </w:rPr>
      </w:pPr>
      <w:r>
        <w:rPr>
          <w:rFonts w:eastAsia="黑体"/>
          <w:color w:val="000000"/>
          <w:sz w:val="32"/>
          <w:szCs w:val="32"/>
        </w:rPr>
        <w:t>二、</w:t>
      </w:r>
      <w:r>
        <w:rPr>
          <w:rFonts w:hint="eastAsia" w:eastAsia="黑体"/>
          <w:color w:val="000000"/>
          <w:sz w:val="32"/>
          <w:szCs w:val="32"/>
          <w:lang w:eastAsia="zh-CN"/>
        </w:rPr>
        <w:t>关于</w:t>
      </w:r>
      <w:r>
        <w:rPr>
          <w:rFonts w:eastAsia="黑体"/>
          <w:color w:val="000000"/>
          <w:sz w:val="32"/>
          <w:szCs w:val="32"/>
        </w:rPr>
        <w:t>举借政府债务情况</w:t>
      </w:r>
      <w:r>
        <w:rPr>
          <w:rFonts w:hint="eastAsia" w:eastAsia="黑体"/>
          <w:color w:val="000000"/>
          <w:sz w:val="32"/>
          <w:szCs w:val="32"/>
          <w:lang w:eastAsia="zh-CN"/>
        </w:rPr>
        <w:t>的说明</w:t>
      </w:r>
    </w:p>
    <w:p w14:paraId="631B9022">
      <w:pPr>
        <w:spacing w:line="580" w:lineRule="exact"/>
        <w:ind w:firstLine="643" w:firstLineChars="200"/>
        <w:rPr>
          <w:rFonts w:eastAsia="楷体_GB2312"/>
          <w:b/>
          <w:color w:val="000000"/>
          <w:sz w:val="32"/>
          <w:szCs w:val="32"/>
        </w:rPr>
      </w:pPr>
      <w:r>
        <w:rPr>
          <w:rFonts w:eastAsia="楷体_GB2312"/>
          <w:b/>
          <w:color w:val="000000"/>
          <w:sz w:val="32"/>
          <w:szCs w:val="32"/>
        </w:rPr>
        <w:t>（一）地方政府债务限额余额情况</w:t>
      </w:r>
    </w:p>
    <w:p w14:paraId="6C3D6ECD">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2022</w:t>
      </w:r>
      <w:r>
        <w:rPr>
          <w:rFonts w:hint="eastAsia" w:ascii="仿宋_GB2312" w:hAnsi="仿宋_GB2312" w:eastAsia="仿宋_GB2312" w:cs="仿宋_GB2312"/>
          <w:sz w:val="32"/>
          <w:szCs w:val="32"/>
        </w:rPr>
        <w:t>年，政府债务总限额</w:t>
      </w:r>
      <w:r>
        <w:rPr>
          <w:rFonts w:hint="eastAsia" w:ascii="仿宋_GB2312" w:hAnsi="仿宋_GB2312" w:eastAsia="仿宋_GB2312" w:cs="仿宋_GB2312"/>
          <w:sz w:val="32"/>
          <w:szCs w:val="32"/>
          <w:lang w:val="en-US" w:eastAsia="zh-CN"/>
        </w:rPr>
        <w:t>458741万</w:t>
      </w:r>
      <w:r>
        <w:rPr>
          <w:rFonts w:hint="eastAsia" w:ascii="仿宋_GB2312" w:hAnsi="仿宋_GB2312" w:eastAsia="仿宋_GB2312" w:cs="仿宋_GB2312"/>
          <w:sz w:val="32"/>
          <w:szCs w:val="32"/>
        </w:rPr>
        <w:t>元，其中，一般债务</w:t>
      </w:r>
      <w:r>
        <w:rPr>
          <w:rFonts w:hint="eastAsia" w:ascii="仿宋_GB2312" w:hAnsi="仿宋_GB2312" w:eastAsia="仿宋_GB2312" w:cs="仿宋_GB2312"/>
          <w:sz w:val="32"/>
          <w:szCs w:val="32"/>
          <w:lang w:val="en-US" w:eastAsia="zh-CN"/>
        </w:rPr>
        <w:t>315121万</w:t>
      </w:r>
      <w:r>
        <w:rPr>
          <w:rFonts w:hint="eastAsia" w:ascii="仿宋_GB2312" w:hAnsi="仿宋_GB2312" w:eastAsia="仿宋_GB2312" w:cs="仿宋_GB2312"/>
          <w:sz w:val="32"/>
          <w:szCs w:val="32"/>
        </w:rPr>
        <w:t>元，专项债务</w:t>
      </w:r>
      <w:r>
        <w:rPr>
          <w:rFonts w:hint="eastAsia" w:ascii="仿宋_GB2312" w:hAnsi="仿宋_GB2312" w:eastAsia="仿宋_GB2312" w:cs="仿宋_GB2312"/>
          <w:sz w:val="32"/>
          <w:szCs w:val="32"/>
          <w:lang w:val="en-US" w:eastAsia="zh-CN"/>
        </w:rPr>
        <w:t>143620万</w:t>
      </w:r>
      <w:r>
        <w:rPr>
          <w:rFonts w:hint="eastAsia" w:ascii="仿宋_GB2312" w:hAnsi="仿宋_GB2312" w:eastAsia="仿宋_GB2312" w:cs="仿宋_GB2312"/>
          <w:sz w:val="32"/>
          <w:szCs w:val="32"/>
        </w:rPr>
        <w:t>元。截</w:t>
      </w:r>
      <w:r>
        <w:rPr>
          <w:rFonts w:hint="eastAsia" w:ascii="仿宋_GB2312" w:hAnsi="仿宋_GB2312" w:eastAsia="仿宋_GB2312" w:cs="仿宋_GB2312"/>
          <w:sz w:val="32"/>
          <w:szCs w:val="32"/>
          <w:lang w:eastAsia="zh-CN"/>
        </w:rPr>
        <w:t>至</w:t>
      </w:r>
      <w:bookmarkStart w:id="0" w:name="_GoBack"/>
      <w:bookmarkEnd w:id="0"/>
      <w:r>
        <w:rPr>
          <w:rFonts w:hint="eastAsia" w:ascii="仿宋_GB2312" w:hAnsi="仿宋_GB2312" w:eastAsia="仿宋_GB2312" w:cs="仿宋_GB2312"/>
          <w:sz w:val="32"/>
          <w:szCs w:val="32"/>
          <w:highlight w:val="none"/>
          <w:lang w:val="en-US" w:eastAsia="zh-CN"/>
        </w:rPr>
        <w:t>2022</w:t>
      </w:r>
      <w:r>
        <w:rPr>
          <w:rFonts w:hint="eastAsia" w:ascii="仿宋_GB2312" w:hAnsi="仿宋_GB2312" w:eastAsia="仿宋_GB2312" w:cs="仿宋_GB2312"/>
          <w:sz w:val="32"/>
          <w:szCs w:val="32"/>
        </w:rPr>
        <w:t>年底，地方政府债务</w:t>
      </w:r>
      <w:r>
        <w:rPr>
          <w:rFonts w:hint="eastAsia" w:ascii="仿宋_GB2312" w:hAnsi="仿宋_GB2312" w:eastAsia="仿宋_GB2312" w:cs="仿宋_GB2312"/>
          <w:color w:val="auto"/>
          <w:sz w:val="32"/>
          <w:szCs w:val="32"/>
          <w:lang w:val="en-US" w:eastAsia="zh-CN"/>
        </w:rPr>
        <w:t>余额458733万元，其中，一般债务余额315113万元，专项债务余额143620万元</w:t>
      </w:r>
      <w:r>
        <w:rPr>
          <w:rFonts w:hint="eastAsia" w:ascii="仿宋_GB2312" w:hAnsi="仿宋_GB2312" w:eastAsia="仿宋_GB2312" w:cs="仿宋_GB2312"/>
          <w:sz w:val="32"/>
          <w:szCs w:val="32"/>
        </w:rPr>
        <w:t>。</w:t>
      </w:r>
    </w:p>
    <w:p w14:paraId="4F1DCC14">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eastAsia="楷体_GB2312"/>
          <w:b/>
          <w:color w:val="000000"/>
          <w:sz w:val="32"/>
          <w:szCs w:val="32"/>
        </w:rPr>
      </w:pPr>
      <w:r>
        <w:rPr>
          <w:rFonts w:eastAsia="楷体_GB2312"/>
          <w:b/>
          <w:color w:val="000000"/>
          <w:sz w:val="32"/>
          <w:szCs w:val="32"/>
        </w:rPr>
        <w:t>（二）地方政府债券发行情况</w:t>
      </w:r>
    </w:p>
    <w:p w14:paraId="6D5CF08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eastAsia="仿宋_GB2312"/>
          <w:sz w:val="32"/>
          <w:szCs w:val="32"/>
          <w:highlight w:val="none"/>
          <w:lang w:val="en-US" w:eastAsia="zh-CN"/>
        </w:rPr>
      </w:pPr>
      <w:r>
        <w:rPr>
          <w:rFonts w:hint="eastAsia" w:eastAsia="仿宋_GB2312"/>
          <w:sz w:val="32"/>
          <w:szCs w:val="32"/>
          <w:highlight w:val="none"/>
        </w:rPr>
        <w:t>202</w:t>
      </w:r>
      <w:r>
        <w:rPr>
          <w:rFonts w:hint="eastAsia" w:eastAsia="仿宋_GB2312"/>
          <w:sz w:val="32"/>
          <w:szCs w:val="32"/>
          <w:highlight w:val="none"/>
          <w:lang w:val="en-US" w:eastAsia="zh-CN"/>
        </w:rPr>
        <w:t>2</w:t>
      </w:r>
      <w:r>
        <w:rPr>
          <w:rFonts w:eastAsia="仿宋_GB2312"/>
          <w:sz w:val="32"/>
          <w:szCs w:val="32"/>
          <w:highlight w:val="none"/>
        </w:rPr>
        <w:t>年，省转贷</w:t>
      </w:r>
      <w:r>
        <w:rPr>
          <w:rFonts w:hint="eastAsia" w:eastAsia="仿宋_GB2312"/>
          <w:sz w:val="32"/>
          <w:szCs w:val="32"/>
          <w:highlight w:val="none"/>
          <w:lang w:eastAsia="zh-CN"/>
        </w:rPr>
        <w:t>发行债券</w:t>
      </w:r>
      <w:r>
        <w:rPr>
          <w:rFonts w:hint="eastAsia" w:eastAsia="仿宋_GB2312"/>
          <w:sz w:val="32"/>
          <w:szCs w:val="32"/>
          <w:highlight w:val="none"/>
          <w:lang w:val="en-US" w:eastAsia="zh-CN"/>
        </w:rPr>
        <w:t>107662万元</w:t>
      </w:r>
      <w:r>
        <w:rPr>
          <w:rFonts w:eastAsia="仿宋_GB2312"/>
          <w:sz w:val="32"/>
          <w:szCs w:val="32"/>
        </w:rPr>
        <w:t>，</w:t>
      </w:r>
      <w:r>
        <w:rPr>
          <w:rFonts w:hint="eastAsia" w:eastAsia="仿宋_GB2312"/>
          <w:sz w:val="32"/>
          <w:szCs w:val="32"/>
          <w:lang w:eastAsia="zh-CN"/>
        </w:rPr>
        <w:t>其中新增</w:t>
      </w:r>
      <w:r>
        <w:rPr>
          <w:rFonts w:eastAsia="仿宋_GB2312"/>
          <w:sz w:val="32"/>
          <w:szCs w:val="32"/>
        </w:rPr>
        <w:t>一般债券</w:t>
      </w:r>
      <w:r>
        <w:rPr>
          <w:rFonts w:hint="eastAsia" w:eastAsia="仿宋_GB2312"/>
          <w:sz w:val="32"/>
          <w:szCs w:val="32"/>
          <w:highlight w:val="none"/>
          <w:lang w:val="en-US" w:eastAsia="zh-CN"/>
        </w:rPr>
        <w:t>11700万</w:t>
      </w:r>
      <w:r>
        <w:rPr>
          <w:rFonts w:hint="eastAsia" w:eastAsia="仿宋_GB2312"/>
          <w:sz w:val="32"/>
          <w:szCs w:val="32"/>
          <w:highlight w:val="none"/>
        </w:rPr>
        <w:t>元</w:t>
      </w:r>
      <w:r>
        <w:rPr>
          <w:rFonts w:eastAsia="仿宋_GB2312"/>
          <w:sz w:val="32"/>
          <w:szCs w:val="32"/>
          <w:highlight w:val="none"/>
        </w:rPr>
        <w:t>，</w:t>
      </w:r>
      <w:r>
        <w:rPr>
          <w:rFonts w:hint="eastAsia" w:eastAsia="仿宋_GB2312"/>
          <w:sz w:val="32"/>
          <w:szCs w:val="32"/>
          <w:highlight w:val="none"/>
          <w:lang w:eastAsia="zh-CN"/>
        </w:rPr>
        <w:t>置换一般债</w:t>
      </w:r>
      <w:r>
        <w:rPr>
          <w:rFonts w:hint="eastAsia" w:eastAsia="仿宋_GB2312"/>
          <w:sz w:val="32"/>
          <w:szCs w:val="32"/>
          <w:highlight w:val="none"/>
          <w:lang w:val="en-US" w:eastAsia="zh-CN"/>
        </w:rPr>
        <w:t>55362万元；新增</w:t>
      </w:r>
      <w:r>
        <w:rPr>
          <w:rFonts w:eastAsia="仿宋_GB2312"/>
          <w:sz w:val="32"/>
          <w:szCs w:val="32"/>
          <w:highlight w:val="none"/>
        </w:rPr>
        <w:t>专项债券</w:t>
      </w:r>
      <w:r>
        <w:rPr>
          <w:rFonts w:hint="eastAsia" w:eastAsia="仿宋_GB2312"/>
          <w:sz w:val="32"/>
          <w:szCs w:val="32"/>
          <w:highlight w:val="none"/>
          <w:lang w:val="en-US" w:eastAsia="zh-CN"/>
        </w:rPr>
        <w:t>40600万元。</w:t>
      </w:r>
    </w:p>
    <w:p w14:paraId="12904C35">
      <w:pPr>
        <w:keepNext w:val="0"/>
        <w:keepLines w:val="0"/>
        <w:pageBreakBefore w:val="0"/>
        <w:kinsoku/>
        <w:wordWrap/>
        <w:overflowPunct/>
        <w:topLinePunct w:val="0"/>
        <w:autoSpaceDE/>
        <w:autoSpaceDN/>
        <w:bidi w:val="0"/>
        <w:adjustRightInd/>
        <w:snapToGrid/>
        <w:spacing w:line="600" w:lineRule="exact"/>
        <w:textAlignment w:val="auto"/>
        <w:rPr>
          <w:rFonts w:hint="eastAsia" w:eastAsia="仿宋_GB2312"/>
          <w:sz w:val="32"/>
          <w:szCs w:val="32"/>
          <w:highlight w:val="none"/>
          <w:lang w:val="en-US" w:eastAsia="zh-CN"/>
        </w:rPr>
      </w:pPr>
      <w:r>
        <w:rPr>
          <w:rFonts w:hint="eastAsia" w:eastAsia="仿宋_GB2312"/>
          <w:sz w:val="32"/>
          <w:szCs w:val="32"/>
          <w:highlight w:val="none"/>
          <w:lang w:val="en-US" w:eastAsia="zh-CN"/>
        </w:rPr>
        <w:t>新增一般债券11700万元，主要用于交通、医疗、卫生、教育、生态环境治理等领域，具体是S345二广高速连接线监控250万元、农村人居环境整治及美丽乡村建设项目1930万元、龙家大院基础设施提质改造400万元、土地开发项目900万元、新田县乡镇污水处理设施建设项目（二期)3300万元、农村生活污水处理工程160万元、交通建设项目3900万元、隔离点建设经费（高山、金陵）260万元、2022年民生重点实事“雪亮工程”400万元、新田河二期治理项目200万元；专项债券40600万元，主要支持社会事业、园区建设等领域项目建设，具体是新田县智能制造产业园22600万元、新田县污水处理厂搬迁及配套管网建设项目10000万元、新田县公办幼儿园建设项目6000万元、新田县人民医院检验、体检中心整装提质提能建设项目2000万元。</w:t>
      </w:r>
    </w:p>
    <w:p w14:paraId="27F2B264">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eastAsia="楷体_GB2312"/>
          <w:b/>
          <w:color w:val="000000"/>
          <w:sz w:val="32"/>
          <w:szCs w:val="32"/>
        </w:rPr>
      </w:pPr>
      <w:r>
        <w:rPr>
          <w:rFonts w:eastAsia="楷体_GB2312"/>
          <w:b/>
          <w:color w:val="000000"/>
          <w:sz w:val="32"/>
          <w:szCs w:val="32"/>
        </w:rPr>
        <w:t>（</w:t>
      </w:r>
      <w:r>
        <w:rPr>
          <w:rFonts w:hint="eastAsia" w:ascii="楷体_GB2312" w:hAnsi="楷体_GB2312" w:eastAsia="楷体_GB2312" w:cs="楷体_GB2312"/>
          <w:b/>
          <w:color w:val="000000"/>
          <w:sz w:val="32"/>
          <w:szCs w:val="32"/>
        </w:rPr>
        <w:t>三</w:t>
      </w:r>
      <w:r>
        <w:rPr>
          <w:rFonts w:eastAsia="楷体_GB2312"/>
          <w:b/>
          <w:color w:val="000000"/>
          <w:sz w:val="32"/>
          <w:szCs w:val="32"/>
        </w:rPr>
        <w:t>）地方政府债务还本付息情况</w:t>
      </w:r>
    </w:p>
    <w:p w14:paraId="37B3ECE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eastAsia="仿宋_GB2312"/>
          <w:sz w:val="32"/>
          <w:szCs w:val="32"/>
        </w:rPr>
      </w:pPr>
      <w:r>
        <w:rPr>
          <w:rFonts w:hint="eastAsia" w:eastAsia="仿宋_GB2312"/>
          <w:sz w:val="32"/>
          <w:szCs w:val="32"/>
        </w:rPr>
        <w:t>202</w:t>
      </w:r>
      <w:r>
        <w:rPr>
          <w:rFonts w:hint="eastAsia" w:eastAsia="仿宋_GB2312"/>
          <w:sz w:val="32"/>
          <w:szCs w:val="32"/>
          <w:lang w:val="en-US" w:eastAsia="zh-CN"/>
        </w:rPr>
        <w:t>2</w:t>
      </w:r>
      <w:r>
        <w:rPr>
          <w:rFonts w:eastAsia="仿宋_GB2312"/>
          <w:sz w:val="32"/>
          <w:szCs w:val="32"/>
        </w:rPr>
        <w:t>年偿还地方政府债券本金</w:t>
      </w:r>
      <w:r>
        <w:rPr>
          <w:rFonts w:hint="eastAsia" w:eastAsia="仿宋_GB2312"/>
          <w:sz w:val="32"/>
          <w:szCs w:val="32"/>
          <w:lang w:val="en-US" w:eastAsia="zh-CN"/>
        </w:rPr>
        <w:t>55365</w:t>
      </w:r>
      <w:r>
        <w:rPr>
          <w:rFonts w:hint="eastAsia" w:eastAsia="仿宋_GB2312"/>
          <w:sz w:val="32"/>
          <w:szCs w:val="32"/>
          <w:lang w:eastAsia="zh-CN"/>
        </w:rPr>
        <w:t>万</w:t>
      </w:r>
      <w:r>
        <w:rPr>
          <w:rFonts w:hint="eastAsia" w:eastAsia="仿宋_GB2312"/>
          <w:sz w:val="32"/>
          <w:szCs w:val="32"/>
        </w:rPr>
        <w:t>元</w:t>
      </w:r>
      <w:r>
        <w:rPr>
          <w:rFonts w:eastAsia="仿宋_GB2312"/>
          <w:sz w:val="32"/>
          <w:szCs w:val="32"/>
        </w:rPr>
        <w:t>，其中一般债券</w:t>
      </w:r>
      <w:r>
        <w:rPr>
          <w:rFonts w:hint="eastAsia" w:eastAsia="仿宋_GB2312"/>
          <w:sz w:val="32"/>
          <w:szCs w:val="32"/>
        </w:rPr>
        <w:t>本金</w:t>
      </w:r>
      <w:r>
        <w:rPr>
          <w:rFonts w:hint="eastAsia" w:eastAsia="仿宋_GB2312"/>
          <w:sz w:val="32"/>
          <w:szCs w:val="32"/>
          <w:lang w:val="en-US" w:eastAsia="zh-CN"/>
        </w:rPr>
        <w:t>55365</w:t>
      </w:r>
      <w:r>
        <w:rPr>
          <w:rFonts w:hint="eastAsia" w:eastAsia="仿宋_GB2312"/>
          <w:sz w:val="32"/>
          <w:szCs w:val="32"/>
          <w:lang w:eastAsia="zh-CN"/>
        </w:rPr>
        <w:t>万</w:t>
      </w:r>
      <w:r>
        <w:rPr>
          <w:rFonts w:hint="eastAsia" w:eastAsia="仿宋_GB2312"/>
          <w:sz w:val="32"/>
          <w:szCs w:val="32"/>
        </w:rPr>
        <w:t>元</w:t>
      </w:r>
      <w:r>
        <w:rPr>
          <w:rFonts w:hint="eastAsia" w:eastAsia="仿宋_GB2312"/>
          <w:sz w:val="32"/>
          <w:szCs w:val="32"/>
          <w:lang w:val="en-US" w:eastAsia="zh-CN"/>
        </w:rPr>
        <w:t>。</w:t>
      </w:r>
      <w:r>
        <w:rPr>
          <w:rFonts w:eastAsia="仿宋_GB2312"/>
          <w:sz w:val="32"/>
          <w:szCs w:val="32"/>
        </w:rPr>
        <w:t>支付地方政府债券利息</w:t>
      </w:r>
      <w:r>
        <w:rPr>
          <w:rFonts w:hint="eastAsia" w:eastAsia="仿宋_GB2312"/>
          <w:sz w:val="32"/>
          <w:szCs w:val="32"/>
          <w:lang w:val="en-US" w:eastAsia="zh-CN"/>
        </w:rPr>
        <w:t>13958万元</w:t>
      </w:r>
      <w:r>
        <w:rPr>
          <w:rFonts w:eastAsia="仿宋_GB2312"/>
          <w:sz w:val="32"/>
          <w:szCs w:val="32"/>
        </w:rPr>
        <w:t>，其中一般债券利息</w:t>
      </w:r>
      <w:r>
        <w:rPr>
          <w:rFonts w:hint="eastAsia" w:eastAsia="仿宋_GB2312"/>
          <w:sz w:val="32"/>
          <w:szCs w:val="32"/>
          <w:lang w:val="en-US" w:eastAsia="zh-CN"/>
        </w:rPr>
        <w:t>9848</w:t>
      </w:r>
      <w:r>
        <w:rPr>
          <w:rFonts w:hint="eastAsia" w:eastAsia="仿宋_GB2312"/>
          <w:sz w:val="32"/>
          <w:szCs w:val="32"/>
        </w:rPr>
        <w:t>万元</w:t>
      </w:r>
      <w:r>
        <w:rPr>
          <w:rFonts w:eastAsia="仿宋_GB2312"/>
          <w:sz w:val="32"/>
          <w:szCs w:val="32"/>
        </w:rPr>
        <w:t>，专项债券利息</w:t>
      </w:r>
      <w:r>
        <w:rPr>
          <w:rFonts w:hint="eastAsia" w:eastAsia="仿宋_GB2312"/>
          <w:sz w:val="32"/>
          <w:szCs w:val="32"/>
          <w:lang w:val="en-US" w:eastAsia="zh-CN"/>
        </w:rPr>
        <w:t>4110</w:t>
      </w:r>
      <w:r>
        <w:rPr>
          <w:rFonts w:hint="eastAsia" w:eastAsia="仿宋_GB2312"/>
          <w:sz w:val="32"/>
          <w:szCs w:val="32"/>
        </w:rPr>
        <w:t>万元</w:t>
      </w:r>
      <w:r>
        <w:rPr>
          <w:rFonts w:eastAsia="仿宋_GB2312"/>
          <w:sz w:val="32"/>
          <w:szCs w:val="32"/>
        </w:rPr>
        <w:t>。</w:t>
      </w:r>
    </w:p>
    <w:p w14:paraId="1826FA08">
      <w:pPr>
        <w:spacing w:line="580" w:lineRule="exact"/>
        <w:ind w:firstLine="640" w:firstLineChars="200"/>
        <w:rPr>
          <w:rFonts w:hint="eastAsia" w:eastAsia="黑体"/>
          <w:color w:val="000000"/>
          <w:sz w:val="32"/>
          <w:szCs w:val="32"/>
          <w:lang w:eastAsia="zh-CN"/>
        </w:rPr>
      </w:pPr>
      <w:r>
        <w:rPr>
          <w:rFonts w:eastAsia="黑体"/>
          <w:color w:val="000000"/>
          <w:sz w:val="32"/>
          <w:szCs w:val="32"/>
        </w:rPr>
        <w:t>三、</w:t>
      </w:r>
      <w:r>
        <w:rPr>
          <w:rFonts w:hint="eastAsia" w:eastAsia="黑体"/>
          <w:color w:val="000000"/>
          <w:sz w:val="32"/>
          <w:szCs w:val="32"/>
          <w:lang w:eastAsia="zh-CN"/>
        </w:rPr>
        <w:t>关于</w:t>
      </w:r>
      <w:r>
        <w:rPr>
          <w:rFonts w:eastAsia="黑体"/>
          <w:color w:val="000000"/>
          <w:sz w:val="32"/>
          <w:szCs w:val="32"/>
        </w:rPr>
        <w:t>预算绩效管理工作情况</w:t>
      </w:r>
      <w:r>
        <w:rPr>
          <w:rFonts w:hint="eastAsia" w:eastAsia="黑体"/>
          <w:color w:val="000000"/>
          <w:sz w:val="32"/>
          <w:szCs w:val="32"/>
          <w:lang w:eastAsia="zh-CN"/>
        </w:rPr>
        <w:t>的说明</w:t>
      </w:r>
    </w:p>
    <w:p w14:paraId="148D1C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auto"/>
          <w:spacing w:val="0"/>
          <w:kern w:val="0"/>
          <w:sz w:val="32"/>
          <w:szCs w:val="32"/>
          <w:highlight w:val="none"/>
          <w:lang w:val="en-US" w:eastAsia="zh-CN" w:bidi="ar"/>
        </w:rPr>
      </w:pPr>
      <w:r>
        <w:rPr>
          <w:rFonts w:hint="eastAsia" w:ascii="仿宋" w:hAnsi="仿宋" w:eastAsia="仿宋" w:cs="仿宋"/>
          <w:i w:val="0"/>
          <w:iCs w:val="0"/>
          <w:caps w:val="0"/>
          <w:color w:val="auto"/>
          <w:spacing w:val="0"/>
          <w:kern w:val="0"/>
          <w:sz w:val="32"/>
          <w:szCs w:val="32"/>
          <w:highlight w:val="none"/>
          <w:lang w:val="en-US" w:eastAsia="zh-CN" w:bidi="ar"/>
        </w:rPr>
        <w:t>2022年，县财政按照中央、财政部、财政厅和县委县政府关于全面实施预算绩效管理的决策部署，加快建立全方位、全过程、全覆盖预算绩效管理体系。</w:t>
      </w:r>
    </w:p>
    <w:p w14:paraId="54EBF5EE">
      <w:pPr>
        <w:pStyle w:val="4"/>
        <w:spacing w:line="580" w:lineRule="exact"/>
        <w:ind w:left="0" w:leftChars="0" w:firstLine="640" w:firstLineChars="200"/>
        <w:rPr>
          <w:rFonts w:hint="eastAsia" w:ascii="仿宋" w:hAnsi="仿宋" w:eastAsia="仿宋" w:cs="仿宋"/>
          <w:i w:val="0"/>
          <w:iCs w:val="0"/>
          <w:caps w:val="0"/>
          <w:color w:val="auto"/>
          <w:spacing w:val="0"/>
          <w:kern w:val="0"/>
          <w:sz w:val="32"/>
          <w:szCs w:val="32"/>
          <w:highlight w:val="none"/>
          <w:lang w:val="en-US" w:eastAsia="zh-CN" w:bidi="ar"/>
        </w:rPr>
      </w:pPr>
      <w:r>
        <w:rPr>
          <w:rFonts w:hint="eastAsia" w:ascii="仿宋" w:hAnsi="仿宋" w:eastAsia="仿宋" w:cs="仿宋"/>
          <w:sz w:val="32"/>
          <w:szCs w:val="32"/>
        </w:rPr>
        <w:t>2022年要求全县106个部门预算单位在申报预算草案的同时，按要求申报了部门整体支出绩效目标和专项资金绩效目标。从决算情况看，大部分单位和专项资金都较好的完成了绩效目标，发挥了绩效评价的作用。同时，组织第三方机构对政府专项债项目、政府购买服务项目、政府采购项目、PPP项目、基本民生等多个项目开展了重点绩效评价，涉及金额达67166万元。此外，分别对县教育局、县城管局、县统计局、县社会保险服务中心4个预算单位开展了2021年部门整体支出绩效评价，涉及金额7864万元。</w:t>
      </w:r>
    </w:p>
    <w:p w14:paraId="34876A37">
      <w:pPr>
        <w:spacing w:line="580" w:lineRule="exact"/>
        <w:ind w:firstLine="640" w:firstLineChars="200"/>
        <w:rPr>
          <w:rFonts w:hint="eastAsia" w:ascii="仿宋" w:hAnsi="仿宋" w:eastAsia="仿宋" w:cs="仿宋"/>
          <w:i w:val="0"/>
          <w:iCs w:val="0"/>
          <w:caps w:val="0"/>
          <w:color w:val="auto"/>
          <w:spacing w:val="0"/>
          <w:kern w:val="0"/>
          <w:sz w:val="32"/>
          <w:szCs w:val="32"/>
          <w:highlight w:val="none"/>
          <w:lang w:val="en-US" w:eastAsia="zh-CN" w:bidi="ar"/>
        </w:rPr>
      </w:pPr>
      <w:r>
        <w:rPr>
          <w:rFonts w:hint="eastAsia" w:eastAsia="黑体"/>
          <w:color w:val="000000"/>
          <w:sz w:val="32"/>
          <w:szCs w:val="32"/>
          <w:lang w:val="en-US" w:eastAsia="zh-CN"/>
        </w:rPr>
        <w:t>四、</w:t>
      </w:r>
      <w:r>
        <w:rPr>
          <w:rFonts w:hint="eastAsia" w:eastAsia="黑体"/>
          <w:color w:val="000000"/>
          <w:sz w:val="32"/>
          <w:szCs w:val="32"/>
          <w:highlight w:val="none"/>
          <w:lang w:val="en-US" w:eastAsia="zh-CN"/>
        </w:rPr>
        <w:t>关于“三公”经费支出情况的说明</w:t>
      </w:r>
    </w:p>
    <w:p w14:paraId="3FE1286A">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县委、县政府安排部署，经新田县财政局汇总，新田县所有部门，包括县级行政、事业单位及13个乡镇（街道），使用当年财政拨款安排的2022年度“三公”经费决算汇总数为1335万元，与年初预算安排的1429万元相比，减少94万元，下降6.58%。其中，公务接待费659万元，比年初预算减少215万元,下降24.6%；公务用车购置及运行费676万元（公务用车购置108万元、运行维护费568万元），比年初预算增加121万元，增长21.8%；因公出国（境）费0万元，与上年持平。</w:t>
      </w:r>
    </w:p>
    <w:p w14:paraId="2CC4775A">
      <w:pPr>
        <w:spacing w:line="580" w:lineRule="exact"/>
        <w:ind w:firstLine="640" w:firstLineChars="200"/>
        <w:rPr>
          <w:rFonts w:hint="eastAsia" w:eastAsia="黑体"/>
          <w:color w:val="000000"/>
          <w:sz w:val="32"/>
          <w:szCs w:val="32"/>
          <w:lang w:val="en-US" w:eastAsia="zh-CN"/>
        </w:rPr>
      </w:pPr>
      <w:r>
        <w:rPr>
          <w:rFonts w:hint="eastAsia" w:eastAsia="黑体"/>
          <w:color w:val="000000"/>
          <w:sz w:val="32"/>
          <w:szCs w:val="32"/>
          <w:lang w:val="en-US" w:eastAsia="zh-CN"/>
        </w:rPr>
        <w:t>五、名词解释</w:t>
      </w:r>
    </w:p>
    <w:p w14:paraId="6984CC0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w:t>
      </w:r>
      <w:r>
        <w:rPr>
          <w:rFonts w:ascii="仿宋_GB2312" w:hAnsi="微软雅黑" w:eastAsia="仿宋_GB2312" w:cs="仿宋_GB2312"/>
          <w:i w:val="0"/>
          <w:caps w:val="0"/>
          <w:color w:val="000000"/>
          <w:spacing w:val="0"/>
          <w:kern w:val="0"/>
          <w:sz w:val="32"/>
          <w:szCs w:val="32"/>
          <w:shd w:val="clear" w:color="auto" w:fill="FFFFFF"/>
          <w:lang w:val="en-US" w:eastAsia="zh-CN" w:bidi="ar"/>
        </w:rPr>
        <w:t>1</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w:t>
      </w:r>
      <w:r>
        <w:rPr>
          <w:rFonts w:ascii="仿宋_GB2312" w:hAnsi="微软雅黑" w:eastAsia="仿宋_GB2312" w:cs="仿宋_GB2312"/>
          <w:i w:val="0"/>
          <w:caps w:val="0"/>
          <w:color w:val="000000"/>
          <w:spacing w:val="0"/>
          <w:kern w:val="0"/>
          <w:sz w:val="32"/>
          <w:szCs w:val="32"/>
          <w:shd w:val="clear" w:color="auto" w:fill="FFFFFF"/>
          <w:lang w:val="en-US" w:eastAsia="zh-CN" w:bidi="ar"/>
        </w:rPr>
        <w:t>一般公共预算</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w:t>
      </w:r>
      <w:r>
        <w:rPr>
          <w:rFonts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一般公共预算是对以税收为主体的财政收入，安排用于保障和改善民生、推动经济社会发展、维护国家安全、维持国家机构正常运转等方面的收支预算。</w:t>
      </w:r>
    </w:p>
    <w:p w14:paraId="4E4A97C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（2）政府性基金预算:</w:t>
      </w:r>
      <w:r>
        <w:rPr>
          <w:rFonts w:hint="eastAsia"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是对依照法律、行政法规的规定在一定期限内向特定对象征收、收取或者以其他方式筹集的资金，专项用于特定公共事业发展的收支预算。应当根据基金项目收入情况和实际支出需要，按基金项目编制，做到以收定支。</w:t>
      </w:r>
    </w:p>
    <w:p w14:paraId="4B8E2F6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（3）国有资本经营预算:</w:t>
      </w:r>
      <w:r>
        <w:rPr>
          <w:rFonts w:hint="eastAsia"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是对国有资本收益作出支出安排的收支预算。应当按照收支平衡的原则编制，不列赤字，并安排资金调入一般公共预算。</w:t>
      </w:r>
    </w:p>
    <w:p w14:paraId="74D040B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（4）社会保险基金预算:</w:t>
      </w:r>
      <w:r>
        <w:rPr>
          <w:rFonts w:hint="eastAsia"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是对社会保险缴款、一般公共预算安排和其他方式筹集的资金，专项用于社会保险的收支预算。应当按照统筹层次和社会保险项目分别编制，做到收支平衡。</w:t>
      </w:r>
    </w:p>
    <w:p w14:paraId="5B742FB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（5）“三公”经费：是指商品和服务支出中的因公出国（境）费用、公务用车购置及运行维护费和公务接待费。</w:t>
      </w:r>
    </w:p>
    <w:p w14:paraId="5CE02C64"/>
    <w:sectPr>
      <w:headerReference r:id="rId3" w:type="default"/>
      <w:footerReference r:id="rId4" w:type="default"/>
      <w:footerReference r:id="rId5" w:type="even"/>
      <w:pgSz w:w="11906" w:h="16838" w:orient="landscape"/>
      <w:pgMar w:top="1417" w:right="1701" w:bottom="1417" w:left="1418" w:header="720" w:footer="1701" w:gutter="0"/>
      <w:pgNumType w:start="1"/>
      <w:cols w:space="720" w:num="1"/>
      <w:titlePg/>
      <w:docGrid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DD1C9">
    <w:pPr>
      <w:pStyle w:val="5"/>
      <w:ind w:right="280" w:firstLine="360"/>
      <w:jc w:val="right"/>
      <w:rPr>
        <w:rFonts w:hint="eastAsia" w:ascii="宋体" w:hAnsi="宋体"/>
        <w:sz w:val="28"/>
        <w:szCs w:val="28"/>
      </w:rPr>
    </w:pPr>
    <w:r>
      <w:rPr>
        <w:rStyle w:val="10"/>
        <w:rFonts w:hint="eastAsia" w:ascii="宋体" w:hAnsi="宋体"/>
        <w:sz w:val="28"/>
        <w:szCs w:val="28"/>
      </w:rPr>
      <w:t>—</w:t>
    </w:r>
    <w:r>
      <w:rPr>
        <w:rFonts w:ascii="宋体" w:hAnsi="宋体"/>
        <w:sz w:val="28"/>
        <w:szCs w:val="28"/>
      </w:rPr>
      <w:fldChar w:fldCharType="begin"/>
    </w:r>
    <w:r>
      <w:rPr>
        <w:rStyle w:val="10"/>
        <w:rFonts w:ascii="宋体" w:hAnsi="宋体"/>
        <w:sz w:val="28"/>
        <w:szCs w:val="28"/>
      </w:rPr>
      <w:instrText xml:space="preserve"> PAGE </w:instrText>
    </w:r>
    <w:r>
      <w:rPr>
        <w:rFonts w:ascii="宋体" w:hAnsi="宋体"/>
        <w:sz w:val="28"/>
        <w:szCs w:val="28"/>
      </w:rPr>
      <w:fldChar w:fldCharType="separate"/>
    </w:r>
    <w:r>
      <w:rPr>
        <w:rStyle w:val="10"/>
        <w:rFonts w:ascii="宋体" w:hAnsi="宋体"/>
        <w:sz w:val="28"/>
        <w:szCs w:val="28"/>
      </w:rPr>
      <w:t>9</w:t>
    </w:r>
    <w:r>
      <w:rPr>
        <w:rFonts w:ascii="宋体" w:hAnsi="宋体"/>
        <w:sz w:val="28"/>
        <w:szCs w:val="28"/>
      </w:rPr>
      <w:fldChar w:fldCharType="end"/>
    </w:r>
    <w:r>
      <w:rPr>
        <w:rStyle w:val="10"/>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AF6C3">
    <w:pPr>
      <w:pStyle w:val="5"/>
      <w:ind w:right="360" w:firstLine="280" w:firstLineChars="100"/>
      <w:rPr>
        <w:rFonts w:hint="eastAsia" w:ascii="宋体" w:hAnsi="宋体"/>
        <w:sz w:val="28"/>
        <w:szCs w:val="28"/>
      </w:rPr>
    </w:pPr>
    <w:r>
      <w:rPr>
        <w:rStyle w:val="10"/>
        <w:rFonts w:hint="eastAsia" w:ascii="宋体" w:hAnsi="宋体"/>
        <w:sz w:val="28"/>
        <w:szCs w:val="28"/>
      </w:rPr>
      <w:t>—</w:t>
    </w:r>
    <w:r>
      <w:rPr>
        <w:rFonts w:ascii="宋体" w:hAnsi="宋体"/>
        <w:sz w:val="28"/>
        <w:szCs w:val="28"/>
      </w:rPr>
      <w:fldChar w:fldCharType="begin"/>
    </w:r>
    <w:r>
      <w:rPr>
        <w:rStyle w:val="10"/>
        <w:rFonts w:ascii="宋体" w:hAnsi="宋体"/>
        <w:sz w:val="28"/>
        <w:szCs w:val="28"/>
      </w:rPr>
      <w:instrText xml:space="preserve"> PAGE </w:instrText>
    </w:r>
    <w:r>
      <w:rPr>
        <w:rFonts w:ascii="宋体" w:hAnsi="宋体"/>
        <w:sz w:val="28"/>
        <w:szCs w:val="28"/>
      </w:rPr>
      <w:fldChar w:fldCharType="separate"/>
    </w:r>
    <w:r>
      <w:rPr>
        <w:rStyle w:val="10"/>
        <w:rFonts w:ascii="宋体" w:hAnsi="宋体"/>
        <w:sz w:val="28"/>
        <w:szCs w:val="28"/>
      </w:rPr>
      <w:t>2</w:t>
    </w:r>
    <w:r>
      <w:rPr>
        <w:rFonts w:ascii="宋体" w:hAnsi="宋体"/>
        <w:sz w:val="28"/>
        <w:szCs w:val="28"/>
      </w:rPr>
      <w:fldChar w:fldCharType="end"/>
    </w:r>
    <w:r>
      <w:rPr>
        <w:rStyle w:val="10"/>
        <w:rFonts w:hint="eastAsia" w:ascii="宋体" w:hAnsi="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BECC6">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C0F97"/>
    <w:rsid w:val="02E42D54"/>
    <w:rsid w:val="081A6811"/>
    <w:rsid w:val="3B1B7D30"/>
    <w:rsid w:val="527542B6"/>
    <w:rsid w:val="5D9C0F97"/>
    <w:rsid w:val="60A47870"/>
    <w:rsid w:val="6FCA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w:basedOn w:val="1"/>
    <w:qFormat/>
    <w:uiPriority w:val="0"/>
    <w:pPr>
      <w:spacing w:after="120" w:afterLines="0"/>
    </w:pPr>
  </w:style>
  <w:style w:type="paragraph" w:styleId="4">
    <w:name w:val="toc 5"/>
    <w:basedOn w:val="1"/>
    <w:next w:val="1"/>
    <w:qFormat/>
    <w:uiPriority w:val="0"/>
    <w:pPr>
      <w:ind w:left="1680" w:leftChars="800"/>
    </w:pPr>
    <w:rPr>
      <w:rFonts w:ascii="Times New Roman" w:hAnsi="Times New Roman" w:eastAsia="宋体" w:cs="Times New Roman"/>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2839</Words>
  <Characters>3296</Characters>
  <Lines>0</Lines>
  <Paragraphs>0</Paragraphs>
  <TotalTime>0</TotalTime>
  <ScaleCrop>false</ScaleCrop>
  <LinksUpToDate>false</LinksUpToDate>
  <CharactersWithSpaces>3297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2024-11-26T03:06:00Z</dcterms:created>
  <dc:creator>Administrator</dc:creator>
  <cp:lastModifiedBy>The    One</cp:lastModifiedBy>
  <dcterms:modified xsi:type="dcterms:W3CDTF">2026-09-02T09:10:49Z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eyJoZGlkIjoiOTc0MjcxNmNkNzdlMTQyOGYzOTYwOTM1MzE2OTNmZTciLCJ1c2VySWQiOiIzMTE0NjQzMzMifQ==</vt:lpwstr>
  </property>
  <property fmtid="{D5CDD505-2E9C-101B-9397-08002B2CF9AE}" pid="4" name="ICV">
    <vt:lpwstr>44FBF18227DB49A39B2B68C473013559_12</vt:lpwstr>
  </property>
</Properties>
</file>