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关于新田县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2024年财政决算草案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</w:p>
    <w:p w14:paraId="33D8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年上半年财政预算执行情况的报告</w:t>
      </w:r>
    </w:p>
    <w:p w14:paraId="1D418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7591F9C5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14日</w:t>
      </w:r>
      <w:r>
        <w:rPr>
          <w:rFonts w:hint="eastAsia"/>
        </w:rPr>
        <w:t>在县第十八届人大常委会第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次会议上</w:t>
      </w:r>
    </w:p>
    <w:p w14:paraId="280F1191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县</w:t>
      </w:r>
      <w:r>
        <w:rPr>
          <w:rFonts w:hint="eastAsia"/>
        </w:rPr>
        <w:t>财政局局长</w:t>
      </w:r>
      <w:r>
        <w:rPr>
          <w:rFonts w:hint="eastAsia"/>
          <w:lang w:val="en-US" w:eastAsia="zh-CN"/>
        </w:rPr>
        <w:t xml:space="preserve"> 刘力</w:t>
      </w:r>
    </w:p>
    <w:p w14:paraId="13B3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C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副主任、各位委员：</w:t>
      </w:r>
    </w:p>
    <w:p w14:paraId="0617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受县人民政府委托，我向会议报告新田县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2024年财政决算和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年上半年财政预算执行情况，请予审议。</w:t>
      </w:r>
    </w:p>
    <w:p w14:paraId="5984EF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，面对经济下行压力加大，财政收入增长乏力，可用财力严重不足，保“三保”压力日增，债务化解任务艰巨等诸多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挑战，财政部门在县委、县政府的坚强领导下，在县人大的监督支持下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为指导，贯彻落实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党的二十大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、二十届三中全会及习近平总书记在湖南考察时的重要讲话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，深入落实县委、县政府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各项决议，攻坚克难，把</w:t>
      </w:r>
      <w:r>
        <w:rPr>
          <w:rFonts w:hint="eastAsia" w:ascii="仿宋_GB2312" w:hAnsi="仿宋_GB2312" w:eastAsia="仿宋_GB2312" w:cs="仿宋_GB2312"/>
          <w:sz w:val="32"/>
          <w:szCs w:val="32"/>
        </w:rPr>
        <w:t>保基本民生、保工资、保运转作为首要政治任务，立足财政职能，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全县财政各项工作扎实推进，财政运行总体平稳，预算执行情况较好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43F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2024年财政决算情况</w:t>
      </w:r>
    </w:p>
    <w:p w14:paraId="7135C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一般公共预算收支决算情况</w:t>
      </w:r>
    </w:p>
    <w:p w14:paraId="796BD01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1.收入情况。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2024年全县地方一般公共预算收入完成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71649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万元，为年初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97.66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%。其中地方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税收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48406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万元，为年初预算的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地方税收占地方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收入的比重为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个百分点。</w:t>
      </w:r>
    </w:p>
    <w:p w14:paraId="3E696AD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2.支出情况。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年全县一般公共预算支出完成3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42886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10676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%。其中：节能环保支出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%；粮油物资储备支出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122.5%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；交通运输支出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%；农林水事务支出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77352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%；公共安全支出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12789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34306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%；科学技术支出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13472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%；城乡社区事务支出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73288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%；债务付息支出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%；商业服务业等支出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%；国土海洋气象等支出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%；金融支出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51512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%；灾害防治及应急管理支出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%；资源勘探信息等支出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医疗卫生支出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24712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%；文化体育与传媒支出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6435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1F74FBA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3.转移支付等情况。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中央、省下达我县转移支付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223268万元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税收返还收入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17"/>
          <w:rFonts w:hint="eastAsia" w:ascii="仿宋_GB2312" w:hAnsi="仿宋_GB2312" w:eastAsia="仿宋_GB2312" w:cs="仿宋_GB2312"/>
          <w:b/>
          <w:bCs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198682万元，下降15.38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2023年省厅下达我县国债资金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29331万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7"/>
          <w:rFonts w:hint="eastAsia" w:ascii="仿宋_GB2312" w:hAnsi="仿宋_GB2312" w:eastAsia="仿宋_GB2312" w:cs="仿宋_GB2312"/>
          <w:b/>
          <w:bCs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6EC952F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4.收支平衡情况。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年一般公共预算执行结果，收入总计3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93027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万元，其中：地方一般预算收入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71649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223268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万元，债券转贷收入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41042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33583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18389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万元（政府性基金预算调入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，国有资本经营预算调入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389万元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，动用预算稳定调节基金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5096万元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。财政支出总计3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93027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万元，其中：一般公共预算支出3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42886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万元，上解支出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万元，债券还本支出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39380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万元，安排预算稳定调节基金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万元，结转下年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财政收支平衡。</w:t>
      </w:r>
    </w:p>
    <w:p w14:paraId="01811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（二）政府性基金收支决算情况</w:t>
      </w:r>
    </w:p>
    <w:p w14:paraId="293CEE7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1.收入情况。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年政府性基金收入完成1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45865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万元，为年初预算的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国有土地使用权出让收入1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28747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万元，城市基础设施配套费收入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其他政府性基金专项债务对应项目专项收入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16800万元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45A0AF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2.支出情况。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年政府性基金支出完成1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73658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万元，其中：国家电影事业发展专项资金安排的支出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万元，国有土地使用权出让收入安排的支出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127291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万元，城市基础设施配套费安排的支出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万元，污水处理费安排的支出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万元，大中型水库移民后期扶持基金安排的支出1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万元，超长期特别国债安排的支出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2891万元，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其他政府性基金及对应专项债务收入安排的支出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万元，彩票公益金安排的支出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万元，债务付息支出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4DF6F8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3.收支平衡情况。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年政府性基金预算执行结果，收入总计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234196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万元，其中：政府性基金预算收入1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45865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万元，债券转贷收入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10959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万元。财政支出总计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234196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万元，其中：政府性基金预算支出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173658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万元，上解支出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万元，调出资金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000万元，债券还本支出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结转下年支出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财政收支平衡。</w:t>
      </w:r>
    </w:p>
    <w:p w14:paraId="024B7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（三）国有资本经营收支决算情况</w:t>
      </w:r>
    </w:p>
    <w:p w14:paraId="31B560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年国有资本经营预算收入完成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万元，国有资本经营预算支出完成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7014A8B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年国有资本经营预算执行结果，收入总计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万元。财政支出总计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万元，其中：国有资本经营预算支出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万元，调出资金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389万元，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结转下年支出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财政收支平衡。</w:t>
      </w:r>
    </w:p>
    <w:p w14:paraId="1674E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（四）社会保险基金收支决算情况</w:t>
      </w:r>
    </w:p>
    <w:p w14:paraId="4918889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年社会保险基金收入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47855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22052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24687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万元，利息收入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万元，转移收入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35105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50939DF4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年社会保险基金支出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39277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社会保险待遇支出3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万元，转移支出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万元，本年收支结余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43683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万元（企业职工基本养老保险全国统筹，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失业保险由省统筹，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职工基本医疗保险、城乡居民医疗保险、工伤保险由市统筹，县级决算报表未统计在内）。</w:t>
      </w:r>
    </w:p>
    <w:p w14:paraId="04C9A5B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城乡居民基本养老保险基金收入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20939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30504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13340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38103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48B3A8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机关事业单位基本养老保险基金收入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26916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4E317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（五）政府债务情况</w:t>
      </w:r>
    </w:p>
    <w:p w14:paraId="6C20CCF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1.政府性债务预算执行情况</w:t>
      </w:r>
    </w:p>
    <w:p w14:paraId="15C473A1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（1）收入情况。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年我县年初预算安排债券转贷收入0万元，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调整预算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97962万元，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年终决算1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10242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430ADC9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（2）支出情况。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年我县年初预算安排债务还本支出0万元，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调整预算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62800万元，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年终决算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75080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1F98A1DE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需要说明的是，根据省财政厅要求，债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转贷收入和债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转贷支出在省财政厅资金下达前县级不列预算。</w:t>
      </w:r>
    </w:p>
    <w:p w14:paraId="7C8B3D7B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2.政府性债务限额余额情况</w:t>
      </w:r>
    </w:p>
    <w:p w14:paraId="35459CBB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年省财政核定我县政府债务限额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611231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一般债务限额3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282021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万元。省财政当年下达我县债券转贷资金1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万元，新增专项债券资金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当年债务还本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75080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其中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一般债务还本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39380万元，专项债务还本35700万元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。当年支付债务利息1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6554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一般债务利息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9344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万元，专项债务利息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7210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万元。截至202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年底，全县政府性债务余额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607284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325264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282020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万元，控制在省核定的债务限额以内。</w:t>
      </w:r>
    </w:p>
    <w:p w14:paraId="56742538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3.新增债券资金安排使用情况</w:t>
      </w:r>
    </w:p>
    <w:p w14:paraId="049FE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2024年我县新增政府债券资金39100万元，其中：一般债券5600万元，专项债券33500万元。新增一般债券主要用于：国省干线、农村公路200万元，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G234竹林坪到县城公路建设项目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1000万元，民兵训练基地二期工程600万元，市政维护工程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0万元，毛俊水库新田灌区工程建设项目1000万元，平安城市建设项目982万元，公路养护项目250万元，LED道路照明节能治理建设469万元，怡华路市政道路改造工程219万元。新增专项债券主要用于：新田县中医医院门诊、医技、内科住院综合楼项目5000万元，新田县智能制造产业园项目22500万元，补充政府性基金6000万元。</w:t>
      </w:r>
    </w:p>
    <w:p w14:paraId="5AC36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（六）预算绩效管理情况</w:t>
      </w:r>
    </w:p>
    <w:p w14:paraId="400D19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将财审联动贯穿绩效管理全过程，实现“信息共享、工作共推、整改共促、结果共用”四位一体财审联动机制。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176个预算单位绩效目标申报、绩效自评报告和439个项目绩效运行监控，以及财政重点绩效评价报告（包含事前评估4个、绩效监控4个、绩效评价12个）同步报送审计部门，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财审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监督的合力，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共同推进问题整改，确保项目落地见效、资金安全有效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2024年被评为“绩效管理巩固年”行动成效突出先进县。</w:t>
      </w:r>
    </w:p>
    <w:p w14:paraId="12C892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年预算执行效果及落实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人大决议情况</w:t>
      </w:r>
    </w:p>
    <w:p w14:paraId="2D86C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（一）收入组织稳中有进</w:t>
      </w:r>
    </w:p>
    <w:p w14:paraId="4DDD3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经济增速放缓、减税降费等多重压力，财政部门积极作为，强化收入征管，加强与税务等部门的协同配合，建立健全财税协调机制，定期开展收入分析研判，及时掌握税源动态，堵塞征管漏洞，确保应收尽收。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71649万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增幅排全市第一。地方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税收收入占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收入比重达到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67.56</w:t>
      </w:r>
      <w:r>
        <w:rPr>
          <w:rFonts w:hint="eastAsia" w:ascii="仿宋_GB2312" w:hAnsi="仿宋_GB2312" w:eastAsia="仿宋_GB2312" w:cs="仿宋_GB2312"/>
          <w:sz w:val="32"/>
          <w:szCs w:val="32"/>
        </w:rPr>
        <w:t>%，收入质量总体保持稳定。同时，注重涵养税源，通过落实各项财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优惠政策，加大对实体经济的支持力度，为财政收入的可持续增长奠定了坚实基础。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全县累计减税降费40765万元，其中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减免税收18879万元，非税及费金1130万元，留抵退税20756万元。</w:t>
      </w:r>
    </w:p>
    <w:p w14:paraId="57770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（二）支出结构持续优化</w:t>
      </w:r>
    </w:p>
    <w:p w14:paraId="34C9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牢固树立以人民为中心的发展思想，坚持“三保”支出在财</w:t>
      </w:r>
      <w:r>
        <w:rPr>
          <w:rFonts w:hint="eastAsia" w:ascii="仿宋_GB2312" w:hAnsi="仿宋_GB2312" w:eastAsia="仿宋_GB2312" w:cs="仿宋_GB2312"/>
          <w:sz w:val="32"/>
          <w:szCs w:val="32"/>
        </w:rPr>
        <w:t>政支出中的优先地位，足额保障基本民生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工资发放和机构运转。2024年，全县“三保”支出达到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149394万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元，占一般公共预算支出的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43.57</w:t>
      </w:r>
      <w:r>
        <w:rPr>
          <w:rFonts w:hint="eastAsia" w:ascii="仿宋_GB2312" w:hAnsi="仿宋_GB2312" w:eastAsia="仿宋_GB2312" w:cs="仿宋_GB2312"/>
          <w:sz w:val="32"/>
          <w:szCs w:val="32"/>
        </w:rPr>
        <w:t>%。持续加大对教育、医疗卫生、社会保障、乡村振兴等重点领域的投入，全年民生支出完成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281215万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元，占一般公共预算支出的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73288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，有力推动了义务教育薄弱环节改善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教育事业均衡发展；医疗卫生支出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，提升了基层医疗卫生服务能力；社会保障和就业支出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51512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，保障了困难群众基本生活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77352万元，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乡村振兴投入持续加码。严格控制一般性支出，大力压缩“三公”经费、会议费、培训费等非刚性、非重点支出，2024年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压减一般性支出1649万元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，腾出更多资金用于重点项目和关键领域。</w:t>
      </w:r>
    </w:p>
    <w:p w14:paraId="70A42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（三）上争资金成果丰硕</w:t>
      </w:r>
    </w:p>
    <w:p w14:paraId="56519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紧盯国家政策导向和资金投向，积极主动向上汇报沟通，加强项目谋划和储备，提高项目申报质量。2024年，全县共争取上级各类资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361800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民生类资金 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其他专项资金14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中央预算内、专项债券、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超长期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特别国债资金4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元，置换债券资金、再融资债券资金、一般债券资金等9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为全县重大项目建设、基础设施改善和社会事业发展提供了有力的资金支持。</w:t>
      </w:r>
    </w:p>
    <w:p w14:paraId="4AC84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（四）风险防范扎实有效</w:t>
      </w:r>
    </w:p>
    <w:p w14:paraId="551C8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度重视财政风险防范工作，严格落实政府债务管理各项制度，加强政府债务限额管理和预算管理，规范政府举债融资行为，坚决遏制隐性债务增量。制定完善政府债务风险应急处置预案，建立健全风险预警机制，对政府债务风险进行实时监测和动态评估，及时发现和化解潜在风险。积极稳妥化解政府存量隐性债务，通过安排财政资金、盘活国有资产资源、争取上级置换债券等方式，2024年共化解政府隐性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，政府债务风险总体可控。加强财政资金监管，严肃财经纪律，开展了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财会质量监督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惠民惠农补贴资金集中整治、公共资源领域集中整治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等工作，对发现的问题及时督促整改，确保财政资金安全规范高效使用。</w:t>
      </w:r>
    </w:p>
    <w:p w14:paraId="06490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（五）零基预算改革深入推进</w:t>
      </w:r>
    </w:p>
    <w:p w14:paraId="7FB2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深入落实《湖南省人民政府关于全面深化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零基预算改革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的指导意见》，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全面推进零基预算改革，打破基数概念和支出固化格局，以零为基点编制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破除固化格局。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取消基数依赖，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坚持“资金跟着项目走”，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全面清理现行支出政策和项目，坚决取消执行到期、低效无效支出，统筹整合性质相近、零星分散支出，形成大事要事专项13个，安排预算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106780万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元，全力支持重点项目、产业发展、农业发展、教育发展和城乡面貌大提升等县域战略发展领域。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二是优化支出结构。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严格遵循“三保”支出、政府债务还本付息支出、年度大事要事支出、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部门必须开展的一般性事业发展支出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、其他支出五级优先序安排支出预算，根据需求和可能，有保有压，合理编制2025年度预算。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加大资金盘活。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除中央明确要求专款专用外，部门人员经费、运转经费等基本支出原则上不予结转，项目支出当年无需使用的提前收回预算，确有必要的最多办理一次结转，其他结转结余资金全部收回预算，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将财政的每一分钱花在“刀刃”上，防止财政资金“趴在账上睡觉”，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收回存量指标465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元，统筹用于保障“三保”等重点支出。</w:t>
      </w:r>
    </w:p>
    <w:p w14:paraId="5595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县预算执行工作取得了较好成绩，但也面临一些困难和挑战，如财政收支矛盾依然突出、财源结构有待优化、财政资金使用效益仍需进一步提高等。在今后的工作中，我们将认真贯彻落实县委、县政府的决策部署，坚持问题导向，采取有效措施，努力加以解决，不断推动财政工作高质量发展。</w:t>
      </w:r>
    </w:p>
    <w:p w14:paraId="0BA7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上半年预算收支执行情况</w:t>
      </w:r>
    </w:p>
    <w:p w14:paraId="237B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是“十四五”规划的收官之年。上半年，全县财政工作在县委、县政府的坚强领导和县人大的监督支持下，坚持以习近平新时代中国特色社会主义思想为指导，全面贯彻落实党的二十大和二十届三中全会精神以及中央、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经济工作会议精神，扎实推进中国式现代化，坚持稳中求进工作总基调，完整、准确、全面贯彻新发展理念，加快构建新发展格局，深入推进财政改革创新，推动“高质量发展，新田闯新路”，为实现“十五五”良好开局打牢基础。半年来，全县经济运行稳中有进、稳中提质，预算执行情况总体良好。</w:t>
      </w:r>
    </w:p>
    <w:p w14:paraId="749AF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（一）一般公共预算执行情况</w:t>
      </w:r>
    </w:p>
    <w:p w14:paraId="75A9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1.收入情况。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1-6月，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全县地方一般预算收入完成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%，比上年同期增加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%，增幅排全市第二位。地方一般预算收入中税收收入完成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22869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%，非税收入完成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23636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%。地方一般预算收入中税收占比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%，非税收入占比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</w:t>
      </w:r>
    </w:p>
    <w:p w14:paraId="06CCA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2.支出情况。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全县一般公共预算支出完成172591万元，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与民生相关的支出150775万元，占总支出的比重为87.36%。</w:t>
      </w:r>
    </w:p>
    <w:p w14:paraId="11B8C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（二）其他三本预算</w:t>
      </w:r>
    </w:p>
    <w:p w14:paraId="12C8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1.政府性基金预算方面。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1-6月，全县收入13477万元，同比增长294％。全县支出41125万元，同比增长88.8％。</w:t>
      </w:r>
    </w:p>
    <w:p w14:paraId="5CB2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2.国有资本经营预算方面。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全县收入0万元。全县支出0万元。</w:t>
      </w:r>
    </w:p>
    <w:p w14:paraId="7214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3.社保基金预算方面。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全县收入23227万元、下降13.12％。全县支出21180万元、增长14.19％。</w:t>
      </w:r>
    </w:p>
    <w:p w14:paraId="28524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（三）政府性债务情况</w:t>
      </w:r>
    </w:p>
    <w:p w14:paraId="0CBB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今年1-6月，省财政下达我县新增政府债券额度43900万元，其中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一般债券9000万元，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专项债券34900万元。截至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月底，全县政府性债务余额630645万元，其中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一般债务余额342526万元，专项债务余额288120万元，控制在省定债务限额655131万元以内。</w:t>
      </w:r>
    </w:p>
    <w:p w14:paraId="32331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（四）预算执行情况特点</w:t>
      </w:r>
    </w:p>
    <w:p w14:paraId="3215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“转作风、提信心、优环境、惠民生、强底气、创一流”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，开源节流、量质并举，加大财政资源统筹力度，加强财政科学管理，积极防范化解风险，为</w:t>
      </w:r>
      <w:r>
        <w:rPr>
          <w:rFonts w:hint="eastAsia" w:ascii="Times New Roman" w:hAnsi="Times New Roman" w:eastAsia="仿宋_GB2312" w:cs="仿宋_GB2312"/>
          <w:color w:val="0C0C0C"/>
          <w:kern w:val="2"/>
          <w:sz w:val="32"/>
          <w:szCs w:val="32"/>
          <w:lang w:bidi="ar-SA"/>
        </w:rPr>
        <w:t>推动高质量发展提供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有力保障。</w:t>
      </w:r>
    </w:p>
    <w:p w14:paraId="69EBC56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1.收入实现较快增长，收入质量持续夯实。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全县地方收入、地方税收的增幅高于全市其他县市区平均水平，地方收入增幅排全市县市区第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位，地方税收增幅排全市第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位。非税占比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50.82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%，较上年同期上升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16.8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个百分点，较一季度末下降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个百分点，收入质量排全市第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位。上级共下达我县转移支付资金和三类资金共计23.87亿元，占上年全年完成数的56%。</w:t>
      </w:r>
    </w:p>
    <w:p w14:paraId="3A4D1B0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2.支出保持必要强度，重点领域保障到位。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全县一般公共预算支出进度靠前。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城乡社区事务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、文旅体与传媒、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科技支出、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交通运输等科目支出增长较快，分别增长了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32.4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%、2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%、1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5.5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%，资金使用做到了安全高效。</w:t>
      </w:r>
    </w:p>
    <w:p w14:paraId="4733F44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3.财政运行总体平稳，库款保障水平合理。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1-6月，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全县“三保”支出808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56万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元，占年初“三保”预算的47%，基本达到支出序时进度。政府债务付息支出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8484万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元，得到足额保障。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今年以来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，财政库款保障水平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保持在合理区间。</w:t>
      </w:r>
    </w:p>
    <w:p w14:paraId="1A708E0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4.管理改革切实推进，财政效能有效释放。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开展财政基础管理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强基固本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检查、财会质量监督检查等，财会监督职能持续加强。开源节流双向发力，“三资”改革与财源建设、提高财政收入质量统筹推进，赋能实体经济发展；完善公务活动用餐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差旅费管理办法，持续规范财政投资项目评审，努力提升政府采购资金节约率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1-6月，完成政府采购项目38个，预算金额5394万元，成交金额4528万元，节约资金866万元，节约资金率达16%。</w:t>
      </w:r>
    </w:p>
    <w:p w14:paraId="3CD4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四、下半年工作打算</w:t>
      </w:r>
    </w:p>
    <w:p w14:paraId="492D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下半年，我们将坚持以政领财，以财辅政，围绕县委、县政府部署要求，积极谋划新思路、新举措，有效应对风险挑战，确保完成年度目标任务。</w:t>
      </w:r>
      <w:bookmarkStart w:id="0" w:name="_Toc12953"/>
    </w:p>
    <w:bookmarkEnd w:id="0"/>
    <w:p w14:paraId="21F4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（一）聚焦财力提“质”，强化收入组织。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锚定全年地方收入增长4%以上的预期目标，打好收入组织主动仗。加强与税务和涉税部门协调联动，深入开展房、土、油、矿等重点领域整治，紧盯房地产土地增值税清算、重点项目建设、欠税清理等方面，依法依规加强征管，注重堵漏挖潜，全力抓好收入征管，有效推动财政收入稳定增长。盯紧加力提效实施积极财政政策“窗口期”，争取上级支持，将财政资金投入到关键领域、关键阶段、关键环节，不断增强财政保障能力。建立盘活国有“三资”长效机制，力争形成的财政收入能基本保持去年的水平。</w:t>
      </w:r>
    </w:p>
    <w:p w14:paraId="7E4B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（二）聚焦管理提“效”，切实兜牢底线。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把防范风险放在更为突出的位置，坚决打好防范化解风险阻击仗，防突破底线、防风险聚集、防好高骛远，以财政安全为全域稳定作贡献。通过“清单化管理、一体式推进、跟踪式督导”攻坚克难，落实落细各方责任，实现风险排查、预警、处置“三个全覆盖”，有效防范化解重大风险。持续加大存量债务处置力度，严防“三保”政策违规提标扩面，守住“三保”和债务风险底线。</w:t>
      </w:r>
    </w:p>
    <w:p w14:paraId="31334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（三）持续过好“紧日子”，规范管财理财。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全面落实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党中央、国务院《党政机关厉行节约反对浪费条例》，进一步弘扬艰苦奋斗、勤俭节约的优良作风，推进党政机关厉行节约反对浪费，建设节约型机关。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着力构建财政“大绩效”管理体系，切实做到不该花的钱一分不花，每一分钱都花出好的效果，推动绩效管理见实见效。大力压减非紧急非必要支出，规范政府购买服务，节约信息化建设运维成本。聚焦高质量完成“十四五”规划目标任务和县委、县政府重要部署，加强预算管理一体化系统应用，提升财政精益化管理水平。加大财税政策落实和监督力度，堵塞管理漏洞，严防监管失衡，持续提升财政监督效能。</w:t>
      </w:r>
    </w:p>
    <w:p w14:paraId="2CC5347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主任、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副主任、各位委员，我们将在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政府的坚强领导下，在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人大及其常委会的监督指导下，进一步加大落实力度，加强工作调度，加快工作节奏，志不求易、事不避难，努力完成全年各项财政工作任务，</w:t>
      </w:r>
      <w:r>
        <w:rPr>
          <w:rFonts w:hint="default" w:eastAsia="仿宋_GB2312" w:cs="Times New Roman"/>
          <w:color w:val="0C0C0C"/>
          <w:sz w:val="32"/>
          <w:szCs w:val="32"/>
          <w:lang w:eastAsia="zh-CN"/>
        </w:rPr>
        <w:t>全力推动高质量发展，为奋力谱写中国式现代化湖南篇章贡献新田力量。</w:t>
      </w:r>
    </w:p>
    <w:p w14:paraId="4269BBB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</w:p>
    <w:p w14:paraId="3ECB87C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</w:p>
    <w:p w14:paraId="28571D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</w:p>
    <w:p w14:paraId="73423F4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</w:p>
    <w:p w14:paraId="4E3F524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DC79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7A111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7A111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NjJjOTBmN2Y4MzYwZjQ0Y2U1ZDFiMWQxNzc4MGMifQ=="/>
    <w:docVar w:name="KSO_WPS_MARK_KEY" w:val="2c8565fa-7742-4060-963b-5ea1083b2081"/>
  </w:docVars>
  <w:rsids>
    <w:rsidRoot w:val="59332A25"/>
    <w:rsid w:val="000076EB"/>
    <w:rsid w:val="008A4AF3"/>
    <w:rsid w:val="01877B89"/>
    <w:rsid w:val="040179BD"/>
    <w:rsid w:val="04DA2804"/>
    <w:rsid w:val="053D3D00"/>
    <w:rsid w:val="070A4C76"/>
    <w:rsid w:val="08410597"/>
    <w:rsid w:val="08633116"/>
    <w:rsid w:val="09B62579"/>
    <w:rsid w:val="0A2E0844"/>
    <w:rsid w:val="0B1928CD"/>
    <w:rsid w:val="0B3E11B5"/>
    <w:rsid w:val="0D7C4531"/>
    <w:rsid w:val="1191029E"/>
    <w:rsid w:val="11B21219"/>
    <w:rsid w:val="12EB6997"/>
    <w:rsid w:val="13387AB0"/>
    <w:rsid w:val="13EF3F1C"/>
    <w:rsid w:val="14657B60"/>
    <w:rsid w:val="15C47892"/>
    <w:rsid w:val="16133C89"/>
    <w:rsid w:val="18A403E8"/>
    <w:rsid w:val="19947798"/>
    <w:rsid w:val="1A6745A4"/>
    <w:rsid w:val="1A991054"/>
    <w:rsid w:val="1B163788"/>
    <w:rsid w:val="1D955956"/>
    <w:rsid w:val="1EF849DE"/>
    <w:rsid w:val="1FCF3202"/>
    <w:rsid w:val="1FFEC328"/>
    <w:rsid w:val="20D85240"/>
    <w:rsid w:val="225C194E"/>
    <w:rsid w:val="231C5BF1"/>
    <w:rsid w:val="23EC2670"/>
    <w:rsid w:val="24440629"/>
    <w:rsid w:val="24702668"/>
    <w:rsid w:val="24EE5E9B"/>
    <w:rsid w:val="255A6C57"/>
    <w:rsid w:val="26550B86"/>
    <w:rsid w:val="265574FA"/>
    <w:rsid w:val="26C26B16"/>
    <w:rsid w:val="26E25E44"/>
    <w:rsid w:val="26E70EC2"/>
    <w:rsid w:val="275C189F"/>
    <w:rsid w:val="277F3576"/>
    <w:rsid w:val="27BD063F"/>
    <w:rsid w:val="286B14F8"/>
    <w:rsid w:val="286C2D61"/>
    <w:rsid w:val="29B83EEC"/>
    <w:rsid w:val="29E045DE"/>
    <w:rsid w:val="2A2455FA"/>
    <w:rsid w:val="2A261D85"/>
    <w:rsid w:val="2AED757D"/>
    <w:rsid w:val="2B797C93"/>
    <w:rsid w:val="2BC25A5D"/>
    <w:rsid w:val="2CBB2FF0"/>
    <w:rsid w:val="2DB937F2"/>
    <w:rsid w:val="2ECC5842"/>
    <w:rsid w:val="3058256D"/>
    <w:rsid w:val="31C10AF5"/>
    <w:rsid w:val="331C5269"/>
    <w:rsid w:val="3364747B"/>
    <w:rsid w:val="33DE547F"/>
    <w:rsid w:val="36137470"/>
    <w:rsid w:val="372D1296"/>
    <w:rsid w:val="373A48BE"/>
    <w:rsid w:val="38FF1DF8"/>
    <w:rsid w:val="392004A7"/>
    <w:rsid w:val="39916502"/>
    <w:rsid w:val="39C72511"/>
    <w:rsid w:val="3A0823F9"/>
    <w:rsid w:val="3A485400"/>
    <w:rsid w:val="3B306EA8"/>
    <w:rsid w:val="3B9429CE"/>
    <w:rsid w:val="3C7D2B45"/>
    <w:rsid w:val="3DEB5D94"/>
    <w:rsid w:val="3E2F31EF"/>
    <w:rsid w:val="3E7A0191"/>
    <w:rsid w:val="3EF72C44"/>
    <w:rsid w:val="3F415C25"/>
    <w:rsid w:val="3FFF1EA3"/>
    <w:rsid w:val="405A774E"/>
    <w:rsid w:val="413C6193"/>
    <w:rsid w:val="425A0706"/>
    <w:rsid w:val="425C73CC"/>
    <w:rsid w:val="4283313A"/>
    <w:rsid w:val="4406535D"/>
    <w:rsid w:val="443258FD"/>
    <w:rsid w:val="44B236E1"/>
    <w:rsid w:val="44BD0353"/>
    <w:rsid w:val="465429F3"/>
    <w:rsid w:val="487876F7"/>
    <w:rsid w:val="49731A66"/>
    <w:rsid w:val="49F44C5D"/>
    <w:rsid w:val="4ACE54AE"/>
    <w:rsid w:val="4CB613E8"/>
    <w:rsid w:val="4CC6567A"/>
    <w:rsid w:val="4D0E24D9"/>
    <w:rsid w:val="4DD958E6"/>
    <w:rsid w:val="4DEFF346"/>
    <w:rsid w:val="4E952D2C"/>
    <w:rsid w:val="4F194455"/>
    <w:rsid w:val="4F9D33AA"/>
    <w:rsid w:val="4FB355BA"/>
    <w:rsid w:val="56E5396E"/>
    <w:rsid w:val="57024B59"/>
    <w:rsid w:val="58852D7E"/>
    <w:rsid w:val="591F0400"/>
    <w:rsid w:val="59332A25"/>
    <w:rsid w:val="59443607"/>
    <w:rsid w:val="5A632772"/>
    <w:rsid w:val="5AFB01C8"/>
    <w:rsid w:val="5AFB09D1"/>
    <w:rsid w:val="5CAE3F47"/>
    <w:rsid w:val="5E8C1CE5"/>
    <w:rsid w:val="5E956008"/>
    <w:rsid w:val="5EEFFBAE"/>
    <w:rsid w:val="61716CEE"/>
    <w:rsid w:val="62C25396"/>
    <w:rsid w:val="63722AC4"/>
    <w:rsid w:val="64D775FC"/>
    <w:rsid w:val="657F9EF4"/>
    <w:rsid w:val="66135C91"/>
    <w:rsid w:val="677478C8"/>
    <w:rsid w:val="678834ED"/>
    <w:rsid w:val="67EF13FA"/>
    <w:rsid w:val="68C01315"/>
    <w:rsid w:val="6A555782"/>
    <w:rsid w:val="6B0B1A2E"/>
    <w:rsid w:val="6B6A52CA"/>
    <w:rsid w:val="6CB25261"/>
    <w:rsid w:val="6CB81131"/>
    <w:rsid w:val="6EA9387B"/>
    <w:rsid w:val="6ED72961"/>
    <w:rsid w:val="6F07458D"/>
    <w:rsid w:val="6F651353"/>
    <w:rsid w:val="6FBB59D3"/>
    <w:rsid w:val="6FEA2BFF"/>
    <w:rsid w:val="701339D1"/>
    <w:rsid w:val="710A3D86"/>
    <w:rsid w:val="72827F6B"/>
    <w:rsid w:val="745E375D"/>
    <w:rsid w:val="74FC737A"/>
    <w:rsid w:val="75026D05"/>
    <w:rsid w:val="7521699E"/>
    <w:rsid w:val="765017AE"/>
    <w:rsid w:val="768E0063"/>
    <w:rsid w:val="781A304F"/>
    <w:rsid w:val="781E71C5"/>
    <w:rsid w:val="78484564"/>
    <w:rsid w:val="79434813"/>
    <w:rsid w:val="7A943D7D"/>
    <w:rsid w:val="7A9750AD"/>
    <w:rsid w:val="7BAF5B7A"/>
    <w:rsid w:val="7BF5E623"/>
    <w:rsid w:val="7D8F43C8"/>
    <w:rsid w:val="7E431733"/>
    <w:rsid w:val="7E451036"/>
    <w:rsid w:val="7EA47137"/>
    <w:rsid w:val="7EB32082"/>
    <w:rsid w:val="7EFE01BF"/>
    <w:rsid w:val="7F7EFA43"/>
    <w:rsid w:val="B3B72A42"/>
    <w:rsid w:val="BFAEA36F"/>
    <w:rsid w:val="DDFD1FD1"/>
    <w:rsid w:val="E2F82951"/>
    <w:rsid w:val="E36F1F63"/>
    <w:rsid w:val="EFEFF6E3"/>
    <w:rsid w:val="EFFF464F"/>
    <w:rsid w:val="FA160305"/>
    <w:rsid w:val="FAFBF5A8"/>
    <w:rsid w:val="FDFF0AC5"/>
    <w:rsid w:val="FEB35725"/>
    <w:rsid w:val="FF4CD08F"/>
    <w:rsid w:val="FFB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jc w:val="left"/>
      <w:outlineLvl w:val="0"/>
    </w:pPr>
    <w:rPr>
      <w:rFonts w:ascii="Arial" w:hAnsi="Arial"/>
      <w:b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paragraph" w:styleId="14">
    <w:name w:val="Body Text First Indent 2"/>
    <w:basedOn w:val="6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标题 方正小标宋简体 二号"/>
    <w:basedOn w:val="1"/>
    <w:next w:val="1"/>
    <w:link w:val="24"/>
    <w:qFormat/>
    <w:uiPriority w:val="0"/>
    <w:pPr>
      <w:widowControl/>
      <w:shd w:val="clear" w:color="auto" w:fill="FFFFFF"/>
      <w:spacing w:line="560" w:lineRule="exact"/>
      <w:ind w:firstLine="880" w:firstLineChars="20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20">
    <w:name w:val="一、/一级 黑体 三号"/>
    <w:basedOn w:val="1"/>
    <w:link w:val="25"/>
    <w:qFormat/>
    <w:uiPriority w:val="0"/>
    <w:pPr>
      <w:widowControl/>
      <w:spacing w:line="560" w:lineRule="exact"/>
      <w:ind w:firstLine="720" w:firstLineChars="200"/>
      <w:jc w:val="center"/>
    </w:pPr>
    <w:rPr>
      <w:rFonts w:hint="eastAsia" w:ascii="黑体" w:hAnsi="黑体" w:eastAsia="黑体" w:cs="黑体"/>
      <w:color w:val="000000"/>
      <w:sz w:val="36"/>
      <w:szCs w:val="36"/>
    </w:rPr>
  </w:style>
  <w:style w:type="paragraph" w:customStyle="1" w:styleId="21">
    <w:name w:val="（二）二级 楷体GB2312加粗三号"/>
    <w:basedOn w:val="1"/>
    <w:qFormat/>
    <w:uiPriority w:val="0"/>
    <w:pPr>
      <w:widowControl/>
      <w:spacing w:line="560" w:lineRule="exact"/>
      <w:ind w:firstLine="643" w:firstLineChars="200"/>
      <w:jc w:val="both"/>
    </w:pPr>
    <w:rPr>
      <w:rFonts w:hint="eastAsia" w:ascii="楷体_GB2312" w:hAnsi="楷体_GB2312" w:eastAsia="楷体_GB2312" w:cs="楷体"/>
      <w:b/>
      <w:bCs/>
      <w:color w:val="000000"/>
      <w:sz w:val="32"/>
      <w:szCs w:val="32"/>
    </w:rPr>
  </w:style>
  <w:style w:type="paragraph" w:customStyle="1" w:styleId="22">
    <w:name w:val="1.三级 仿宋GB2312 加粗"/>
    <w:basedOn w:val="1"/>
    <w:qFormat/>
    <w:uiPriority w:val="0"/>
    <w:pPr>
      <w:spacing w:line="560" w:lineRule="exact"/>
      <w:ind w:firstLine="643" w:firstLineChars="200"/>
    </w:pPr>
    <w:rPr>
      <w:rFonts w:hint="eastAsia" w:ascii="仿宋_GB2312" w:hAnsi="仿宋_GB2312" w:eastAsia="仿宋_GB2312" w:cs="仿宋_GB2312"/>
      <w:b/>
      <w:bCs/>
      <w:sz w:val="32"/>
      <w:szCs w:val="32"/>
    </w:rPr>
  </w:style>
  <w:style w:type="paragraph" w:customStyle="1" w:styleId="23">
    <w:name w:val="正文 四级一是 仿宋GB2312"/>
    <w:basedOn w:val="1"/>
    <w:qFormat/>
    <w:uiPriority w:val="0"/>
    <w:pPr>
      <w:widowControl/>
      <w:spacing w:line="560" w:lineRule="exact"/>
      <w:ind w:firstLine="640" w:firstLineChars="200"/>
    </w:pPr>
    <w:rPr>
      <w:rFonts w:hint="eastAsia" w:ascii="仿宋_GB2312" w:hAnsi="仿宋_GB2312" w:eastAsia="仿宋_GB2312" w:cs="仿宋_GB2312"/>
      <w:color w:val="000000"/>
      <w:sz w:val="32"/>
      <w:szCs w:val="32"/>
    </w:rPr>
  </w:style>
  <w:style w:type="character" w:customStyle="1" w:styleId="24">
    <w:name w:val="标题 方正小标宋简体 二号 Char"/>
    <w:link w:val="19"/>
    <w:qFormat/>
    <w:uiPriority w:val="0"/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25">
    <w:name w:val="一、/一级 黑体 三号 Char"/>
    <w:link w:val="20"/>
    <w:qFormat/>
    <w:uiPriority w:val="0"/>
    <w:rPr>
      <w:rFonts w:hint="eastAsia" w:ascii="黑体" w:hAnsi="黑体" w:eastAsia="黑体" w:cs="黑体"/>
      <w:color w:val="000000"/>
      <w:sz w:val="36"/>
      <w:szCs w:val="36"/>
    </w:rPr>
  </w:style>
  <w:style w:type="paragraph" w:customStyle="1" w:styleId="26">
    <w:name w:val="一、/一级 黑体加粗 三号"/>
    <w:basedOn w:val="1"/>
    <w:qFormat/>
    <w:uiPriority w:val="0"/>
    <w:pPr>
      <w:widowControl/>
      <w:spacing w:line="560" w:lineRule="exact"/>
      <w:ind w:firstLine="720" w:firstLineChars="200"/>
      <w:jc w:val="both"/>
    </w:pPr>
    <w:rPr>
      <w:rFonts w:hint="eastAsia" w:ascii="黑体" w:hAnsi="黑体" w:eastAsia="黑体" w:cs="黑体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6789</Words>
  <Characters>7792</Characters>
  <Lines>0</Lines>
  <Paragraphs>0</Paragraphs>
  <TotalTime>73</TotalTime>
  <ScaleCrop>false</ScaleCrop>
  <LinksUpToDate>false</LinksUpToDate>
  <CharactersWithSpaces>7794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2021-09-19T00:43:00Z</dcterms:created>
  <dc:creator>邓小斌</dc:creator>
  <cp:lastModifiedBy>The    One</cp:lastModifiedBy>
  <cp:lastPrinted>2025-07-13T07:23:00Z</cp:lastPrinted>
  <dcterms:modified xsi:type="dcterms:W3CDTF">2025-07-30T02:43:56Z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D9E6EF6469364C4B83C356206EA14AF2_13</vt:lpwstr>
  </property>
  <property fmtid="{D5CDD505-2E9C-101B-9397-08002B2CF9AE}" pid="4" name="KSOTemplateDocerSaveRecord">
    <vt:lpwstr>eyJoZGlkIjoiYjYxOTJmNjk4MmU1MTcxMDc4OTY5OTYzMjExMjdiMmMiLCJ1c2VySWQiOiIzMTE0NjQzMzMifQ==</vt:lpwstr>
  </property>
</Properties>
</file>