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int="eastAsia"/>
          <w:color w:val="000000"/>
          <w:spacing w:val="20"/>
        </w:rPr>
      </w:pPr>
      <w:bookmarkStart w:id="1" w:name="_GoBack"/>
      <w:bookmarkEnd w:id="1"/>
      <w:bookmarkStart w:id="0" w:name="OLE_LINK1"/>
    </w:p>
    <w:p>
      <w:pPr>
        <w:pStyle w:val="3"/>
        <w:spacing w:line="600" w:lineRule="exact"/>
        <w:rPr>
          <w:rFonts w:hint="eastAsia"/>
          <w:color w:val="000000"/>
          <w:spacing w:val="20"/>
        </w:rPr>
      </w:pPr>
    </w:p>
    <w:p>
      <w:pPr>
        <w:pStyle w:val="3"/>
        <w:spacing w:line="600" w:lineRule="exact"/>
        <w:rPr>
          <w:rFonts w:hint="eastAsia"/>
          <w:color w:val="000000"/>
          <w:spacing w:val="20"/>
        </w:rPr>
      </w:pPr>
    </w:p>
    <w:p>
      <w:pPr>
        <w:pStyle w:val="3"/>
        <w:spacing w:line="600" w:lineRule="exact"/>
        <w:rPr>
          <w:color w:val="000000"/>
          <w:spacing w:val="20"/>
        </w:rPr>
      </w:pPr>
      <w:r>
        <w:rPr>
          <w:color w:val="000000"/>
          <w:spacing w:val="20"/>
        </w:rPr>
        <w:t>湖南省农业农村厅</w:t>
      </w:r>
    </w:p>
    <w:bookmarkEnd w:id="0"/>
    <w:p>
      <w:pPr>
        <w:pStyle w:val="3"/>
        <w:spacing w:line="600" w:lineRule="exact"/>
      </w:pPr>
      <w:r>
        <w:t>关于印发《湖南省畜间人兽共患病防治</w:t>
      </w:r>
    </w:p>
    <w:p>
      <w:pPr>
        <w:pStyle w:val="3"/>
        <w:spacing w:line="600" w:lineRule="exact"/>
      </w:pPr>
      <w:r>
        <w:t>规划（2022—2030年）》的通知</w:t>
      </w:r>
    </w:p>
    <w:p>
      <w:pPr>
        <w:spacing w:line="510" w:lineRule="exact"/>
        <w:ind w:firstLine="640"/>
      </w:pPr>
    </w:p>
    <w:p>
      <w:pPr>
        <w:spacing w:line="510" w:lineRule="exact"/>
        <w:ind w:firstLine="0" w:firstLineChars="0"/>
      </w:pPr>
      <w:r>
        <w:t>各市州农业农村局（畜牧水产事务中心）：</w:t>
      </w:r>
    </w:p>
    <w:p>
      <w:pPr>
        <w:spacing w:line="510" w:lineRule="exact"/>
        <w:ind w:firstLine="640"/>
        <w:rPr>
          <w:rFonts w:eastAsia="仿宋"/>
          <w:bCs/>
          <w:szCs w:val="32"/>
        </w:rPr>
      </w:pPr>
      <w:r>
        <w:rPr>
          <w:rFonts w:eastAsia="仿宋"/>
          <w:bCs/>
          <w:szCs w:val="32"/>
        </w:rPr>
        <w:t>为进一步加强全省畜间人兽共患病防治工作，促进全省畜牧业高质量发展，保障人民群众身体健康，根据《农业农村部关于印发〈全国畜间人兽共患病防治规划（2022—2030年）〉的通知》（农牧发〔2022〕31号）要求，我厅组织制订了《湖南省畜间人兽共患病防治规划（2022—2030年）》，现印发给你们，请认真抓好贯彻落实。</w:t>
      </w:r>
    </w:p>
    <w:p>
      <w:pPr>
        <w:spacing w:line="510" w:lineRule="atLeast"/>
        <w:ind w:firstLine="640"/>
      </w:pPr>
    </w:p>
    <w:p>
      <w:pPr>
        <w:spacing w:line="510" w:lineRule="exact"/>
        <w:ind w:right="640" w:rightChars="200" w:firstLine="0" w:firstLineChars="0"/>
        <w:jc w:val="right"/>
        <w:rPr>
          <w:spacing w:val="20"/>
          <w:szCs w:val="32"/>
        </w:rPr>
      </w:pPr>
      <w:r>
        <w:rPr>
          <w:spacing w:val="20"/>
        </w:rPr>
        <w:t xml:space="preserve">                        </w:t>
      </w:r>
      <w:r>
        <w:rPr>
          <w:spacing w:val="20"/>
          <w:szCs w:val="32"/>
        </w:rPr>
        <w:t xml:space="preserve">  湖南省农业农村厅</w:t>
      </w:r>
    </w:p>
    <w:p>
      <w:pPr>
        <w:spacing w:line="510" w:lineRule="exact"/>
        <w:ind w:firstLine="640"/>
      </w:pPr>
      <w:r>
        <w:t xml:space="preserve">                              </w:t>
      </w:r>
      <w:r>
        <w:rPr>
          <w:rFonts w:hint="eastAsia"/>
        </w:rPr>
        <w:t xml:space="preserve">    </w:t>
      </w:r>
      <w:r>
        <w:t>2022年12月28日</w:t>
      </w:r>
    </w:p>
    <w:p>
      <w:pPr>
        <w:ind w:firstLine="640"/>
      </w:pPr>
      <w:r>
        <w:br w:type="page"/>
      </w:r>
    </w:p>
    <w:p>
      <w:pPr>
        <w:pStyle w:val="3"/>
      </w:pPr>
      <w:r>
        <w:t>湖南省畜间人兽共患病防治规划</w:t>
      </w:r>
    </w:p>
    <w:p>
      <w:pPr>
        <w:pStyle w:val="5"/>
        <w:ind w:firstLine="0" w:firstLineChars="0"/>
        <w:jc w:val="center"/>
        <w:rPr>
          <w:b w:val="0"/>
          <w:bCs w:val="0"/>
        </w:rPr>
      </w:pPr>
      <w:r>
        <w:rPr>
          <w:b w:val="0"/>
          <w:bCs w:val="0"/>
        </w:rPr>
        <w:t>（2022—2030年）</w:t>
      </w:r>
    </w:p>
    <w:p>
      <w:pPr>
        <w:spacing w:line="579" w:lineRule="exact"/>
        <w:ind w:firstLine="640"/>
        <w:rPr>
          <w:szCs w:val="32"/>
        </w:rPr>
      </w:pPr>
    </w:p>
    <w:p>
      <w:pPr>
        <w:spacing w:line="579" w:lineRule="exact"/>
        <w:ind w:firstLine="640"/>
        <w:rPr>
          <w:bCs/>
          <w:szCs w:val="32"/>
        </w:rPr>
      </w:pPr>
      <w:r>
        <w:rPr>
          <w:bCs/>
          <w:szCs w:val="32"/>
        </w:rPr>
        <w:t>为落实习近平总书记关于“人病兽防、关口前移”的重要指示精神，进一步加强全省畜间人兽共患病防治工作，根据《中华人民共和国动物防疫法》《全国畜间人兽共患病防治规划（2022—2030年）》等有关要求，结合我省实际，特制定本规划。</w:t>
      </w:r>
    </w:p>
    <w:p>
      <w:pPr>
        <w:pStyle w:val="4"/>
        <w:ind w:firstLine="640"/>
      </w:pPr>
      <w:r>
        <w:t>一、总体思路</w:t>
      </w:r>
    </w:p>
    <w:p>
      <w:pPr>
        <w:pStyle w:val="5"/>
        <w:ind w:firstLine="640"/>
      </w:pPr>
      <w:r>
        <w:t>（一）指导思想</w:t>
      </w:r>
    </w:p>
    <w:p>
      <w:pPr>
        <w:spacing w:line="579" w:lineRule="exact"/>
        <w:ind w:firstLine="640"/>
        <w:rPr>
          <w:bCs/>
          <w:color w:val="000000"/>
          <w:kern w:val="0"/>
          <w:szCs w:val="32"/>
        </w:rPr>
      </w:pPr>
      <w:r>
        <w:rPr>
          <w:bCs/>
          <w:color w:val="000000"/>
          <w:kern w:val="0"/>
          <w:szCs w:val="32"/>
        </w:rPr>
        <w:t>以习近平新时代中国特色社会主义思想为指导，认真落实全面加强国家生物安全风险防控和治理体系建设的决策部署，坚持人民至上、生命至上，实行积极防御、系统治理，</w:t>
      </w:r>
      <w:r>
        <w:rPr>
          <w:szCs w:val="32"/>
        </w:rPr>
        <w:t>有效控制传染源、阻断传播途径、提高抗病能力</w:t>
      </w:r>
      <w:r>
        <w:rPr>
          <w:bCs/>
          <w:color w:val="000000"/>
          <w:kern w:val="0"/>
          <w:szCs w:val="32"/>
        </w:rPr>
        <w:t>，</w:t>
      </w:r>
      <w:r>
        <w:rPr>
          <w:szCs w:val="32"/>
        </w:rPr>
        <w:t>不断</w:t>
      </w:r>
      <w:r>
        <w:rPr>
          <w:bCs/>
          <w:color w:val="000000"/>
          <w:kern w:val="0"/>
          <w:szCs w:val="32"/>
        </w:rPr>
        <w:t>健全完善畜间人兽共患病防治体制机制，</w:t>
      </w:r>
      <w:r>
        <w:rPr>
          <w:bCs/>
          <w:color w:val="000000"/>
          <w:szCs w:val="32"/>
          <w:shd w:val="clear" w:color="auto" w:fill="FFFFFF"/>
        </w:rPr>
        <w:t>夯实基层防疫体系，</w:t>
      </w:r>
      <w:r>
        <w:rPr>
          <w:bCs/>
          <w:color w:val="000000"/>
          <w:kern w:val="0"/>
          <w:szCs w:val="32"/>
        </w:rPr>
        <w:t>提升风险防范和综合防治能力，有计划地控制、净化和消灭若干种严重危害畜牧业生产和人民群众健康安全的畜间人兽共患病，</w:t>
      </w:r>
      <w:r>
        <w:rPr>
          <w:szCs w:val="32"/>
        </w:rPr>
        <w:t>为全面实施健康湖南行动、建设富饶美丽幸福新湖南提供安全保障。</w:t>
      </w:r>
    </w:p>
    <w:p>
      <w:pPr>
        <w:pStyle w:val="5"/>
        <w:ind w:firstLine="640"/>
      </w:pPr>
      <w:r>
        <w:t>（二）基本原则</w:t>
      </w:r>
    </w:p>
    <w:p>
      <w:pPr>
        <w:spacing w:line="579" w:lineRule="exact"/>
        <w:ind w:firstLine="643"/>
        <w:rPr>
          <w:bCs/>
          <w:color w:val="000000"/>
          <w:kern w:val="0"/>
          <w:szCs w:val="32"/>
        </w:rPr>
      </w:pPr>
      <w:r>
        <w:rPr>
          <w:b/>
          <w:color w:val="000000"/>
          <w:kern w:val="0"/>
          <w:szCs w:val="32"/>
        </w:rPr>
        <w:t>1.源头防治，突出重点。</w:t>
      </w:r>
      <w:r>
        <w:rPr>
          <w:bCs/>
          <w:color w:val="000000"/>
          <w:kern w:val="0"/>
          <w:szCs w:val="32"/>
        </w:rPr>
        <w:t>坚持“人病兽防、关口前移”，实行预防为主、预防与控制净化消灭相结合的方针，聚焦重点病种，织密筑牢防治畜间人兽共患病的第一道防线，从前端阻断畜间人兽共患病的传播路径，切实降低流行率，有效防范传播风险。</w:t>
      </w:r>
    </w:p>
    <w:p>
      <w:pPr>
        <w:spacing w:line="579" w:lineRule="exact"/>
        <w:ind w:firstLine="643"/>
        <w:rPr>
          <w:b/>
          <w:color w:val="000000"/>
          <w:kern w:val="0"/>
          <w:szCs w:val="32"/>
        </w:rPr>
      </w:pPr>
      <w:r>
        <w:rPr>
          <w:b/>
          <w:color w:val="000000"/>
          <w:kern w:val="0"/>
          <w:szCs w:val="32"/>
        </w:rPr>
        <w:t>2.政府主导，社会共治。</w:t>
      </w:r>
      <w:r>
        <w:rPr>
          <w:bCs/>
          <w:color w:val="000000"/>
          <w:kern w:val="0"/>
          <w:szCs w:val="32"/>
        </w:rPr>
        <w:t>严格落实地方各级人民政府属地管理、部门监管和生产经营者主体责任，采取监督指导和激励相结合的措施，调动从业者主动防疫的内生动力，鼓励和引导社会力量广泛参与，形成政府、部门、社会组织和生产经营者分工明确、各司其职的防治机制。</w:t>
      </w:r>
    </w:p>
    <w:p>
      <w:pPr>
        <w:spacing w:line="579" w:lineRule="exact"/>
        <w:ind w:firstLine="643"/>
        <w:rPr>
          <w:bCs/>
          <w:color w:val="000000"/>
          <w:kern w:val="0"/>
          <w:szCs w:val="32"/>
        </w:rPr>
      </w:pPr>
      <w:r>
        <w:rPr>
          <w:b/>
          <w:color w:val="000000"/>
          <w:kern w:val="0"/>
          <w:szCs w:val="32"/>
        </w:rPr>
        <w:t>3.因病施策，精准防治</w:t>
      </w:r>
      <w:r>
        <w:rPr>
          <w:b/>
          <w:bCs/>
          <w:color w:val="000000"/>
          <w:kern w:val="0"/>
          <w:szCs w:val="32"/>
        </w:rPr>
        <w:t>。</w:t>
      </w:r>
      <w:r>
        <w:rPr>
          <w:bCs/>
          <w:color w:val="000000"/>
          <w:kern w:val="0"/>
          <w:szCs w:val="32"/>
        </w:rPr>
        <w:t>实行一病一策、分类指导，分病种、分区域、分阶段采取差异化防治策略，根据不同病种的流行规律、传播特点和防治现状，制定实施有针对性的防治措施，精准防治，逐步实现从场群、区域到整体的控制、净化和消灭目标。</w:t>
      </w:r>
    </w:p>
    <w:p>
      <w:pPr>
        <w:spacing w:line="579" w:lineRule="exact"/>
        <w:ind w:firstLine="643"/>
        <w:rPr>
          <w:bCs/>
          <w:color w:val="000000"/>
          <w:kern w:val="0"/>
          <w:szCs w:val="32"/>
        </w:rPr>
      </w:pPr>
      <w:r>
        <w:rPr>
          <w:b/>
          <w:color w:val="000000"/>
          <w:kern w:val="0"/>
          <w:szCs w:val="32"/>
        </w:rPr>
        <w:t>4.形成合力，统筹推进。</w:t>
      </w:r>
      <w:r>
        <w:rPr>
          <w:bCs/>
          <w:color w:val="000000"/>
          <w:kern w:val="0"/>
          <w:szCs w:val="32"/>
        </w:rPr>
        <w:t>有效整合现有畜间人兽共患病防治资源，理顺防治体制机制，明确各方事权，协调各方力量，强化联防联控和群防群控，形成防控合力。确定全省重点防治病种，突出重点区域、聚焦重点环节、落实重点措施，统筹推进各项防治工作。</w:t>
      </w:r>
    </w:p>
    <w:p>
      <w:pPr>
        <w:pStyle w:val="5"/>
        <w:ind w:firstLine="640"/>
      </w:pPr>
      <w:r>
        <w:t>（三）防治目标</w:t>
      </w:r>
    </w:p>
    <w:p>
      <w:pPr>
        <w:spacing w:line="579" w:lineRule="exact"/>
        <w:ind w:firstLine="640"/>
        <w:rPr>
          <w:szCs w:val="32"/>
        </w:rPr>
      </w:pPr>
      <w:r>
        <w:rPr>
          <w:bCs/>
          <w:color w:val="000000"/>
          <w:kern w:val="0"/>
          <w:szCs w:val="32"/>
        </w:rPr>
        <w:t>到2030年，逐步形成有效保障全省畜牧业高质量发展和人民群众身体健康的畜间人兽共患病防治能力。动物防疫机构队伍、法律法规和基础设施更加完善，应急响应机制更加健全，快速感知和识别新发突发疫病能力不断提高，全社会协同防范畜间人兽共患病的能力和水平显著提升。重点防治病种得到有效控制，畜间布病、牛结核病等病种流行率明显下降，高致病性禽流感稳定控制，犬传人狂犬病逐步消除，日本血吸虫病实现消除，</w:t>
      </w:r>
      <w:r>
        <w:rPr>
          <w:bCs/>
          <w:kern w:val="0"/>
          <w:szCs w:val="32"/>
        </w:rPr>
        <w:t>炭疽疫情保持平稳，</w:t>
      </w:r>
      <w:r>
        <w:rPr>
          <w:bCs/>
          <w:color w:val="000000"/>
          <w:kern w:val="0"/>
          <w:szCs w:val="32"/>
        </w:rPr>
        <w:t>马鼻疽实现消灭。常规防治病种流行率稳定控制在较低水平。重点防范的外来疫病传入和扩散风险有效降低。（实施防治防范的主要畜间人兽共患病、重点畜间人兽共患病防治目标和工作指标详见专栏1和专栏2）</w:t>
      </w:r>
    </w:p>
    <w:p>
      <w:pPr>
        <w:pStyle w:val="4"/>
        <w:ind w:firstLine="0" w:firstLineChars="0"/>
        <w:jc w:val="center"/>
        <w:rPr>
          <w:sz w:val="28"/>
          <w:szCs w:val="28"/>
        </w:rPr>
      </w:pPr>
      <w:r>
        <w:rPr>
          <w:sz w:val="28"/>
          <w:szCs w:val="28"/>
        </w:rPr>
        <w:t>专栏1  实施防治防范的主要畜间人兽共患病</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60" w:type="dxa"/>
            <w:noWrap w:val="0"/>
            <w:vAlign w:val="center"/>
          </w:tcPr>
          <w:p>
            <w:pPr>
              <w:spacing w:line="500" w:lineRule="exact"/>
              <w:ind w:firstLine="0" w:firstLineChars="0"/>
              <w:jc w:val="center"/>
              <w:rPr>
                <w:rFonts w:eastAsia="黑体"/>
                <w:bCs/>
                <w:color w:val="000000"/>
                <w:sz w:val="28"/>
                <w:szCs w:val="28"/>
                <w:shd w:val="clear" w:color="auto" w:fill="FFFFFF"/>
              </w:rPr>
            </w:pPr>
            <w:r>
              <w:rPr>
                <w:rFonts w:eastAsia="黑体"/>
                <w:bCs/>
                <w:color w:val="000000"/>
                <w:sz w:val="28"/>
                <w:szCs w:val="28"/>
                <w:shd w:val="clear" w:color="auto" w:fill="FFFFFF"/>
              </w:rPr>
              <w:t>病种分类</w:t>
            </w:r>
          </w:p>
        </w:tc>
        <w:tc>
          <w:tcPr>
            <w:tcW w:w="7200" w:type="dxa"/>
            <w:noWrap w:val="0"/>
            <w:vAlign w:val="center"/>
          </w:tcPr>
          <w:p>
            <w:pPr>
              <w:spacing w:line="500" w:lineRule="exact"/>
              <w:ind w:firstLine="0" w:firstLineChars="0"/>
              <w:jc w:val="center"/>
              <w:rPr>
                <w:rFonts w:eastAsia="黑体"/>
                <w:bCs/>
                <w:color w:val="000000"/>
                <w:sz w:val="28"/>
                <w:szCs w:val="28"/>
                <w:shd w:val="clear" w:color="auto" w:fill="FFFFFF"/>
              </w:rPr>
            </w:pPr>
            <w:r>
              <w:rPr>
                <w:rFonts w:eastAsia="黑体"/>
                <w:bCs/>
                <w:color w:val="000000"/>
                <w:sz w:val="28"/>
                <w:szCs w:val="28"/>
                <w:shd w:val="clear" w:color="auto" w:fill="FFFFFF"/>
              </w:rPr>
              <w:t>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60" w:type="dxa"/>
            <w:noWrap w:val="0"/>
            <w:vAlign w:val="center"/>
          </w:tcPr>
          <w:p>
            <w:pPr>
              <w:spacing w:line="500" w:lineRule="exact"/>
              <w:ind w:firstLine="0" w:firstLineChars="0"/>
              <w:jc w:val="center"/>
              <w:rPr>
                <w:bCs/>
                <w:color w:val="000000"/>
                <w:sz w:val="28"/>
                <w:szCs w:val="28"/>
                <w:shd w:val="clear" w:color="auto" w:fill="FFFFFF"/>
              </w:rPr>
            </w:pPr>
            <w:r>
              <w:rPr>
                <w:bCs/>
                <w:color w:val="000000"/>
                <w:sz w:val="28"/>
                <w:szCs w:val="28"/>
                <w:shd w:val="clear" w:color="auto" w:fill="FFFFFF"/>
              </w:rPr>
              <w:t>重点防治（7种）</w:t>
            </w:r>
          </w:p>
        </w:tc>
        <w:tc>
          <w:tcPr>
            <w:tcW w:w="7200"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高致病性禽流感、布病、日本血吸虫病、狂犬病、牛结核病、炭疽、马鼻疽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60" w:type="dxa"/>
            <w:noWrap w:val="0"/>
            <w:vAlign w:val="center"/>
          </w:tcPr>
          <w:p>
            <w:pPr>
              <w:spacing w:line="500" w:lineRule="exact"/>
              <w:ind w:firstLine="0" w:firstLineChars="0"/>
              <w:jc w:val="center"/>
              <w:rPr>
                <w:bCs/>
                <w:color w:val="000000"/>
                <w:sz w:val="28"/>
                <w:szCs w:val="28"/>
                <w:shd w:val="clear" w:color="auto" w:fill="FFFFFF"/>
              </w:rPr>
            </w:pPr>
            <w:r>
              <w:rPr>
                <w:bCs/>
                <w:color w:val="000000"/>
                <w:sz w:val="28"/>
                <w:szCs w:val="28"/>
                <w:shd w:val="clear" w:color="auto" w:fill="FFFFFF"/>
              </w:rPr>
              <w:t>常规防治（14种）</w:t>
            </w:r>
          </w:p>
        </w:tc>
        <w:tc>
          <w:tcPr>
            <w:tcW w:w="7200"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弓形虫病、钩端螺旋体病、沙门氏菌病、日本脑炎（流行性乙型脑炎）、猪链球菌Ⅱ型感染、旋毛虫病、囊尾蚴病、李氏杆菌病、类鼻疽、片形吸虫病、鹦鹉热、Q热、利什曼原虫病、华支睾吸虫病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560" w:type="dxa"/>
            <w:noWrap w:val="0"/>
            <w:vAlign w:val="center"/>
          </w:tcPr>
          <w:p>
            <w:pPr>
              <w:spacing w:line="500" w:lineRule="exact"/>
              <w:ind w:firstLine="0" w:firstLineChars="0"/>
              <w:jc w:val="center"/>
              <w:rPr>
                <w:bCs/>
                <w:color w:val="000000"/>
                <w:sz w:val="28"/>
                <w:szCs w:val="28"/>
                <w:shd w:val="clear" w:color="auto" w:fill="FFFFFF"/>
              </w:rPr>
            </w:pPr>
            <w:r>
              <w:rPr>
                <w:bCs/>
                <w:color w:val="000000"/>
                <w:sz w:val="28"/>
                <w:szCs w:val="28"/>
                <w:shd w:val="clear" w:color="auto" w:fill="FFFFFF"/>
              </w:rPr>
              <w:t>外来防范（2种）</w:t>
            </w:r>
          </w:p>
        </w:tc>
        <w:tc>
          <w:tcPr>
            <w:tcW w:w="7200" w:type="dxa"/>
            <w:noWrap w:val="0"/>
            <w:vAlign w:val="center"/>
          </w:tcPr>
          <w:p>
            <w:pPr>
              <w:spacing w:line="500" w:lineRule="exact"/>
              <w:ind w:firstLine="0" w:firstLineChars="0"/>
              <w:rPr>
                <w:bCs/>
                <w:color w:val="000000"/>
                <w:sz w:val="28"/>
                <w:szCs w:val="28"/>
                <w:shd w:val="clear" w:color="auto" w:fill="FFFFFF"/>
              </w:rPr>
            </w:pPr>
            <w:r>
              <w:rPr>
                <w:bCs/>
                <w:color w:val="000000"/>
                <w:sz w:val="28"/>
                <w:szCs w:val="28"/>
                <w:shd w:val="clear" w:color="auto" w:fill="FFFFFF"/>
              </w:rPr>
              <w:t>牛海绵状脑病、尼帕病毒性脑炎</w:t>
            </w:r>
          </w:p>
        </w:tc>
      </w:tr>
    </w:tbl>
    <w:p>
      <w:pPr>
        <w:pStyle w:val="4"/>
        <w:ind w:firstLine="0" w:firstLineChars="0"/>
        <w:jc w:val="center"/>
        <w:rPr>
          <w:sz w:val="28"/>
          <w:szCs w:val="28"/>
        </w:rPr>
      </w:pPr>
      <w:r>
        <w:rPr>
          <w:sz w:val="28"/>
          <w:szCs w:val="28"/>
        </w:rPr>
        <w:t>专栏2  重点畜间人兽共患病防治目标和工作指标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82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blHeader/>
          <w:jc w:val="center"/>
        </w:trPr>
        <w:tc>
          <w:tcPr>
            <w:tcW w:w="1526" w:type="dxa"/>
            <w:noWrap w:val="0"/>
            <w:vAlign w:val="top"/>
          </w:tcPr>
          <w:p>
            <w:pPr>
              <w:spacing w:line="500" w:lineRule="exact"/>
              <w:ind w:firstLine="0" w:firstLineChars="0"/>
              <w:jc w:val="center"/>
              <w:rPr>
                <w:rFonts w:eastAsia="黑体"/>
                <w:bCs/>
                <w:color w:val="000000"/>
                <w:sz w:val="28"/>
                <w:szCs w:val="28"/>
                <w:shd w:val="clear" w:color="auto" w:fill="FFFFFF"/>
              </w:rPr>
            </w:pPr>
            <w:r>
              <w:rPr>
                <w:rFonts w:eastAsia="黑体"/>
                <w:bCs/>
                <w:color w:val="000000"/>
                <w:sz w:val="28"/>
                <w:szCs w:val="28"/>
                <w:shd w:val="clear" w:color="auto" w:fill="FFFFFF"/>
              </w:rPr>
              <w:t>病种</w:t>
            </w:r>
          </w:p>
        </w:tc>
        <w:tc>
          <w:tcPr>
            <w:tcW w:w="3827" w:type="dxa"/>
            <w:noWrap w:val="0"/>
            <w:vAlign w:val="top"/>
          </w:tcPr>
          <w:p>
            <w:pPr>
              <w:spacing w:line="500" w:lineRule="exact"/>
              <w:ind w:firstLine="0" w:firstLineChars="0"/>
              <w:jc w:val="center"/>
              <w:rPr>
                <w:rFonts w:eastAsia="黑体"/>
                <w:bCs/>
                <w:color w:val="000000"/>
                <w:sz w:val="28"/>
                <w:szCs w:val="28"/>
                <w:shd w:val="clear" w:color="auto" w:fill="FFFFFF"/>
              </w:rPr>
            </w:pPr>
            <w:r>
              <w:rPr>
                <w:rFonts w:eastAsia="黑体"/>
                <w:bCs/>
                <w:color w:val="000000"/>
                <w:sz w:val="28"/>
                <w:szCs w:val="28"/>
                <w:shd w:val="clear" w:color="auto" w:fill="FFFFFF"/>
              </w:rPr>
              <w:t>到2025年</w:t>
            </w:r>
          </w:p>
        </w:tc>
        <w:tc>
          <w:tcPr>
            <w:tcW w:w="3544" w:type="dxa"/>
            <w:noWrap w:val="0"/>
            <w:vAlign w:val="top"/>
          </w:tcPr>
          <w:p>
            <w:pPr>
              <w:spacing w:line="500" w:lineRule="exact"/>
              <w:ind w:firstLine="0" w:firstLineChars="0"/>
              <w:jc w:val="center"/>
              <w:rPr>
                <w:rFonts w:eastAsia="黑体"/>
                <w:bCs/>
                <w:color w:val="000000"/>
                <w:sz w:val="28"/>
                <w:szCs w:val="28"/>
                <w:shd w:val="clear" w:color="auto" w:fill="FFFFFF"/>
              </w:rPr>
            </w:pPr>
            <w:r>
              <w:rPr>
                <w:rFonts w:eastAsia="黑体"/>
                <w:bCs/>
                <w:color w:val="000000"/>
                <w:sz w:val="28"/>
                <w:szCs w:val="28"/>
                <w:shd w:val="clear" w:color="auto" w:fill="FFFFFF"/>
              </w:rPr>
              <w:t>到2030年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500" w:lineRule="exact"/>
              <w:ind w:firstLine="0" w:firstLineChars="0"/>
              <w:jc w:val="center"/>
              <w:rPr>
                <w:bCs/>
                <w:sz w:val="28"/>
                <w:szCs w:val="28"/>
                <w:shd w:val="clear" w:color="auto" w:fill="FFFFFF"/>
              </w:rPr>
            </w:pPr>
            <w:r>
              <w:rPr>
                <w:bCs/>
                <w:sz w:val="28"/>
                <w:szCs w:val="28"/>
                <w:shd w:val="clear" w:color="auto" w:fill="FFFFFF"/>
              </w:rPr>
              <w:t>高致病性禽流感</w:t>
            </w:r>
          </w:p>
        </w:tc>
        <w:tc>
          <w:tcPr>
            <w:tcW w:w="3827" w:type="dxa"/>
            <w:noWrap w:val="0"/>
            <w:vAlign w:val="center"/>
          </w:tcPr>
          <w:p>
            <w:pPr>
              <w:spacing w:line="400" w:lineRule="exact"/>
              <w:ind w:firstLine="0" w:firstLineChars="0"/>
              <w:rPr>
                <w:bCs/>
                <w:sz w:val="28"/>
                <w:szCs w:val="28"/>
                <w:shd w:val="clear" w:color="auto" w:fill="FFFFFF"/>
              </w:rPr>
            </w:pPr>
            <w:r>
              <w:rPr>
                <w:bCs/>
                <w:sz w:val="28"/>
                <w:szCs w:val="28"/>
                <w:shd w:val="clear" w:color="auto" w:fill="FFFFFF"/>
              </w:rPr>
              <w:t>全省达到控制标准，部分区域达到免疫无疫标准。</w:t>
            </w:r>
          </w:p>
        </w:tc>
        <w:tc>
          <w:tcPr>
            <w:tcW w:w="3544" w:type="dxa"/>
            <w:noWrap w:val="0"/>
            <w:vAlign w:val="center"/>
          </w:tcPr>
          <w:p>
            <w:pPr>
              <w:spacing w:line="400" w:lineRule="exact"/>
              <w:ind w:firstLine="0" w:firstLineChars="0"/>
              <w:rPr>
                <w:bCs/>
                <w:sz w:val="28"/>
                <w:szCs w:val="28"/>
                <w:shd w:val="clear" w:color="auto" w:fill="FFFFFF"/>
              </w:rPr>
            </w:pPr>
            <w:r>
              <w:rPr>
                <w:bCs/>
                <w:sz w:val="28"/>
                <w:szCs w:val="28"/>
                <w:shd w:val="clear" w:color="auto" w:fill="FFFFFF"/>
              </w:rPr>
              <w:t>全省维持控制标准，进一步扩大免疫无疫区域。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500" w:lineRule="exact"/>
              <w:ind w:firstLine="0" w:firstLineChars="0"/>
              <w:jc w:val="center"/>
              <w:rPr>
                <w:bCs/>
                <w:sz w:val="28"/>
                <w:szCs w:val="28"/>
                <w:shd w:val="clear" w:color="auto" w:fill="FFFFFF"/>
              </w:rPr>
            </w:pPr>
            <w:r>
              <w:rPr>
                <w:bCs/>
                <w:sz w:val="28"/>
                <w:szCs w:val="28"/>
                <w:shd w:val="clear" w:color="auto" w:fill="FFFFFF"/>
              </w:rPr>
              <w:t>布病</w:t>
            </w:r>
          </w:p>
        </w:tc>
        <w:tc>
          <w:tcPr>
            <w:tcW w:w="3827" w:type="dxa"/>
            <w:noWrap w:val="0"/>
            <w:vAlign w:val="center"/>
          </w:tcPr>
          <w:p>
            <w:pPr>
              <w:spacing w:line="400" w:lineRule="exact"/>
              <w:ind w:firstLine="0" w:firstLineChars="0"/>
              <w:rPr>
                <w:bCs/>
                <w:sz w:val="28"/>
                <w:szCs w:val="28"/>
                <w:shd w:val="clear" w:color="auto" w:fill="FFFFFF"/>
              </w:rPr>
            </w:pPr>
            <w:r>
              <w:rPr>
                <w:bCs/>
                <w:sz w:val="28"/>
                <w:szCs w:val="28"/>
                <w:shd w:val="clear" w:color="auto" w:fill="FFFFFF"/>
              </w:rPr>
              <w:t>60%的牛羊种畜场（站）和30%的规模奶畜场达到净化或无疫标准。</w:t>
            </w:r>
          </w:p>
        </w:tc>
        <w:tc>
          <w:tcPr>
            <w:tcW w:w="3544" w:type="dxa"/>
            <w:noWrap w:val="0"/>
            <w:vAlign w:val="center"/>
          </w:tcPr>
          <w:p>
            <w:pPr>
              <w:spacing w:line="400" w:lineRule="exact"/>
              <w:ind w:firstLine="0" w:firstLineChars="0"/>
              <w:rPr>
                <w:bCs/>
                <w:sz w:val="28"/>
                <w:szCs w:val="28"/>
                <w:shd w:val="clear" w:color="auto" w:fill="FFFFFF"/>
              </w:rPr>
            </w:pPr>
            <w:r>
              <w:rPr>
                <w:bCs/>
                <w:sz w:val="28"/>
                <w:szCs w:val="28"/>
                <w:shd w:val="clear" w:color="auto" w:fill="FFFFFF"/>
              </w:rPr>
              <w:t>85%的牛羊种畜场（站）和60%的规模奶畜场达到净化或无疫标准。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526" w:type="dxa"/>
            <w:noWrap w:val="0"/>
            <w:vAlign w:val="center"/>
          </w:tcPr>
          <w:p>
            <w:pPr>
              <w:spacing w:line="400" w:lineRule="exact"/>
              <w:ind w:firstLine="0" w:firstLineChars="0"/>
              <w:jc w:val="center"/>
              <w:rPr>
                <w:bCs/>
                <w:sz w:val="28"/>
                <w:szCs w:val="28"/>
                <w:shd w:val="clear" w:color="auto" w:fill="FFFFFF"/>
              </w:rPr>
            </w:pPr>
            <w:r>
              <w:rPr>
                <w:bCs/>
                <w:sz w:val="28"/>
                <w:szCs w:val="28"/>
                <w:shd w:val="clear" w:color="auto" w:fill="FFFFFF"/>
              </w:rPr>
              <w:t>日本血吸虫病</w:t>
            </w:r>
          </w:p>
        </w:tc>
        <w:tc>
          <w:tcPr>
            <w:tcW w:w="3827" w:type="dxa"/>
            <w:noWrap w:val="0"/>
            <w:vAlign w:val="center"/>
          </w:tcPr>
          <w:p>
            <w:pPr>
              <w:spacing w:line="400" w:lineRule="exact"/>
              <w:ind w:firstLine="0" w:firstLineChars="0"/>
              <w:rPr>
                <w:bCs/>
                <w:sz w:val="28"/>
                <w:szCs w:val="28"/>
                <w:shd w:val="clear" w:color="auto" w:fill="FFFFFF"/>
              </w:rPr>
            </w:pPr>
            <w:r>
              <w:rPr>
                <w:bCs/>
                <w:sz w:val="28"/>
                <w:szCs w:val="28"/>
                <w:shd w:val="clear" w:color="auto" w:fill="FFFFFF"/>
              </w:rPr>
              <w:t>有效控制和消除危害，全省达到传播阻断标准。</w:t>
            </w:r>
          </w:p>
        </w:tc>
        <w:tc>
          <w:tcPr>
            <w:tcW w:w="3544" w:type="dxa"/>
            <w:noWrap w:val="0"/>
            <w:vAlign w:val="center"/>
          </w:tcPr>
          <w:p>
            <w:pPr>
              <w:spacing w:line="400" w:lineRule="exact"/>
              <w:ind w:firstLine="0" w:firstLineChars="0"/>
              <w:rPr>
                <w:bCs/>
                <w:sz w:val="28"/>
                <w:szCs w:val="28"/>
                <w:shd w:val="clear" w:color="auto" w:fill="FFFFFF"/>
              </w:rPr>
            </w:pPr>
            <w:r>
              <w:rPr>
                <w:bCs/>
                <w:sz w:val="28"/>
                <w:szCs w:val="28"/>
                <w:shd w:val="clear" w:color="auto" w:fill="FFFFFF"/>
              </w:rPr>
              <w:t>全省达到消除标准。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500" w:lineRule="exact"/>
              <w:ind w:firstLine="0" w:firstLineChars="0"/>
              <w:jc w:val="center"/>
              <w:rPr>
                <w:bCs/>
                <w:sz w:val="28"/>
                <w:szCs w:val="28"/>
                <w:shd w:val="clear" w:color="auto" w:fill="FFFFFF"/>
              </w:rPr>
            </w:pPr>
            <w:r>
              <w:rPr>
                <w:bCs/>
                <w:sz w:val="28"/>
                <w:szCs w:val="28"/>
                <w:shd w:val="clear" w:color="auto" w:fill="FFFFFF"/>
              </w:rPr>
              <w:t>狂犬病</w:t>
            </w:r>
          </w:p>
        </w:tc>
        <w:tc>
          <w:tcPr>
            <w:tcW w:w="3827"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注册犬免疫密度达90%以上，免疫犬100%建立免疫档案。</w:t>
            </w:r>
          </w:p>
        </w:tc>
        <w:tc>
          <w:tcPr>
            <w:tcW w:w="3544"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注册犬免疫密度达95%以上，免疫犬100%建立免疫档案。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500" w:lineRule="exact"/>
              <w:ind w:firstLine="0" w:firstLineChars="0"/>
              <w:jc w:val="center"/>
              <w:rPr>
                <w:bCs/>
                <w:sz w:val="28"/>
                <w:szCs w:val="28"/>
                <w:shd w:val="clear" w:color="auto" w:fill="FFFFFF"/>
              </w:rPr>
            </w:pPr>
            <w:r>
              <w:rPr>
                <w:bCs/>
                <w:sz w:val="28"/>
                <w:szCs w:val="28"/>
                <w:shd w:val="clear" w:color="auto" w:fill="FFFFFF"/>
              </w:rPr>
              <w:t>牛结核病</w:t>
            </w:r>
          </w:p>
        </w:tc>
        <w:tc>
          <w:tcPr>
            <w:tcW w:w="3827"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30%的规模奶牛养殖场达到净化标准。</w:t>
            </w:r>
          </w:p>
        </w:tc>
        <w:tc>
          <w:tcPr>
            <w:tcW w:w="3544"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50%的规模奶牛养殖场达到净化标准。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526" w:type="dxa"/>
            <w:noWrap w:val="0"/>
            <w:vAlign w:val="center"/>
          </w:tcPr>
          <w:p>
            <w:pPr>
              <w:spacing w:line="500" w:lineRule="exact"/>
              <w:ind w:firstLine="0" w:firstLineChars="0"/>
              <w:jc w:val="center"/>
              <w:rPr>
                <w:bCs/>
                <w:sz w:val="28"/>
                <w:szCs w:val="28"/>
                <w:shd w:val="clear" w:color="auto" w:fill="FFFFFF"/>
              </w:rPr>
            </w:pPr>
            <w:r>
              <w:rPr>
                <w:bCs/>
                <w:sz w:val="28"/>
                <w:szCs w:val="28"/>
                <w:shd w:val="clear" w:color="auto" w:fill="FFFFFF"/>
              </w:rPr>
              <w:t>炭疽</w:t>
            </w:r>
          </w:p>
        </w:tc>
        <w:tc>
          <w:tcPr>
            <w:tcW w:w="3827"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疫情保持平稳。</w:t>
            </w:r>
          </w:p>
        </w:tc>
        <w:tc>
          <w:tcPr>
            <w:tcW w:w="3544"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疫情保持平稳。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1526" w:type="dxa"/>
            <w:noWrap w:val="0"/>
            <w:vAlign w:val="center"/>
          </w:tcPr>
          <w:p>
            <w:pPr>
              <w:spacing w:line="500" w:lineRule="exact"/>
              <w:ind w:firstLine="0" w:firstLineChars="0"/>
              <w:jc w:val="center"/>
              <w:rPr>
                <w:bCs/>
                <w:sz w:val="28"/>
                <w:szCs w:val="28"/>
                <w:shd w:val="clear" w:color="auto" w:fill="FFFFFF"/>
              </w:rPr>
            </w:pPr>
            <w:r>
              <w:rPr>
                <w:bCs/>
                <w:sz w:val="28"/>
                <w:szCs w:val="28"/>
                <w:shd w:val="clear" w:color="auto" w:fill="FFFFFF"/>
              </w:rPr>
              <w:t>马鼻疽</w:t>
            </w:r>
          </w:p>
        </w:tc>
        <w:tc>
          <w:tcPr>
            <w:tcW w:w="3827"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全省消灭。</w:t>
            </w:r>
          </w:p>
        </w:tc>
        <w:tc>
          <w:tcPr>
            <w:tcW w:w="3544" w:type="dxa"/>
            <w:noWrap w:val="0"/>
            <w:vAlign w:val="center"/>
          </w:tcPr>
          <w:p>
            <w:pPr>
              <w:spacing w:line="500" w:lineRule="exact"/>
              <w:ind w:firstLine="0" w:firstLineChars="0"/>
              <w:rPr>
                <w:bCs/>
                <w:sz w:val="28"/>
                <w:szCs w:val="28"/>
                <w:shd w:val="clear" w:color="auto" w:fill="FFFFFF"/>
              </w:rPr>
            </w:pPr>
            <w:r>
              <w:rPr>
                <w:bCs/>
                <w:sz w:val="28"/>
                <w:szCs w:val="28"/>
                <w:shd w:val="clear" w:color="auto" w:fill="FFFFFF"/>
              </w:rPr>
              <w:t>维持全省消灭。</w:t>
            </w:r>
          </w:p>
        </w:tc>
      </w:tr>
    </w:tbl>
    <w:p>
      <w:pPr>
        <w:pStyle w:val="4"/>
        <w:ind w:firstLine="640"/>
      </w:pPr>
      <w:r>
        <w:t>二、策略措施</w:t>
      </w:r>
    </w:p>
    <w:p>
      <w:pPr>
        <w:spacing w:line="579" w:lineRule="exact"/>
        <w:ind w:firstLine="640"/>
        <w:rPr>
          <w:bCs/>
          <w:color w:val="000000"/>
          <w:kern w:val="0"/>
          <w:szCs w:val="32"/>
        </w:rPr>
      </w:pPr>
      <w:r>
        <w:rPr>
          <w:bCs/>
          <w:color w:val="000000"/>
          <w:kern w:val="0"/>
          <w:szCs w:val="32"/>
        </w:rPr>
        <w:t>对重点防治病种，实行一病一策，全省统防，部门联防，区域协同，精准治理，有效防控。对境外流行、尚未传入的畜间人兽共患病，加强风险防范、监测预警和应急准备。</w:t>
      </w:r>
    </w:p>
    <w:p>
      <w:pPr>
        <w:pStyle w:val="5"/>
        <w:ind w:firstLine="640"/>
      </w:pPr>
      <w:r>
        <w:t>（一）高致病性禽流感</w:t>
      </w:r>
    </w:p>
    <w:p>
      <w:pPr>
        <w:spacing w:line="579" w:lineRule="exact"/>
        <w:ind w:firstLine="640"/>
        <w:outlineLvl w:val="0"/>
        <w:rPr>
          <w:bCs/>
          <w:color w:val="000000"/>
          <w:kern w:val="0"/>
          <w:szCs w:val="32"/>
        </w:rPr>
      </w:pPr>
      <w:r>
        <w:rPr>
          <w:bCs/>
          <w:color w:val="000000"/>
          <w:kern w:val="0"/>
          <w:szCs w:val="32"/>
        </w:rPr>
        <w:t>高致病性禽流感坚持落实免疫、监测、扑杀、净化等综合防治措施。</w:t>
      </w:r>
    </w:p>
    <w:p>
      <w:pPr>
        <w:spacing w:line="579" w:lineRule="exact"/>
        <w:ind w:firstLine="643"/>
        <w:rPr>
          <w:bCs/>
          <w:color w:val="000000"/>
          <w:kern w:val="0"/>
          <w:szCs w:val="32"/>
        </w:rPr>
      </w:pPr>
      <w:r>
        <w:rPr>
          <w:b/>
          <w:color w:val="000000"/>
          <w:kern w:val="0"/>
          <w:szCs w:val="32"/>
        </w:rPr>
        <w:t>重点防治措施。</w:t>
      </w:r>
      <w:r>
        <w:rPr>
          <w:b/>
          <w:bCs/>
          <w:color w:val="000000"/>
          <w:kern w:val="0"/>
          <w:szCs w:val="32"/>
        </w:rPr>
        <w:t>一是做好强制免疫。</w:t>
      </w:r>
      <w:r>
        <w:rPr>
          <w:bCs/>
          <w:color w:val="000000"/>
          <w:kern w:val="0"/>
          <w:szCs w:val="32"/>
        </w:rPr>
        <w:t>坚持预防为主，全面开展家禽强制免疫和抗体监测，确保家禽群体免疫保护水平。有条件的地区，可根据监测评估结果和防治实际探索建立免疫退出机制。</w:t>
      </w:r>
      <w:r>
        <w:rPr>
          <w:b/>
          <w:bCs/>
          <w:color w:val="000000"/>
          <w:kern w:val="0"/>
          <w:szCs w:val="32"/>
        </w:rPr>
        <w:t>二是加强监测预警。</w:t>
      </w:r>
      <w:r>
        <w:rPr>
          <w:bCs/>
          <w:color w:val="000000"/>
          <w:kern w:val="0"/>
          <w:szCs w:val="32"/>
        </w:rPr>
        <w:t>组织实施家禽和野禽专项监测计划，密切监视禽流感病毒流行动态、毒株变异、致病力变化情况。</w:t>
      </w:r>
      <w:r>
        <w:rPr>
          <w:b/>
          <w:bCs/>
          <w:color w:val="000000"/>
          <w:kern w:val="0"/>
          <w:szCs w:val="32"/>
        </w:rPr>
        <w:t>三是严格检疫监管和市场准入。</w:t>
      </w:r>
      <w:r>
        <w:rPr>
          <w:bCs/>
          <w:color w:val="000000"/>
          <w:kern w:val="0"/>
          <w:szCs w:val="32"/>
        </w:rPr>
        <w:t>严禁未经检疫、来源不明的家禽及产品入市场销售，严格执行活禽市场防疫管理制度，加强疫病监测，</w:t>
      </w:r>
      <w:r>
        <w:rPr>
          <w:bCs/>
          <w:kern w:val="0"/>
          <w:szCs w:val="32"/>
        </w:rPr>
        <w:t>发现高致病性禽流感病毒污染立即采取休市、消毒等应急处置措施。</w:t>
      </w:r>
      <w:r>
        <w:rPr>
          <w:bCs/>
          <w:color w:val="000000"/>
          <w:kern w:val="0"/>
          <w:szCs w:val="32"/>
        </w:rPr>
        <w:t>县级以上地方人民政府应当根据本地情况，依法决定在城市特定区域禁止活禽交易。倡导健康消费理念，加快推进“规模养殖、集中屠宰、冷链运输、冰鲜上市”的生产消费模式。</w:t>
      </w:r>
      <w:r>
        <w:rPr>
          <w:b/>
          <w:bCs/>
          <w:color w:val="000000"/>
          <w:kern w:val="0"/>
          <w:szCs w:val="32"/>
        </w:rPr>
        <w:t>四是推进区域化管理。</w:t>
      </w:r>
      <w:r>
        <w:rPr>
          <w:bCs/>
          <w:color w:val="000000"/>
          <w:kern w:val="0"/>
          <w:szCs w:val="32"/>
        </w:rPr>
        <w:t>鼓励、支持各地及养殖场户开展高致病性禽流</w:t>
      </w:r>
      <w:r>
        <w:rPr>
          <w:bCs/>
          <w:kern w:val="0"/>
          <w:szCs w:val="32"/>
        </w:rPr>
        <w:t>感净化场、</w:t>
      </w:r>
      <w:r>
        <w:rPr>
          <w:bCs/>
          <w:color w:val="000000"/>
          <w:kern w:val="0"/>
          <w:szCs w:val="32"/>
        </w:rPr>
        <w:t>无疫小区和无疫区建设，不断提高家禽养殖场所的生物安全水平。</w:t>
      </w:r>
    </w:p>
    <w:p>
      <w:pPr>
        <w:pStyle w:val="5"/>
        <w:ind w:firstLine="640"/>
      </w:pPr>
      <w:r>
        <w:t>（二）布病</w:t>
      </w:r>
    </w:p>
    <w:p>
      <w:pPr>
        <w:spacing w:line="579" w:lineRule="exact"/>
        <w:ind w:firstLine="640"/>
        <w:rPr>
          <w:bCs/>
          <w:color w:val="000000"/>
          <w:szCs w:val="32"/>
        </w:rPr>
      </w:pPr>
      <w:r>
        <w:rPr>
          <w:bCs/>
          <w:color w:val="000000"/>
          <w:kern w:val="0"/>
          <w:szCs w:val="32"/>
        </w:rPr>
        <w:t>布病防控继续坚持监测剔除与净化相结合，严格落实各项综合防治措施，逐步降低畜间流行率。</w:t>
      </w:r>
    </w:p>
    <w:p>
      <w:pPr>
        <w:spacing w:line="579" w:lineRule="exact"/>
        <w:ind w:firstLine="643"/>
        <w:outlineLvl w:val="0"/>
        <w:rPr>
          <w:bCs/>
          <w:color w:val="000000"/>
          <w:kern w:val="0"/>
          <w:szCs w:val="32"/>
        </w:rPr>
      </w:pPr>
      <w:r>
        <w:rPr>
          <w:b/>
          <w:color w:val="000000"/>
          <w:kern w:val="0"/>
          <w:szCs w:val="32"/>
        </w:rPr>
        <w:t>重点防治措施</w:t>
      </w:r>
      <w:r>
        <w:rPr>
          <w:b/>
          <w:kern w:val="0"/>
          <w:szCs w:val="32"/>
        </w:rPr>
        <w:t>。一是实施专项防控行动。</w:t>
      </w:r>
      <w:r>
        <w:rPr>
          <w:bCs/>
          <w:kern w:val="0"/>
          <w:szCs w:val="32"/>
        </w:rPr>
        <w:t>落实《湖南省畜间布鲁氏菌病防控五年行动实施方案(2022—2026年)》，强化条件保障，做好技术支持，加强督导检查与评估考核，全面落实监测、扑杀、消毒、无害化处理、人员防护等关</w:t>
      </w:r>
      <w:r>
        <w:rPr>
          <w:bCs/>
          <w:color w:val="000000"/>
          <w:kern w:val="0"/>
          <w:szCs w:val="32"/>
        </w:rPr>
        <w:t>键措施，切实降低畜间布病流行率。</w:t>
      </w:r>
      <w:r>
        <w:rPr>
          <w:b/>
          <w:color w:val="000000"/>
          <w:kern w:val="0"/>
          <w:szCs w:val="32"/>
        </w:rPr>
        <w:t>二是推进区域化管理。</w:t>
      </w:r>
      <w:r>
        <w:rPr>
          <w:szCs w:val="32"/>
        </w:rPr>
        <w:t>采取“分区域、分阶段”的防治策略，在全省种羊场及重点区域开展布鲁氏菌病区域化管理工作</w:t>
      </w:r>
      <w:r>
        <w:rPr>
          <w:bCs/>
          <w:color w:val="000000"/>
          <w:kern w:val="0"/>
          <w:szCs w:val="32"/>
        </w:rPr>
        <w:t>。</w:t>
      </w:r>
      <w:r>
        <w:rPr>
          <w:bCs/>
          <w:color w:val="000000"/>
          <w:szCs w:val="32"/>
        </w:rPr>
        <w:t>积极推进布病净化场、无疫小区、无疫区建设，提升养殖环节生物安全水平</w:t>
      </w:r>
      <w:r>
        <w:rPr>
          <w:bCs/>
          <w:color w:val="000000"/>
          <w:kern w:val="0"/>
          <w:szCs w:val="32"/>
        </w:rPr>
        <w:t>。</w:t>
      </w:r>
      <w:r>
        <w:rPr>
          <w:b/>
          <w:color w:val="000000"/>
          <w:kern w:val="0"/>
          <w:szCs w:val="32"/>
        </w:rPr>
        <w:t>三是强化牛羊调运监管。</w:t>
      </w:r>
      <w:r>
        <w:rPr>
          <w:bCs/>
          <w:color w:val="000000"/>
          <w:kern w:val="0"/>
          <w:szCs w:val="32"/>
        </w:rPr>
        <w:t>严格落实牛羊产地检疫和落地报告制度。全面实施畜禽运输车辆和主体备案制度，加强活畜跨区域调运监管。除布病无疫区、无疫小区、净化场，以及用于屠宰和种用乳用外，跨省调运活畜时，禁止布病易感动物从高风险区域（免疫区）向低风险区域（非免疫区）调运。四是加强奶畜布病风险监测。鼓励引导奶畜养殖场户开展布病自检，探索建立生鲜乳布病等病原微生物风险监测评估制度。</w:t>
      </w:r>
    </w:p>
    <w:p>
      <w:pPr>
        <w:pStyle w:val="5"/>
        <w:ind w:firstLine="640"/>
      </w:pPr>
      <w:r>
        <w:t>（三）牛结核病</w:t>
      </w:r>
    </w:p>
    <w:p>
      <w:pPr>
        <w:spacing w:line="579" w:lineRule="exact"/>
        <w:ind w:firstLine="640"/>
        <w:outlineLvl w:val="0"/>
        <w:rPr>
          <w:bCs/>
          <w:color w:val="000000"/>
          <w:szCs w:val="32"/>
        </w:rPr>
      </w:pPr>
      <w:r>
        <w:rPr>
          <w:bCs/>
          <w:color w:val="000000"/>
          <w:szCs w:val="32"/>
        </w:rPr>
        <w:t>牛结核病防治坚持预防为主，严格落实监测净化、检疫监管、无害化处理等综合防治措施。</w:t>
      </w:r>
    </w:p>
    <w:p>
      <w:pPr>
        <w:spacing w:line="579" w:lineRule="exact"/>
        <w:ind w:firstLine="643"/>
        <w:outlineLvl w:val="0"/>
        <w:rPr>
          <w:bCs/>
          <w:color w:val="000000"/>
          <w:kern w:val="0"/>
          <w:szCs w:val="32"/>
        </w:rPr>
      </w:pPr>
      <w:r>
        <w:rPr>
          <w:b/>
          <w:color w:val="000000"/>
          <w:szCs w:val="32"/>
        </w:rPr>
        <w:t>重点防治措施。一是加强监测。</w:t>
      </w:r>
      <w:r>
        <w:rPr>
          <w:bCs/>
          <w:color w:val="000000"/>
          <w:szCs w:val="32"/>
        </w:rPr>
        <w:t>加大对养殖场、屠宰场、交易市场的监测力度，</w:t>
      </w:r>
      <w:r>
        <w:rPr>
          <w:bCs/>
          <w:color w:val="000000"/>
          <w:kern w:val="0"/>
          <w:szCs w:val="32"/>
        </w:rPr>
        <w:t>鼓励引导奶牛养殖场户开展牛结核病自检，探索建立生鲜乳牛结核病等病原微生物风险监测评估制度，</w:t>
      </w:r>
      <w:r>
        <w:rPr>
          <w:bCs/>
          <w:color w:val="000000"/>
          <w:szCs w:val="32"/>
        </w:rPr>
        <w:t>及时准确掌握病原分布和疫情动态。逐步建立完善奶牛个体档案和可追溯标识，对阳性牛及时追踪溯源，并对溯源牛群进行持续监测。</w:t>
      </w:r>
      <w:r>
        <w:rPr>
          <w:b/>
          <w:color w:val="000000"/>
          <w:szCs w:val="32"/>
        </w:rPr>
        <w:t>二是加快推进净化工作。</w:t>
      </w:r>
      <w:r>
        <w:rPr>
          <w:bCs/>
          <w:color w:val="000000"/>
          <w:szCs w:val="32"/>
        </w:rPr>
        <w:t>制定净化实施方案，分区域、分步骤统筹推进牛结核病净化工作。养殖场实行“一病一案、一场一策”，有计划地开展防治工作。</w:t>
      </w:r>
      <w:r>
        <w:rPr>
          <w:b/>
          <w:color w:val="000000"/>
          <w:szCs w:val="32"/>
        </w:rPr>
        <w:t>三是加强生物安全管理。</w:t>
      </w:r>
      <w:r>
        <w:rPr>
          <w:bCs/>
          <w:color w:val="000000"/>
          <w:szCs w:val="32"/>
        </w:rPr>
        <w:t>加强牛场的生物安全防控，提高生物安全水平。及时扑杀结核病阳性牛，并进行无害化处理，积极培育牛结核病阴性群。</w:t>
      </w:r>
    </w:p>
    <w:p>
      <w:pPr>
        <w:pStyle w:val="5"/>
        <w:ind w:firstLine="640"/>
      </w:pPr>
      <w:r>
        <w:t>（四）狂犬病</w:t>
      </w:r>
    </w:p>
    <w:p>
      <w:pPr>
        <w:spacing w:line="579" w:lineRule="exact"/>
        <w:ind w:firstLine="640"/>
        <w:rPr>
          <w:bCs/>
          <w:color w:val="000000"/>
          <w:szCs w:val="32"/>
          <w:shd w:val="clear" w:color="auto" w:fill="FFFFFF"/>
        </w:rPr>
      </w:pPr>
      <w:r>
        <w:rPr>
          <w:bCs/>
          <w:color w:val="000000"/>
          <w:szCs w:val="32"/>
          <w:shd w:val="clear" w:color="auto" w:fill="FFFFFF"/>
        </w:rPr>
        <w:t>狂犬病是我国法定报告传染病中病死率最高的畜间人兽共患病，要强化免疫、监测流调、疫情处置等关键防治措施落实。</w:t>
      </w:r>
    </w:p>
    <w:p>
      <w:pPr>
        <w:spacing w:line="579" w:lineRule="exact"/>
        <w:ind w:firstLine="643"/>
        <w:rPr>
          <w:bCs/>
          <w:color w:val="000000"/>
          <w:szCs w:val="32"/>
          <w:shd w:val="clear" w:color="auto" w:fill="FFFFFF"/>
        </w:rPr>
      </w:pPr>
      <w:r>
        <w:rPr>
          <w:b/>
          <w:color w:val="000000"/>
          <w:szCs w:val="32"/>
          <w:shd w:val="clear" w:color="auto" w:fill="FFFFFF"/>
        </w:rPr>
        <w:t>重点防治措施。一是严格实施犬只免疫。</w:t>
      </w:r>
      <w:r>
        <w:rPr>
          <w:bCs/>
          <w:color w:val="000000"/>
          <w:szCs w:val="32"/>
          <w:shd w:val="clear" w:color="auto" w:fill="FFFFFF"/>
        </w:rPr>
        <w:t>指导犬只饲养单位和个人要切实履行法定义务，定期为犬只接种狂犬病疫苗，确保构筑有效免疫屏障。各地可根据狂犬病流行情况、监测评估结果和当地实际，将犬只狂犬病纳入地方动物疫病强制免疫病种。推进狂犬病免疫接种点建设，规范动物诊疗机构接种管理，对免疫犬只建立免疫档案。</w:t>
      </w:r>
      <w:r>
        <w:rPr>
          <w:b/>
          <w:color w:val="000000"/>
          <w:szCs w:val="32"/>
          <w:shd w:val="clear" w:color="auto" w:fill="FFFFFF"/>
        </w:rPr>
        <w:t>二是开展监测流调。</w:t>
      </w:r>
      <w:r>
        <w:rPr>
          <w:bCs/>
          <w:color w:val="000000"/>
          <w:szCs w:val="32"/>
          <w:shd w:val="clear" w:color="auto" w:fill="FFFFFF"/>
        </w:rPr>
        <w:t>对出现异常攻击行为或发生不明原因死亡的疑似患病动物及时开展病原学监测，发现确诊病例及时开展疫情溯源和流行病学调查。</w:t>
      </w:r>
      <w:r>
        <w:rPr>
          <w:b/>
          <w:color w:val="000000"/>
          <w:szCs w:val="32"/>
          <w:shd w:val="clear" w:color="auto" w:fill="FFFFFF"/>
        </w:rPr>
        <w:t>三是做好应急处置。</w:t>
      </w:r>
      <w:r>
        <w:rPr>
          <w:bCs/>
          <w:color w:val="000000"/>
          <w:szCs w:val="32"/>
          <w:shd w:val="clear" w:color="auto" w:fill="FFFFFF"/>
        </w:rPr>
        <w:t>发生疑似动物狂犬病疫情，及时划定高风险场所或区域，落实传染源调查、高风险区犬只紧急免疫等应急处置措施，严格按规定对染疫动物进行无害化处理。四是加强流浪犬和农村犬只防疫管理。按照动物防疫法规定，指导乡镇人民政府、街道办事处、村（居）民委员会做好本辖区流浪犬的控制和处置，防止疫病传播；县级人民政府和乡级人民政府、街道办事处要结合本地实际做好农村地区饲养犬只的防疫管理工作。</w:t>
      </w:r>
    </w:p>
    <w:p>
      <w:pPr>
        <w:pStyle w:val="5"/>
        <w:ind w:firstLine="640"/>
      </w:pPr>
      <w:r>
        <w:t>（五）炭疽</w:t>
      </w:r>
    </w:p>
    <w:p>
      <w:pPr>
        <w:spacing w:line="579" w:lineRule="exact"/>
        <w:ind w:firstLine="640"/>
        <w:rPr>
          <w:bCs/>
          <w:kern w:val="0"/>
          <w:szCs w:val="32"/>
        </w:rPr>
      </w:pPr>
      <w:r>
        <w:rPr>
          <w:bCs/>
          <w:kern w:val="0"/>
          <w:szCs w:val="32"/>
        </w:rPr>
        <w:t>炭疽防治要强化监测排查、应急处置、检疫监管等综合防治措施。</w:t>
      </w:r>
    </w:p>
    <w:p>
      <w:pPr>
        <w:spacing w:line="579" w:lineRule="exact"/>
        <w:ind w:firstLine="643"/>
        <w:rPr>
          <w:szCs w:val="32"/>
        </w:rPr>
      </w:pPr>
      <w:r>
        <w:rPr>
          <w:b/>
          <w:kern w:val="0"/>
          <w:szCs w:val="32"/>
        </w:rPr>
        <w:t>重点防治措施。一是做好监测报告。</w:t>
      </w:r>
      <w:r>
        <w:rPr>
          <w:bCs/>
          <w:kern w:val="0"/>
          <w:szCs w:val="32"/>
        </w:rPr>
        <w:t>加强高发季节高风险地区监测预警，及早发现和报告疫情。</w:t>
      </w:r>
      <w:r>
        <w:rPr>
          <w:b/>
          <w:kern w:val="0"/>
          <w:szCs w:val="32"/>
        </w:rPr>
        <w:t>二是严格规范处置疫情。</w:t>
      </w:r>
      <w:r>
        <w:rPr>
          <w:bCs/>
          <w:kern w:val="0"/>
          <w:szCs w:val="32"/>
        </w:rPr>
        <w:t>按照“早、快、严、小”原则做好疫情处置，对病畜进行无血扑杀和无害化处理，掩埋点设立永久性警示标志，疫源地周边禁止放牧。</w:t>
      </w:r>
      <w:r>
        <w:rPr>
          <w:b/>
          <w:kern w:val="0"/>
          <w:szCs w:val="32"/>
        </w:rPr>
        <w:t>三是做好针对性免疫。</w:t>
      </w:r>
      <w:r>
        <w:rPr>
          <w:bCs/>
          <w:kern w:val="0"/>
          <w:szCs w:val="32"/>
        </w:rPr>
        <w:t>根据疫情动态和风险评估结果制定重点地区免疫计划，适时开展家畜免疫。</w:t>
      </w:r>
      <w:r>
        <w:rPr>
          <w:b/>
          <w:kern w:val="0"/>
          <w:szCs w:val="32"/>
        </w:rPr>
        <w:t>四</w:t>
      </w:r>
      <w:r>
        <w:rPr>
          <w:b/>
          <w:szCs w:val="32"/>
          <w:shd w:val="clear" w:color="auto" w:fill="FFFFFF"/>
        </w:rPr>
        <w:t>是加强动物卫生监管。</w:t>
      </w:r>
      <w:r>
        <w:rPr>
          <w:bCs/>
          <w:szCs w:val="32"/>
          <w:shd w:val="clear" w:color="auto" w:fill="FFFFFF"/>
        </w:rPr>
        <w:t>严格检疫和调运监管，严厉打击收购、加工、贩运、销售病死动物及其产品等违法违规行为，对死亡动物严格执行“四不准一处理”（不准宰杀、不准食用、不准出售、不准转运，对死亡动物进行无害化处理）措施。</w:t>
      </w:r>
    </w:p>
    <w:p>
      <w:pPr>
        <w:pStyle w:val="5"/>
        <w:ind w:firstLine="640"/>
      </w:pPr>
      <w:r>
        <w:t>（六）日本血吸虫病</w:t>
      </w:r>
    </w:p>
    <w:p>
      <w:pPr>
        <w:spacing w:line="579" w:lineRule="exact"/>
        <w:ind w:firstLine="640"/>
        <w:outlineLvl w:val="0"/>
        <w:rPr>
          <w:bCs/>
          <w:color w:val="000000"/>
          <w:szCs w:val="32"/>
        </w:rPr>
      </w:pPr>
      <w:r>
        <w:rPr>
          <w:bCs/>
          <w:color w:val="000000"/>
          <w:szCs w:val="32"/>
        </w:rPr>
        <w:t>日本血吸虫病是严重危害人群身体健康的重大畜间人兽共患病，要坚持以传染源控制为主的综合防治策略，实施人畜同步查治。</w:t>
      </w:r>
    </w:p>
    <w:p>
      <w:pPr>
        <w:spacing w:line="579" w:lineRule="exact"/>
        <w:ind w:firstLine="643"/>
        <w:rPr>
          <w:bCs/>
          <w:color w:val="000000"/>
          <w:szCs w:val="32"/>
        </w:rPr>
      </w:pPr>
      <w:r>
        <w:rPr>
          <w:b/>
          <w:color w:val="000000"/>
          <w:szCs w:val="32"/>
          <w:shd w:val="clear" w:color="auto" w:fill="FFFFFF"/>
        </w:rPr>
        <w:t>重点防治措施。</w:t>
      </w:r>
      <w:r>
        <w:rPr>
          <w:b/>
          <w:color w:val="000000"/>
          <w:szCs w:val="32"/>
        </w:rPr>
        <w:t>一是强化易感家畜査治。</w:t>
      </w:r>
      <w:r>
        <w:rPr>
          <w:bCs/>
          <w:color w:val="000000"/>
          <w:szCs w:val="32"/>
        </w:rPr>
        <w:t>定期组织开展流行村易感家畜养殖动态和有螺洲滩放牧情况的摸底调查，做好易感家畜血吸虫病筛查、治疗，结合人群査治，实行人、畜同步化疗。</w:t>
      </w:r>
      <w:r>
        <w:rPr>
          <w:b/>
          <w:color w:val="000000"/>
          <w:szCs w:val="32"/>
        </w:rPr>
        <w:t>二是开展家畜疫情监测。</w:t>
      </w:r>
      <w:r>
        <w:rPr>
          <w:bCs/>
          <w:color w:val="000000"/>
          <w:szCs w:val="32"/>
        </w:rPr>
        <w:t>按照全省动物疫病监测与流行病学调查计划开展家畜血吸虫病疫情常规监测，做好农业农村部2个疫情纵向观测点和环洞庭湖区域血吸虫病重点县的监测工作，掌握疫情动态。结合人畜病情、螺情开展风险评估，及时发现和消除隐患，巩固达标成果。</w:t>
      </w:r>
      <w:r>
        <w:rPr>
          <w:b/>
          <w:color w:val="000000"/>
          <w:szCs w:val="32"/>
        </w:rPr>
        <w:t>三是加强家畜传染源管理。</w:t>
      </w:r>
      <w:r>
        <w:rPr>
          <w:bCs/>
          <w:color w:val="000000"/>
          <w:szCs w:val="32"/>
        </w:rPr>
        <w:t>落实家畜传染源管理县乡属地责任，继续推进农业机械化，推行家畜集中圈养，结合种植业、养殖业结构调整，因地制宜实施农业环改灭螺工程，发展替代养殖，最大限度控制传染源、切断传播途径。四是加强能力建设。结合动物防疫体系建设，建立省、市、县三级家畜血吸虫病疫情监测体系，逐步对家畜血防实验室进行改造，更新必需设备。加强家畜血防工作人员技术培训。</w:t>
      </w:r>
    </w:p>
    <w:p>
      <w:pPr>
        <w:pStyle w:val="5"/>
        <w:ind w:firstLine="640"/>
      </w:pPr>
      <w:r>
        <w:t>（七）其他畜间人兽共患病</w:t>
      </w:r>
    </w:p>
    <w:p>
      <w:pPr>
        <w:pStyle w:val="16"/>
        <w:widowControl w:val="0"/>
        <w:spacing w:before="0" w:beforeAutospacing="0" w:after="0" w:afterAutospacing="0" w:line="579" w:lineRule="exact"/>
        <w:ind w:firstLine="640"/>
        <w:jc w:val="both"/>
        <w:rPr>
          <w:rFonts w:ascii="Times New Roman" w:hAnsi="Times New Roman" w:eastAsia="仿宋_GB2312" w:cs="Times New Roman"/>
          <w:bCs/>
          <w:color w:val="000000"/>
          <w:kern w:val="2"/>
          <w:sz w:val="32"/>
          <w:szCs w:val="32"/>
        </w:rPr>
      </w:pPr>
      <w:r>
        <w:rPr>
          <w:rFonts w:ascii="Times New Roman" w:hAnsi="Times New Roman" w:eastAsia="仿宋_GB2312" w:cs="Times New Roman"/>
          <w:bCs/>
          <w:color w:val="000000"/>
          <w:kern w:val="2"/>
          <w:sz w:val="32"/>
          <w:szCs w:val="32"/>
        </w:rPr>
        <w:t>针对畜间人兽共患病传播流行的三个环节（传染源、传播途径、易感动物），实施综合防治措施，积极开展病媒生物防制和消杀，加强饲养管理，不断提高养殖场所生物安全水平。</w:t>
      </w:r>
    </w:p>
    <w:p>
      <w:pPr>
        <w:pStyle w:val="16"/>
        <w:spacing w:before="0" w:beforeAutospacing="0" w:after="0" w:afterAutospacing="0" w:line="579" w:lineRule="exact"/>
        <w:ind w:firstLine="643"/>
        <w:rPr>
          <w:rFonts w:ascii="Times New Roman" w:hAnsi="Times New Roman" w:eastAsia="仿宋_GB2312" w:cs="Times New Roman"/>
          <w:bCs/>
          <w:color w:val="000000"/>
          <w:kern w:val="2"/>
          <w:sz w:val="32"/>
          <w:szCs w:val="32"/>
        </w:rPr>
      </w:pPr>
      <w:r>
        <w:rPr>
          <w:rFonts w:ascii="Times New Roman" w:hAnsi="Times New Roman" w:eastAsia="仿宋_GB2312" w:cs="Times New Roman"/>
          <w:b/>
          <w:color w:val="000000"/>
          <w:kern w:val="2"/>
          <w:sz w:val="32"/>
          <w:szCs w:val="32"/>
        </w:rPr>
        <w:t>重点防治措施。</w:t>
      </w:r>
      <w:r>
        <w:rPr>
          <w:rFonts w:ascii="Times New Roman" w:hAnsi="Times New Roman" w:eastAsia="仿宋_GB2312" w:cs="Times New Roman"/>
          <w:bCs/>
          <w:color w:val="000000"/>
          <w:kern w:val="2"/>
          <w:sz w:val="32"/>
          <w:szCs w:val="32"/>
        </w:rPr>
        <w:t>对马鼻疽，继续实施消灭计划，严格落实监测、扑杀、无害化处理、移动控制等关键措施。</w:t>
      </w:r>
      <w:r>
        <w:rPr>
          <w:rFonts w:ascii="Times New Roman" w:hAnsi="Times New Roman" w:eastAsia="仿宋_GB2312" w:cs="Times New Roman"/>
          <w:bCs/>
          <w:kern w:val="2"/>
          <w:sz w:val="32"/>
          <w:szCs w:val="32"/>
        </w:rPr>
        <w:t>对日本脑炎（流行性乙型脑炎）、猪链球菌Ⅱ型感染和鹦鹉热，在流行区域对猪、马、牛、羊等易感家畜进行疫苗接种。对旋</w:t>
      </w:r>
      <w:r>
        <w:rPr>
          <w:rFonts w:ascii="Times New Roman" w:hAnsi="Times New Roman" w:eastAsia="仿宋_GB2312" w:cs="Times New Roman"/>
          <w:bCs/>
          <w:color w:val="000000"/>
          <w:kern w:val="2"/>
          <w:sz w:val="32"/>
          <w:szCs w:val="32"/>
        </w:rPr>
        <w:t>毛虫病、囊尾蚴病，以屠宰场为重点，严格宰后检疫检验，做好污染肉品的无害化处理。对其他常规防治病种，加强饲养管理、环境消毒、无害化处理、药物治疗、疫病净化，加强人员防护和个人卫生。对牛海绵状脑病、尼帕病毒性脑炎等外来病种，做好传入风险分析和预警；加强联防联控，健全跨部门协作机制，强化入境检疫，提高人兽共患病发现识别、防控和应急处置能力。</w:t>
      </w:r>
    </w:p>
    <w:p>
      <w:pPr>
        <w:pStyle w:val="4"/>
        <w:ind w:firstLine="640"/>
      </w:pPr>
      <w:r>
        <w:t>三、重点任务</w:t>
      </w:r>
    </w:p>
    <w:p>
      <w:pPr>
        <w:pStyle w:val="5"/>
        <w:ind w:firstLine="640"/>
      </w:pPr>
      <w:r>
        <w:t>（一）强化系统防治</w:t>
      </w:r>
    </w:p>
    <w:p>
      <w:pPr>
        <w:spacing w:line="579" w:lineRule="exact"/>
        <w:ind w:firstLine="640"/>
        <w:rPr>
          <w:bCs/>
          <w:szCs w:val="32"/>
        </w:rPr>
      </w:pPr>
      <w:r>
        <w:rPr>
          <w:bCs/>
          <w:kern w:val="0"/>
          <w:szCs w:val="32"/>
        </w:rPr>
        <w:t>全面推进畜间人兽共患病强制免疫先打后补改革，完善以养殖企</w:t>
      </w:r>
      <w:r>
        <w:rPr>
          <w:bCs/>
          <w:color w:val="000000"/>
          <w:kern w:val="0"/>
          <w:szCs w:val="32"/>
        </w:rPr>
        <w:t>业为责任主体，以企业执业兽医、乡村兽医、村级防疫员等社会化服务队伍为技术依托的强制免疫网络。</w:t>
      </w:r>
      <w:r>
        <w:rPr>
          <w:bCs/>
          <w:color w:val="000000"/>
          <w:szCs w:val="32"/>
        </w:rPr>
        <w:t>完善</w:t>
      </w:r>
      <w:r>
        <w:rPr>
          <w:bCs/>
          <w:color w:val="000000"/>
          <w:kern w:val="0"/>
          <w:szCs w:val="32"/>
        </w:rPr>
        <w:t>畜间人兽共患病应急预案和应急响应机制，强化应急物资储备，健全防控应急队伍，每年应开展应急演练或培训</w:t>
      </w:r>
      <w:r>
        <w:rPr>
          <w:bCs/>
          <w:kern w:val="0"/>
          <w:szCs w:val="32"/>
        </w:rPr>
        <w:t>。</w:t>
      </w:r>
      <w:r>
        <w:rPr>
          <w:bCs/>
          <w:szCs w:val="32"/>
          <w:shd w:val="clear" w:color="auto" w:fill="FFFFFF"/>
        </w:rPr>
        <w:t>严格落实疫情和监测阳性报告制度，明确报告责任和标准，健全</w:t>
      </w:r>
      <w:r>
        <w:rPr>
          <w:bCs/>
          <w:kern w:val="0"/>
          <w:szCs w:val="32"/>
        </w:rPr>
        <w:t>报告体系。</w:t>
      </w:r>
      <w:r>
        <w:rPr>
          <w:bCs/>
          <w:szCs w:val="32"/>
        </w:rPr>
        <w:t>加强牛羊屠宰管理，有序推进牛羊集中或定点屠宰，建立健全入场动物查证验物、待宰采样检测和检验检疫制度，建立牛羊屠宰场基础信息系统，强化与动物检疫电子出证系统对接，实现牛羊从产地到屠宰的全程闭环监管。积极探索开展牛羊布病、牛结核病监测阳性动物定点资源化利用。</w:t>
      </w:r>
    </w:p>
    <w:p>
      <w:pPr>
        <w:pStyle w:val="5"/>
        <w:ind w:firstLine="640"/>
      </w:pPr>
      <w:r>
        <w:t>（二）注重监测净化</w:t>
      </w:r>
    </w:p>
    <w:p>
      <w:pPr>
        <w:spacing w:line="579" w:lineRule="exact"/>
        <w:ind w:firstLine="640"/>
        <w:rPr>
          <w:bCs/>
          <w:color w:val="000000"/>
          <w:kern w:val="0"/>
          <w:szCs w:val="32"/>
        </w:rPr>
      </w:pPr>
      <w:r>
        <w:rPr>
          <w:bCs/>
          <w:szCs w:val="32"/>
        </w:rPr>
        <w:t>进一步健全省、市、县三级动物疫病预防控制机构为主体的畜间人兽共患病监测预警网络体系</w:t>
      </w:r>
      <w:r>
        <w:rPr>
          <w:kern w:val="0"/>
          <w:szCs w:val="32"/>
        </w:rPr>
        <w:t>。</w:t>
      </w:r>
      <w:r>
        <w:rPr>
          <w:color w:val="000000"/>
          <w:szCs w:val="32"/>
        </w:rPr>
        <w:t>创新</w:t>
      </w:r>
      <w:r>
        <w:rPr>
          <w:bCs/>
          <w:kern w:val="0"/>
          <w:szCs w:val="32"/>
        </w:rPr>
        <w:t>人</w:t>
      </w:r>
      <w:r>
        <w:rPr>
          <w:bCs/>
          <w:color w:val="000000"/>
          <w:kern w:val="0"/>
          <w:szCs w:val="32"/>
        </w:rPr>
        <w:t>兽共患</w:t>
      </w:r>
      <w:r>
        <w:rPr>
          <w:color w:val="000000"/>
          <w:szCs w:val="32"/>
        </w:rPr>
        <w:t>病监测净化模式，</w:t>
      </w:r>
      <w:r>
        <w:rPr>
          <w:bCs/>
          <w:kern w:val="0"/>
          <w:szCs w:val="32"/>
        </w:rPr>
        <w:t>强化常规监测、专项监测、净化监测和无疫</w:t>
      </w:r>
      <w:r>
        <w:rPr>
          <w:bCs/>
          <w:color w:val="000000"/>
          <w:kern w:val="0"/>
          <w:szCs w:val="32"/>
        </w:rPr>
        <w:t>监测，做到及时发现、快速感知、准确识别、有效预警。强化畜间人兽共患病净化工作，推进防治工作从有效控制向净化消灭转变，以种禽场、种牛（羊）场、奶牛（羊）场为重点，创建高致病性禽流感、</w:t>
      </w:r>
      <w:r>
        <w:rPr>
          <w:bCs/>
          <w:kern w:val="0"/>
          <w:szCs w:val="32"/>
        </w:rPr>
        <w:t>布鲁氏菌病、牛结核病等人</w:t>
      </w:r>
      <w:r>
        <w:rPr>
          <w:bCs/>
          <w:color w:val="000000"/>
          <w:kern w:val="0"/>
          <w:szCs w:val="32"/>
        </w:rPr>
        <w:t>兽共患病净化场和无疫小区，并通过示范带动、典型引领，不断提升养殖环节生物安全水平。</w:t>
      </w:r>
      <w:r>
        <w:rPr>
          <w:bCs/>
          <w:color w:val="000000"/>
          <w:szCs w:val="32"/>
          <w:shd w:val="clear" w:color="auto" w:fill="FFFFFF"/>
        </w:rPr>
        <w:t>强化同卫生健康、林业、海关等部门沟通协调和资源共享，及时相互通报监测信息。</w:t>
      </w:r>
    </w:p>
    <w:p>
      <w:pPr>
        <w:pStyle w:val="5"/>
        <w:ind w:firstLine="640"/>
      </w:pPr>
      <w:r>
        <w:t>（三）推进智慧防治</w:t>
      </w:r>
    </w:p>
    <w:p>
      <w:pPr>
        <w:spacing w:line="579" w:lineRule="exact"/>
        <w:ind w:firstLine="640"/>
        <w:rPr>
          <w:bCs/>
          <w:color w:val="000000"/>
          <w:szCs w:val="32"/>
          <w:shd w:val="clear" w:color="auto" w:fill="FFFFFF"/>
        </w:rPr>
      </w:pPr>
      <w:r>
        <w:rPr>
          <w:bCs/>
          <w:color w:val="000000"/>
          <w:szCs w:val="32"/>
          <w:shd w:val="clear" w:color="auto" w:fill="FFFFFF"/>
        </w:rPr>
        <w:t>实施智慧防疫能力提升行动（详见专栏3），全面提升畜间人兽共患病系统治理能力。运用互联网、大数据、人工智能、区块链等现代信息技术，</w:t>
      </w:r>
      <w:r>
        <w:rPr>
          <w:color w:val="000000"/>
          <w:kern w:val="0"/>
          <w:szCs w:val="32"/>
        </w:rPr>
        <w:t>织牢织密监测预警网络。</w:t>
      </w:r>
      <w:r>
        <w:rPr>
          <w:bCs/>
          <w:color w:val="000000"/>
          <w:szCs w:val="32"/>
          <w:shd w:val="clear" w:color="auto" w:fill="FFFFFF"/>
        </w:rPr>
        <w:t>建立以动物移动监管为主线的全链条智慧监管体系，建成覆盖养殖场户、屠宰企业、指定通道、无害化处理场、交易市场的智能监控信息系统，开展动物养殖、运输、交易、屠宰、无害化处理等全链条精细化监管，实现养殖档案电子化、检疫证明无纸化、运输监管闭环化。将信息系统配备及与政府监管系统对接情况，纳入养殖场、屠宰场等标准化示范创建，以及动物疫病净化场、无疫小区和无疫区建设评估验收内容，不断提高兽医卫生智慧监管能力水平。</w:t>
      </w:r>
    </w:p>
    <w:p>
      <w:pPr>
        <w:pStyle w:val="4"/>
        <w:ind w:firstLine="0" w:firstLineChars="0"/>
        <w:jc w:val="center"/>
        <w:rPr>
          <w:sz w:val="28"/>
          <w:szCs w:val="28"/>
        </w:rPr>
      </w:pPr>
      <w:r>
        <w:rPr>
          <w:sz w:val="28"/>
          <w:szCs w:val="28"/>
        </w:rPr>
        <w:t>专栏3全省智慧防疫能力提升行动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4C6E7"/>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4C6E7"/>
          <w:tblCellMar>
            <w:top w:w="0" w:type="dxa"/>
            <w:left w:w="108" w:type="dxa"/>
            <w:bottom w:w="0" w:type="dxa"/>
            <w:right w:w="108" w:type="dxa"/>
          </w:tblCellMar>
        </w:tblPrEx>
        <w:trPr>
          <w:wBefore w:w="0" w:type="dxa"/>
          <w:trHeight w:val="3042" w:hRule="atLeast"/>
          <w:jc w:val="center"/>
        </w:trPr>
        <w:tc>
          <w:tcPr>
            <w:tcW w:w="8360" w:type="dxa"/>
            <w:shd w:val="clear" w:color="auto" w:fill="auto"/>
            <w:noWrap w:val="0"/>
            <w:vAlign w:val="top"/>
          </w:tcPr>
          <w:p>
            <w:pPr>
              <w:spacing w:line="500" w:lineRule="exact"/>
              <w:ind w:firstLine="560"/>
              <w:rPr>
                <w:bCs/>
                <w:color w:val="000000"/>
                <w:szCs w:val="32"/>
              </w:rPr>
            </w:pPr>
            <w:r>
              <w:rPr>
                <w:bCs/>
                <w:color w:val="000000"/>
                <w:kern w:val="0"/>
                <w:sz w:val="28"/>
                <w:szCs w:val="28"/>
              </w:rPr>
              <w:t>以规模养殖场和畜禽屠宰场点为关键控制节点，以直联直报系统、牧运通APP及省级畜牧兽医信息平台为支撑，建立健全养殖、运输、屠宰全链条防疫、检疫监管智慧信息系统。建成覆盖全省所有规模养殖场和畜禽屠宰场的视频监控系统，对规模养殖场实施电子养殖档案管理，逐步</w:t>
            </w:r>
            <w:r>
              <w:rPr>
                <w:bCs/>
                <w:color w:val="000000"/>
                <w:sz w:val="28"/>
                <w:szCs w:val="28"/>
                <w:shd w:val="clear" w:color="auto" w:fill="FFFFFF"/>
              </w:rPr>
              <w:t>实现养殖档案电子化、屠宰管理标准化、检疫证明无纸化。</w:t>
            </w:r>
          </w:p>
        </w:tc>
      </w:tr>
    </w:tbl>
    <w:p>
      <w:pPr>
        <w:pStyle w:val="5"/>
        <w:ind w:firstLine="640"/>
      </w:pPr>
      <w:r>
        <w:t>（四）做好科技支撑</w:t>
      </w:r>
    </w:p>
    <w:p>
      <w:pPr>
        <w:pStyle w:val="2"/>
        <w:spacing w:before="0" w:after="0" w:line="579" w:lineRule="exact"/>
        <w:ind w:firstLine="640"/>
        <w:jc w:val="both"/>
        <w:rPr>
          <w:rFonts w:ascii="Times New Roman" w:hAnsi="Times New Roman"/>
          <w:b w:val="0"/>
          <w:bCs/>
          <w:color w:val="000000"/>
          <w:szCs w:val="32"/>
        </w:rPr>
      </w:pPr>
      <w:r>
        <w:rPr>
          <w:rFonts w:ascii="Times New Roman" w:hAnsi="Times New Roman"/>
          <w:b w:val="0"/>
          <w:bCs/>
          <w:color w:val="000000"/>
          <w:szCs w:val="32"/>
        </w:rPr>
        <w:t>积极支持有条件的单位开展畜间人兽共患病防治相关技术研究和推广。创建省级人畜共患传染病防控技术研究中心和区域动物疫病防控技术集成示范基地，加强动物疫病预防控制机构、科研院所、产业技术体系、企业科研资源集成融合，组建畜间人兽共患病防治专家技术团队，构建基础性、前沿性、实用性技术研究、集成创新和示范推广平台，增强防治技术原始创新，加强畜间人兽共患病诊断、监测、净化等关键技术集成和推广应用，支持创制一批符合实际的畜间人兽共患病净化技术和地方标准。</w:t>
      </w:r>
    </w:p>
    <w:p>
      <w:pPr>
        <w:pStyle w:val="5"/>
        <w:ind w:firstLine="640"/>
      </w:pPr>
      <w:r>
        <w:t>（五）强化防疫体系</w:t>
      </w:r>
    </w:p>
    <w:p>
      <w:pPr>
        <w:spacing w:line="579" w:lineRule="exact"/>
        <w:ind w:firstLine="640"/>
        <w:rPr>
          <w:bCs/>
          <w:kern w:val="0"/>
          <w:szCs w:val="32"/>
        </w:rPr>
      </w:pPr>
      <w:r>
        <w:rPr>
          <w:bCs/>
          <w:szCs w:val="32"/>
        </w:rPr>
        <w:t>加强动物防疫体系建设，开展基层动物防疫体系运行效能评估，</w:t>
      </w:r>
      <w:r>
        <w:rPr>
          <w:bCs/>
          <w:szCs w:val="32"/>
          <w:shd w:val="clear" w:color="auto" w:fill="FFFFFF"/>
        </w:rPr>
        <w:t>重点强化市县级动物疫病预防控制机构和动物卫生监督机构，明确机构设置和职能定位，加强机构队伍建设，</w:t>
      </w:r>
      <w:r>
        <w:rPr>
          <w:bCs/>
          <w:szCs w:val="32"/>
        </w:rPr>
        <w:t>充实畜间人兽共患病防控力量，足额配齐配强乡镇专业人员，实行定责定岗定人，完善工作机制，提升专业能力。协调</w:t>
      </w:r>
      <w:r>
        <w:rPr>
          <w:bCs/>
          <w:kern w:val="0"/>
          <w:szCs w:val="32"/>
        </w:rPr>
        <w:t>建立分级投入、分级管理机制，各级地方财政要加大兽医实验室投入，加强对不同生物安全级别实验室的建设和管理。</w:t>
      </w:r>
      <w:r>
        <w:rPr>
          <w:bCs/>
          <w:color w:val="000000"/>
          <w:kern w:val="0"/>
          <w:szCs w:val="32"/>
        </w:rPr>
        <w:t>对在畜间人兽共患病防治和科学研究中做出成绩和贡献的单位和个人，各级人民政府及有关部门应按规定给予表彰、奖励。在职务职级晋升、职称评定和表彰奖励时，要向成绩突出、考核优秀的基层动物防疫人员倾斜。</w:t>
      </w:r>
    </w:p>
    <w:p>
      <w:pPr>
        <w:pStyle w:val="5"/>
        <w:ind w:firstLine="640"/>
      </w:pPr>
      <w:r>
        <w:t>（六）完善服务体系</w:t>
      </w:r>
    </w:p>
    <w:p>
      <w:pPr>
        <w:pStyle w:val="2"/>
        <w:spacing w:before="0" w:after="0" w:line="579" w:lineRule="exact"/>
        <w:ind w:firstLine="640"/>
        <w:jc w:val="left"/>
        <w:rPr>
          <w:rFonts w:ascii="Times New Roman" w:hAnsi="Times New Roman"/>
          <w:b w:val="0"/>
          <w:bCs/>
          <w:color w:val="000000"/>
          <w:kern w:val="0"/>
          <w:szCs w:val="32"/>
        </w:rPr>
      </w:pPr>
      <w:r>
        <w:rPr>
          <w:rFonts w:ascii="Times New Roman" w:hAnsi="Times New Roman"/>
          <w:b w:val="0"/>
          <w:bCs/>
          <w:color w:val="000000"/>
          <w:kern w:val="0"/>
          <w:szCs w:val="32"/>
        </w:rPr>
        <w:t>着力培育多元兽医社会化服务组织，完善以执业兽医、乡村兽医为主体，其他兽医从业人员和社会力量为补充的兽医社会化服务体系。鼓励社会化服务体系为生产经营主体提供疫病检测、诊断和治疗等畜间人兽共患病防治服务。积极推进将强制免疫、采样监测、协助检疫等兽医公益服务事项交由社会化服务体系承担。建立完善兽医社会化服务相关制度和标准，强化监督管理，加快构建政府主导的公益性兽医社会化服务与市场主导的经营性兽医社会化服务深度融合的长效机制。</w:t>
      </w:r>
    </w:p>
    <w:p>
      <w:pPr>
        <w:pStyle w:val="5"/>
        <w:ind w:firstLine="640"/>
      </w:pPr>
      <w:r>
        <w:t>（七）抓好宣传培训</w:t>
      </w:r>
    </w:p>
    <w:p>
      <w:pPr>
        <w:pStyle w:val="2"/>
        <w:spacing w:before="0" w:after="0" w:line="579" w:lineRule="exact"/>
        <w:ind w:firstLine="640"/>
        <w:jc w:val="left"/>
        <w:rPr>
          <w:rFonts w:ascii="Times New Roman" w:hAnsi="Times New Roman"/>
          <w:b w:val="0"/>
          <w:bCs/>
          <w:kern w:val="0"/>
          <w:szCs w:val="32"/>
        </w:rPr>
      </w:pPr>
      <w:r>
        <w:rPr>
          <w:rFonts w:ascii="Times New Roman" w:hAnsi="Times New Roman"/>
          <w:b w:val="0"/>
          <w:bCs/>
          <w:kern w:val="0"/>
          <w:szCs w:val="32"/>
        </w:rPr>
        <w:t>制定畜间人兽共患病防控培训计划，倡导“同一个世界、同一个健康”的理念，会同卫生健康、林业等有关部门利用多种方式和重要节点，对动物养殖、屠宰加工、动物疫病防控等高风险从业人员开展畜间人兽共患病防治技术培训，提高自我防护能力。组织开展专项健康教育，倡导良好生活习惯，提高社会公众防范意识。监督相关单位建立健全人员防护制度，采取有效的卫生防护、医疗保健措施，定期组织工作人员开展健康检查。形成政府统防统治、部门协作防治、企业自主防控、区域联防联控和全社会群防群控的联动机制，及时回应群众关切，消除群众疑惑，为本规划的实施营造良好的社会环境和舆论氛围。</w:t>
      </w:r>
    </w:p>
    <w:p>
      <w:pPr>
        <w:pStyle w:val="4"/>
        <w:ind w:firstLine="640"/>
      </w:pPr>
      <w:r>
        <w:t>四、组织保障</w:t>
      </w:r>
    </w:p>
    <w:p>
      <w:pPr>
        <w:pStyle w:val="5"/>
        <w:ind w:firstLine="640"/>
      </w:pPr>
      <w:r>
        <w:t>（一）强化组织领导</w:t>
      </w:r>
    </w:p>
    <w:p>
      <w:pPr>
        <w:spacing w:line="579" w:lineRule="exact"/>
        <w:ind w:firstLine="462" w:firstLineChars="150"/>
        <w:rPr>
          <w:bCs/>
          <w:color w:val="000000"/>
          <w:spacing w:val="-6"/>
          <w:kern w:val="0"/>
          <w:szCs w:val="32"/>
        </w:rPr>
      </w:pPr>
      <w:r>
        <w:rPr>
          <w:bCs/>
          <w:color w:val="000000"/>
          <w:spacing w:val="-6"/>
          <w:kern w:val="0"/>
          <w:szCs w:val="32"/>
        </w:rPr>
        <w:t>各地要成立畜间人兽共患病防治工作领导小组，加强组织协调和统筹调度，分解目标任务，明确各方责任。要结合本地畜间人兽共患病流行情况和经济社会发展状况，制定实施本行政区域的畜间人兽共患病防治规划</w:t>
      </w:r>
      <w:r>
        <w:rPr>
          <w:bCs/>
          <w:color w:val="000000"/>
          <w:spacing w:val="-6"/>
          <w:szCs w:val="32"/>
        </w:rPr>
        <w:t>，并组织实施，确保各项措施落到实处。</w:t>
      </w:r>
    </w:p>
    <w:p>
      <w:pPr>
        <w:pStyle w:val="5"/>
        <w:ind w:firstLine="640"/>
      </w:pPr>
      <w:r>
        <w:t>（二）强化经费保障</w:t>
      </w:r>
    </w:p>
    <w:p>
      <w:pPr>
        <w:spacing w:line="579" w:lineRule="exact"/>
        <w:ind w:firstLine="640"/>
        <w:rPr>
          <w:bCs/>
          <w:color w:val="000000"/>
          <w:kern w:val="0"/>
          <w:szCs w:val="32"/>
        </w:rPr>
      </w:pPr>
      <w:r>
        <w:rPr>
          <w:bCs/>
          <w:color w:val="000000"/>
          <w:kern w:val="0"/>
          <w:szCs w:val="32"/>
        </w:rPr>
        <w:t>协调加大财政支持力度，全面推进免疫、监测、流调、扑杀、净化、评估、检疫监督、无害化处理、应急处置、人员防护等畜间人兽共患病防治工作（详见专栏4）。县级以上地方人民政府要采取措施稳定畜间人兽共患病防控队伍，将畜间人兽共患病防治经费纳入本级财政预算，保障公益性事业经费支出，落实畜牧兽医医疗卫生津贴等相关待遇，确保畜间人兽共患病防治责有人负、活有人干、事有人管。</w:t>
      </w:r>
    </w:p>
    <w:p>
      <w:pPr>
        <w:pStyle w:val="2"/>
        <w:ind w:firstLine="643"/>
        <w:rPr>
          <w:rFonts w:ascii="Times New Roman" w:hAnsi="Times New Roman"/>
          <w:bCs/>
          <w:color w:val="000000"/>
          <w:kern w:val="0"/>
          <w:szCs w:val="32"/>
        </w:rPr>
      </w:pPr>
    </w:p>
    <w:p>
      <w:pPr>
        <w:pStyle w:val="2"/>
        <w:ind w:firstLine="643"/>
        <w:rPr>
          <w:rFonts w:ascii="Times New Roman" w:hAnsi="Times New Roman"/>
          <w:bCs/>
          <w:color w:val="000000"/>
          <w:kern w:val="0"/>
          <w:szCs w:val="32"/>
        </w:rPr>
      </w:pPr>
    </w:p>
    <w:p>
      <w:pPr>
        <w:pStyle w:val="4"/>
        <w:ind w:firstLine="0" w:firstLineChars="0"/>
        <w:jc w:val="center"/>
        <w:rPr>
          <w:sz w:val="28"/>
          <w:szCs w:val="28"/>
        </w:rPr>
      </w:pPr>
      <w:r>
        <w:rPr>
          <w:sz w:val="28"/>
          <w:szCs w:val="28"/>
        </w:rPr>
        <w:t>专栏4重点支持政策项目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4C6E7"/>
        <w:tblLayout w:type="fixed"/>
        <w:tblCellMar>
          <w:top w:w="0" w:type="dxa"/>
          <w:left w:w="108" w:type="dxa"/>
          <w:bottom w:w="0" w:type="dxa"/>
          <w:right w:w="108" w:type="dxa"/>
        </w:tblCellMar>
      </w:tblPr>
      <w:tblGrid>
        <w:gridCol w:w="8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4C6E7"/>
          <w:tblCellMar>
            <w:top w:w="0" w:type="dxa"/>
            <w:left w:w="108" w:type="dxa"/>
            <w:bottom w:w="0" w:type="dxa"/>
            <w:right w:w="108" w:type="dxa"/>
          </w:tblCellMar>
        </w:tblPrEx>
        <w:trPr>
          <w:wBefore w:w="0" w:type="dxa"/>
          <w:trHeight w:val="1831" w:hRule="atLeast"/>
          <w:jc w:val="center"/>
        </w:trPr>
        <w:tc>
          <w:tcPr>
            <w:tcW w:w="8373" w:type="dxa"/>
            <w:shd w:val="clear" w:color="auto" w:fill="auto"/>
            <w:noWrap w:val="0"/>
            <w:vAlign w:val="top"/>
          </w:tcPr>
          <w:p>
            <w:pPr>
              <w:spacing w:line="500" w:lineRule="exact"/>
              <w:ind w:firstLine="562"/>
              <w:jc w:val="left"/>
              <w:rPr>
                <w:bCs/>
                <w:color w:val="000000"/>
                <w:kern w:val="0"/>
                <w:sz w:val="28"/>
                <w:szCs w:val="28"/>
              </w:rPr>
            </w:pPr>
            <w:r>
              <w:rPr>
                <w:b/>
                <w:color w:val="000000"/>
                <w:kern w:val="0"/>
                <w:sz w:val="28"/>
                <w:szCs w:val="28"/>
              </w:rPr>
              <w:t>1.强制免疫补助：</w:t>
            </w:r>
            <w:r>
              <w:rPr>
                <w:bCs/>
                <w:color w:val="000000"/>
                <w:kern w:val="0"/>
                <w:sz w:val="28"/>
                <w:szCs w:val="28"/>
              </w:rPr>
              <w:t>主要用于开展动物疫病强制免疫、免疫效果监测评价、疫病监测和净化、人员防护等相关防控措施，以及实施强制免疫计划、购买防疫服务等方面。对符合条件的养殖场户实行强制免疫“先打后补”，逐步实现养殖场户自主采购，财政直补；对暂不符合条件的养殖场户，继续实行省级集中招标采购强免疫苗。</w:t>
            </w:r>
          </w:p>
          <w:p>
            <w:pPr>
              <w:spacing w:line="500" w:lineRule="exact"/>
              <w:ind w:firstLine="562"/>
              <w:jc w:val="left"/>
              <w:rPr>
                <w:bCs/>
                <w:color w:val="000000"/>
                <w:kern w:val="0"/>
                <w:sz w:val="28"/>
                <w:szCs w:val="28"/>
              </w:rPr>
            </w:pPr>
            <w:r>
              <w:rPr>
                <w:b/>
                <w:color w:val="000000"/>
                <w:kern w:val="0"/>
                <w:sz w:val="28"/>
                <w:szCs w:val="28"/>
              </w:rPr>
              <w:t>2.强制扑杀补助：</w:t>
            </w:r>
            <w:r>
              <w:rPr>
                <w:bCs/>
                <w:color w:val="000000"/>
                <w:kern w:val="0"/>
                <w:sz w:val="28"/>
                <w:szCs w:val="28"/>
              </w:rPr>
              <w:t>主要用于预防、控制和扑灭动物疫病过程中，被强制扑杀动物的补助和农业农村部门组织实施销毁的动物产品和相关物品的补助等方面。补助对象为被依法强制扑杀动物的所有者、被依法销毁动物产品及相关物品的所有者。</w:t>
            </w:r>
          </w:p>
          <w:p>
            <w:pPr>
              <w:spacing w:line="500" w:lineRule="exact"/>
              <w:ind w:firstLine="562"/>
              <w:jc w:val="left"/>
              <w:rPr>
                <w:bCs/>
                <w:color w:val="000000"/>
                <w:kern w:val="0"/>
                <w:sz w:val="28"/>
                <w:szCs w:val="28"/>
              </w:rPr>
            </w:pPr>
            <w:r>
              <w:rPr>
                <w:b/>
                <w:color w:val="000000"/>
                <w:kern w:val="0"/>
                <w:sz w:val="28"/>
                <w:szCs w:val="28"/>
              </w:rPr>
              <w:t>3.养殖环节无害化处理补助：</w:t>
            </w:r>
            <w:r>
              <w:rPr>
                <w:bCs/>
                <w:color w:val="000000"/>
                <w:kern w:val="0"/>
                <w:sz w:val="28"/>
                <w:szCs w:val="28"/>
              </w:rPr>
              <w:t>主要用于养殖环节病死猪无害化处理等方面。按照“谁处理补给谁”的原则，补助对象为承担无害化处理任务的实施者。</w:t>
            </w:r>
          </w:p>
          <w:p>
            <w:pPr>
              <w:spacing w:line="500" w:lineRule="exact"/>
              <w:ind w:firstLine="562"/>
              <w:jc w:val="left"/>
              <w:rPr>
                <w:bCs/>
                <w:color w:val="000000"/>
                <w:kern w:val="0"/>
                <w:sz w:val="28"/>
                <w:szCs w:val="28"/>
              </w:rPr>
            </w:pPr>
            <w:r>
              <w:rPr>
                <w:b/>
                <w:color w:val="000000"/>
                <w:kern w:val="0"/>
                <w:sz w:val="28"/>
                <w:szCs w:val="28"/>
              </w:rPr>
              <w:t>4.陆生动物疫病病原学监测区域中心建设：</w:t>
            </w:r>
            <w:r>
              <w:rPr>
                <w:bCs/>
                <w:color w:val="000000"/>
                <w:kern w:val="0"/>
                <w:sz w:val="28"/>
                <w:szCs w:val="28"/>
              </w:rPr>
              <w:t>在畜禽养殖密集、动物疫病流行状况复杂、防控任务重的地区，依托地市级动物疫病预防控制机构，更新改造升级病原学监测实验室，提升病原学监测能力，及时准确掌握相关病种的流行态势和病原分布状况，提升监测调查和预警分析能力。</w:t>
            </w:r>
          </w:p>
          <w:p>
            <w:pPr>
              <w:spacing w:line="500" w:lineRule="exact"/>
              <w:ind w:firstLine="562"/>
              <w:jc w:val="left"/>
              <w:rPr>
                <w:bCs/>
                <w:color w:val="000000"/>
                <w:kern w:val="0"/>
                <w:sz w:val="28"/>
                <w:szCs w:val="28"/>
              </w:rPr>
            </w:pPr>
            <w:r>
              <w:rPr>
                <w:b/>
                <w:color w:val="000000"/>
                <w:kern w:val="0"/>
                <w:sz w:val="28"/>
                <w:szCs w:val="28"/>
              </w:rPr>
              <w:t>5.动物疫情监测站建设：</w:t>
            </w:r>
            <w:r>
              <w:rPr>
                <w:bCs/>
                <w:color w:val="000000"/>
                <w:kern w:val="0"/>
                <w:sz w:val="28"/>
                <w:szCs w:val="28"/>
              </w:rPr>
              <w:t>加强国家级和省级动物疫情测报站的兽医实验室能力建设，承担优先防治病种以及重点防范外来病的监测、流行病学调查、巡查监视和信息直报任务。</w:t>
            </w:r>
          </w:p>
          <w:p>
            <w:pPr>
              <w:spacing w:line="500" w:lineRule="exact"/>
              <w:ind w:firstLine="562"/>
              <w:jc w:val="left"/>
              <w:rPr>
                <w:bCs/>
                <w:color w:val="000000"/>
                <w:kern w:val="0"/>
                <w:sz w:val="28"/>
                <w:szCs w:val="28"/>
              </w:rPr>
            </w:pPr>
            <w:r>
              <w:rPr>
                <w:b/>
                <w:color w:val="000000"/>
                <w:kern w:val="0"/>
                <w:sz w:val="28"/>
                <w:szCs w:val="28"/>
              </w:rPr>
              <w:t>6.动物防疫指定通道建设：</w:t>
            </w:r>
            <w:r>
              <w:rPr>
                <w:bCs/>
                <w:color w:val="000000"/>
                <w:kern w:val="0"/>
                <w:sz w:val="28"/>
                <w:szCs w:val="28"/>
              </w:rPr>
              <w:t>对经省级人民政府批准设立的动物防疫指定通道相关设施设备进行更新或改造，配备监督执法和信息化装备设施，提升查证验物能力，堵截染疫动物，控制流通环节动物疫病传播扩散风险。</w:t>
            </w:r>
          </w:p>
        </w:tc>
      </w:tr>
    </w:tbl>
    <w:p>
      <w:pPr>
        <w:pStyle w:val="5"/>
        <w:ind w:firstLine="640"/>
      </w:pPr>
      <w:r>
        <w:t>（三）强化联防联控</w:t>
      </w:r>
    </w:p>
    <w:p>
      <w:pPr>
        <w:spacing w:line="579" w:lineRule="exact"/>
        <w:ind w:firstLine="640"/>
        <w:rPr>
          <w:bCs/>
          <w:color w:val="000000"/>
          <w:kern w:val="0"/>
          <w:szCs w:val="32"/>
        </w:rPr>
      </w:pPr>
      <w:r>
        <w:rPr>
          <w:bCs/>
          <w:color w:val="000000"/>
          <w:kern w:val="0"/>
          <w:szCs w:val="32"/>
        </w:rPr>
        <w:t>理顺畜间人兽共患病防治体制机制，</w:t>
      </w:r>
      <w:r>
        <w:rPr>
          <w:bCs/>
          <w:szCs w:val="32"/>
        </w:rPr>
        <w:t>各级农业农村主管部门要加强统筹协调和工作调度，指导动物疫病预防控制机构、动物卫生监督机构、农业综合行政执法机构加强协调配合，共同做好畜间人兽共患病防治工作</w:t>
      </w:r>
      <w:r>
        <w:rPr>
          <w:bCs/>
          <w:color w:val="000000"/>
          <w:kern w:val="0"/>
          <w:szCs w:val="32"/>
        </w:rPr>
        <w:t>。</w:t>
      </w:r>
      <w:r>
        <w:rPr>
          <w:bCs/>
          <w:szCs w:val="32"/>
        </w:rPr>
        <w:t>各级农业农村部门要积极与</w:t>
      </w:r>
      <w:r>
        <w:rPr>
          <w:bCs/>
          <w:color w:val="000000"/>
          <w:kern w:val="0"/>
          <w:szCs w:val="32"/>
        </w:rPr>
        <w:t>卫生健康、海关、林业等相关部门协调，建立联防联控机制和联席会议制度，强化疫情会商、信息沟通和措施联动。</w:t>
      </w:r>
      <w:r>
        <w:rPr>
          <w:bCs/>
          <w:color w:val="000000"/>
          <w:szCs w:val="32"/>
          <w:shd w:val="clear" w:color="auto" w:fill="FFFFFF"/>
        </w:rPr>
        <w:t>探索利用大数据信息、人工智能技术确定重点人群和对象，精准推送</w:t>
      </w:r>
      <w:r>
        <w:rPr>
          <w:bCs/>
          <w:color w:val="000000"/>
          <w:kern w:val="0"/>
          <w:szCs w:val="32"/>
        </w:rPr>
        <w:t>畜间人兽共患病</w:t>
      </w:r>
      <w:r>
        <w:rPr>
          <w:bCs/>
          <w:color w:val="000000"/>
          <w:szCs w:val="32"/>
          <w:shd w:val="clear" w:color="auto" w:fill="FFFFFF"/>
        </w:rPr>
        <w:t>防治信息，</w:t>
      </w:r>
      <w:r>
        <w:rPr>
          <w:bCs/>
          <w:color w:val="000000"/>
          <w:kern w:val="0"/>
          <w:szCs w:val="32"/>
        </w:rPr>
        <w:t>及时发布疫病监测情况和</w:t>
      </w:r>
      <w:r>
        <w:rPr>
          <w:bCs/>
          <w:color w:val="000000"/>
          <w:szCs w:val="32"/>
          <w:shd w:val="clear" w:color="auto" w:fill="FFFFFF"/>
        </w:rPr>
        <w:t>风险提示，</w:t>
      </w:r>
      <w:r>
        <w:rPr>
          <w:bCs/>
          <w:color w:val="000000"/>
          <w:kern w:val="0"/>
          <w:szCs w:val="32"/>
        </w:rPr>
        <w:t>增强畜牧兽医从业者和社会公众的防疫意识和能力。</w:t>
      </w:r>
    </w:p>
    <w:p>
      <w:pPr>
        <w:pStyle w:val="5"/>
        <w:ind w:firstLine="640"/>
      </w:pPr>
      <w:r>
        <w:t>（四）强化督促反馈</w:t>
      </w:r>
    </w:p>
    <w:p>
      <w:pPr>
        <w:spacing w:line="579" w:lineRule="exact"/>
        <w:ind w:firstLine="616"/>
        <w:rPr>
          <w:bCs/>
          <w:color w:val="000000"/>
          <w:kern w:val="0"/>
          <w:szCs w:val="32"/>
        </w:rPr>
      </w:pPr>
      <w:r>
        <w:rPr>
          <w:bCs/>
          <w:color w:val="000000"/>
          <w:spacing w:val="-6"/>
          <w:kern w:val="0"/>
          <w:szCs w:val="32"/>
        </w:rPr>
        <w:t>省农业农村厅将会同相关部门，制定畜间人兽共患病防治任务清单和考核评价指标，组织开展督促指导和考核评价。并对规划实施情况开展阶段性评估指导，结合春防秋防检查，定期调度和通报有关情况，将结果与动物防疫补助等经费项目费分配挂钩。</w:t>
      </w: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60" w:lineRule="exact"/>
        <w:ind w:firstLine="320" w:firstLineChars="100"/>
        <w:rPr>
          <w:color w:val="000000"/>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15940" cy="0"/>
                <wp:effectExtent l="0" t="0" r="0" b="0"/>
                <wp:wrapNone/>
                <wp:docPr id="1" name="直线 42"/>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pt;margin-top:1.05pt;height:0pt;width:442.2pt;z-index:251659264;mso-width-relative:page;mso-height-relative:page;" filled="f" stroked="t" coordsize="21600,21600" o:gfxdata="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5h1ftMAAAAE&#10;AQAADwAAAAAAAAABACAAAAAiAAAAZHJzL2Rvd25yZXYueG1sUEsBAhQAFAAAAAgAh07iQArt4Tro&#10;AQAA3AMAAA4AAAAAAAAAAQAgAAAAIgEAAGRycy9lMm9Eb2MueG1sUEsFBgAAAAAGAAYAWQEAAHwF&#10;AAAAAA==&#10;">
                <v:fill on="f" focussize="0,0"/>
                <v:stroke weight="0.35pt" color="#000000" joinstyle="round"/>
                <v:imagedata o:title=""/>
                <o:lock v:ext="edit" aspectratio="f"/>
              </v:lin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15940" cy="0"/>
                <wp:effectExtent l="0" t="0" r="0" b="0"/>
                <wp:wrapNone/>
                <wp:docPr id="2" name="直线 43"/>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0pt;margin-top:30.95pt;height:0pt;width:442.2pt;z-index:251660288;mso-width-relative:page;mso-height-relative:page;" filled="f" stroked="t" coordsize="21600,21600" o:gfxdata="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KrxHtUA&#10;AAAGAQAADwAAAAAAAAABACAAAAAiAAAAZHJzL2Rvd25yZXYueG1sUEsBAhQAFAAAAAgAh07iQDxX&#10;ha7pAQAA3AMAAA4AAAAAAAAAAQAgAAAAJAEAAGRycy9lMm9Eb2MueG1sUEsFBgAAAAAGAAYAWQEA&#10;AH8FAAAAAA==&#10;">
                <v:fill on="f" focussize="0,0"/>
                <v:stroke weight="0.35pt" color="#000000" joinstyle="round"/>
                <v:imagedata o:title=""/>
                <o:lock v:ext="edit" aspectratio="f"/>
              </v:line>
            </w:pict>
          </mc:Fallback>
        </mc:AlternateContent>
      </w:r>
      <w:r>
        <w:rPr>
          <w:color w:val="000000"/>
          <w:sz w:val="28"/>
          <w:szCs w:val="28"/>
        </w:rPr>
        <w:t>湖南省农业农村厅办公室                2022年12月28日印发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0" w:firstLineChars="0"/>
      <w:rPr>
        <w:rStyle w:val="21"/>
        <w:sz w:val="28"/>
        <w:szCs w:val="28"/>
      </w:rPr>
    </w:pPr>
    <w:r>
      <w:rPr>
        <w:rStyle w:val="21"/>
        <w:rFonts w:hint="eastAsia"/>
        <w:sz w:val="28"/>
        <w:szCs w:val="28"/>
      </w:rPr>
      <w:t>—</w:t>
    </w:r>
    <w:r>
      <w:rPr>
        <w:sz w:val="28"/>
        <w:szCs w:val="28"/>
      </w:rPr>
      <w:fldChar w:fldCharType="begin"/>
    </w:r>
    <w:r>
      <w:rPr>
        <w:rStyle w:val="21"/>
        <w:sz w:val="28"/>
        <w:szCs w:val="28"/>
      </w:rPr>
      <w:instrText xml:space="preserve">PAGE  </w:instrText>
    </w:r>
    <w:r>
      <w:rPr>
        <w:sz w:val="28"/>
        <w:szCs w:val="28"/>
      </w:rPr>
      <w:fldChar w:fldCharType="separate"/>
    </w:r>
    <w:r>
      <w:rPr>
        <w:rStyle w:val="21"/>
        <w:sz w:val="28"/>
        <w:szCs w:val="28"/>
        <w:lang/>
      </w:rPr>
      <w:t>2</w:t>
    </w:r>
    <w:r>
      <w:rPr>
        <w:sz w:val="28"/>
        <w:szCs w:val="28"/>
      </w:rPr>
      <w:fldChar w:fldCharType="end"/>
    </w:r>
    <w:r>
      <w:rPr>
        <w:rStyle w:val="21"/>
        <w:rFonts w:hint="eastAsia"/>
        <w:sz w:val="28"/>
        <w:szCs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360"/>
      <w:rPr>
        <w:rStyle w:val="21"/>
      </w:rPr>
    </w:pPr>
    <w:r>
      <w:fldChar w:fldCharType="begin"/>
    </w:r>
    <w:r>
      <w:rPr>
        <w:rStyle w:val="21"/>
      </w:rPr>
      <w:instrText xml:space="preserve">PAGE  </w:instrText>
    </w:r>
    <w:r>
      <w:fldChar w:fldCharType="separate"/>
    </w:r>
    <w:r>
      <w:rPr>
        <w:rStyle w:val="21"/>
        <w:lang/>
      </w:rPr>
      <w:t>2</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ZjY1NDAzMWMzN2QwNzg2OTJjMDFhYjRjYTZkZTMifQ=="/>
  </w:docVars>
  <w:rsids>
    <w:rsidRoot w:val="00251ED1"/>
    <w:rsid w:val="00001D0D"/>
    <w:rsid w:val="00006C32"/>
    <w:rsid w:val="000070BB"/>
    <w:rsid w:val="00007908"/>
    <w:rsid w:val="00007A2A"/>
    <w:rsid w:val="0004127B"/>
    <w:rsid w:val="00061E0A"/>
    <w:rsid w:val="000651D7"/>
    <w:rsid w:val="00081764"/>
    <w:rsid w:val="00090311"/>
    <w:rsid w:val="00091522"/>
    <w:rsid w:val="000C1B41"/>
    <w:rsid w:val="000D695F"/>
    <w:rsid w:val="000D7E84"/>
    <w:rsid w:val="000F43A1"/>
    <w:rsid w:val="00105649"/>
    <w:rsid w:val="0010709A"/>
    <w:rsid w:val="001268CD"/>
    <w:rsid w:val="00130888"/>
    <w:rsid w:val="00136317"/>
    <w:rsid w:val="00137536"/>
    <w:rsid w:val="001377BA"/>
    <w:rsid w:val="0015554F"/>
    <w:rsid w:val="0019261B"/>
    <w:rsid w:val="001B6E9A"/>
    <w:rsid w:val="001C22AE"/>
    <w:rsid w:val="001C7FE3"/>
    <w:rsid w:val="001D4AFD"/>
    <w:rsid w:val="001E56FA"/>
    <w:rsid w:val="001F7E44"/>
    <w:rsid w:val="0020637D"/>
    <w:rsid w:val="002121D0"/>
    <w:rsid w:val="00215AAE"/>
    <w:rsid w:val="002450AD"/>
    <w:rsid w:val="00251ED1"/>
    <w:rsid w:val="00292204"/>
    <w:rsid w:val="00293EAF"/>
    <w:rsid w:val="00293F32"/>
    <w:rsid w:val="002A3CA4"/>
    <w:rsid w:val="002C02DE"/>
    <w:rsid w:val="002C2BE9"/>
    <w:rsid w:val="002C6F29"/>
    <w:rsid w:val="002D5F5D"/>
    <w:rsid w:val="002E37FF"/>
    <w:rsid w:val="002F4908"/>
    <w:rsid w:val="002F4C64"/>
    <w:rsid w:val="002F5464"/>
    <w:rsid w:val="003326BD"/>
    <w:rsid w:val="00340785"/>
    <w:rsid w:val="00346980"/>
    <w:rsid w:val="00354E3D"/>
    <w:rsid w:val="00361BA3"/>
    <w:rsid w:val="003837BF"/>
    <w:rsid w:val="003A225C"/>
    <w:rsid w:val="003B61D2"/>
    <w:rsid w:val="003B68C1"/>
    <w:rsid w:val="003D1A2E"/>
    <w:rsid w:val="003D383D"/>
    <w:rsid w:val="003D4160"/>
    <w:rsid w:val="003E6E7A"/>
    <w:rsid w:val="003F569A"/>
    <w:rsid w:val="003F6070"/>
    <w:rsid w:val="003F6FAE"/>
    <w:rsid w:val="003F7FA2"/>
    <w:rsid w:val="0041133A"/>
    <w:rsid w:val="0042011E"/>
    <w:rsid w:val="0042601C"/>
    <w:rsid w:val="00427D75"/>
    <w:rsid w:val="00447ED8"/>
    <w:rsid w:val="00457133"/>
    <w:rsid w:val="00460443"/>
    <w:rsid w:val="004645D7"/>
    <w:rsid w:val="00470C1E"/>
    <w:rsid w:val="0048169E"/>
    <w:rsid w:val="00491265"/>
    <w:rsid w:val="004A4F35"/>
    <w:rsid w:val="004B2225"/>
    <w:rsid w:val="004B4FE9"/>
    <w:rsid w:val="004D0131"/>
    <w:rsid w:val="004E6FE0"/>
    <w:rsid w:val="00520B7F"/>
    <w:rsid w:val="00527AFA"/>
    <w:rsid w:val="005357A5"/>
    <w:rsid w:val="00547ADF"/>
    <w:rsid w:val="005513D6"/>
    <w:rsid w:val="005630F8"/>
    <w:rsid w:val="00570F7F"/>
    <w:rsid w:val="00576DA7"/>
    <w:rsid w:val="005B16E7"/>
    <w:rsid w:val="005F0127"/>
    <w:rsid w:val="005F5909"/>
    <w:rsid w:val="00606BEA"/>
    <w:rsid w:val="00620A06"/>
    <w:rsid w:val="00623F5C"/>
    <w:rsid w:val="00635979"/>
    <w:rsid w:val="006867BE"/>
    <w:rsid w:val="00687D51"/>
    <w:rsid w:val="00690E4B"/>
    <w:rsid w:val="0069343F"/>
    <w:rsid w:val="006B0675"/>
    <w:rsid w:val="006B2A1B"/>
    <w:rsid w:val="006B44B2"/>
    <w:rsid w:val="006C1646"/>
    <w:rsid w:val="006C1E2E"/>
    <w:rsid w:val="006C285B"/>
    <w:rsid w:val="006C38AC"/>
    <w:rsid w:val="006C5097"/>
    <w:rsid w:val="006D159C"/>
    <w:rsid w:val="006D180D"/>
    <w:rsid w:val="006D57C6"/>
    <w:rsid w:val="006E5060"/>
    <w:rsid w:val="006E5C7E"/>
    <w:rsid w:val="006E6528"/>
    <w:rsid w:val="0070643A"/>
    <w:rsid w:val="00706782"/>
    <w:rsid w:val="00711091"/>
    <w:rsid w:val="007130C8"/>
    <w:rsid w:val="0073058D"/>
    <w:rsid w:val="00731FD8"/>
    <w:rsid w:val="00733089"/>
    <w:rsid w:val="0073790C"/>
    <w:rsid w:val="0074608C"/>
    <w:rsid w:val="0075390B"/>
    <w:rsid w:val="007568E8"/>
    <w:rsid w:val="00773DAA"/>
    <w:rsid w:val="00783D94"/>
    <w:rsid w:val="00791964"/>
    <w:rsid w:val="007B6D99"/>
    <w:rsid w:val="007D10F7"/>
    <w:rsid w:val="007F4C07"/>
    <w:rsid w:val="007F732C"/>
    <w:rsid w:val="0080406F"/>
    <w:rsid w:val="008053E0"/>
    <w:rsid w:val="00812925"/>
    <w:rsid w:val="00821DD4"/>
    <w:rsid w:val="00822CC0"/>
    <w:rsid w:val="00823403"/>
    <w:rsid w:val="00825531"/>
    <w:rsid w:val="008413A8"/>
    <w:rsid w:val="008623AE"/>
    <w:rsid w:val="008801BC"/>
    <w:rsid w:val="0088031F"/>
    <w:rsid w:val="008849F7"/>
    <w:rsid w:val="00891B53"/>
    <w:rsid w:val="00894C34"/>
    <w:rsid w:val="008B6A32"/>
    <w:rsid w:val="008C17DA"/>
    <w:rsid w:val="008E7182"/>
    <w:rsid w:val="008F5E38"/>
    <w:rsid w:val="008F7A7F"/>
    <w:rsid w:val="00901CF8"/>
    <w:rsid w:val="0090777C"/>
    <w:rsid w:val="00917217"/>
    <w:rsid w:val="0093506A"/>
    <w:rsid w:val="00962E71"/>
    <w:rsid w:val="00964ADC"/>
    <w:rsid w:val="0097251B"/>
    <w:rsid w:val="00975EF5"/>
    <w:rsid w:val="00977FED"/>
    <w:rsid w:val="009A23D6"/>
    <w:rsid w:val="009A6FFC"/>
    <w:rsid w:val="009B48A8"/>
    <w:rsid w:val="009B6E9B"/>
    <w:rsid w:val="009C269B"/>
    <w:rsid w:val="009C4BA5"/>
    <w:rsid w:val="009F168E"/>
    <w:rsid w:val="00A0669D"/>
    <w:rsid w:val="00A32391"/>
    <w:rsid w:val="00A36FEC"/>
    <w:rsid w:val="00A43102"/>
    <w:rsid w:val="00A70CA8"/>
    <w:rsid w:val="00A75C4C"/>
    <w:rsid w:val="00A86E3A"/>
    <w:rsid w:val="00AA1884"/>
    <w:rsid w:val="00AA65DD"/>
    <w:rsid w:val="00AA771C"/>
    <w:rsid w:val="00AB6476"/>
    <w:rsid w:val="00AB7578"/>
    <w:rsid w:val="00AC42EF"/>
    <w:rsid w:val="00AD233F"/>
    <w:rsid w:val="00AD4BBF"/>
    <w:rsid w:val="00AD7358"/>
    <w:rsid w:val="00AE253A"/>
    <w:rsid w:val="00AF2506"/>
    <w:rsid w:val="00B01682"/>
    <w:rsid w:val="00B06F20"/>
    <w:rsid w:val="00B10150"/>
    <w:rsid w:val="00B147B6"/>
    <w:rsid w:val="00B15CE7"/>
    <w:rsid w:val="00B235FD"/>
    <w:rsid w:val="00B23B84"/>
    <w:rsid w:val="00B24AE3"/>
    <w:rsid w:val="00B32A8A"/>
    <w:rsid w:val="00B4037B"/>
    <w:rsid w:val="00B54BBB"/>
    <w:rsid w:val="00B624A4"/>
    <w:rsid w:val="00B663B8"/>
    <w:rsid w:val="00B6716C"/>
    <w:rsid w:val="00B674E4"/>
    <w:rsid w:val="00B718C5"/>
    <w:rsid w:val="00B84A53"/>
    <w:rsid w:val="00B8517D"/>
    <w:rsid w:val="00B94656"/>
    <w:rsid w:val="00BA0AD0"/>
    <w:rsid w:val="00BA7C79"/>
    <w:rsid w:val="00BB3DE4"/>
    <w:rsid w:val="00BB5CD8"/>
    <w:rsid w:val="00BB65B3"/>
    <w:rsid w:val="00BB6AD1"/>
    <w:rsid w:val="00BC2F50"/>
    <w:rsid w:val="00BC7E4F"/>
    <w:rsid w:val="00BD741D"/>
    <w:rsid w:val="00BD7E03"/>
    <w:rsid w:val="00BF0BFB"/>
    <w:rsid w:val="00BF1477"/>
    <w:rsid w:val="00C0213D"/>
    <w:rsid w:val="00C044E5"/>
    <w:rsid w:val="00C073A0"/>
    <w:rsid w:val="00C1755D"/>
    <w:rsid w:val="00C3421B"/>
    <w:rsid w:val="00C41B1C"/>
    <w:rsid w:val="00C73CAE"/>
    <w:rsid w:val="00C8160B"/>
    <w:rsid w:val="00C86A8F"/>
    <w:rsid w:val="00C975DF"/>
    <w:rsid w:val="00CB5512"/>
    <w:rsid w:val="00CC3B15"/>
    <w:rsid w:val="00CC44D1"/>
    <w:rsid w:val="00CC6D71"/>
    <w:rsid w:val="00CF7FE3"/>
    <w:rsid w:val="00D01B31"/>
    <w:rsid w:val="00D05401"/>
    <w:rsid w:val="00D10CA4"/>
    <w:rsid w:val="00D117AE"/>
    <w:rsid w:val="00D20223"/>
    <w:rsid w:val="00D24718"/>
    <w:rsid w:val="00D508AA"/>
    <w:rsid w:val="00D66493"/>
    <w:rsid w:val="00D7010C"/>
    <w:rsid w:val="00D7623D"/>
    <w:rsid w:val="00D7641E"/>
    <w:rsid w:val="00D82337"/>
    <w:rsid w:val="00D95331"/>
    <w:rsid w:val="00D96068"/>
    <w:rsid w:val="00DF1B80"/>
    <w:rsid w:val="00DF2AA3"/>
    <w:rsid w:val="00E06D71"/>
    <w:rsid w:val="00E3159F"/>
    <w:rsid w:val="00E3393A"/>
    <w:rsid w:val="00E56355"/>
    <w:rsid w:val="00E60CDB"/>
    <w:rsid w:val="00E720E8"/>
    <w:rsid w:val="00E845D7"/>
    <w:rsid w:val="00EB13FB"/>
    <w:rsid w:val="00EB3EA1"/>
    <w:rsid w:val="00EB73DF"/>
    <w:rsid w:val="00EC508F"/>
    <w:rsid w:val="00EC7DD2"/>
    <w:rsid w:val="00ED4053"/>
    <w:rsid w:val="00EF0B1C"/>
    <w:rsid w:val="00EF3047"/>
    <w:rsid w:val="00F07B36"/>
    <w:rsid w:val="00F451CB"/>
    <w:rsid w:val="00F472A5"/>
    <w:rsid w:val="00F509BB"/>
    <w:rsid w:val="00F567D6"/>
    <w:rsid w:val="00F67955"/>
    <w:rsid w:val="00F7403A"/>
    <w:rsid w:val="00F8230A"/>
    <w:rsid w:val="00F946ED"/>
    <w:rsid w:val="00F96F2F"/>
    <w:rsid w:val="00FA113D"/>
    <w:rsid w:val="00FA6FE8"/>
    <w:rsid w:val="00FB4C0B"/>
    <w:rsid w:val="00FC3452"/>
    <w:rsid w:val="00FE59BB"/>
    <w:rsid w:val="03BA492B"/>
    <w:rsid w:val="106055F1"/>
    <w:rsid w:val="55F8060A"/>
    <w:rsid w:val="69D74B91"/>
    <w:rsid w:val="6FD24EF9"/>
    <w:rsid w:val="71A3003F"/>
    <w:rsid w:val="7465764F"/>
    <w:rsid w:val="769577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3">
    <w:name w:val="heading 1"/>
    <w:basedOn w:val="1"/>
    <w:next w:val="1"/>
    <w:link w:val="22"/>
    <w:qFormat/>
    <w:uiPriority w:val="0"/>
    <w:pPr>
      <w:spacing w:line="700" w:lineRule="exact"/>
      <w:ind w:firstLine="0" w:firstLineChars="0"/>
      <w:jc w:val="center"/>
      <w:outlineLvl w:val="0"/>
    </w:pPr>
    <w:rPr>
      <w:rFonts w:eastAsia="方正小标宋简体"/>
      <w:bCs/>
      <w:kern w:val="44"/>
      <w:sz w:val="44"/>
      <w:szCs w:val="44"/>
    </w:rPr>
  </w:style>
  <w:style w:type="paragraph" w:styleId="4">
    <w:name w:val="heading 2"/>
    <w:basedOn w:val="1"/>
    <w:next w:val="1"/>
    <w:link w:val="23"/>
    <w:qFormat/>
    <w:uiPriority w:val="0"/>
    <w:pPr>
      <w:outlineLvl w:val="1"/>
    </w:pPr>
    <w:rPr>
      <w:rFonts w:eastAsia="黑体"/>
      <w:bCs/>
      <w:szCs w:val="32"/>
    </w:rPr>
  </w:style>
  <w:style w:type="paragraph" w:styleId="5">
    <w:name w:val="heading 3"/>
    <w:basedOn w:val="1"/>
    <w:next w:val="1"/>
    <w:link w:val="24"/>
    <w:qFormat/>
    <w:uiPriority w:val="0"/>
    <w:pPr>
      <w:outlineLvl w:val="2"/>
    </w:pPr>
    <w:rPr>
      <w:rFonts w:eastAsia="楷体_GB2312"/>
      <w:b/>
      <w:bCs/>
      <w:szCs w:val="32"/>
    </w:rPr>
  </w:style>
  <w:style w:type="paragraph" w:styleId="6">
    <w:name w:val="heading 4"/>
    <w:basedOn w:val="1"/>
    <w:next w:val="1"/>
    <w:link w:val="25"/>
    <w:qFormat/>
    <w:uiPriority w:val="0"/>
    <w:pPr>
      <w:spacing w:before="50" w:beforeLines="50" w:after="50" w:afterLines="50" w:line="500" w:lineRule="exact"/>
      <w:ind w:firstLine="0" w:firstLineChars="0"/>
      <w:jc w:val="center"/>
      <w:outlineLvl w:val="3"/>
    </w:pPr>
    <w:rPr>
      <w:rFonts w:eastAsia="方正小标宋简体"/>
      <w:bCs/>
      <w:sz w:val="36"/>
      <w:szCs w:val="28"/>
    </w:rPr>
  </w:style>
  <w:style w:type="paragraph" w:styleId="7">
    <w:name w:val="heading 7"/>
    <w:basedOn w:val="1"/>
    <w:next w:val="1"/>
    <w:qFormat/>
    <w:uiPriority w:val="0"/>
    <w:pPr>
      <w:keepNext/>
      <w:keepLines/>
      <w:spacing w:before="240" w:after="64" w:line="320" w:lineRule="atLeast"/>
      <w:outlineLvl w:val="6"/>
    </w:pPr>
    <w:rPr>
      <w:b/>
      <w:bCs/>
      <w:sz w:val="24"/>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2">
    <w:name w:val="Title"/>
    <w:basedOn w:val="1"/>
    <w:qFormat/>
    <w:uiPriority w:val="10"/>
    <w:pPr>
      <w:spacing w:before="240" w:after="60"/>
      <w:jc w:val="center"/>
      <w:outlineLvl w:val="0"/>
    </w:pPr>
    <w:rPr>
      <w:rFonts w:ascii="Arial" w:hAnsi="Arial"/>
      <w:b/>
      <w:sz w:val="32"/>
    </w:rPr>
  </w:style>
  <w:style w:type="paragraph" w:styleId="8">
    <w:name w:val="Body Text 3"/>
    <w:basedOn w:val="1"/>
    <w:uiPriority w:val="0"/>
    <w:pPr>
      <w:spacing w:after="120"/>
    </w:pPr>
    <w:rPr>
      <w:sz w:val="16"/>
      <w:szCs w:val="16"/>
    </w:rPr>
  </w:style>
  <w:style w:type="paragraph" w:styleId="9">
    <w:name w:val="Plain Text"/>
    <w:basedOn w:val="1"/>
    <w:link w:val="26"/>
    <w:uiPriority w:val="0"/>
    <w:pPr>
      <w:adjustRightInd/>
      <w:snapToGrid/>
      <w:spacing w:line="240" w:lineRule="auto"/>
      <w:ind w:firstLine="0" w:firstLineChars="0"/>
    </w:pPr>
    <w:rPr>
      <w:rFonts w:ascii="宋体" w:hAnsi="Courier New" w:eastAsia="宋体" w:cs="Courier New"/>
      <w:sz w:val="21"/>
      <w:szCs w:val="21"/>
    </w:rPr>
  </w:style>
  <w:style w:type="paragraph" w:styleId="10">
    <w:name w:val="Date"/>
    <w:basedOn w:val="1"/>
    <w:next w:val="1"/>
    <w:uiPriority w:val="0"/>
    <w:pPr>
      <w:ind w:left="100" w:leftChars="2500"/>
    </w:pPr>
  </w:style>
  <w:style w:type="paragraph" w:styleId="11">
    <w:name w:val="Body Text Indent 2"/>
    <w:basedOn w:val="1"/>
    <w:uiPriority w:val="0"/>
    <w:pPr>
      <w:adjustRightInd/>
      <w:snapToGrid/>
      <w:spacing w:line="240" w:lineRule="auto"/>
      <w:ind w:firstLine="420"/>
    </w:pPr>
    <w:rPr>
      <w:rFonts w:ascii="仿宋_GB2312"/>
      <w:color w:val="FF6600"/>
      <w:sz w:val="21"/>
    </w:rPr>
  </w:style>
  <w:style w:type="paragraph" w:styleId="12">
    <w:name w:val="Balloon Text"/>
    <w:basedOn w:val="1"/>
    <w:link w:val="27"/>
    <w:semiHidden/>
    <w:uiPriority w:val="0"/>
    <w:pPr>
      <w:adjustRightInd/>
      <w:snapToGrid/>
      <w:spacing w:line="240" w:lineRule="auto"/>
      <w:ind w:firstLine="0" w:firstLineChars="0"/>
    </w:pPr>
    <w:rPr>
      <w:rFonts w:eastAsia="宋体"/>
      <w:sz w:val="18"/>
      <w:szCs w:val="18"/>
    </w:rPr>
  </w:style>
  <w:style w:type="paragraph" w:styleId="13">
    <w:name w:val="footer"/>
    <w:basedOn w:val="1"/>
    <w:link w:val="28"/>
    <w:uiPriority w:val="0"/>
    <w:pPr>
      <w:tabs>
        <w:tab w:val="center" w:pos="4153"/>
        <w:tab w:val="right" w:pos="8306"/>
      </w:tabs>
      <w:snapToGrid w:val="0"/>
      <w:spacing w:line="240" w:lineRule="atLeast"/>
      <w:jc w:val="left"/>
    </w:pPr>
    <w:rPr>
      <w:sz w:val="18"/>
      <w:szCs w:val="18"/>
    </w:rPr>
  </w:style>
  <w:style w:type="paragraph" w:styleId="14">
    <w:name w:val="header"/>
    <w:basedOn w:val="1"/>
    <w:link w:val="29"/>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HTML Preformatted"/>
    <w:basedOn w:val="1"/>
    <w:link w:val="30"/>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8">
    <w:name w:val="Table Grid"/>
    <w:basedOn w:val="17"/>
    <w:uiPriority w:val="0"/>
    <w:pPr>
      <w:widowControl w:val="0"/>
      <w:adjustRightInd w:val="0"/>
      <w:snapToGrid w:val="0"/>
      <w:spacing w:line="590" w:lineRule="atLeast"/>
      <w:ind w:firstLine="200" w:firstLineChars="20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uiPriority w:val="0"/>
  </w:style>
  <w:style w:type="character" w:customStyle="1" w:styleId="22">
    <w:name w:val="标题 1 Char"/>
    <w:basedOn w:val="19"/>
    <w:link w:val="3"/>
    <w:locked/>
    <w:uiPriority w:val="0"/>
    <w:rPr>
      <w:rFonts w:eastAsia="方正小标宋简体"/>
      <w:bCs/>
      <w:kern w:val="44"/>
      <w:sz w:val="44"/>
      <w:szCs w:val="44"/>
    </w:rPr>
  </w:style>
  <w:style w:type="character" w:customStyle="1" w:styleId="23">
    <w:name w:val="标题 2 Char"/>
    <w:basedOn w:val="19"/>
    <w:link w:val="4"/>
    <w:uiPriority w:val="0"/>
    <w:rPr>
      <w:rFonts w:eastAsia="黑体"/>
      <w:bCs/>
      <w:kern w:val="2"/>
      <w:sz w:val="32"/>
      <w:szCs w:val="32"/>
    </w:rPr>
  </w:style>
  <w:style w:type="character" w:customStyle="1" w:styleId="24">
    <w:name w:val="标题 3 Char"/>
    <w:basedOn w:val="19"/>
    <w:link w:val="5"/>
    <w:uiPriority w:val="0"/>
    <w:rPr>
      <w:rFonts w:eastAsia="楷体_GB2312"/>
      <w:b/>
      <w:bCs/>
      <w:kern w:val="2"/>
      <w:sz w:val="32"/>
      <w:szCs w:val="32"/>
    </w:rPr>
  </w:style>
  <w:style w:type="character" w:customStyle="1" w:styleId="25">
    <w:name w:val="标题 4 Char1"/>
    <w:basedOn w:val="19"/>
    <w:link w:val="6"/>
    <w:locked/>
    <w:uiPriority w:val="0"/>
    <w:rPr>
      <w:rFonts w:eastAsia="方正小标宋简体"/>
      <w:bCs/>
      <w:kern w:val="2"/>
      <w:sz w:val="36"/>
      <w:szCs w:val="28"/>
    </w:rPr>
  </w:style>
  <w:style w:type="character" w:customStyle="1" w:styleId="26">
    <w:name w:val="纯文本 Char"/>
    <w:basedOn w:val="19"/>
    <w:link w:val="9"/>
    <w:locked/>
    <w:uiPriority w:val="0"/>
    <w:rPr>
      <w:rFonts w:ascii="宋体" w:hAnsi="Courier New" w:eastAsia="宋体" w:cs="Courier New"/>
      <w:kern w:val="2"/>
      <w:sz w:val="21"/>
      <w:szCs w:val="21"/>
      <w:lang w:val="en-US" w:eastAsia="zh-CN" w:bidi="ar-SA"/>
    </w:rPr>
  </w:style>
  <w:style w:type="character" w:customStyle="1" w:styleId="27">
    <w:name w:val="批注框文本 Char"/>
    <w:basedOn w:val="19"/>
    <w:link w:val="12"/>
    <w:semiHidden/>
    <w:uiPriority w:val="0"/>
    <w:rPr>
      <w:rFonts w:eastAsia="宋体"/>
      <w:kern w:val="2"/>
      <w:sz w:val="18"/>
      <w:szCs w:val="18"/>
      <w:lang w:val="en-US" w:eastAsia="zh-CN" w:bidi="ar-SA"/>
    </w:rPr>
  </w:style>
  <w:style w:type="character" w:customStyle="1" w:styleId="28">
    <w:name w:val="页脚 Char"/>
    <w:basedOn w:val="19"/>
    <w:link w:val="13"/>
    <w:semiHidden/>
    <w:uiPriority w:val="0"/>
    <w:rPr>
      <w:rFonts w:eastAsia="仿宋_GB2312"/>
      <w:kern w:val="2"/>
      <w:sz w:val="18"/>
      <w:szCs w:val="18"/>
      <w:lang w:val="en-US" w:eastAsia="zh-CN" w:bidi="ar-SA"/>
    </w:rPr>
  </w:style>
  <w:style w:type="character" w:customStyle="1" w:styleId="29">
    <w:name w:val="页眉 Char"/>
    <w:basedOn w:val="19"/>
    <w:link w:val="14"/>
    <w:semiHidden/>
    <w:uiPriority w:val="0"/>
    <w:rPr>
      <w:rFonts w:eastAsia="仿宋_GB2312"/>
      <w:kern w:val="2"/>
      <w:sz w:val="18"/>
      <w:szCs w:val="18"/>
      <w:lang w:val="en-US" w:eastAsia="zh-CN" w:bidi="ar-SA"/>
    </w:rPr>
  </w:style>
  <w:style w:type="character" w:customStyle="1" w:styleId="30">
    <w:name w:val="HTML 预设格式 Char"/>
    <w:basedOn w:val="19"/>
    <w:link w:val="15"/>
    <w:semiHidden/>
    <w:locked/>
    <w:uiPriority w:val="0"/>
    <w:rPr>
      <w:rFonts w:ascii="宋体" w:hAnsi="宋体" w:eastAsia="宋体" w:cs="宋体"/>
      <w:sz w:val="24"/>
      <w:szCs w:val="24"/>
      <w:lang w:val="en-US" w:eastAsia="zh-CN" w:bidi="ar-SA"/>
    </w:rPr>
  </w:style>
  <w:style w:type="character" w:customStyle="1" w:styleId="31">
    <w:name w:val="15"/>
    <w:basedOn w:val="19"/>
    <w:uiPriority w:val="0"/>
    <w:rPr>
      <w:rFonts w:hint="default" w:ascii="Times New Roman" w:hAnsi="Times New Roman" w:cs="Times New Roman"/>
      <w:color w:val="0000FF"/>
      <w:u w:val="single"/>
    </w:rPr>
  </w:style>
  <w:style w:type="character" w:customStyle="1" w:styleId="32">
    <w:name w:val="标题 4 Char"/>
    <w:basedOn w:val="19"/>
    <w:uiPriority w:val="0"/>
    <w:rPr>
      <w:rFonts w:eastAsia="仿宋_GB2312"/>
      <w:bCs/>
      <w:kern w:val="2"/>
      <w:sz w:val="32"/>
      <w:szCs w:val="28"/>
      <w:lang w:val="en-US" w:eastAsia="zh-CN" w:bidi="ar-SA"/>
    </w:rPr>
  </w:style>
  <w:style w:type="paragraph" w:customStyle="1" w:styleId="33">
    <w:name w:val="表头"/>
    <w:basedOn w:val="1"/>
    <w:uiPriority w:val="0"/>
    <w:pPr>
      <w:spacing w:before="80" w:after="80" w:line="280" w:lineRule="atLeast"/>
      <w:ind w:firstLine="0" w:firstLineChars="0"/>
      <w:jc w:val="center"/>
    </w:pPr>
    <w:rPr>
      <w:rFonts w:eastAsia="黑体" w:cs="宋体"/>
      <w:sz w:val="24"/>
    </w:rPr>
  </w:style>
  <w:style w:type="paragraph" w:customStyle="1" w:styleId="34">
    <w:name w:val="表内文字"/>
    <w:basedOn w:val="1"/>
    <w:uiPriority w:val="0"/>
    <w:pPr>
      <w:spacing w:before="60" w:after="60" w:line="280" w:lineRule="atLeast"/>
      <w:ind w:firstLine="0" w:firstLineChars="0"/>
    </w:pPr>
    <w:rPr>
      <w:sz w:val="24"/>
    </w:rPr>
  </w:style>
  <w:style w:type="paragraph" w:customStyle="1" w:styleId="35">
    <w:name w:val="p0"/>
    <w:basedOn w:val="1"/>
    <w:uiPriority w:val="0"/>
    <w:pPr>
      <w:widowControl/>
      <w:adjustRightInd/>
      <w:snapToGrid/>
      <w:spacing w:line="240" w:lineRule="auto"/>
      <w:ind w:firstLine="0" w:firstLineChars="0"/>
    </w:pPr>
    <w:rPr>
      <w:rFonts w:eastAsia="宋体"/>
      <w:kern w:val="0"/>
      <w:sz w:val="21"/>
      <w:szCs w:val="21"/>
    </w:rPr>
  </w:style>
  <w:style w:type="paragraph" w:customStyle="1" w:styleId="36">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7961</Words>
  <Characters>8068</Characters>
  <Lines>59</Lines>
  <Paragraphs>16</Paragraphs>
  <TotalTime>0</TotalTime>
  <ScaleCrop>false</ScaleCrop>
  <LinksUpToDate>false</LinksUpToDate>
  <CharactersWithSpaces>8148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walkinnet</dc:creator>
  <cp:lastModifiedBy>万全鹏</cp:lastModifiedBy>
  <cp:lastPrinted>2018-03-05T02:10:00Z</cp:lastPrinted>
  <dcterms:modified xsi:type="dcterms:W3CDTF">2023-01-03T09:43:55Z</dcterms:modified>
  <dc:title>湘农业函〔2014〕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34076015CA64410FA85CE96A7BB94972</vt:lpwstr>
  </property>
</Properties>
</file>