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A2" w:rsidRDefault="00997E72">
      <w:pPr>
        <w:pStyle w:val="a3"/>
        <w:widowControl/>
        <w:spacing w:before="0" w:beforeAutospacing="0" w:after="0" w:afterAutospacing="0" w:line="600" w:lineRule="atLeast"/>
        <w:jc w:val="both"/>
        <w:rPr>
          <w:rFonts w:ascii="Calibri" w:hAnsi="Calibri" w:cs="Calibri"/>
          <w:sz w:val="48"/>
          <w:szCs w:val="48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Calibri" w:hAnsi="Calibri" w:cs="Calibri"/>
          <w:sz w:val="32"/>
          <w:szCs w:val="32"/>
        </w:rPr>
        <w:t>6</w:t>
      </w:r>
    </w:p>
    <w:p w:rsidR="004B49A2" w:rsidRDefault="004B49A2">
      <w:pPr>
        <w:pStyle w:val="a3"/>
        <w:widowControl/>
        <w:spacing w:before="0" w:beforeAutospacing="0" w:after="0" w:afterAutospacing="0"/>
        <w:jc w:val="center"/>
        <w:rPr>
          <w:rFonts w:ascii="Calibri" w:eastAsia="方正小标宋_GBK" w:hAnsi="Calibri" w:cs="Calibri"/>
          <w:sz w:val="48"/>
          <w:szCs w:val="48"/>
        </w:rPr>
      </w:pPr>
    </w:p>
    <w:p w:rsidR="004B49A2" w:rsidRDefault="004B49A2">
      <w:pPr>
        <w:pStyle w:val="a3"/>
        <w:widowControl/>
        <w:spacing w:before="0" w:beforeAutospacing="0" w:after="0" w:afterAutospacing="0"/>
        <w:jc w:val="center"/>
        <w:rPr>
          <w:rFonts w:ascii="Calibri" w:eastAsia="方正小标宋_GBK" w:hAnsi="Calibri" w:cs="Calibri"/>
          <w:sz w:val="48"/>
          <w:szCs w:val="48"/>
        </w:rPr>
      </w:pP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eastAsia="方正小标宋_GBK" w:hAnsi="Calibri" w:cs="Calibri" w:hint="eastAsia"/>
          <w:sz w:val="48"/>
          <w:szCs w:val="48"/>
        </w:rPr>
        <w:t>2020</w:t>
      </w:r>
      <w:r>
        <w:rPr>
          <w:rFonts w:ascii="方正小标宋_GBK" w:eastAsia="方正小标宋_GBK" w:hAnsi="方正小标宋_GBK" w:cs="方正小标宋_GBK"/>
          <w:sz w:val="48"/>
          <w:szCs w:val="48"/>
        </w:rPr>
        <w:t>年度</w:t>
      </w:r>
      <w:r>
        <w:rPr>
          <w:rFonts w:ascii="Calibri" w:eastAsia="方正小标宋_GBK" w:hAnsi="Calibri" w:cs="Calibri" w:hint="eastAsia"/>
          <w:sz w:val="48"/>
          <w:szCs w:val="48"/>
        </w:rPr>
        <w:t>司法局</w:t>
      </w:r>
      <w:r>
        <w:rPr>
          <w:rFonts w:ascii="方正小标宋_GBK" w:eastAsia="方正小标宋_GBK" w:hAnsi="方正小标宋_GBK" w:cs="方正小标宋_GBK"/>
          <w:sz w:val="48"/>
          <w:szCs w:val="48"/>
        </w:rPr>
        <w:t>整体支出</w:t>
      </w: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_GBK" w:eastAsia="方正小标宋_GBK" w:hAnsi="方正小标宋_GBK" w:cs="方正小标宋_GBK"/>
          <w:sz w:val="48"/>
          <w:szCs w:val="48"/>
        </w:rPr>
        <w:t>绩效自评报告</w:t>
      </w: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 </w:t>
      </w: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 </w:t>
      </w:r>
    </w:p>
    <w:p w:rsidR="004B49A2" w:rsidRDefault="00997E72">
      <w:pPr>
        <w:pStyle w:val="a3"/>
        <w:widowControl/>
        <w:spacing w:before="0" w:beforeAutospacing="0" w:after="0" w:afterAutospacing="0"/>
        <w:ind w:firstLine="88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44"/>
          <w:szCs w:val="44"/>
        </w:rPr>
        <w:t> </w:t>
      </w:r>
    </w:p>
    <w:p w:rsidR="004B49A2" w:rsidRDefault="004B49A2">
      <w:pPr>
        <w:pStyle w:val="a3"/>
        <w:widowControl/>
        <w:spacing w:before="0" w:beforeAutospacing="0" w:after="0" w:afterAutospacing="0"/>
        <w:ind w:firstLine="880"/>
        <w:jc w:val="both"/>
        <w:rPr>
          <w:rFonts w:ascii="Calibri" w:hAnsi="Calibri" w:cs="Calibri"/>
          <w:sz w:val="21"/>
          <w:szCs w:val="21"/>
        </w:rPr>
      </w:pPr>
    </w:p>
    <w:p w:rsidR="004B49A2" w:rsidRDefault="00997E72">
      <w:pPr>
        <w:pStyle w:val="a3"/>
        <w:widowControl/>
        <w:spacing w:before="0" w:beforeAutospacing="0" w:after="0" w:afterAutospacing="0"/>
        <w:ind w:firstLine="88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44"/>
          <w:szCs w:val="44"/>
        </w:rPr>
        <w:t> </w:t>
      </w:r>
    </w:p>
    <w:p w:rsidR="004B49A2" w:rsidRDefault="00997E72">
      <w:pPr>
        <w:pStyle w:val="a3"/>
        <w:widowControl/>
        <w:spacing w:before="0" w:beforeAutospacing="0" w:after="0" w:afterAutospacing="0"/>
        <w:ind w:firstLine="720"/>
        <w:jc w:val="center"/>
        <w:rPr>
          <w:rFonts w:ascii="Calibri" w:hAnsi="Calibri" w:cs="Calibri"/>
          <w:sz w:val="21"/>
          <w:szCs w:val="21"/>
        </w:rPr>
      </w:pPr>
      <w:r>
        <w:rPr>
          <w:rFonts w:ascii="黑体" w:eastAsia="黑体" w:hAnsi="宋体" w:cs="黑体" w:hint="eastAsia"/>
          <w:sz w:val="36"/>
          <w:szCs w:val="36"/>
        </w:rPr>
        <w:t>单位名称（盖章）：</w:t>
      </w:r>
    </w:p>
    <w:p w:rsidR="004B49A2" w:rsidRDefault="00997E72">
      <w:pPr>
        <w:pStyle w:val="a3"/>
        <w:widowControl/>
        <w:spacing w:before="0" w:beforeAutospacing="0" w:after="0" w:afterAutospacing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 </w:t>
      </w:r>
    </w:p>
    <w:p w:rsidR="004B49A2" w:rsidRDefault="004B49A2">
      <w:pPr>
        <w:pStyle w:val="a3"/>
        <w:widowControl/>
        <w:spacing w:before="0" w:beforeAutospacing="0" w:after="0" w:afterAutospacing="0"/>
        <w:jc w:val="both"/>
        <w:rPr>
          <w:rFonts w:ascii="Calibri" w:hAnsi="Calibri" w:cs="Calibri"/>
          <w:sz w:val="21"/>
          <w:szCs w:val="21"/>
        </w:rPr>
      </w:pP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 </w:t>
      </w: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 </w:t>
      </w: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 </w:t>
      </w: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 </w:t>
      </w:r>
    </w:p>
    <w:p w:rsidR="004B49A2" w:rsidRDefault="004B49A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</w:p>
    <w:p w:rsidR="004B49A2" w:rsidRDefault="00997E72">
      <w:pPr>
        <w:pStyle w:val="a3"/>
        <w:widowControl/>
        <w:spacing w:before="0" w:beforeAutospacing="0" w:after="0" w:afterAutospacing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 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一、基本情况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firstLine="643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（一）部门（单位）基本情况</w:t>
      </w:r>
    </w:p>
    <w:p w:rsidR="004B49A2" w:rsidRDefault="00997E7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司法局主要职责为：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1、贯彻执行国家和省、市有关司法行政工作的方针、政策和法律、法规、规章，编制全县司法行政发展规划和年度计划并监督实施。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2、组织实施司法行政方面的法律、法规和规章。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3、指导全县普法依法治理工作；参与社会治安综合治理工作。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4、指导监督全县律师工作和公证工作；负责管理县本级公证机构。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5、会同有关部门对刑满释放和期满解教人员回归社会的安置帮教工作。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6、指导监督全县基层司法所建设和人民调解、社区矫正、基层法律服务工作。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7、监督管理全县法律援助工作。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8、负责仲裁登记工作；指导管理全县面向社会服务的司法鉴定工作。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9、负责全县司法行政系统的计划财务和服装、车辆等物资装备以及基建、国有资产管理工作。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>10、负责全县司法行政系统的队伍建设、思想政治工作、廉政建设工作；指导管理全县司法行政系统的教育培训和警务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工作。 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11、承办县人民政府交办的其他事项 </w:t>
      </w:r>
      <w:r>
        <w:rPr>
          <w:rFonts w:ascii="仿宋" w:eastAsia="仿宋" w:hAnsi="仿宋" w:hint="eastAsia"/>
          <w:kern w:val="0"/>
          <w:sz w:val="32"/>
          <w:szCs w:val="32"/>
        </w:rPr>
        <w:br/>
      </w:r>
      <w:r>
        <w:rPr>
          <w:rFonts w:ascii="仿宋" w:eastAsia="仿宋" w:hAnsi="仿宋" w:hint="eastAsia"/>
          <w:kern w:val="0"/>
          <w:sz w:val="32"/>
          <w:szCs w:val="32"/>
        </w:rPr>
        <w:t> 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部门组织机构及人员情况 ：</w:t>
      </w:r>
    </w:p>
    <w:p w:rsidR="004B49A2" w:rsidRDefault="00997E7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新田县司法局内设局</w:t>
      </w:r>
      <w:r>
        <w:rPr>
          <w:rFonts w:ascii="仿宋" w:eastAsia="仿宋" w:hAnsi="仿宋"/>
          <w:kern w:val="0"/>
          <w:sz w:val="32"/>
          <w:szCs w:val="32"/>
        </w:rPr>
        <w:t>内设</w:t>
      </w:r>
      <w:r>
        <w:rPr>
          <w:rFonts w:ascii="仿宋" w:eastAsia="仿宋" w:hAnsi="仿宋" w:hint="eastAsia"/>
          <w:kern w:val="0"/>
          <w:sz w:val="32"/>
          <w:szCs w:val="32"/>
        </w:rPr>
        <w:t>股室10</w:t>
      </w:r>
      <w:r>
        <w:rPr>
          <w:rFonts w:ascii="仿宋" w:eastAsia="仿宋" w:hAnsi="仿宋"/>
          <w:kern w:val="0"/>
          <w:sz w:val="32"/>
          <w:szCs w:val="32"/>
        </w:rPr>
        <w:t>个，所属单位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个。</w:t>
      </w:r>
    </w:p>
    <w:p w:rsidR="004B49A2" w:rsidRDefault="00997E7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内设</w:t>
      </w:r>
      <w:r>
        <w:rPr>
          <w:rFonts w:ascii="仿宋" w:eastAsia="仿宋" w:hAnsi="仿宋" w:hint="eastAsia"/>
          <w:kern w:val="0"/>
          <w:sz w:val="32"/>
          <w:szCs w:val="32"/>
        </w:rPr>
        <w:t>股</w:t>
      </w:r>
      <w:r>
        <w:rPr>
          <w:rFonts w:ascii="仿宋" w:eastAsia="仿宋" w:hAnsi="仿宋"/>
          <w:kern w:val="0"/>
          <w:sz w:val="32"/>
          <w:szCs w:val="32"/>
        </w:rPr>
        <w:t>室分别是</w:t>
      </w:r>
      <w:r>
        <w:rPr>
          <w:rFonts w:ascii="仿宋" w:eastAsia="仿宋" w:hAnsi="仿宋" w:hint="eastAsia"/>
          <w:kern w:val="0"/>
          <w:sz w:val="32"/>
          <w:szCs w:val="32"/>
        </w:rPr>
        <w:t>机关办公室、法治调研与督察股、社区矫正管理股、行政复议与应诉股、行政执法协调监督股、普法与依法治理股、人民参与和促进法治股、公共法律服务管理股、装备财务保障股、政治部。</w:t>
      </w:r>
      <w:r>
        <w:rPr>
          <w:rFonts w:ascii="仿宋" w:eastAsia="仿宋" w:hAnsi="仿宋"/>
          <w:kern w:val="0"/>
          <w:sz w:val="32"/>
          <w:szCs w:val="32"/>
        </w:rPr>
        <w:t>所属单位分别是</w:t>
      </w:r>
      <w:r>
        <w:rPr>
          <w:rFonts w:ascii="仿宋" w:eastAsia="仿宋" w:hAnsi="仿宋" w:hint="eastAsia"/>
          <w:kern w:val="0"/>
          <w:sz w:val="32"/>
          <w:szCs w:val="32"/>
        </w:rPr>
        <w:t>12个乡镇司法所、县法律援助中心、公证处，湖南天常律师事务所。</w:t>
      </w:r>
      <w:r>
        <w:rPr>
          <w:rFonts w:ascii="仿宋" w:eastAsia="仿宋" w:hAnsi="仿宋" w:hint="eastAsia"/>
          <w:kern w:val="0"/>
          <w:sz w:val="32"/>
          <w:szCs w:val="32"/>
        </w:rPr>
        <w:br/>
        <w:t xml:space="preserve">   202</w:t>
      </w:r>
      <w:r w:rsidR="001245D3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Fonts w:ascii="仿宋" w:eastAsia="仿宋" w:hAnsi="仿宋"/>
          <w:kern w:val="0"/>
          <w:sz w:val="32"/>
          <w:szCs w:val="32"/>
        </w:rPr>
        <w:t>部门预算</w:t>
      </w:r>
      <w:r>
        <w:rPr>
          <w:rFonts w:ascii="仿宋" w:eastAsia="仿宋" w:hAnsi="仿宋" w:hint="eastAsia"/>
          <w:kern w:val="0"/>
          <w:sz w:val="32"/>
          <w:szCs w:val="32"/>
        </w:rPr>
        <w:t>单位构成情况：司法局机关及司法所政法专项编制为41人，事业编制14人，实有人数5</w:t>
      </w:r>
      <w:r w:rsidR="001245D3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人，退休人员</w:t>
      </w:r>
      <w:r w:rsidR="001245D3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人，实有车辆1台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4B49A2" w:rsidRDefault="00997E72">
      <w:pPr>
        <w:numPr>
          <w:ilvl w:val="0"/>
          <w:numId w:val="1"/>
        </w:num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部门（单位）年度整体支出绩效目标，省级专项资金绩效目标、其他项目支出（除省级专项资金以外）绩效目标。  </w:t>
      </w:r>
    </w:p>
    <w:p w:rsidR="004B49A2" w:rsidRDefault="00997E7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坚持党建带动，执行力有较大的提升；坚持局所联动，服务大局有新的起色；坚持改革推动，工作实绩有显著提高；坚持整治促动，中心工作有大的进步。</w:t>
      </w:r>
    </w:p>
    <w:p w:rsidR="004B49A2" w:rsidRDefault="00997E72">
      <w:pPr>
        <w:pStyle w:val="a3"/>
        <w:widowControl/>
        <w:numPr>
          <w:ilvl w:val="0"/>
          <w:numId w:val="2"/>
        </w:numPr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一般公共预算支出情况</w:t>
      </w:r>
    </w:p>
    <w:p w:rsidR="004B49A2" w:rsidRDefault="00997E72">
      <w:pPr>
        <w:widowControl/>
        <w:spacing w:line="600" w:lineRule="atLeast"/>
        <w:ind w:firstLine="6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 w:rsidR="00950FF4">
        <w:rPr>
          <w:rFonts w:eastAsia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年一般公共预算拨款收入</w:t>
      </w:r>
      <w:r w:rsidR="00393E8E">
        <w:rPr>
          <w:rFonts w:ascii="仿宋_GB2312" w:eastAsia="仿宋_GB2312" w:cs="仿宋_GB2312" w:hint="eastAsia"/>
          <w:sz w:val="32"/>
          <w:szCs w:val="32"/>
        </w:rPr>
        <w:t>749.67</w:t>
      </w:r>
      <w:r>
        <w:rPr>
          <w:rFonts w:ascii="仿宋_GB2312" w:eastAsia="仿宋_GB2312" w:cs="仿宋_GB2312"/>
          <w:sz w:val="32"/>
          <w:szCs w:val="32"/>
        </w:rPr>
        <w:t>万元，具体安排情况如下：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firstLine="643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（一）基本支出情况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firstLine="643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_GB2312" w:eastAsia="仿宋_GB2312" w:hAnsi="Arial" w:cs="仿宋_GB2312"/>
          <w:sz w:val="32"/>
          <w:szCs w:val="32"/>
        </w:rPr>
        <w:lastRenderedPageBreak/>
        <w:t>基本支出</w:t>
      </w:r>
      <w:r>
        <w:rPr>
          <w:rFonts w:ascii="仿宋_GB2312" w:eastAsia="仿宋_GB2312" w:cs="仿宋_GB2312"/>
          <w:sz w:val="32"/>
          <w:szCs w:val="32"/>
        </w:rPr>
        <w:t>为</w:t>
      </w:r>
      <w:r w:rsidR="00393E8E">
        <w:rPr>
          <w:rFonts w:ascii="仿宋" w:eastAsia="仿宋" w:hAnsi="仿宋" w:hint="eastAsia"/>
          <w:sz w:val="32"/>
          <w:szCs w:val="32"/>
        </w:rPr>
        <w:t>749.67</w:t>
      </w:r>
      <w:r>
        <w:rPr>
          <w:rFonts w:ascii="仿宋_GB2312" w:eastAsia="仿宋_GB2312" w:cs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firstLine="643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（二）项目支出情况</w:t>
      </w:r>
    </w:p>
    <w:p w:rsidR="004B49A2" w:rsidRDefault="00997E72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/>
          <w:kern w:val="2"/>
          <w:sz w:val="32"/>
          <w:szCs w:val="32"/>
        </w:rPr>
        <w:t>项目支出为</w:t>
      </w:r>
      <w:r w:rsidR="00393E8E">
        <w:rPr>
          <w:rFonts w:ascii="仿宋" w:eastAsia="仿宋" w:hAnsi="仿宋" w:cs="仿宋_GB2312" w:hint="eastAsia"/>
          <w:kern w:val="2"/>
          <w:sz w:val="32"/>
          <w:szCs w:val="32"/>
        </w:rPr>
        <w:t>203.69</w:t>
      </w:r>
      <w:r>
        <w:rPr>
          <w:rFonts w:ascii="仿宋" w:eastAsia="仿宋" w:hAnsi="仿宋" w:cs="仿宋_GB2312"/>
          <w:kern w:val="2"/>
          <w:sz w:val="32"/>
          <w:szCs w:val="32"/>
        </w:rPr>
        <w:t>万元，是指单位为完成特定行政工作任务或事业发展目标而发生的支出，包括有关业务工作专项和运行维护专项。其中：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 xml:space="preserve"> 普法工作专项</w:t>
      </w:r>
      <w:r>
        <w:rPr>
          <w:rFonts w:ascii="仿宋" w:eastAsia="仿宋" w:hAnsi="仿宋" w:cs="仿宋_GB2312"/>
          <w:kern w:val="2"/>
          <w:sz w:val="32"/>
          <w:szCs w:val="32"/>
        </w:rPr>
        <w:t>支出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 xml:space="preserve">16.5 </w:t>
      </w:r>
      <w:r>
        <w:rPr>
          <w:rFonts w:ascii="仿宋" w:eastAsia="仿宋" w:hAnsi="仿宋" w:cs="仿宋_GB2312"/>
          <w:kern w:val="2"/>
          <w:sz w:val="32"/>
          <w:szCs w:val="32"/>
        </w:rPr>
        <w:t>万元，主要用于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普法宣传工作</w:t>
      </w:r>
      <w:r>
        <w:rPr>
          <w:rFonts w:ascii="仿宋" w:eastAsia="仿宋" w:hAnsi="仿宋" w:cs="仿宋_GB2312"/>
          <w:kern w:val="2"/>
          <w:sz w:val="32"/>
          <w:szCs w:val="32"/>
        </w:rPr>
        <w:t>方面；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社区矫正</w:t>
      </w:r>
      <w:r>
        <w:rPr>
          <w:rFonts w:ascii="仿宋" w:eastAsia="仿宋" w:hAnsi="仿宋" w:cs="仿宋_GB2312"/>
          <w:kern w:val="2"/>
          <w:sz w:val="32"/>
          <w:szCs w:val="32"/>
        </w:rPr>
        <w:t>专项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支出</w:t>
      </w:r>
      <w:r w:rsidR="00BC4F58">
        <w:rPr>
          <w:rFonts w:ascii="仿宋" w:eastAsia="仿宋" w:hAnsi="仿宋" w:cs="仿宋_GB2312" w:hint="eastAsia"/>
          <w:kern w:val="2"/>
          <w:sz w:val="32"/>
          <w:szCs w:val="32"/>
        </w:rPr>
        <w:t>3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0</w:t>
      </w:r>
      <w:r>
        <w:rPr>
          <w:rFonts w:ascii="仿宋" w:eastAsia="仿宋" w:hAnsi="仿宋" w:cs="仿宋_GB2312"/>
          <w:kern w:val="2"/>
          <w:sz w:val="32"/>
          <w:szCs w:val="32"/>
        </w:rPr>
        <w:t>万元，主要用于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 xml:space="preserve"> 社区矫正工作</w:t>
      </w:r>
      <w:r>
        <w:rPr>
          <w:rFonts w:ascii="仿宋" w:eastAsia="仿宋" w:hAnsi="仿宋" w:cs="仿宋_GB2312"/>
          <w:kern w:val="2"/>
          <w:sz w:val="32"/>
          <w:szCs w:val="32"/>
        </w:rPr>
        <w:t>方面。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法制工作专项经费33万元主要用于（原法制办）的法制工作。</w:t>
      </w:r>
      <w:r w:rsidR="00950FF4">
        <w:rPr>
          <w:rFonts w:ascii="仿宋" w:eastAsia="仿宋" w:hAnsi="仿宋" w:cs="仿宋_GB2312" w:hint="eastAsia"/>
          <w:kern w:val="2"/>
          <w:sz w:val="32"/>
          <w:szCs w:val="32"/>
        </w:rPr>
        <w:t>司法所业务房建设49.27万元</w:t>
      </w:r>
    </w:p>
    <w:p w:rsidR="004B49A2" w:rsidRDefault="00997E72">
      <w:pPr>
        <w:pStyle w:val="a3"/>
        <w:widowControl/>
        <w:numPr>
          <w:ilvl w:val="0"/>
          <w:numId w:val="2"/>
        </w:numPr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政府性基金预算支出情况</w:t>
      </w:r>
    </w:p>
    <w:p w:rsidR="004B49A2" w:rsidRDefault="00997E72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无。</w:t>
      </w:r>
    </w:p>
    <w:p w:rsidR="004B49A2" w:rsidRDefault="00997E72">
      <w:pPr>
        <w:pStyle w:val="a3"/>
        <w:widowControl/>
        <w:numPr>
          <w:ilvl w:val="0"/>
          <w:numId w:val="2"/>
        </w:numPr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国有资本经营预算支出情况</w:t>
      </w:r>
    </w:p>
    <w:p w:rsidR="004B49A2" w:rsidRDefault="00997E72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无。</w:t>
      </w:r>
    </w:p>
    <w:p w:rsidR="004B49A2" w:rsidRDefault="00997E72">
      <w:pPr>
        <w:pStyle w:val="a3"/>
        <w:widowControl/>
        <w:numPr>
          <w:ilvl w:val="0"/>
          <w:numId w:val="2"/>
        </w:numPr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社会保险基金预算支出情况</w:t>
      </w:r>
    </w:p>
    <w:p w:rsidR="004B49A2" w:rsidRDefault="00997E72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无</w:t>
      </w:r>
    </w:p>
    <w:p w:rsidR="004B49A2" w:rsidRDefault="00997E72">
      <w:pPr>
        <w:pStyle w:val="a3"/>
        <w:widowControl/>
        <w:numPr>
          <w:ilvl w:val="0"/>
          <w:numId w:val="2"/>
        </w:numPr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部门整体支出绩效情况</w:t>
      </w:r>
    </w:p>
    <w:p w:rsidR="004B49A2" w:rsidRDefault="00997E72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根据省财政厅湖南省财政厅新田县财政局《关于做好20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 w:rsidR="00BC4F58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年度财政资金绩效评价工作的通知》（新财绩函〔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BC4F58"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〕</w:t>
      </w:r>
      <w:r>
        <w:rPr>
          <w:rFonts w:ascii="仿宋" w:eastAsia="仿宋" w:hAnsi="仿宋" w:cs="仿宋_GB2312" w:hint="eastAsia"/>
          <w:sz w:val="32"/>
          <w:szCs w:val="32"/>
        </w:rPr>
        <w:t>0</w:t>
      </w:r>
      <w:r>
        <w:rPr>
          <w:rFonts w:ascii="仿宋" w:eastAsia="仿宋" w:hAnsi="仿宋" w:cs="仿宋_GB2312"/>
          <w:sz w:val="32"/>
          <w:szCs w:val="32"/>
        </w:rPr>
        <w:t>2号）文件精神，我局召开了专题会议，制定了工作计划，</w:t>
      </w:r>
      <w:r>
        <w:rPr>
          <w:rFonts w:ascii="仿宋" w:eastAsia="仿宋" w:hAnsi="仿宋" w:cs="仿宋_GB2312"/>
          <w:sz w:val="32"/>
          <w:szCs w:val="32"/>
        </w:rPr>
        <w:lastRenderedPageBreak/>
        <w:t>成立了新田县司法局开展全局系统绩效评价工作组。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BC4F58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年绩效情况如下：</w:t>
      </w:r>
    </w:p>
    <w:p w:rsidR="004B49A2" w:rsidRDefault="00997E7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民调解：调处矛盾纠纷716起，调解成功率97.5%其中疑难复杂纠纷60件，三调联动化解11件，群众反映强烈的突出问题和热点矛盾纠纷得到有效排查化解，纠纷调解率和调解成功率进一步提高，乡镇(街道)、村(社区)无因矛盾纠纷调解不及时或调解不当而引发“民转刑”、非正常死亡，群体性械半和群体性上访事件发生。</w:t>
      </w:r>
    </w:p>
    <w:p w:rsidR="004B49A2" w:rsidRDefault="00997E72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普法宣传：</w:t>
      </w:r>
      <w:r>
        <w:rPr>
          <w:rFonts w:ascii="仿宋" w:eastAsia="仿宋" w:hAnsi="仿宋" w:cs="仿宋" w:hint="eastAsia"/>
          <w:sz w:val="32"/>
          <w:szCs w:val="32"/>
        </w:rPr>
        <w:t>制了《新型冠状病毒感染肺炎疫情防控法律知识简明读本》《新型冠状病毒职工防范知识汇编》等宣传资料20余万份，300余期，悬挂宣传横幅1000余条，推送信息2万余条次。各中小学上法治课达120余场次，开展“送法进企业”活动20余次，“以案说法”16堂次；法治宣传栏500余期，法治宣传册、禁毒、信访、反恐、扫黑除恶、环保知识宣传手册等宣传资料100000余份，展出各类法律知识展板400余块，悬挂各类宣传横幅600余条、解答各类人员法律咨询1000余人次。</w:t>
      </w:r>
    </w:p>
    <w:p w:rsidR="004B49A2" w:rsidRDefault="00997E7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人民参与和促进法制：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建立健全12个乡镇人民调解委员会和230个村（居委会）人民调解委员会。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今年3至8月，组织全县各级人民调解员开展了如法网录入培训、新田县2020年人民调解员业务培训会、调解业务技能培训3次培训，进一步完善规范人民调解案卷、人民调解如法网络。制定《新田县人民调解“以奖代补”实施细则》，2020年人民调解案件实现“有案必录如法网”。</w:t>
      </w:r>
    </w:p>
    <w:p w:rsidR="004B49A2" w:rsidRDefault="00997E7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社区矫正和安置帮教：</w:t>
      </w:r>
      <w:r>
        <w:rPr>
          <w:rFonts w:ascii="仿宋" w:eastAsia="仿宋" w:hAnsi="仿宋" w:cs="仿宋" w:hint="eastAsia"/>
          <w:sz w:val="32"/>
          <w:szCs w:val="32"/>
        </w:rPr>
        <w:t>我县共接收社区矫正对象251名，解除社区矫正258人，其中期满解矫250人、收监0人、死亡2人，变更6人。从开展社区矫正工作以来，我县累计接收社区矫正对象1508人，解除矫正1292人，现在册216人。现在册人员按矫正类别分类管制0人，缓刑212人，假释3人，暂予监外执行1人。共接收刑释解教人员348人，其中监所98人，解矫250人。安置帮教348人，安置帮教覆盖率100%，信息衔接率、核查率、回执率均达100%，重新违法犯罪率为零。</w:t>
      </w:r>
    </w:p>
    <w:p w:rsidR="004B49A2" w:rsidRDefault="00997E72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法律援助：</w:t>
      </w:r>
      <w:r>
        <w:rPr>
          <w:rFonts w:ascii="仿宋" w:eastAsia="仿宋" w:hAnsi="仿宋" w:cs="仿宋" w:hint="eastAsia"/>
          <w:sz w:val="32"/>
          <w:szCs w:val="32"/>
        </w:rPr>
        <w:t>全年共办理各类法律援助案件154件，其中民事法律援助案件118件、刑事法律援助案件36件。同时还开展法律援助宣传、法律咨询、送法进社区、企业、工地，解答法律咨询余人600余人次，发放宣传资料4000余份。</w:t>
      </w:r>
    </w:p>
    <w:p w:rsidR="00950FF4" w:rsidRDefault="00950F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新隆、枧头司法所业务房建设全面完成。</w:t>
      </w:r>
    </w:p>
    <w:p w:rsidR="004B49A2" w:rsidRDefault="00997E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（2）质量指标。</w:t>
      </w:r>
    </w:p>
    <w:p w:rsidR="004B49A2" w:rsidRDefault="00997E72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立健全法律援助的各项规章制度，不断规范法律援助运行机制，通过县委巡查组的整改意见，出台法律援助安件指派方案，法律援助案件的指派工作形成了制度化、规范化的管理轨道，法律援助案件数量、质量都有了明显升，社会律师的社会责任意识有了明显增强。</w:t>
      </w:r>
    </w:p>
    <w:p w:rsidR="004B49A2" w:rsidRDefault="00997E72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做到社区矫正工作“0疫情”，社区矫正工作人员“0感染”，社区矫正对象“0违法”。县司法局坚持社区矫正与疫情防控两手抓，在严格落实省厅、市局工作安排部署的同时，创新工作形式，努力做到社区矫正与疫情防控双向并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进。 利用微信群推送《疫情要况》等内容255余条，个别走访提供心理援助服务16人次、法律咨询26次</w:t>
      </w:r>
    </w:p>
    <w:p w:rsidR="004B49A2" w:rsidRDefault="00997E72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</w:t>
      </w:r>
      <w:r>
        <w:rPr>
          <w:rFonts w:eastAsia="仿宋_GB2312" w:hint="eastAsia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装备采购严格按照《</w:t>
      </w:r>
      <w:r>
        <w:rPr>
          <w:rFonts w:eastAsia="仿宋_GB2312"/>
          <w:color w:val="000000"/>
          <w:spacing w:val="6"/>
          <w:sz w:val="32"/>
          <w:szCs w:val="32"/>
        </w:rPr>
        <w:t>司法行政机关财务管理</w:t>
      </w:r>
      <w:r>
        <w:rPr>
          <w:rFonts w:eastAsia="仿宋_GB2312"/>
          <w:sz w:val="32"/>
          <w:szCs w:val="32"/>
        </w:rPr>
        <w:t>办法》规定的开支范围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确定的标准申报计划实施采购，采购过程中</w:t>
      </w:r>
      <w:r>
        <w:rPr>
          <w:rFonts w:eastAsia="仿宋_GB2312"/>
          <w:color w:val="000000"/>
          <w:sz w:val="32"/>
          <w:szCs w:val="32"/>
        </w:rPr>
        <w:t>严格遵守国家、省、市有关政府采购管理的政策法规和各项规章制度，遵循公开、公平、公正的原则，严格履行验收程序和手续，采购装备的不合格比例始终控制在</w:t>
      </w:r>
      <w:r>
        <w:rPr>
          <w:rFonts w:eastAsia="仿宋_GB2312"/>
          <w:color w:val="000000"/>
          <w:sz w:val="32"/>
          <w:szCs w:val="32"/>
        </w:rPr>
        <w:t>1%</w:t>
      </w:r>
      <w:r>
        <w:rPr>
          <w:rFonts w:eastAsia="仿宋_GB2312"/>
          <w:color w:val="000000"/>
          <w:sz w:val="32"/>
          <w:szCs w:val="32"/>
        </w:rPr>
        <w:t>以内，没有收到任何投诉。</w:t>
      </w:r>
    </w:p>
    <w:p w:rsidR="004B49A2" w:rsidRDefault="00997E72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时效指标。</w:t>
      </w:r>
    </w:p>
    <w:p w:rsidR="004B49A2" w:rsidRDefault="00997E72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 w:rsidR="00BC4F58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财政资金</w:t>
      </w:r>
      <w:r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批次</w:t>
      </w:r>
      <w:r>
        <w:rPr>
          <w:rFonts w:eastAsia="仿宋_GB2312"/>
          <w:sz w:val="32"/>
          <w:szCs w:val="32"/>
        </w:rPr>
        <w:t>全部到位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按照年初计划将于年底前</w:t>
      </w:r>
      <w:r>
        <w:rPr>
          <w:rFonts w:eastAsia="仿宋_GB2312" w:hint="eastAsia"/>
          <w:sz w:val="32"/>
          <w:szCs w:val="32"/>
        </w:rPr>
        <w:t>全部</w:t>
      </w:r>
      <w:r>
        <w:rPr>
          <w:rFonts w:eastAsia="仿宋_GB2312"/>
          <w:sz w:val="32"/>
          <w:szCs w:val="32"/>
        </w:rPr>
        <w:t>实施完成</w:t>
      </w:r>
      <w:r>
        <w:rPr>
          <w:rFonts w:eastAsia="仿宋_GB2312" w:hint="eastAsia"/>
          <w:sz w:val="32"/>
          <w:szCs w:val="32"/>
        </w:rPr>
        <w:t>。</w:t>
      </w:r>
    </w:p>
    <w:p w:rsidR="004B49A2" w:rsidRDefault="00997E72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成本指标。</w:t>
      </w:r>
    </w:p>
    <w:p w:rsidR="004B49A2" w:rsidRDefault="00997E72">
      <w:pPr>
        <w:spacing w:line="580" w:lineRule="exact"/>
        <w:ind w:firstLineChars="200" w:firstLine="66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color w:val="000000"/>
          <w:spacing w:val="6"/>
          <w:sz w:val="32"/>
          <w:szCs w:val="32"/>
        </w:rPr>
        <w:t>财政</w:t>
      </w:r>
      <w:r>
        <w:rPr>
          <w:rFonts w:eastAsia="仿宋_GB2312"/>
          <w:color w:val="000000"/>
          <w:spacing w:val="6"/>
          <w:sz w:val="32"/>
          <w:szCs w:val="32"/>
        </w:rPr>
        <w:t>资金由县司法局按照财政部、司法部下发的《司法行政机关财务管理办法》确定的开支范围，按照专款专用、厉行节约的原则执行。</w:t>
      </w:r>
    </w:p>
    <w:p w:rsidR="004B49A2" w:rsidRDefault="00997E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2.效益指标完成情况分析。</w:t>
      </w:r>
    </w:p>
    <w:p w:rsidR="004B49A2" w:rsidRDefault="00997E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（1）经济效益。</w:t>
      </w:r>
    </w:p>
    <w:p w:rsidR="004B49A2" w:rsidRDefault="00997E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局公共法律服务中心及全县十二个乡镇公共法律服务工作站（点）引导困难群众通过在线获取法律咨询和申请法律援助共计394件，其中如法网138件、村(社区)法律顾问微信工作群工作256件。全面推广法律援助“预约办”“在线办”“网上办”“掌上办”， 逐步实现法律援助案件从咨询、申请、受理、指派到办案、结案等网上全流程办理，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提升法律援助工作效率，</w:t>
      </w:r>
    </w:p>
    <w:p w:rsidR="004B49A2" w:rsidRDefault="00997E72">
      <w:pPr>
        <w:numPr>
          <w:ilvl w:val="0"/>
          <w:numId w:val="4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社会效益。</w:t>
      </w:r>
    </w:p>
    <w:p w:rsidR="004B49A2" w:rsidRDefault="00997E72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全力推进依法治县工作，强化法治宣传、法治创建和基层法治德治相融互进，深入推进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法律七进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；依托市、县媒体中心整合传统媒体、新媒体、农村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村村响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优势打造全方位法治宣传格局；有效提升群众法律素养，让法治理念深入人心，提高了人民群众的法治意识，促进全面推进依法行政、法治政府建设。</w:t>
      </w:r>
    </w:p>
    <w:p w:rsidR="004B49A2" w:rsidRDefault="00997E72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进扫黑除恶专项斗争，将扫黑除恶专项斗争宣传纳入普法宣传计划，办理涉黑涉恶刑事案件辩护代理。加强对刑满释放人员管控帮教，不断提高刑释人员安置帮教工作水平，有效地预防和减少了极端事件发生和重新违法犯罪，进一步保障人民安居乐业、社会安定有序，取得了阶段性成效。</w:t>
      </w:r>
      <w:r>
        <w:rPr>
          <w:rFonts w:eastAsia="仿宋_GB2312"/>
          <w:sz w:val="32"/>
          <w:szCs w:val="32"/>
        </w:rPr>
        <w:t xml:space="preserve"> </w:t>
      </w:r>
    </w:p>
    <w:p w:rsidR="004B49A2" w:rsidRDefault="00997E7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切实维护以农民工、妇女、儿童等弱势群体为主的特殊群体合法权益，化解社会矛盾纠纷，实现了社会公平正义，维护了社会和谐稳定。</w:t>
      </w:r>
    </w:p>
    <w:p w:rsidR="004B49A2" w:rsidRDefault="00997E72">
      <w:pPr>
        <w:numPr>
          <w:ilvl w:val="0"/>
          <w:numId w:val="5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生态效益。</w:t>
      </w:r>
    </w:p>
    <w:p w:rsidR="004B49A2" w:rsidRDefault="00997E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年通过对矛盾纠纷的有效化解，将一些矛盾纠纷消灭在萌芽状态，筑建平安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防火墙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。对已经产生的纠纷及时调解，达成调解协议，防止矛盾升级，促进社会更加和谐稳定，进一步优化治安环境，构建平安</w:t>
      </w:r>
      <w:r>
        <w:rPr>
          <w:rFonts w:eastAsia="仿宋_GB2312" w:hint="eastAsia"/>
          <w:sz w:val="32"/>
          <w:szCs w:val="32"/>
        </w:rPr>
        <w:t>新田</w:t>
      </w:r>
      <w:r>
        <w:rPr>
          <w:rFonts w:eastAsia="仿宋_GB2312"/>
          <w:sz w:val="32"/>
          <w:szCs w:val="32"/>
        </w:rPr>
        <w:t>。</w:t>
      </w:r>
    </w:p>
    <w:p w:rsidR="004B49A2" w:rsidRDefault="00997E72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可持续影响。</w:t>
      </w:r>
    </w:p>
    <w:p w:rsidR="004B49A2" w:rsidRDefault="00997E72">
      <w:pPr>
        <w:spacing w:line="590" w:lineRule="exact"/>
        <w:ind w:firstLineChars="200" w:firstLine="640"/>
        <w:rPr>
          <w:rFonts w:ascii="Calibri" w:hAnsi="Calibri" w:cs="Calibri"/>
          <w:szCs w:val="21"/>
        </w:rPr>
      </w:pPr>
      <w:r>
        <w:rPr>
          <w:rFonts w:eastAsia="仿宋_GB2312"/>
          <w:sz w:val="32"/>
          <w:szCs w:val="32"/>
        </w:rPr>
        <w:t>在法治建设上，通过持续的学法、守法、用法，进一步</w:t>
      </w:r>
      <w:r>
        <w:rPr>
          <w:rFonts w:eastAsia="仿宋_GB2312"/>
          <w:sz w:val="32"/>
          <w:szCs w:val="32"/>
        </w:rPr>
        <w:lastRenderedPageBreak/>
        <w:t>提升了我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法治建设的水平。中央和省级政法转移支付装备款的下达，有力地解决了基层经费不足的实际困难，改善了基层的办案条件，提升了基层司法行政单位服务群众的效率、能力和水平，减轻了群众的负担。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七、存在的问题及原因分析</w:t>
      </w:r>
    </w:p>
    <w:p w:rsidR="004B49A2" w:rsidRDefault="00997E72">
      <w:pPr>
        <w:ind w:firstLineChars="200" w:firstLine="640"/>
        <w:rPr>
          <w:rFonts w:ascii="仿宋" w:eastAsia="仿宋" w:hAnsi="仿宋" w:cs="仿宋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C4F5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年部门整体支出绩效自评总体较好。但是因部门整体支出的资金安排和使用上具有不可预见性。由于行政经费少，年初编制的预算不够精确，编制范围不太全面，绩效目标执行情况还有进一步加强。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left="8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八、下一步改进措施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于以上存在的问题，在科学设置预算绩效指标上还需进一步加强，我们要做到及时纠正，及时整改，今后我们要进一步加强监督检查，与时俱进，转变作风，转变“重分配、轻监管”的固有思维模式，坚持资金监督检查“横向到边，纵向到底”。建立全过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程预算绩效管理机制，提升残联资金使用的经济效益和社会效益。资金的预算、分配、发放、使用要做到公开公示，接受社会群众监督。 </w:t>
      </w:r>
    </w:p>
    <w:p w:rsidR="004B49A2" w:rsidRDefault="00997E72">
      <w:pPr>
        <w:pStyle w:val="a3"/>
        <w:widowControl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其他需要说明的情况</w:t>
      </w:r>
    </w:p>
    <w:p w:rsidR="004B49A2" w:rsidRDefault="00997E72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无</w:t>
      </w:r>
    </w:p>
    <w:sectPr w:rsidR="004B49A2" w:rsidSect="004B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E5" w:rsidRDefault="00353CE5" w:rsidP="00BC4F58">
      <w:r>
        <w:separator/>
      </w:r>
    </w:p>
  </w:endnote>
  <w:endnote w:type="continuationSeparator" w:id="0">
    <w:p w:rsidR="00353CE5" w:rsidRDefault="00353CE5" w:rsidP="00BC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E5" w:rsidRDefault="00353CE5" w:rsidP="00BC4F58">
      <w:r>
        <w:separator/>
      </w:r>
    </w:p>
  </w:footnote>
  <w:footnote w:type="continuationSeparator" w:id="0">
    <w:p w:rsidR="00353CE5" w:rsidRDefault="00353CE5" w:rsidP="00BC4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7FC385"/>
    <w:multiLevelType w:val="singleLevel"/>
    <w:tmpl w:val="997FC385"/>
    <w:lvl w:ilvl="0">
      <w:start w:val="2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1">
    <w:nsid w:val="B6DED4DC"/>
    <w:multiLevelType w:val="singleLevel"/>
    <w:tmpl w:val="B6DED4DC"/>
    <w:lvl w:ilvl="0">
      <w:start w:val="3"/>
      <w:numFmt w:val="decimal"/>
      <w:suff w:val="nothing"/>
      <w:lvlText w:val="（%1）"/>
      <w:lvlJc w:val="left"/>
    </w:lvl>
  </w:abstractNum>
  <w:abstractNum w:abstractNumId="2">
    <w:nsid w:val="BC76CD41"/>
    <w:multiLevelType w:val="singleLevel"/>
    <w:tmpl w:val="BC76CD41"/>
    <w:lvl w:ilvl="0">
      <w:start w:val="3"/>
      <w:numFmt w:val="decimal"/>
      <w:suff w:val="nothing"/>
      <w:lvlText w:val="（%1）"/>
      <w:lvlJc w:val="left"/>
    </w:lvl>
  </w:abstractNum>
  <w:abstractNum w:abstractNumId="3">
    <w:nsid w:val="036DC4F5"/>
    <w:multiLevelType w:val="singleLevel"/>
    <w:tmpl w:val="036DC4F5"/>
    <w:lvl w:ilvl="0">
      <w:start w:val="2"/>
      <w:numFmt w:val="decimal"/>
      <w:suff w:val="nothing"/>
      <w:lvlText w:val="（%1）"/>
      <w:lvlJc w:val="left"/>
    </w:lvl>
  </w:abstractNum>
  <w:abstractNum w:abstractNumId="4">
    <w:nsid w:val="7EACABFE"/>
    <w:multiLevelType w:val="singleLevel"/>
    <w:tmpl w:val="7EACAB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49A2"/>
    <w:rsid w:val="001245D3"/>
    <w:rsid w:val="00353CE5"/>
    <w:rsid w:val="00393E8E"/>
    <w:rsid w:val="004B49A2"/>
    <w:rsid w:val="00652282"/>
    <w:rsid w:val="008D184C"/>
    <w:rsid w:val="00950FF4"/>
    <w:rsid w:val="00997E72"/>
    <w:rsid w:val="00A1188F"/>
    <w:rsid w:val="00BC4F58"/>
    <w:rsid w:val="3EF6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9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49A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BC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4F58"/>
    <w:rPr>
      <w:kern w:val="2"/>
      <w:sz w:val="18"/>
      <w:szCs w:val="18"/>
    </w:rPr>
  </w:style>
  <w:style w:type="paragraph" w:styleId="a5">
    <w:name w:val="footer"/>
    <w:basedOn w:val="a"/>
    <w:link w:val="Char0"/>
    <w:rsid w:val="00BC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4F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2022-07-19T06:43:00Z</dcterms:created>
  <dcterms:modified xsi:type="dcterms:W3CDTF">2022-10-28T08:26:00Z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30D09CCBE45C4154A7394EBE8752DFD7</vt:lpwstr>
  </property>
</Properties>
</file>