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48EDCD">
      <w:pPr>
        <w:keepNext w:val="0"/>
        <w:keepLines w:val="0"/>
        <w:pageBreakBefore w:val="0"/>
        <w:widowControl w:val="0"/>
        <w:kinsoku/>
        <w:wordWrap/>
        <w:overflowPunct w:val="0"/>
        <w:topLinePunct w:val="0"/>
        <w:autoSpaceDE w:val="0"/>
        <w:autoSpaceDN w:val="0"/>
        <w:bidi w:val="0"/>
        <w:adjustRightInd w:val="0"/>
        <w:snapToGrid w:val="0"/>
        <w:spacing w:before="312"/>
        <w:ind w:firstLine="0" w:firstLineChars="0"/>
        <w:jc w:val="center"/>
        <w:textAlignment w:val="baseline"/>
        <w:rPr>
          <w:rFonts w:hint="default" w:ascii="Times New Roman" w:hAnsi="Times New Roman" w:eastAsia="宋体" w:cs="Times New Roman"/>
          <w:b/>
          <w:color w:val="000000"/>
          <w:sz w:val="72"/>
          <w:szCs w:val="72"/>
          <w:highlight w:val="none"/>
          <w:u w:val="none" w:color="auto"/>
        </w:rPr>
      </w:pPr>
    </w:p>
    <w:p w14:paraId="779F8511">
      <w:pPr>
        <w:overflowPunct w:val="0"/>
        <w:autoSpaceDE w:val="0"/>
        <w:autoSpaceDN w:val="0"/>
        <w:adjustRightInd w:val="0"/>
        <w:spacing w:before="312"/>
        <w:ind w:left="0" w:leftChars="0" w:firstLine="0" w:firstLineChars="0"/>
        <w:jc w:val="center"/>
        <w:textAlignment w:val="baseline"/>
        <w:rPr>
          <w:rFonts w:hint="default" w:ascii="Times New Roman" w:hAnsi="Times New Roman" w:eastAsia="宋体" w:cs="Times New Roman"/>
          <w:b/>
          <w:color w:val="000000"/>
          <w:sz w:val="48"/>
          <w:szCs w:val="48"/>
          <w:highlight w:val="none"/>
          <w:u w:val="none" w:color="auto"/>
        </w:rPr>
      </w:pPr>
      <w:r>
        <w:rPr>
          <w:rFonts w:hint="default" w:ascii="Times New Roman" w:hAnsi="Times New Roman" w:eastAsia="宋体" w:cs="Times New Roman"/>
          <w:b/>
          <w:color w:val="000000"/>
          <w:sz w:val="72"/>
          <w:szCs w:val="72"/>
          <w:highlight w:val="none"/>
          <w:u w:val="none" w:color="auto"/>
        </w:rPr>
        <w:t>建设项目环境影响报告表</w:t>
      </w:r>
    </w:p>
    <w:p w14:paraId="21B76A91">
      <w:pPr>
        <w:overflowPunct w:val="0"/>
        <w:autoSpaceDE w:val="0"/>
        <w:autoSpaceDN w:val="0"/>
        <w:adjustRightInd w:val="0"/>
        <w:spacing w:before="312"/>
        <w:ind w:left="0" w:leftChars="0" w:firstLine="0" w:firstLineChars="0"/>
        <w:jc w:val="center"/>
        <w:textAlignment w:val="baseline"/>
        <w:rPr>
          <w:rFonts w:hint="default" w:ascii="Times New Roman" w:hAnsi="Times New Roman" w:eastAsia="宋体" w:cs="Times New Roman"/>
          <w:b/>
          <w:bCs/>
          <w:color w:val="000000"/>
          <w:sz w:val="40"/>
          <w:szCs w:val="28"/>
          <w:highlight w:val="none"/>
          <w:u w:val="none" w:color="auto"/>
        </w:rPr>
      </w:pPr>
      <w:r>
        <w:rPr>
          <w:rFonts w:hint="default" w:ascii="Times New Roman" w:hAnsi="Times New Roman" w:eastAsia="宋体" w:cs="Times New Roman"/>
          <w:b/>
          <w:bCs/>
          <w:color w:val="000000"/>
          <w:sz w:val="40"/>
          <w:szCs w:val="28"/>
          <w:highlight w:val="none"/>
          <w:u w:val="none" w:color="auto"/>
        </w:rPr>
        <w:t>（</w:t>
      </w:r>
      <w:r>
        <w:rPr>
          <w:rFonts w:hint="default" w:ascii="Times New Roman" w:hAnsi="Times New Roman" w:eastAsia="宋体" w:cs="Times New Roman"/>
          <w:b/>
          <w:bCs/>
          <w:color w:val="000000"/>
          <w:sz w:val="40"/>
          <w:szCs w:val="28"/>
          <w:highlight w:val="none"/>
          <w:u w:val="none" w:color="auto"/>
          <w:lang w:val="en-US" w:eastAsia="zh-CN"/>
        </w:rPr>
        <w:t>污染影响类</w:t>
      </w:r>
      <w:r>
        <w:rPr>
          <w:rFonts w:hint="default" w:ascii="Times New Roman" w:hAnsi="Times New Roman" w:eastAsia="宋体" w:cs="Times New Roman"/>
          <w:b/>
          <w:bCs/>
          <w:color w:val="000000"/>
          <w:sz w:val="40"/>
          <w:szCs w:val="28"/>
          <w:highlight w:val="none"/>
          <w:u w:val="none" w:color="auto"/>
        </w:rPr>
        <w:t>）</w:t>
      </w:r>
    </w:p>
    <w:p w14:paraId="0F56768B">
      <w:pPr>
        <w:pageBreakBefore w:val="0"/>
        <w:widowControl w:val="0"/>
        <w:kinsoku/>
        <w:wordWrap/>
        <w:overflowPunct/>
        <w:topLinePunct w:val="0"/>
        <w:bidi w:val="0"/>
        <w:adjustRightInd w:val="0"/>
        <w:snapToGrid w:val="0"/>
        <w:spacing w:line="360" w:lineRule="auto"/>
        <w:ind w:left="0" w:firstLine="0" w:firstLineChars="0"/>
        <w:jc w:val="center"/>
        <w:textAlignment w:val="auto"/>
        <w:rPr>
          <w:rFonts w:hint="default" w:ascii="Times New Roman" w:hAnsi="Times New Roman" w:eastAsia="宋体" w:cs="Times New Roman"/>
          <w:b/>
          <w:color w:val="000000"/>
          <w:w w:val="110"/>
          <w:kern w:val="0"/>
          <w:sz w:val="44"/>
          <w:szCs w:val="44"/>
          <w:highlight w:val="none"/>
          <w:u w:val="none" w:color="auto"/>
        </w:rPr>
      </w:pPr>
    </w:p>
    <w:p w14:paraId="6BA66C56">
      <w:pPr>
        <w:pageBreakBefore w:val="0"/>
        <w:widowControl w:val="0"/>
        <w:kinsoku/>
        <w:wordWrap/>
        <w:overflowPunct/>
        <w:topLinePunct w:val="0"/>
        <w:bidi w:val="0"/>
        <w:adjustRightInd w:val="0"/>
        <w:snapToGrid w:val="0"/>
        <w:ind w:left="0" w:firstLine="0" w:firstLineChars="0"/>
        <w:jc w:val="center"/>
        <w:textAlignment w:val="auto"/>
        <w:rPr>
          <w:rFonts w:hint="default" w:ascii="Times New Roman" w:hAnsi="Times New Roman" w:eastAsia="宋体" w:cs="Times New Roman"/>
          <w:color w:val="000000"/>
          <w:sz w:val="28"/>
          <w:szCs w:val="20"/>
          <w:highlight w:val="none"/>
          <w:u w:val="none" w:color="auto"/>
        </w:rPr>
      </w:pPr>
    </w:p>
    <w:p w14:paraId="1B5F0E33">
      <w:pPr>
        <w:pageBreakBefore w:val="0"/>
        <w:widowControl w:val="0"/>
        <w:kinsoku/>
        <w:wordWrap/>
        <w:overflowPunct/>
        <w:topLinePunct w:val="0"/>
        <w:autoSpaceDE w:val="0"/>
        <w:autoSpaceDN w:val="0"/>
        <w:bidi w:val="0"/>
        <w:adjustRightInd w:val="0"/>
        <w:snapToGrid w:val="0"/>
        <w:ind w:left="0" w:firstLine="0" w:firstLineChars="0"/>
        <w:jc w:val="left"/>
        <w:textAlignment w:val="auto"/>
        <w:rPr>
          <w:rFonts w:hint="default" w:ascii="Times New Roman" w:hAnsi="Times New Roman" w:eastAsia="宋体" w:cs="Times New Roman"/>
          <w:color w:val="000000"/>
          <w:kern w:val="0"/>
          <w:sz w:val="28"/>
          <w:szCs w:val="24"/>
          <w:highlight w:val="none"/>
          <w:u w:val="none" w:color="auto"/>
          <w:lang w:val="en-US" w:eastAsia="zh-CN" w:bidi="ar-SA"/>
        </w:rPr>
      </w:pPr>
    </w:p>
    <w:p w14:paraId="75CDA5B4">
      <w:pPr>
        <w:pageBreakBefore w:val="0"/>
        <w:widowControl w:val="0"/>
        <w:kinsoku/>
        <w:wordWrap/>
        <w:overflowPunct/>
        <w:topLinePunct w:val="0"/>
        <w:autoSpaceDE w:val="0"/>
        <w:autoSpaceDN w:val="0"/>
        <w:bidi w:val="0"/>
        <w:adjustRightInd w:val="0"/>
        <w:snapToGrid w:val="0"/>
        <w:ind w:left="0" w:firstLine="0" w:firstLineChars="0"/>
        <w:jc w:val="left"/>
        <w:textAlignment w:val="auto"/>
        <w:rPr>
          <w:rFonts w:hint="default" w:ascii="Times New Roman" w:hAnsi="Times New Roman" w:eastAsia="宋体" w:cs="Times New Roman"/>
          <w:color w:val="000000"/>
          <w:kern w:val="0"/>
          <w:sz w:val="28"/>
          <w:szCs w:val="24"/>
          <w:highlight w:val="none"/>
          <w:u w:val="none" w:color="auto"/>
          <w:lang w:val="en-US" w:eastAsia="zh-CN" w:bidi="ar-SA"/>
        </w:rPr>
      </w:pPr>
    </w:p>
    <w:p w14:paraId="2D755202">
      <w:pPr>
        <w:keepNext/>
        <w:keepLines/>
        <w:pageBreakBefore w:val="0"/>
        <w:widowControl w:val="0"/>
        <w:numPr>
          <w:ilvl w:val="2"/>
          <w:numId w:val="0"/>
        </w:numPr>
        <w:kinsoku/>
        <w:wordWrap/>
        <w:overflowPunct/>
        <w:topLinePunct w:val="0"/>
        <w:bidi w:val="0"/>
        <w:adjustRightInd w:val="0"/>
        <w:snapToGrid w:val="0"/>
        <w:spacing w:line="360" w:lineRule="auto"/>
        <w:ind w:left="0" w:leftChars="0" w:firstLine="0" w:firstLineChars="0"/>
        <w:jc w:val="both"/>
        <w:textAlignment w:val="auto"/>
        <w:outlineLvl w:val="2"/>
        <w:rPr>
          <w:rFonts w:hint="default" w:ascii="Times New Roman" w:hAnsi="Times New Roman" w:eastAsia="宋体" w:cs="Times New Roman"/>
          <w:b/>
          <w:bCs/>
          <w:kern w:val="2"/>
          <w:sz w:val="24"/>
          <w:szCs w:val="32"/>
          <w:highlight w:val="none"/>
          <w:u w:val="none" w:color="auto"/>
          <w:lang w:val="en-US" w:eastAsia="zh-CN" w:bidi="ar-SA"/>
        </w:rPr>
      </w:pPr>
    </w:p>
    <w:p w14:paraId="6BE352CB">
      <w:pPr>
        <w:pageBreakBefore w:val="0"/>
        <w:widowControl w:val="0"/>
        <w:kinsoku/>
        <w:wordWrap/>
        <w:overflowPunct/>
        <w:topLinePunct w:val="0"/>
        <w:bidi w:val="0"/>
        <w:adjustRightInd w:val="0"/>
        <w:snapToGrid w:val="0"/>
        <w:ind w:left="0" w:firstLine="0" w:firstLineChars="0"/>
        <w:textAlignment w:val="auto"/>
        <w:rPr>
          <w:rFonts w:hint="default"/>
          <w:highlight w:val="none"/>
          <w:u w:val="none" w:color="auto"/>
          <w:lang w:val="en-US" w:eastAsia="zh-CN"/>
        </w:rPr>
      </w:pPr>
    </w:p>
    <w:p w14:paraId="4838D955">
      <w:pPr>
        <w:pageBreakBefore w:val="0"/>
        <w:widowControl w:val="0"/>
        <w:kinsoku/>
        <w:wordWrap/>
        <w:overflowPunct/>
        <w:topLinePunct w:val="0"/>
        <w:bidi w:val="0"/>
        <w:adjustRightInd w:val="0"/>
        <w:snapToGrid w:val="0"/>
        <w:spacing w:line="640" w:lineRule="exact"/>
        <w:ind w:left="0" w:firstLine="0" w:firstLineChars="0"/>
        <w:jc w:val="both"/>
        <w:textAlignment w:val="auto"/>
        <w:rPr>
          <w:rFonts w:hint="default" w:ascii="Times New Roman" w:hAnsi="Times New Roman" w:eastAsia="宋体" w:cs="Times New Roman"/>
          <w:kern w:val="2"/>
          <w:sz w:val="28"/>
          <w:szCs w:val="20"/>
          <w:highlight w:val="none"/>
          <w:u w:val="none" w:color="auto"/>
          <w:lang w:val="en-US" w:eastAsia="zh-CN" w:bidi="ar-SA"/>
        </w:rPr>
      </w:pPr>
    </w:p>
    <w:p w14:paraId="180D5790">
      <w:pPr>
        <w:pageBreakBefore w:val="0"/>
        <w:widowControl w:val="0"/>
        <w:kinsoku/>
        <w:wordWrap/>
        <w:overflowPunct/>
        <w:topLinePunct w:val="0"/>
        <w:bidi w:val="0"/>
        <w:adjustRightInd w:val="0"/>
        <w:snapToGrid w:val="0"/>
        <w:spacing w:line="640" w:lineRule="exact"/>
        <w:ind w:left="0" w:leftChars="0" w:firstLine="0" w:firstLineChars="0"/>
        <w:jc w:val="both"/>
        <w:textAlignment w:val="auto"/>
        <w:rPr>
          <w:rFonts w:hint="default" w:ascii="Times New Roman" w:hAnsi="Times New Roman" w:eastAsia="宋体" w:cs="Times New Roman"/>
          <w:kern w:val="2"/>
          <w:sz w:val="28"/>
          <w:szCs w:val="20"/>
          <w:highlight w:val="none"/>
          <w:lang w:val="en-US" w:eastAsia="zh-CN" w:bidi="ar-SA"/>
        </w:rPr>
      </w:pPr>
    </w:p>
    <w:p w14:paraId="28D27828">
      <w:pPr>
        <w:pageBreakBefore w:val="0"/>
        <w:widowControl w:val="0"/>
        <w:kinsoku/>
        <w:wordWrap/>
        <w:overflowPunct/>
        <w:topLinePunct w:val="0"/>
        <w:bidi w:val="0"/>
        <w:adjustRightInd w:val="0"/>
        <w:snapToGrid w:val="0"/>
        <w:ind w:left="0" w:firstLine="0" w:firstLineChars="0"/>
        <w:jc w:val="center"/>
        <w:textAlignment w:val="auto"/>
        <w:rPr>
          <w:rFonts w:hint="default" w:ascii="Times New Roman" w:hAnsi="Times New Roman" w:eastAsia="宋体" w:cs="Times New Roman"/>
          <w:color w:val="000000"/>
          <w:sz w:val="28"/>
          <w:szCs w:val="20"/>
          <w:highlight w:val="none"/>
          <w:u w:val="none" w:color="auto"/>
        </w:rPr>
      </w:pPr>
    </w:p>
    <w:p w14:paraId="7094FE69">
      <w:pPr>
        <w:widowControl w:val="0"/>
        <w:adjustRightInd w:val="0"/>
        <w:snapToGrid w:val="0"/>
        <w:spacing w:line="360" w:lineRule="auto"/>
        <w:ind w:firstLine="420" w:firstLineChars="200"/>
        <w:jc w:val="both"/>
        <w:rPr>
          <w:rFonts w:hint="default" w:ascii="Times New Roman" w:hAnsi="Times New Roman" w:eastAsia="宋体" w:cs="Times New Roman"/>
          <w:color w:val="000000"/>
          <w:kern w:val="2"/>
          <w:sz w:val="21"/>
          <w:szCs w:val="24"/>
          <w:highlight w:val="none"/>
          <w:u w:val="none" w:color="auto"/>
          <w:lang w:val="en-US" w:eastAsia="zh-CN" w:bidi="ar-SA"/>
        </w:rPr>
      </w:pPr>
    </w:p>
    <w:p w14:paraId="31EF7C1C">
      <w:pPr>
        <w:adjustRightInd/>
        <w:snapToGrid/>
        <w:spacing w:after="120"/>
        <w:ind w:firstLine="0" w:firstLineChars="0"/>
        <w:rPr>
          <w:color w:val="000000"/>
          <w:sz w:val="28"/>
          <w:szCs w:val="28"/>
          <w:highlight w:val="none"/>
          <w:u w:val="single"/>
        </w:rPr>
      </w:pPr>
      <w:r>
        <w:rPr>
          <w:color w:val="000000"/>
          <w:sz w:val="28"/>
          <w:szCs w:val="28"/>
          <w:highlight w:val="none"/>
        </w:rPr>
        <w:t>项目名称：</w:t>
      </w:r>
      <w:r>
        <w:rPr>
          <w:rFonts w:hint="eastAsia"/>
          <w:color w:val="000000"/>
          <w:sz w:val="28"/>
          <w:szCs w:val="28"/>
          <w:highlight w:val="none"/>
          <w:u w:val="single"/>
        </w:rPr>
        <w:t xml:space="preserve"> </w:t>
      </w:r>
      <w:r>
        <w:rPr>
          <w:rFonts w:hint="eastAsia" w:ascii="Times New Roman" w:eastAsia="宋体"/>
          <w:color w:val="000000"/>
          <w:sz w:val="28"/>
          <w:szCs w:val="28"/>
          <w:highlight w:val="none"/>
          <w:u w:val="single"/>
          <w:lang w:val="en-US" w:eastAsia="zh-CN"/>
        </w:rPr>
        <w:t xml:space="preserve">  新田县中医医院门诊、医技、内科住院综合楼项目                   </w:t>
      </w:r>
      <w:r>
        <w:rPr>
          <w:rFonts w:hint="eastAsia"/>
          <w:color w:val="000000"/>
          <w:sz w:val="28"/>
          <w:szCs w:val="28"/>
          <w:highlight w:val="none"/>
          <w:u w:val="single"/>
        </w:rPr>
        <w:t xml:space="preserve">    </w:t>
      </w:r>
    </w:p>
    <w:p w14:paraId="6C10CF31">
      <w:pPr>
        <w:adjustRightInd/>
        <w:snapToGrid/>
        <w:spacing w:after="120"/>
        <w:ind w:firstLine="0" w:firstLineChars="0"/>
        <w:rPr>
          <w:rFonts w:hint="eastAsia"/>
          <w:color w:val="000000"/>
          <w:sz w:val="28"/>
          <w:szCs w:val="28"/>
          <w:highlight w:val="none"/>
          <w:u w:val="single"/>
          <w:lang w:val="en-US" w:eastAsia="zh-CN"/>
        </w:rPr>
      </w:pPr>
      <w:r>
        <w:rPr>
          <w:color w:val="000000"/>
          <w:sz w:val="28"/>
          <w:szCs w:val="28"/>
          <w:highlight w:val="none"/>
        </w:rPr>
        <w:t>建设单位（盖章）：</w:t>
      </w:r>
      <w:r>
        <w:rPr>
          <w:color w:val="000000"/>
          <w:sz w:val="28"/>
          <w:szCs w:val="28"/>
          <w:highlight w:val="none"/>
          <w:u w:val="single"/>
        </w:rPr>
        <w:t xml:space="preserve"> </w:t>
      </w:r>
      <w:r>
        <w:rPr>
          <w:rFonts w:hint="eastAsia"/>
          <w:color w:val="000000"/>
          <w:sz w:val="28"/>
          <w:szCs w:val="28"/>
          <w:highlight w:val="none"/>
          <w:u w:val="single"/>
        </w:rPr>
        <w:t xml:space="preserve">   </w:t>
      </w:r>
      <w:r>
        <w:rPr>
          <w:rFonts w:hint="eastAsia" w:ascii="Times New Roman" w:eastAsia="宋体"/>
          <w:color w:val="000000"/>
          <w:sz w:val="28"/>
          <w:szCs w:val="28"/>
          <w:highlight w:val="none"/>
          <w:u w:val="single"/>
          <w:lang w:val="en-US" w:eastAsia="zh-CN"/>
        </w:rPr>
        <w:t xml:space="preserve">     </w:t>
      </w:r>
      <w:r>
        <w:rPr>
          <w:rFonts w:hint="eastAsia" w:eastAsia="宋体"/>
          <w:color w:val="000000"/>
          <w:sz w:val="28"/>
          <w:szCs w:val="28"/>
          <w:highlight w:val="none"/>
          <w:u w:val="single"/>
          <w:lang w:val="en-US" w:eastAsia="zh-CN"/>
        </w:rPr>
        <w:t>新田县中医医院</w:t>
      </w:r>
      <w:r>
        <w:rPr>
          <w:rFonts w:hint="eastAsia"/>
          <w:color w:val="000000"/>
          <w:sz w:val="28"/>
          <w:szCs w:val="28"/>
          <w:highlight w:val="none"/>
          <w:u w:val="single"/>
        </w:rPr>
        <w:t xml:space="preserve">    </w:t>
      </w:r>
      <w:r>
        <w:rPr>
          <w:rFonts w:hint="eastAsia" w:ascii="Times New Roman" w:eastAsia="宋体"/>
          <w:color w:val="000000"/>
          <w:sz w:val="28"/>
          <w:szCs w:val="28"/>
          <w:highlight w:val="none"/>
          <w:u w:val="single"/>
          <w:lang w:val="en-US" w:eastAsia="zh-CN"/>
        </w:rPr>
        <w:t xml:space="preserve">                      </w:t>
      </w:r>
      <w:r>
        <w:rPr>
          <w:rFonts w:hint="eastAsia"/>
          <w:color w:val="000000"/>
          <w:sz w:val="28"/>
          <w:szCs w:val="28"/>
          <w:highlight w:val="none"/>
          <w:u w:val="single"/>
        </w:rPr>
        <w:t xml:space="preserve">     </w:t>
      </w:r>
      <w:r>
        <w:rPr>
          <w:rFonts w:hint="eastAsia" w:ascii="Times New Roman" w:eastAsia="宋体"/>
          <w:color w:val="000000"/>
          <w:sz w:val="28"/>
          <w:szCs w:val="28"/>
          <w:highlight w:val="none"/>
          <w:u w:val="single"/>
          <w:lang w:val="en-US" w:eastAsia="zh-CN"/>
        </w:rPr>
        <w:t xml:space="preserve">        </w:t>
      </w:r>
      <w:r>
        <w:rPr>
          <w:rFonts w:hint="eastAsia"/>
          <w:color w:val="000000"/>
          <w:sz w:val="28"/>
          <w:szCs w:val="28"/>
          <w:highlight w:val="none"/>
          <w:u w:val="single"/>
        </w:rPr>
        <w:t xml:space="preserve">  </w:t>
      </w:r>
    </w:p>
    <w:p w14:paraId="52568097">
      <w:pPr>
        <w:ind w:left="0" w:leftChars="0" w:firstLine="0" w:firstLineChars="0"/>
        <w:jc w:val="left"/>
        <w:rPr>
          <w:rFonts w:hint="default" w:ascii="Times New Roman" w:hAnsi="Times New Roman" w:eastAsia="宋体" w:cs="Times New Roman"/>
          <w:color w:val="000000"/>
          <w:highlight w:val="none"/>
          <w:u w:val="none" w:color="auto"/>
        </w:rPr>
      </w:pPr>
      <w:r>
        <w:rPr>
          <w:color w:val="000000"/>
          <w:sz w:val="28"/>
          <w:szCs w:val="28"/>
          <w:highlight w:val="none"/>
        </w:rPr>
        <w:t>编制日期：</w:t>
      </w:r>
      <w:r>
        <w:rPr>
          <w:color w:val="000000"/>
          <w:sz w:val="28"/>
          <w:szCs w:val="28"/>
          <w:highlight w:val="none"/>
          <w:u w:val="single"/>
        </w:rPr>
        <w:t xml:space="preserve"> </w:t>
      </w:r>
      <w:r>
        <w:rPr>
          <w:rFonts w:hint="eastAsia"/>
          <w:color w:val="000000"/>
          <w:sz w:val="28"/>
          <w:szCs w:val="28"/>
          <w:highlight w:val="none"/>
          <w:u w:val="single"/>
        </w:rPr>
        <w:t xml:space="preserve">           </w:t>
      </w:r>
      <w:r>
        <w:rPr>
          <w:rFonts w:hint="eastAsia" w:ascii="Times New Roman" w:eastAsia="宋体"/>
          <w:color w:val="000000"/>
          <w:sz w:val="28"/>
          <w:szCs w:val="28"/>
          <w:highlight w:val="none"/>
          <w:u w:val="single"/>
          <w:lang w:val="en-US" w:eastAsia="zh-CN"/>
        </w:rPr>
        <w:t xml:space="preserve">     </w:t>
      </w:r>
      <w:r>
        <w:rPr>
          <w:rFonts w:hint="eastAsia"/>
          <w:color w:val="000000"/>
          <w:sz w:val="28"/>
          <w:szCs w:val="28"/>
          <w:highlight w:val="none"/>
          <w:u w:val="single"/>
        </w:rPr>
        <w:t xml:space="preserve"> </w:t>
      </w:r>
      <w:r>
        <w:rPr>
          <w:color w:val="000000"/>
          <w:sz w:val="28"/>
          <w:szCs w:val="28"/>
          <w:highlight w:val="none"/>
          <w:u w:val="single"/>
        </w:rPr>
        <w:t>202</w:t>
      </w:r>
      <w:r>
        <w:rPr>
          <w:rFonts w:hint="eastAsia" w:ascii="Times New Roman" w:eastAsia="宋体"/>
          <w:color w:val="000000"/>
          <w:sz w:val="28"/>
          <w:szCs w:val="28"/>
          <w:highlight w:val="none"/>
          <w:u w:val="single"/>
          <w:lang w:val="en-US" w:eastAsia="zh-CN"/>
        </w:rPr>
        <w:t>5</w:t>
      </w:r>
      <w:r>
        <w:rPr>
          <w:color w:val="000000"/>
          <w:sz w:val="28"/>
          <w:szCs w:val="28"/>
          <w:highlight w:val="none"/>
          <w:u w:val="single"/>
        </w:rPr>
        <w:t>年</w:t>
      </w:r>
      <w:r>
        <w:rPr>
          <w:rFonts w:hint="eastAsia" w:ascii="Times New Roman" w:eastAsia="宋体"/>
          <w:color w:val="000000"/>
          <w:sz w:val="28"/>
          <w:szCs w:val="28"/>
          <w:highlight w:val="none"/>
          <w:u w:val="single"/>
          <w:lang w:val="en-US" w:eastAsia="zh-CN"/>
        </w:rPr>
        <w:t>4</w:t>
      </w:r>
      <w:r>
        <w:rPr>
          <w:color w:val="000000"/>
          <w:sz w:val="28"/>
          <w:szCs w:val="28"/>
          <w:highlight w:val="none"/>
          <w:u w:val="single"/>
        </w:rPr>
        <w:t xml:space="preserve">月      </w:t>
      </w:r>
      <w:r>
        <w:rPr>
          <w:rFonts w:hint="eastAsia"/>
          <w:color w:val="000000"/>
          <w:sz w:val="28"/>
          <w:szCs w:val="28"/>
          <w:highlight w:val="none"/>
          <w:u w:val="single"/>
        </w:rPr>
        <w:t xml:space="preserve">  </w:t>
      </w:r>
      <w:r>
        <w:rPr>
          <w:color w:val="000000"/>
          <w:sz w:val="28"/>
          <w:szCs w:val="28"/>
          <w:highlight w:val="none"/>
          <w:u w:val="single"/>
        </w:rPr>
        <w:t xml:space="preserve"> </w:t>
      </w:r>
      <w:r>
        <w:rPr>
          <w:rFonts w:hint="eastAsia" w:ascii="Times New Roman" w:eastAsia="宋体"/>
          <w:color w:val="000000"/>
          <w:sz w:val="28"/>
          <w:szCs w:val="28"/>
          <w:highlight w:val="none"/>
          <w:u w:val="single"/>
          <w:lang w:val="en-US" w:eastAsia="zh-CN"/>
        </w:rPr>
        <w:t xml:space="preserve">                      </w:t>
      </w:r>
      <w:r>
        <w:rPr>
          <w:color w:val="000000"/>
          <w:sz w:val="28"/>
          <w:szCs w:val="28"/>
          <w:highlight w:val="none"/>
          <w:u w:val="single"/>
        </w:rPr>
        <w:t xml:space="preserve">    </w:t>
      </w:r>
      <w:r>
        <w:rPr>
          <w:rFonts w:hint="eastAsia"/>
          <w:color w:val="000000"/>
          <w:sz w:val="28"/>
          <w:szCs w:val="28"/>
          <w:highlight w:val="none"/>
          <w:u w:val="single"/>
        </w:rPr>
        <w:t xml:space="preserve"> </w:t>
      </w:r>
      <w:r>
        <w:rPr>
          <w:color w:val="000000"/>
          <w:sz w:val="28"/>
          <w:szCs w:val="28"/>
          <w:highlight w:val="none"/>
          <w:u w:val="single"/>
        </w:rPr>
        <w:t xml:space="preserve">  </w:t>
      </w:r>
      <w:r>
        <w:rPr>
          <w:rFonts w:hint="eastAsia" w:ascii="Times New Roman" w:eastAsia="宋体"/>
          <w:color w:val="000000"/>
          <w:sz w:val="28"/>
          <w:szCs w:val="28"/>
          <w:highlight w:val="none"/>
          <w:u w:val="single"/>
          <w:lang w:val="en-US" w:eastAsia="zh-CN"/>
        </w:rPr>
        <w:t xml:space="preserve">  </w:t>
      </w:r>
    </w:p>
    <w:p w14:paraId="74263C8F">
      <w:pPr>
        <w:widowControl w:val="0"/>
        <w:adjustRightInd w:val="0"/>
        <w:snapToGrid w:val="0"/>
        <w:spacing w:line="360" w:lineRule="auto"/>
        <w:ind w:left="480" w:leftChars="200" w:firstLine="420" w:firstLineChars="200"/>
        <w:jc w:val="both"/>
        <w:rPr>
          <w:rFonts w:hint="default" w:ascii="Times New Roman" w:hAnsi="Times New Roman" w:eastAsia="宋体" w:cs="Times New Roman"/>
          <w:color w:val="000000"/>
          <w:kern w:val="2"/>
          <w:sz w:val="21"/>
          <w:szCs w:val="21"/>
          <w:highlight w:val="none"/>
          <w:u w:val="none" w:color="auto"/>
          <w:lang w:val="en-US" w:eastAsia="zh-CN" w:bidi="ar-SA"/>
        </w:rPr>
      </w:pPr>
    </w:p>
    <w:p w14:paraId="4E20EB69">
      <w:pPr>
        <w:rPr>
          <w:rFonts w:hint="default" w:ascii="Times New Roman" w:hAnsi="Times New Roman" w:eastAsia="宋体" w:cs="Times New Roman"/>
          <w:color w:val="000000"/>
          <w:highlight w:val="none"/>
          <w:u w:val="none" w:color="auto"/>
        </w:rPr>
      </w:pPr>
    </w:p>
    <w:p w14:paraId="4C13B808">
      <w:pPr>
        <w:widowControl w:val="0"/>
        <w:adjustRightInd w:val="0"/>
        <w:snapToGrid w:val="0"/>
        <w:spacing w:line="360" w:lineRule="auto"/>
        <w:ind w:left="480" w:leftChars="200" w:firstLine="420" w:firstLineChars="200"/>
        <w:jc w:val="both"/>
        <w:rPr>
          <w:rFonts w:hint="default" w:ascii="Times New Roman" w:hAnsi="Times New Roman" w:eastAsia="宋体" w:cs="Times New Roman"/>
          <w:color w:val="000000"/>
          <w:kern w:val="2"/>
          <w:sz w:val="21"/>
          <w:szCs w:val="21"/>
          <w:highlight w:val="none"/>
          <w:u w:val="none" w:color="auto"/>
          <w:lang w:val="en-US" w:eastAsia="zh-CN" w:bidi="ar-SA"/>
        </w:rPr>
      </w:pPr>
    </w:p>
    <w:p w14:paraId="1A27BCAB">
      <w:pPr>
        <w:ind w:left="0" w:leftChars="0" w:firstLine="0" w:firstLineChars="0"/>
        <w:jc w:val="center"/>
      </w:pPr>
      <w:r>
        <w:rPr>
          <w:rFonts w:hint="default" w:ascii="Times New Roman" w:hAnsi="Times New Roman" w:eastAsia="宋体" w:cs="Times New Roman"/>
          <w:b/>
          <w:color w:val="000000"/>
          <w:sz w:val="32"/>
          <w:szCs w:val="32"/>
          <w:highlight w:val="none"/>
          <w:u w:val="none" w:color="auto"/>
          <w:lang w:val="en-US" w:eastAsia="zh-CN"/>
        </w:rPr>
        <w:t>中华人民共和国生态环境部制</w:t>
      </w:r>
    </w:p>
    <w:p w14:paraId="2990794C">
      <w:pPr>
        <w:rPr>
          <w:rFonts w:hint="default" w:ascii="Times New Roman" w:hAnsi="Times New Roman" w:cs="Times New Roman" w:eastAsiaTheme="minorEastAsia"/>
          <w:b/>
          <w:bCs/>
          <w:color w:val="auto"/>
          <w:spacing w:val="11"/>
          <w:position w:val="0"/>
          <w:sz w:val="28"/>
          <w:szCs w:val="22"/>
          <w:highlight w:val="none"/>
          <w:u w:val="none" w:color="auto"/>
        </w:rPr>
      </w:pPr>
      <w:r>
        <w:rPr>
          <w:rFonts w:hint="default" w:ascii="Times New Roman" w:hAnsi="Times New Roman" w:cs="Times New Roman" w:eastAsiaTheme="minorEastAsia"/>
          <w:b/>
          <w:bCs/>
          <w:color w:val="auto"/>
          <w:spacing w:val="11"/>
          <w:position w:val="0"/>
          <w:sz w:val="28"/>
          <w:szCs w:val="22"/>
          <w:highlight w:val="none"/>
          <w:u w:val="none" w:color="auto"/>
        </w:rPr>
        <w:br w:type="page"/>
      </w:r>
    </w:p>
    <w:p w14:paraId="424A3C7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eastAsiaTheme="minorEastAsia"/>
          <w:b/>
          <w:bCs/>
          <w:color w:val="auto"/>
          <w:spacing w:val="11"/>
          <w:position w:val="0"/>
          <w:sz w:val="28"/>
          <w:szCs w:val="22"/>
          <w:highlight w:val="none"/>
          <w:u w:val="none" w:color="auto"/>
        </w:rPr>
      </w:pPr>
      <w:bookmarkStart w:id="13" w:name="_GoBack"/>
      <w:bookmarkEnd w:id="13"/>
      <w:r>
        <w:rPr>
          <w:rFonts w:hint="default" w:ascii="Times New Roman" w:hAnsi="Times New Roman" w:cs="Times New Roman" w:eastAsiaTheme="minorEastAsia"/>
          <w:b/>
          <w:bCs/>
          <w:color w:val="auto"/>
          <w:spacing w:val="11"/>
          <w:position w:val="0"/>
          <w:sz w:val="28"/>
          <w:szCs w:val="22"/>
          <w:highlight w:val="none"/>
          <w:u w:val="none" w:color="auto"/>
        </w:rPr>
        <w:t>目</w:t>
      </w:r>
      <w:r>
        <w:rPr>
          <w:rFonts w:hint="eastAsia" w:cs="Times New Roman" w:eastAsiaTheme="minorEastAsia"/>
          <w:b/>
          <w:bCs/>
          <w:color w:val="auto"/>
          <w:spacing w:val="11"/>
          <w:position w:val="0"/>
          <w:sz w:val="28"/>
          <w:szCs w:val="22"/>
          <w:highlight w:val="none"/>
          <w:u w:val="none" w:color="auto"/>
          <w:lang w:val="en-US" w:eastAsia="zh-CN"/>
        </w:rPr>
        <w:t xml:space="preserve">  </w:t>
      </w:r>
      <w:r>
        <w:rPr>
          <w:rFonts w:hint="default" w:ascii="Times New Roman" w:hAnsi="Times New Roman" w:cs="Times New Roman" w:eastAsiaTheme="minorEastAsia"/>
          <w:b/>
          <w:bCs/>
          <w:color w:val="auto"/>
          <w:spacing w:val="11"/>
          <w:position w:val="0"/>
          <w:sz w:val="28"/>
          <w:szCs w:val="22"/>
          <w:highlight w:val="none"/>
          <w:u w:val="none" w:color="auto"/>
        </w:rPr>
        <w:t>录</w:t>
      </w:r>
    </w:p>
    <w:p w14:paraId="0A0240C2">
      <w:pPr>
        <w:pStyle w:val="17"/>
        <w:tabs>
          <w:tab w:val="right" w:leader="dot" w:pos="8306"/>
        </w:tabs>
        <w:rPr>
          <w:color w:val="auto"/>
          <w:spacing w:val="11"/>
          <w:position w:val="0"/>
          <w:sz w:val="28"/>
          <w:szCs w:val="28"/>
          <w:highlight w:val="none"/>
          <w:u w:val="none" w:color="auto"/>
        </w:rPr>
      </w:pPr>
      <w:r>
        <w:rPr>
          <w:rFonts w:hint="default" w:ascii="Times New Roman" w:hAnsi="Times New Roman" w:cs="Times New Roman" w:eastAsiaTheme="minorEastAsia"/>
          <w:color w:val="auto"/>
          <w:spacing w:val="11"/>
          <w:position w:val="0"/>
          <w:sz w:val="28"/>
          <w:szCs w:val="28"/>
          <w:highlight w:val="none"/>
          <w:u w:val="none" w:color="auto"/>
        </w:rPr>
        <w:fldChar w:fldCharType="begin"/>
      </w:r>
      <w:r>
        <w:rPr>
          <w:rFonts w:hint="default" w:ascii="Times New Roman" w:hAnsi="Times New Roman" w:cs="Times New Roman" w:eastAsiaTheme="minorEastAsia"/>
          <w:color w:val="auto"/>
          <w:spacing w:val="11"/>
          <w:position w:val="0"/>
          <w:sz w:val="28"/>
          <w:szCs w:val="28"/>
          <w:highlight w:val="none"/>
          <w:u w:val="none" w:color="auto"/>
        </w:rPr>
        <w:instrText xml:space="preserve">TOC \o "1-1" \h \u </w:instrText>
      </w:r>
      <w:r>
        <w:rPr>
          <w:rFonts w:hint="default" w:ascii="Times New Roman" w:hAnsi="Times New Roman" w:cs="Times New Roman" w:eastAsiaTheme="minorEastAsia"/>
          <w:color w:val="auto"/>
          <w:spacing w:val="11"/>
          <w:position w:val="0"/>
          <w:sz w:val="28"/>
          <w:szCs w:val="28"/>
          <w:highlight w:val="none"/>
          <w:u w:val="none" w:color="auto"/>
        </w:rPr>
        <w:fldChar w:fldCharType="separate"/>
      </w:r>
      <w:r>
        <w:rPr>
          <w:rFonts w:hint="default" w:ascii="Times New Roman" w:hAnsi="Times New Roman" w:cs="Times New Roman" w:eastAsiaTheme="minorEastAsia"/>
          <w:color w:val="auto"/>
          <w:spacing w:val="11"/>
          <w:position w:val="0"/>
          <w:sz w:val="28"/>
          <w:szCs w:val="28"/>
          <w:highlight w:val="none"/>
          <w:u w:val="none" w:color="auto"/>
        </w:rPr>
        <w:fldChar w:fldCharType="begin"/>
      </w:r>
      <w:r>
        <w:rPr>
          <w:rFonts w:hint="default" w:ascii="Times New Roman" w:hAnsi="Times New Roman" w:cs="Times New Roman" w:eastAsiaTheme="minorEastAsia"/>
          <w:color w:val="auto"/>
          <w:spacing w:val="11"/>
          <w:position w:val="0"/>
          <w:sz w:val="28"/>
          <w:szCs w:val="28"/>
          <w:highlight w:val="none"/>
          <w:u w:val="none" w:color="auto"/>
        </w:rPr>
        <w:instrText xml:space="preserve"> HYPERLINK \l _Toc9575 </w:instrText>
      </w:r>
      <w:r>
        <w:rPr>
          <w:rFonts w:hint="default" w:ascii="Times New Roman" w:hAnsi="Times New Roman" w:cs="Times New Roman" w:eastAsiaTheme="minorEastAsia"/>
          <w:color w:val="auto"/>
          <w:spacing w:val="11"/>
          <w:position w:val="0"/>
          <w:sz w:val="28"/>
          <w:szCs w:val="28"/>
          <w:highlight w:val="none"/>
          <w:u w:val="none" w:color="auto"/>
        </w:rPr>
        <w:fldChar w:fldCharType="separate"/>
      </w:r>
      <w:r>
        <w:rPr>
          <w:rFonts w:hint="eastAsia" w:ascii="Times New Roman" w:hAnsi="Times New Roman" w:cs="Times New Roman" w:eastAsiaTheme="minorEastAsia"/>
          <w:color w:val="auto"/>
          <w:spacing w:val="11"/>
          <w:position w:val="0"/>
          <w:sz w:val="28"/>
          <w:szCs w:val="28"/>
          <w:highlight w:val="none"/>
          <w:u w:val="none" w:color="auto"/>
          <w:lang w:val="en-US" w:eastAsia="zh-CN"/>
        </w:rPr>
        <w:t>一、</w:t>
      </w:r>
      <w:r>
        <w:rPr>
          <w:rFonts w:hint="default" w:ascii="Times New Roman" w:hAnsi="Times New Roman" w:cs="Times New Roman" w:eastAsiaTheme="minorEastAsia"/>
          <w:color w:val="auto"/>
          <w:spacing w:val="11"/>
          <w:position w:val="0"/>
          <w:sz w:val="28"/>
          <w:szCs w:val="28"/>
          <w:highlight w:val="none"/>
          <w:u w:val="none" w:color="auto"/>
          <w:lang w:val="en-US" w:eastAsia="zh-CN"/>
        </w:rPr>
        <w:t>建设项目基本情况</w:t>
      </w:r>
      <w:r>
        <w:rPr>
          <w:color w:val="auto"/>
          <w:spacing w:val="11"/>
          <w:position w:val="0"/>
          <w:sz w:val="28"/>
          <w:szCs w:val="28"/>
          <w:highlight w:val="none"/>
          <w:u w:val="none" w:color="auto"/>
        </w:rPr>
        <w:tab/>
      </w:r>
      <w:r>
        <w:rPr>
          <w:color w:val="auto"/>
          <w:spacing w:val="11"/>
          <w:position w:val="0"/>
          <w:sz w:val="28"/>
          <w:szCs w:val="28"/>
          <w:highlight w:val="none"/>
          <w:u w:val="none" w:color="auto"/>
        </w:rPr>
        <w:fldChar w:fldCharType="begin"/>
      </w:r>
      <w:r>
        <w:rPr>
          <w:color w:val="auto"/>
          <w:spacing w:val="11"/>
          <w:position w:val="0"/>
          <w:sz w:val="28"/>
          <w:szCs w:val="28"/>
          <w:highlight w:val="none"/>
          <w:u w:val="none" w:color="auto"/>
        </w:rPr>
        <w:instrText xml:space="preserve"> PAGEREF _Toc9575 \h </w:instrText>
      </w:r>
      <w:r>
        <w:rPr>
          <w:color w:val="auto"/>
          <w:spacing w:val="11"/>
          <w:position w:val="0"/>
          <w:sz w:val="28"/>
          <w:szCs w:val="28"/>
          <w:highlight w:val="none"/>
          <w:u w:val="none" w:color="auto"/>
        </w:rPr>
        <w:fldChar w:fldCharType="separate"/>
      </w:r>
      <w:r>
        <w:rPr>
          <w:color w:val="auto"/>
          <w:spacing w:val="11"/>
          <w:position w:val="0"/>
          <w:sz w:val="28"/>
          <w:szCs w:val="28"/>
          <w:highlight w:val="none"/>
          <w:u w:val="none" w:color="auto"/>
        </w:rPr>
        <w:t>1</w:t>
      </w:r>
      <w:r>
        <w:rPr>
          <w:color w:val="auto"/>
          <w:spacing w:val="11"/>
          <w:position w:val="0"/>
          <w:sz w:val="28"/>
          <w:szCs w:val="28"/>
          <w:highlight w:val="none"/>
          <w:u w:val="none" w:color="auto"/>
        </w:rPr>
        <w:fldChar w:fldCharType="end"/>
      </w:r>
      <w:r>
        <w:rPr>
          <w:rFonts w:hint="default" w:ascii="Times New Roman" w:hAnsi="Times New Roman" w:cs="Times New Roman" w:eastAsiaTheme="minorEastAsia"/>
          <w:color w:val="auto"/>
          <w:spacing w:val="11"/>
          <w:position w:val="0"/>
          <w:sz w:val="28"/>
          <w:szCs w:val="28"/>
          <w:highlight w:val="none"/>
          <w:u w:val="none" w:color="auto"/>
        </w:rPr>
        <w:fldChar w:fldCharType="end"/>
      </w:r>
    </w:p>
    <w:p w14:paraId="78D52504">
      <w:pPr>
        <w:pStyle w:val="17"/>
        <w:tabs>
          <w:tab w:val="right" w:leader="dot" w:pos="8306"/>
        </w:tabs>
        <w:rPr>
          <w:color w:val="auto"/>
          <w:spacing w:val="11"/>
          <w:position w:val="0"/>
          <w:sz w:val="28"/>
          <w:szCs w:val="28"/>
          <w:highlight w:val="none"/>
          <w:u w:val="none" w:color="auto"/>
        </w:rPr>
      </w:pPr>
      <w:r>
        <w:rPr>
          <w:rFonts w:hint="default" w:ascii="Times New Roman" w:hAnsi="Times New Roman" w:cs="Times New Roman" w:eastAsiaTheme="minorEastAsia"/>
          <w:color w:val="auto"/>
          <w:spacing w:val="11"/>
          <w:position w:val="0"/>
          <w:sz w:val="28"/>
          <w:szCs w:val="28"/>
          <w:highlight w:val="none"/>
          <w:u w:val="none" w:color="auto"/>
        </w:rPr>
        <w:fldChar w:fldCharType="begin"/>
      </w:r>
      <w:r>
        <w:rPr>
          <w:rFonts w:hint="default" w:ascii="Times New Roman" w:hAnsi="Times New Roman" w:cs="Times New Roman" w:eastAsiaTheme="minorEastAsia"/>
          <w:color w:val="auto"/>
          <w:spacing w:val="11"/>
          <w:position w:val="0"/>
          <w:sz w:val="28"/>
          <w:szCs w:val="28"/>
          <w:highlight w:val="none"/>
          <w:u w:val="none" w:color="auto"/>
        </w:rPr>
        <w:instrText xml:space="preserve"> HYPERLINK \l _Toc9658 </w:instrText>
      </w:r>
      <w:r>
        <w:rPr>
          <w:rFonts w:hint="default" w:ascii="Times New Roman" w:hAnsi="Times New Roman" w:cs="Times New Roman" w:eastAsiaTheme="minorEastAsia"/>
          <w:color w:val="auto"/>
          <w:spacing w:val="11"/>
          <w:position w:val="0"/>
          <w:sz w:val="28"/>
          <w:szCs w:val="28"/>
          <w:highlight w:val="none"/>
          <w:u w:val="none" w:color="auto"/>
        </w:rPr>
        <w:fldChar w:fldCharType="separate"/>
      </w:r>
      <w:r>
        <w:rPr>
          <w:rFonts w:hint="default" w:ascii="Times New Roman" w:hAnsi="Times New Roman" w:cs="Times New Roman" w:eastAsiaTheme="minorEastAsia"/>
          <w:color w:val="auto"/>
          <w:spacing w:val="11"/>
          <w:position w:val="0"/>
          <w:sz w:val="28"/>
          <w:szCs w:val="28"/>
          <w:highlight w:val="none"/>
          <w:u w:val="none" w:color="auto"/>
          <w:lang w:val="en-US" w:eastAsia="zh-CN"/>
        </w:rPr>
        <w:t>二、建设项目工程分析</w:t>
      </w:r>
      <w:r>
        <w:rPr>
          <w:color w:val="auto"/>
          <w:spacing w:val="11"/>
          <w:position w:val="0"/>
          <w:sz w:val="28"/>
          <w:szCs w:val="28"/>
          <w:highlight w:val="none"/>
          <w:u w:val="none" w:color="auto"/>
        </w:rPr>
        <w:tab/>
      </w:r>
      <w:r>
        <w:rPr>
          <w:color w:val="auto"/>
          <w:spacing w:val="11"/>
          <w:position w:val="0"/>
          <w:sz w:val="28"/>
          <w:szCs w:val="28"/>
          <w:highlight w:val="none"/>
          <w:u w:val="none" w:color="auto"/>
        </w:rPr>
        <w:fldChar w:fldCharType="begin"/>
      </w:r>
      <w:r>
        <w:rPr>
          <w:color w:val="auto"/>
          <w:spacing w:val="11"/>
          <w:position w:val="0"/>
          <w:sz w:val="28"/>
          <w:szCs w:val="28"/>
          <w:highlight w:val="none"/>
          <w:u w:val="none" w:color="auto"/>
        </w:rPr>
        <w:instrText xml:space="preserve"> PAGEREF _Toc9658 \h </w:instrText>
      </w:r>
      <w:r>
        <w:rPr>
          <w:color w:val="auto"/>
          <w:spacing w:val="11"/>
          <w:position w:val="0"/>
          <w:sz w:val="28"/>
          <w:szCs w:val="28"/>
          <w:highlight w:val="none"/>
          <w:u w:val="none" w:color="auto"/>
        </w:rPr>
        <w:fldChar w:fldCharType="separate"/>
      </w:r>
      <w:r>
        <w:rPr>
          <w:color w:val="auto"/>
          <w:spacing w:val="11"/>
          <w:position w:val="0"/>
          <w:sz w:val="28"/>
          <w:szCs w:val="28"/>
          <w:highlight w:val="none"/>
          <w:u w:val="none" w:color="auto"/>
        </w:rPr>
        <w:t>6</w:t>
      </w:r>
      <w:r>
        <w:rPr>
          <w:color w:val="auto"/>
          <w:spacing w:val="11"/>
          <w:position w:val="0"/>
          <w:sz w:val="28"/>
          <w:szCs w:val="28"/>
          <w:highlight w:val="none"/>
          <w:u w:val="none" w:color="auto"/>
        </w:rPr>
        <w:fldChar w:fldCharType="end"/>
      </w:r>
      <w:r>
        <w:rPr>
          <w:rFonts w:hint="default" w:ascii="Times New Roman" w:hAnsi="Times New Roman" w:cs="Times New Roman" w:eastAsiaTheme="minorEastAsia"/>
          <w:color w:val="auto"/>
          <w:spacing w:val="11"/>
          <w:position w:val="0"/>
          <w:sz w:val="28"/>
          <w:szCs w:val="28"/>
          <w:highlight w:val="none"/>
          <w:u w:val="none" w:color="auto"/>
        </w:rPr>
        <w:fldChar w:fldCharType="end"/>
      </w:r>
    </w:p>
    <w:p w14:paraId="476FE15D">
      <w:pPr>
        <w:pStyle w:val="17"/>
        <w:tabs>
          <w:tab w:val="right" w:leader="dot" w:pos="8306"/>
        </w:tabs>
        <w:rPr>
          <w:color w:val="auto"/>
          <w:spacing w:val="11"/>
          <w:position w:val="0"/>
          <w:sz w:val="28"/>
          <w:szCs w:val="28"/>
          <w:highlight w:val="none"/>
          <w:u w:val="none" w:color="auto"/>
        </w:rPr>
      </w:pPr>
      <w:r>
        <w:rPr>
          <w:rFonts w:hint="default" w:ascii="Times New Roman" w:hAnsi="Times New Roman" w:cs="Times New Roman" w:eastAsiaTheme="minorEastAsia"/>
          <w:color w:val="auto"/>
          <w:spacing w:val="11"/>
          <w:position w:val="0"/>
          <w:sz w:val="28"/>
          <w:szCs w:val="28"/>
          <w:highlight w:val="none"/>
          <w:u w:val="none" w:color="auto"/>
        </w:rPr>
        <w:fldChar w:fldCharType="begin"/>
      </w:r>
      <w:r>
        <w:rPr>
          <w:rFonts w:hint="default" w:ascii="Times New Roman" w:hAnsi="Times New Roman" w:cs="Times New Roman" w:eastAsiaTheme="minorEastAsia"/>
          <w:color w:val="auto"/>
          <w:spacing w:val="11"/>
          <w:position w:val="0"/>
          <w:sz w:val="28"/>
          <w:szCs w:val="28"/>
          <w:highlight w:val="none"/>
          <w:u w:val="none" w:color="auto"/>
        </w:rPr>
        <w:instrText xml:space="preserve"> HYPERLINK \l _Toc23196 </w:instrText>
      </w:r>
      <w:r>
        <w:rPr>
          <w:rFonts w:hint="default" w:ascii="Times New Roman" w:hAnsi="Times New Roman" w:cs="Times New Roman" w:eastAsiaTheme="minorEastAsia"/>
          <w:color w:val="auto"/>
          <w:spacing w:val="11"/>
          <w:position w:val="0"/>
          <w:sz w:val="28"/>
          <w:szCs w:val="28"/>
          <w:highlight w:val="none"/>
          <w:u w:val="none" w:color="auto"/>
        </w:rPr>
        <w:fldChar w:fldCharType="separate"/>
      </w:r>
      <w:r>
        <w:rPr>
          <w:rFonts w:hint="default" w:ascii="Times New Roman" w:hAnsi="Times New Roman" w:cs="Times New Roman" w:eastAsiaTheme="minorEastAsia"/>
          <w:color w:val="auto"/>
          <w:spacing w:val="11"/>
          <w:position w:val="0"/>
          <w:sz w:val="28"/>
          <w:szCs w:val="28"/>
          <w:highlight w:val="none"/>
          <w:u w:val="none" w:color="auto"/>
          <w:lang w:val="en-US" w:eastAsia="zh-CN"/>
        </w:rPr>
        <w:t>三、区域环境质量现状、环境保护目标及评价标准</w:t>
      </w:r>
      <w:r>
        <w:rPr>
          <w:color w:val="auto"/>
          <w:spacing w:val="11"/>
          <w:position w:val="0"/>
          <w:sz w:val="28"/>
          <w:szCs w:val="28"/>
          <w:highlight w:val="none"/>
          <w:u w:val="none" w:color="auto"/>
        </w:rPr>
        <w:tab/>
      </w:r>
      <w:r>
        <w:rPr>
          <w:color w:val="auto"/>
          <w:spacing w:val="11"/>
          <w:position w:val="0"/>
          <w:sz w:val="28"/>
          <w:szCs w:val="28"/>
          <w:highlight w:val="none"/>
          <w:u w:val="none" w:color="auto"/>
        </w:rPr>
        <w:fldChar w:fldCharType="begin"/>
      </w:r>
      <w:r>
        <w:rPr>
          <w:color w:val="auto"/>
          <w:spacing w:val="11"/>
          <w:position w:val="0"/>
          <w:sz w:val="28"/>
          <w:szCs w:val="28"/>
          <w:highlight w:val="none"/>
          <w:u w:val="none" w:color="auto"/>
        </w:rPr>
        <w:instrText xml:space="preserve"> PAGEREF _Toc23196 \h </w:instrText>
      </w:r>
      <w:r>
        <w:rPr>
          <w:color w:val="auto"/>
          <w:spacing w:val="11"/>
          <w:position w:val="0"/>
          <w:sz w:val="28"/>
          <w:szCs w:val="28"/>
          <w:highlight w:val="none"/>
          <w:u w:val="none" w:color="auto"/>
        </w:rPr>
        <w:fldChar w:fldCharType="separate"/>
      </w:r>
      <w:r>
        <w:rPr>
          <w:color w:val="auto"/>
          <w:spacing w:val="11"/>
          <w:position w:val="0"/>
          <w:sz w:val="28"/>
          <w:szCs w:val="28"/>
          <w:highlight w:val="none"/>
          <w:u w:val="none" w:color="auto"/>
        </w:rPr>
        <w:t>20</w:t>
      </w:r>
      <w:r>
        <w:rPr>
          <w:color w:val="auto"/>
          <w:spacing w:val="11"/>
          <w:position w:val="0"/>
          <w:sz w:val="28"/>
          <w:szCs w:val="28"/>
          <w:highlight w:val="none"/>
          <w:u w:val="none" w:color="auto"/>
        </w:rPr>
        <w:fldChar w:fldCharType="end"/>
      </w:r>
      <w:r>
        <w:rPr>
          <w:rFonts w:hint="default" w:ascii="Times New Roman" w:hAnsi="Times New Roman" w:cs="Times New Roman" w:eastAsiaTheme="minorEastAsia"/>
          <w:color w:val="auto"/>
          <w:spacing w:val="11"/>
          <w:position w:val="0"/>
          <w:sz w:val="28"/>
          <w:szCs w:val="28"/>
          <w:highlight w:val="none"/>
          <w:u w:val="none" w:color="auto"/>
        </w:rPr>
        <w:fldChar w:fldCharType="end"/>
      </w:r>
    </w:p>
    <w:p w14:paraId="752326CA">
      <w:pPr>
        <w:pStyle w:val="17"/>
        <w:tabs>
          <w:tab w:val="right" w:leader="dot" w:pos="8306"/>
        </w:tabs>
        <w:rPr>
          <w:color w:val="auto"/>
          <w:spacing w:val="11"/>
          <w:position w:val="0"/>
          <w:sz w:val="28"/>
          <w:szCs w:val="28"/>
          <w:highlight w:val="none"/>
          <w:u w:val="none" w:color="auto"/>
        </w:rPr>
      </w:pPr>
      <w:r>
        <w:rPr>
          <w:rFonts w:hint="default" w:ascii="Times New Roman" w:hAnsi="Times New Roman" w:cs="Times New Roman" w:eastAsiaTheme="minorEastAsia"/>
          <w:color w:val="auto"/>
          <w:spacing w:val="11"/>
          <w:position w:val="0"/>
          <w:sz w:val="28"/>
          <w:szCs w:val="28"/>
          <w:highlight w:val="none"/>
          <w:u w:val="none" w:color="auto"/>
        </w:rPr>
        <w:fldChar w:fldCharType="begin"/>
      </w:r>
      <w:r>
        <w:rPr>
          <w:rFonts w:hint="default" w:ascii="Times New Roman" w:hAnsi="Times New Roman" w:cs="Times New Roman" w:eastAsiaTheme="minorEastAsia"/>
          <w:color w:val="auto"/>
          <w:spacing w:val="11"/>
          <w:position w:val="0"/>
          <w:sz w:val="28"/>
          <w:szCs w:val="28"/>
          <w:highlight w:val="none"/>
          <w:u w:val="none" w:color="auto"/>
        </w:rPr>
        <w:instrText xml:space="preserve"> HYPERLINK \l _Toc2643 </w:instrText>
      </w:r>
      <w:r>
        <w:rPr>
          <w:rFonts w:hint="default" w:ascii="Times New Roman" w:hAnsi="Times New Roman" w:cs="Times New Roman" w:eastAsiaTheme="minorEastAsia"/>
          <w:color w:val="auto"/>
          <w:spacing w:val="11"/>
          <w:position w:val="0"/>
          <w:sz w:val="28"/>
          <w:szCs w:val="28"/>
          <w:highlight w:val="none"/>
          <w:u w:val="none" w:color="auto"/>
        </w:rPr>
        <w:fldChar w:fldCharType="separate"/>
      </w:r>
      <w:r>
        <w:rPr>
          <w:rFonts w:hint="default" w:ascii="Times New Roman" w:hAnsi="Times New Roman" w:cs="Times New Roman" w:eastAsiaTheme="minorEastAsia"/>
          <w:color w:val="auto"/>
          <w:spacing w:val="11"/>
          <w:position w:val="0"/>
          <w:sz w:val="28"/>
          <w:szCs w:val="28"/>
          <w:highlight w:val="none"/>
          <w:u w:val="none" w:color="auto"/>
          <w:lang w:val="en-US" w:eastAsia="zh-CN"/>
        </w:rPr>
        <w:t>四、主要环境影响和保护措施</w:t>
      </w:r>
      <w:r>
        <w:rPr>
          <w:color w:val="auto"/>
          <w:spacing w:val="11"/>
          <w:position w:val="0"/>
          <w:sz w:val="28"/>
          <w:szCs w:val="28"/>
          <w:highlight w:val="none"/>
          <w:u w:val="none" w:color="auto"/>
        </w:rPr>
        <w:tab/>
      </w:r>
      <w:r>
        <w:rPr>
          <w:color w:val="auto"/>
          <w:spacing w:val="11"/>
          <w:position w:val="0"/>
          <w:sz w:val="28"/>
          <w:szCs w:val="28"/>
          <w:highlight w:val="none"/>
          <w:u w:val="none" w:color="auto"/>
        </w:rPr>
        <w:fldChar w:fldCharType="begin"/>
      </w:r>
      <w:r>
        <w:rPr>
          <w:color w:val="auto"/>
          <w:spacing w:val="11"/>
          <w:position w:val="0"/>
          <w:sz w:val="28"/>
          <w:szCs w:val="28"/>
          <w:highlight w:val="none"/>
          <w:u w:val="none" w:color="auto"/>
        </w:rPr>
        <w:instrText xml:space="preserve"> PAGEREF _Toc2643 \h </w:instrText>
      </w:r>
      <w:r>
        <w:rPr>
          <w:color w:val="auto"/>
          <w:spacing w:val="11"/>
          <w:position w:val="0"/>
          <w:sz w:val="28"/>
          <w:szCs w:val="28"/>
          <w:highlight w:val="none"/>
          <w:u w:val="none" w:color="auto"/>
        </w:rPr>
        <w:fldChar w:fldCharType="separate"/>
      </w:r>
      <w:r>
        <w:rPr>
          <w:color w:val="auto"/>
          <w:spacing w:val="11"/>
          <w:position w:val="0"/>
          <w:sz w:val="28"/>
          <w:szCs w:val="28"/>
          <w:highlight w:val="none"/>
          <w:u w:val="none" w:color="auto"/>
        </w:rPr>
        <w:t>26</w:t>
      </w:r>
      <w:r>
        <w:rPr>
          <w:color w:val="auto"/>
          <w:spacing w:val="11"/>
          <w:position w:val="0"/>
          <w:sz w:val="28"/>
          <w:szCs w:val="28"/>
          <w:highlight w:val="none"/>
          <w:u w:val="none" w:color="auto"/>
        </w:rPr>
        <w:fldChar w:fldCharType="end"/>
      </w:r>
      <w:r>
        <w:rPr>
          <w:rFonts w:hint="default" w:ascii="Times New Roman" w:hAnsi="Times New Roman" w:cs="Times New Roman" w:eastAsiaTheme="minorEastAsia"/>
          <w:color w:val="auto"/>
          <w:spacing w:val="11"/>
          <w:position w:val="0"/>
          <w:sz w:val="28"/>
          <w:szCs w:val="28"/>
          <w:highlight w:val="none"/>
          <w:u w:val="none" w:color="auto"/>
        </w:rPr>
        <w:fldChar w:fldCharType="end"/>
      </w:r>
    </w:p>
    <w:p w14:paraId="47CC73AD">
      <w:pPr>
        <w:pStyle w:val="17"/>
        <w:tabs>
          <w:tab w:val="right" w:leader="dot" w:pos="8306"/>
        </w:tabs>
        <w:rPr>
          <w:color w:val="auto"/>
          <w:spacing w:val="11"/>
          <w:position w:val="0"/>
          <w:sz w:val="28"/>
          <w:szCs w:val="28"/>
          <w:highlight w:val="none"/>
          <w:u w:val="none" w:color="auto"/>
        </w:rPr>
      </w:pPr>
      <w:r>
        <w:rPr>
          <w:rFonts w:hint="default" w:ascii="Times New Roman" w:hAnsi="Times New Roman" w:cs="Times New Roman" w:eastAsiaTheme="minorEastAsia"/>
          <w:color w:val="auto"/>
          <w:spacing w:val="11"/>
          <w:position w:val="0"/>
          <w:sz w:val="28"/>
          <w:szCs w:val="28"/>
          <w:highlight w:val="none"/>
          <w:u w:val="none" w:color="auto"/>
        </w:rPr>
        <w:fldChar w:fldCharType="begin"/>
      </w:r>
      <w:r>
        <w:rPr>
          <w:rFonts w:hint="default" w:ascii="Times New Roman" w:hAnsi="Times New Roman" w:cs="Times New Roman" w:eastAsiaTheme="minorEastAsia"/>
          <w:color w:val="auto"/>
          <w:spacing w:val="11"/>
          <w:position w:val="0"/>
          <w:sz w:val="28"/>
          <w:szCs w:val="28"/>
          <w:highlight w:val="none"/>
          <w:u w:val="none" w:color="auto"/>
        </w:rPr>
        <w:instrText xml:space="preserve"> HYPERLINK \l _Toc68 </w:instrText>
      </w:r>
      <w:r>
        <w:rPr>
          <w:rFonts w:hint="default" w:ascii="Times New Roman" w:hAnsi="Times New Roman" w:cs="Times New Roman" w:eastAsiaTheme="minorEastAsia"/>
          <w:color w:val="auto"/>
          <w:spacing w:val="11"/>
          <w:position w:val="0"/>
          <w:sz w:val="28"/>
          <w:szCs w:val="28"/>
          <w:highlight w:val="none"/>
          <w:u w:val="none" w:color="auto"/>
        </w:rPr>
        <w:fldChar w:fldCharType="separate"/>
      </w:r>
      <w:r>
        <w:rPr>
          <w:rFonts w:hint="default" w:ascii="Times New Roman" w:hAnsi="Times New Roman" w:cs="Times New Roman" w:eastAsiaTheme="minorEastAsia"/>
          <w:color w:val="auto"/>
          <w:spacing w:val="11"/>
          <w:position w:val="0"/>
          <w:sz w:val="28"/>
          <w:szCs w:val="28"/>
          <w:highlight w:val="none"/>
          <w:u w:val="none" w:color="auto"/>
          <w:lang w:val="en-US" w:eastAsia="zh-CN"/>
        </w:rPr>
        <w:t>五、环境保护措施监督检查清单</w:t>
      </w:r>
      <w:r>
        <w:rPr>
          <w:color w:val="auto"/>
          <w:spacing w:val="11"/>
          <w:position w:val="0"/>
          <w:sz w:val="28"/>
          <w:szCs w:val="28"/>
          <w:highlight w:val="none"/>
          <w:u w:val="none" w:color="auto"/>
        </w:rPr>
        <w:tab/>
      </w:r>
      <w:r>
        <w:rPr>
          <w:color w:val="auto"/>
          <w:spacing w:val="11"/>
          <w:position w:val="0"/>
          <w:sz w:val="28"/>
          <w:szCs w:val="28"/>
          <w:highlight w:val="none"/>
          <w:u w:val="none" w:color="auto"/>
        </w:rPr>
        <w:fldChar w:fldCharType="begin"/>
      </w:r>
      <w:r>
        <w:rPr>
          <w:color w:val="auto"/>
          <w:spacing w:val="11"/>
          <w:position w:val="0"/>
          <w:sz w:val="28"/>
          <w:szCs w:val="28"/>
          <w:highlight w:val="none"/>
          <w:u w:val="none" w:color="auto"/>
        </w:rPr>
        <w:instrText xml:space="preserve"> PAGEREF _Toc68 \h </w:instrText>
      </w:r>
      <w:r>
        <w:rPr>
          <w:color w:val="auto"/>
          <w:spacing w:val="11"/>
          <w:position w:val="0"/>
          <w:sz w:val="28"/>
          <w:szCs w:val="28"/>
          <w:highlight w:val="none"/>
          <w:u w:val="none" w:color="auto"/>
        </w:rPr>
        <w:fldChar w:fldCharType="separate"/>
      </w:r>
      <w:r>
        <w:rPr>
          <w:color w:val="auto"/>
          <w:spacing w:val="11"/>
          <w:position w:val="0"/>
          <w:sz w:val="28"/>
          <w:szCs w:val="28"/>
          <w:highlight w:val="none"/>
          <w:u w:val="none" w:color="auto"/>
        </w:rPr>
        <w:t>55</w:t>
      </w:r>
      <w:r>
        <w:rPr>
          <w:color w:val="auto"/>
          <w:spacing w:val="11"/>
          <w:position w:val="0"/>
          <w:sz w:val="28"/>
          <w:szCs w:val="28"/>
          <w:highlight w:val="none"/>
          <w:u w:val="none" w:color="auto"/>
        </w:rPr>
        <w:fldChar w:fldCharType="end"/>
      </w:r>
      <w:r>
        <w:rPr>
          <w:rFonts w:hint="default" w:ascii="Times New Roman" w:hAnsi="Times New Roman" w:cs="Times New Roman" w:eastAsiaTheme="minorEastAsia"/>
          <w:color w:val="auto"/>
          <w:spacing w:val="11"/>
          <w:position w:val="0"/>
          <w:sz w:val="28"/>
          <w:szCs w:val="28"/>
          <w:highlight w:val="none"/>
          <w:u w:val="none" w:color="auto"/>
        </w:rPr>
        <w:fldChar w:fldCharType="end"/>
      </w:r>
    </w:p>
    <w:p w14:paraId="0BEFFF05">
      <w:pPr>
        <w:pStyle w:val="17"/>
        <w:tabs>
          <w:tab w:val="right" w:leader="dot" w:pos="8306"/>
        </w:tabs>
        <w:rPr>
          <w:color w:val="auto"/>
          <w:spacing w:val="11"/>
          <w:position w:val="0"/>
          <w:sz w:val="28"/>
          <w:szCs w:val="28"/>
          <w:highlight w:val="none"/>
          <w:u w:val="none" w:color="auto"/>
        </w:rPr>
      </w:pPr>
      <w:r>
        <w:rPr>
          <w:rFonts w:hint="default" w:ascii="Times New Roman" w:hAnsi="Times New Roman" w:cs="Times New Roman" w:eastAsiaTheme="minorEastAsia"/>
          <w:color w:val="auto"/>
          <w:spacing w:val="11"/>
          <w:position w:val="0"/>
          <w:sz w:val="28"/>
          <w:szCs w:val="28"/>
          <w:highlight w:val="none"/>
          <w:u w:val="none" w:color="auto"/>
        </w:rPr>
        <w:fldChar w:fldCharType="begin"/>
      </w:r>
      <w:r>
        <w:rPr>
          <w:rFonts w:hint="default" w:ascii="Times New Roman" w:hAnsi="Times New Roman" w:cs="Times New Roman" w:eastAsiaTheme="minorEastAsia"/>
          <w:color w:val="auto"/>
          <w:spacing w:val="11"/>
          <w:position w:val="0"/>
          <w:sz w:val="28"/>
          <w:szCs w:val="28"/>
          <w:highlight w:val="none"/>
          <w:u w:val="none" w:color="auto"/>
        </w:rPr>
        <w:instrText xml:space="preserve"> HYPERLINK \l _Toc32418 </w:instrText>
      </w:r>
      <w:r>
        <w:rPr>
          <w:rFonts w:hint="default" w:ascii="Times New Roman" w:hAnsi="Times New Roman" w:cs="Times New Roman" w:eastAsiaTheme="minorEastAsia"/>
          <w:color w:val="auto"/>
          <w:spacing w:val="11"/>
          <w:position w:val="0"/>
          <w:sz w:val="28"/>
          <w:szCs w:val="28"/>
          <w:highlight w:val="none"/>
          <w:u w:val="none" w:color="auto"/>
        </w:rPr>
        <w:fldChar w:fldCharType="separate"/>
      </w:r>
      <w:r>
        <w:rPr>
          <w:rFonts w:hint="eastAsia" w:ascii="Times New Roman" w:hAnsi="Times New Roman" w:cs="Times New Roman" w:eastAsiaTheme="minorEastAsia"/>
          <w:color w:val="auto"/>
          <w:spacing w:val="11"/>
          <w:position w:val="0"/>
          <w:sz w:val="28"/>
          <w:szCs w:val="28"/>
          <w:highlight w:val="none"/>
          <w:u w:val="none" w:color="auto"/>
          <w:lang w:val="en-US" w:eastAsia="zh-CN"/>
        </w:rPr>
        <w:t>六、</w:t>
      </w:r>
      <w:r>
        <w:rPr>
          <w:rFonts w:hint="default" w:ascii="Times New Roman" w:hAnsi="Times New Roman" w:cs="Times New Roman" w:eastAsiaTheme="minorEastAsia"/>
          <w:color w:val="auto"/>
          <w:spacing w:val="11"/>
          <w:position w:val="0"/>
          <w:sz w:val="28"/>
          <w:szCs w:val="28"/>
          <w:highlight w:val="none"/>
          <w:u w:val="none" w:color="auto"/>
          <w:lang w:val="en-US" w:eastAsia="zh-CN"/>
        </w:rPr>
        <w:t>结论</w:t>
      </w:r>
      <w:r>
        <w:rPr>
          <w:color w:val="auto"/>
          <w:spacing w:val="11"/>
          <w:position w:val="0"/>
          <w:sz w:val="28"/>
          <w:szCs w:val="28"/>
          <w:highlight w:val="none"/>
          <w:u w:val="none" w:color="auto"/>
        </w:rPr>
        <w:tab/>
      </w:r>
      <w:r>
        <w:rPr>
          <w:color w:val="auto"/>
          <w:spacing w:val="11"/>
          <w:position w:val="0"/>
          <w:sz w:val="28"/>
          <w:szCs w:val="28"/>
          <w:highlight w:val="none"/>
          <w:u w:val="none" w:color="auto"/>
        </w:rPr>
        <w:fldChar w:fldCharType="begin"/>
      </w:r>
      <w:r>
        <w:rPr>
          <w:color w:val="auto"/>
          <w:spacing w:val="11"/>
          <w:position w:val="0"/>
          <w:sz w:val="28"/>
          <w:szCs w:val="28"/>
          <w:highlight w:val="none"/>
          <w:u w:val="none" w:color="auto"/>
        </w:rPr>
        <w:instrText xml:space="preserve"> PAGEREF _Toc32418 \h </w:instrText>
      </w:r>
      <w:r>
        <w:rPr>
          <w:color w:val="auto"/>
          <w:spacing w:val="11"/>
          <w:position w:val="0"/>
          <w:sz w:val="28"/>
          <w:szCs w:val="28"/>
          <w:highlight w:val="none"/>
          <w:u w:val="none" w:color="auto"/>
        </w:rPr>
        <w:fldChar w:fldCharType="separate"/>
      </w:r>
      <w:r>
        <w:rPr>
          <w:color w:val="auto"/>
          <w:spacing w:val="11"/>
          <w:position w:val="0"/>
          <w:sz w:val="28"/>
          <w:szCs w:val="28"/>
          <w:highlight w:val="none"/>
          <w:u w:val="none" w:color="auto"/>
        </w:rPr>
        <w:t>57</w:t>
      </w:r>
      <w:r>
        <w:rPr>
          <w:color w:val="auto"/>
          <w:spacing w:val="11"/>
          <w:position w:val="0"/>
          <w:sz w:val="28"/>
          <w:szCs w:val="28"/>
          <w:highlight w:val="none"/>
          <w:u w:val="none" w:color="auto"/>
        </w:rPr>
        <w:fldChar w:fldCharType="end"/>
      </w:r>
      <w:r>
        <w:rPr>
          <w:rFonts w:hint="default" w:ascii="Times New Roman" w:hAnsi="Times New Roman" w:cs="Times New Roman" w:eastAsiaTheme="minorEastAsia"/>
          <w:color w:val="auto"/>
          <w:spacing w:val="11"/>
          <w:position w:val="0"/>
          <w:sz w:val="28"/>
          <w:szCs w:val="28"/>
          <w:highlight w:val="none"/>
          <w:u w:val="none" w:color="auto"/>
        </w:rPr>
        <w:fldChar w:fldCharType="end"/>
      </w:r>
    </w:p>
    <w:p w14:paraId="455EC14F">
      <w:pPr>
        <w:keepNext w:val="0"/>
        <w:keepLines w:val="0"/>
        <w:pageBreakBefore w:val="0"/>
        <w:widowControl w:val="0"/>
        <w:kinsoku/>
        <w:wordWrap/>
        <w:overflowPunct/>
        <w:topLinePunct w:val="0"/>
        <w:autoSpaceDE/>
        <w:autoSpaceDN/>
        <w:bidi w:val="0"/>
        <w:adjustRightInd w:val="0"/>
        <w:snapToGrid w:val="0"/>
        <w:spacing w:line="380" w:lineRule="exact"/>
        <w:ind w:firstLine="604" w:firstLineChars="200"/>
        <w:jc w:val="left"/>
        <w:textAlignment w:val="auto"/>
        <w:rPr>
          <w:rFonts w:hint="default"/>
          <w:color w:val="auto"/>
          <w:spacing w:val="11"/>
          <w:position w:val="0"/>
          <w:highlight w:val="none"/>
          <w:u w:val="none" w:color="auto"/>
          <w:lang w:val="en-US" w:eastAsia="zh-CN"/>
        </w:rPr>
      </w:pPr>
      <w:r>
        <w:rPr>
          <w:rFonts w:hint="default" w:ascii="Times New Roman" w:hAnsi="Times New Roman" w:cs="Times New Roman" w:eastAsiaTheme="minorEastAsia"/>
          <w:color w:val="auto"/>
          <w:spacing w:val="11"/>
          <w:position w:val="0"/>
          <w:sz w:val="28"/>
          <w:szCs w:val="28"/>
          <w:highlight w:val="none"/>
          <w:u w:val="none" w:color="auto"/>
        </w:rPr>
        <w:fldChar w:fldCharType="end"/>
      </w:r>
    </w:p>
    <w:p w14:paraId="62D4B8DA">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left"/>
        <w:textAlignment w:val="auto"/>
        <w:rPr>
          <w:rFonts w:hint="default" w:ascii="Times New Roman" w:hAnsi="Times New Roman" w:cs="Times New Roman" w:eastAsiaTheme="minorEastAsia"/>
          <w:b w:val="0"/>
          <w:bCs w:val="0"/>
          <w:color w:val="auto"/>
          <w:spacing w:val="11"/>
          <w:position w:val="0"/>
          <w:highlight w:val="none"/>
          <w:u w:val="none" w:color="auto"/>
          <w:lang w:val="en-US" w:eastAsia="zh-CN"/>
        </w:rPr>
        <w:sectPr>
          <w:pgSz w:w="11906" w:h="16838"/>
          <w:pgMar w:top="1440" w:right="1803" w:bottom="1440" w:left="1803" w:header="680" w:footer="737" w:gutter="0"/>
          <w:pgBorders>
            <w:top w:val="none" w:sz="0" w:space="0"/>
            <w:left w:val="none" w:sz="0" w:space="0"/>
            <w:bottom w:val="none" w:sz="0" w:space="0"/>
            <w:right w:val="none" w:sz="0" w:space="0"/>
          </w:pgBorders>
          <w:pgNumType w:fmt="numberInDash"/>
          <w:cols w:space="0" w:num="1"/>
          <w:rtlGutter w:val="0"/>
          <w:docGrid w:type="lines" w:linePitch="332" w:charSpace="0"/>
        </w:sectPr>
      </w:pPr>
    </w:p>
    <w:p w14:paraId="7BFE4C00">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cs="Times New Roman" w:eastAsiaTheme="minorEastAsia"/>
          <w:color w:val="auto"/>
          <w:spacing w:val="11"/>
          <w:position w:val="0"/>
          <w:highlight w:val="none"/>
          <w:u w:val="none" w:color="auto"/>
          <w:lang w:val="en-US" w:eastAsia="zh-CN"/>
        </w:rPr>
      </w:pPr>
      <w:bookmarkStart w:id="0" w:name="_Toc9575"/>
      <w:r>
        <w:rPr>
          <w:rFonts w:hint="eastAsia" w:ascii="Times New Roman" w:hAnsi="Times New Roman" w:cs="Times New Roman" w:eastAsiaTheme="minorEastAsia"/>
          <w:color w:val="auto"/>
          <w:spacing w:val="11"/>
          <w:position w:val="0"/>
          <w:sz w:val="36"/>
          <w:szCs w:val="36"/>
          <w:highlight w:val="none"/>
          <w:u w:val="none" w:color="auto"/>
          <w:lang w:val="en-US" w:eastAsia="zh-CN"/>
        </w:rPr>
        <w:t>一、</w:t>
      </w:r>
      <w:r>
        <w:rPr>
          <w:rFonts w:hint="default" w:ascii="Times New Roman" w:hAnsi="Times New Roman" w:cs="Times New Roman" w:eastAsiaTheme="minorEastAsia"/>
          <w:color w:val="auto"/>
          <w:spacing w:val="11"/>
          <w:position w:val="0"/>
          <w:sz w:val="36"/>
          <w:szCs w:val="36"/>
          <w:highlight w:val="none"/>
          <w:u w:val="none" w:color="auto"/>
          <w:lang w:val="en-US" w:eastAsia="zh-CN"/>
        </w:rPr>
        <w:t>建设项目基本情况</w:t>
      </w:r>
      <w:bookmarkEnd w:id="0"/>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49"/>
        <w:gridCol w:w="2360"/>
        <w:gridCol w:w="2288"/>
        <w:gridCol w:w="3167"/>
      </w:tblGrid>
      <w:tr w14:paraId="423848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14:paraId="23CAD2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建设项目名称</w:t>
            </w:r>
          </w:p>
        </w:tc>
        <w:tc>
          <w:tcPr>
            <w:tcW w:w="3921" w:type="pct"/>
            <w:gridSpan w:val="3"/>
            <w:tcBorders>
              <w:tl2br w:val="nil"/>
              <w:tr2bl w:val="nil"/>
            </w:tcBorders>
            <w:vAlign w:val="center"/>
          </w:tcPr>
          <w:p w14:paraId="7EC6F3FE">
            <w:pPr>
              <w:spacing w:line="240" w:lineRule="auto"/>
              <w:ind w:firstLine="0" w:firstLineChars="0"/>
              <w:jc w:val="center"/>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eastAsiaTheme="minorEastAsia"/>
                <w:bCs/>
                <w:color w:val="auto"/>
                <w:spacing w:val="11"/>
                <w:position w:val="0"/>
                <w:highlight w:val="none"/>
                <w:lang w:val="en-US" w:eastAsia="zh-CN"/>
              </w:rPr>
              <w:t>新田县中医医院门诊、医技、内科住院综合楼项目</w:t>
            </w:r>
          </w:p>
        </w:tc>
      </w:tr>
      <w:tr w14:paraId="6AC111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14:paraId="520ED2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项目代码</w:t>
            </w:r>
          </w:p>
        </w:tc>
        <w:tc>
          <w:tcPr>
            <w:tcW w:w="3921" w:type="pct"/>
            <w:gridSpan w:val="3"/>
            <w:tcBorders>
              <w:tl2br w:val="nil"/>
              <w:tr2bl w:val="nil"/>
            </w:tcBorders>
            <w:vAlign w:val="center"/>
          </w:tcPr>
          <w:p w14:paraId="09826ABB">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position w:val="0"/>
                <w:highlight w:val="none"/>
              </w:rPr>
              <w:t>2209-431128-04-01-425134</w:t>
            </w:r>
          </w:p>
        </w:tc>
      </w:tr>
      <w:tr w14:paraId="1AE55D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14:paraId="3233FB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建设单位联系人</w:t>
            </w:r>
          </w:p>
        </w:tc>
        <w:tc>
          <w:tcPr>
            <w:tcW w:w="1184" w:type="pct"/>
            <w:tcBorders>
              <w:tl2br w:val="nil"/>
              <w:tr2bl w:val="nil"/>
            </w:tcBorders>
            <w:vAlign w:val="center"/>
          </w:tcPr>
          <w:p w14:paraId="3AB730EE">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position w:val="0"/>
                <w:highlight w:val="none"/>
                <w:lang w:val="en-US" w:eastAsia="zh-CN"/>
              </w:rPr>
              <w:t>宋光磊</w:t>
            </w:r>
          </w:p>
        </w:tc>
        <w:tc>
          <w:tcPr>
            <w:tcW w:w="1148" w:type="pct"/>
            <w:tcBorders>
              <w:tl2br w:val="nil"/>
              <w:tr2bl w:val="nil"/>
            </w:tcBorders>
            <w:vAlign w:val="center"/>
          </w:tcPr>
          <w:p w14:paraId="501461EC">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联系方式</w:t>
            </w:r>
          </w:p>
        </w:tc>
        <w:tc>
          <w:tcPr>
            <w:tcW w:w="1588" w:type="pct"/>
            <w:tcBorders>
              <w:tl2br w:val="nil"/>
              <w:tr2bl w:val="nil"/>
            </w:tcBorders>
            <w:vAlign w:val="center"/>
          </w:tcPr>
          <w:p w14:paraId="6786AFAF">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position w:val="0"/>
                <w:highlight w:val="none"/>
                <w:lang w:val="en-US" w:eastAsia="zh-CN"/>
              </w:rPr>
              <w:t>13762973268</w:t>
            </w:r>
          </w:p>
        </w:tc>
      </w:tr>
      <w:tr w14:paraId="54F6E8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078" w:type="pct"/>
            <w:tcBorders>
              <w:tl2br w:val="nil"/>
              <w:tr2bl w:val="nil"/>
            </w:tcBorders>
            <w:vAlign w:val="center"/>
          </w:tcPr>
          <w:p w14:paraId="4127DB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建设地点</w:t>
            </w:r>
          </w:p>
        </w:tc>
        <w:tc>
          <w:tcPr>
            <w:tcW w:w="3921" w:type="pct"/>
            <w:gridSpan w:val="3"/>
            <w:tcBorders>
              <w:tl2br w:val="nil"/>
              <w:tr2bl w:val="nil"/>
            </w:tcBorders>
            <w:vAlign w:val="center"/>
          </w:tcPr>
          <w:p w14:paraId="322498B3">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u w:val="single"/>
              </w:rPr>
              <w:t xml:space="preserve"> 湖南 </w:t>
            </w:r>
            <w:r>
              <w:rPr>
                <w:color w:val="auto"/>
                <w:spacing w:val="11"/>
                <w:position w:val="0"/>
                <w:highlight w:val="none"/>
              </w:rPr>
              <w:t>省（自治区）</w:t>
            </w:r>
            <w:r>
              <w:rPr>
                <w:color w:val="auto"/>
                <w:spacing w:val="11"/>
                <w:position w:val="0"/>
                <w:highlight w:val="none"/>
                <w:u w:val="single"/>
              </w:rPr>
              <w:t xml:space="preserve"> </w:t>
            </w:r>
            <w:r>
              <w:rPr>
                <w:rFonts w:hint="eastAsia"/>
                <w:color w:val="auto"/>
                <w:spacing w:val="11"/>
                <w:position w:val="0"/>
                <w:highlight w:val="none"/>
                <w:u w:val="single"/>
                <w:lang w:val="en-US" w:eastAsia="zh-CN"/>
              </w:rPr>
              <w:t xml:space="preserve">永州 </w:t>
            </w:r>
            <w:r>
              <w:rPr>
                <w:color w:val="auto"/>
                <w:spacing w:val="11"/>
                <w:position w:val="0"/>
                <w:highlight w:val="none"/>
              </w:rPr>
              <w:t>市</w:t>
            </w:r>
            <w:r>
              <w:rPr>
                <w:color w:val="auto"/>
                <w:spacing w:val="11"/>
                <w:position w:val="0"/>
                <w:highlight w:val="none"/>
                <w:u w:val="single"/>
              </w:rPr>
              <w:t xml:space="preserve"> </w:t>
            </w:r>
            <w:r>
              <w:rPr>
                <w:rFonts w:hint="eastAsia"/>
                <w:color w:val="auto"/>
                <w:spacing w:val="11"/>
                <w:position w:val="0"/>
                <w:highlight w:val="none"/>
                <w:u w:val="single"/>
                <w:lang w:val="en-US" w:eastAsia="zh-CN"/>
              </w:rPr>
              <w:t>新田</w:t>
            </w:r>
            <w:r>
              <w:rPr>
                <w:color w:val="auto"/>
                <w:spacing w:val="11"/>
                <w:position w:val="0"/>
                <w:highlight w:val="none"/>
                <w:u w:val="single"/>
              </w:rPr>
              <w:t xml:space="preserve"> </w:t>
            </w:r>
            <w:r>
              <w:rPr>
                <w:color w:val="auto"/>
                <w:spacing w:val="11"/>
                <w:position w:val="0"/>
                <w:highlight w:val="none"/>
              </w:rPr>
              <w:t>县（区）</w:t>
            </w:r>
            <w:r>
              <w:rPr>
                <w:color w:val="auto"/>
                <w:spacing w:val="11"/>
                <w:position w:val="0"/>
                <w:highlight w:val="none"/>
                <w:u w:val="single"/>
              </w:rPr>
              <w:t xml:space="preserve"> </w:t>
            </w:r>
            <w:r>
              <w:rPr>
                <w:rFonts w:hint="eastAsia"/>
                <w:color w:val="auto"/>
                <w:spacing w:val="11"/>
                <w:position w:val="0"/>
                <w:highlight w:val="none"/>
                <w:u w:val="single"/>
                <w:lang w:val="en-US" w:eastAsia="zh-CN"/>
              </w:rPr>
              <w:t>龙泉街道</w:t>
            </w:r>
            <w:r>
              <w:rPr>
                <w:color w:val="auto"/>
                <w:spacing w:val="11"/>
                <w:position w:val="0"/>
                <w:highlight w:val="none"/>
                <w:u w:val="single"/>
              </w:rPr>
              <w:t xml:space="preserve"> </w:t>
            </w:r>
            <w:r>
              <w:rPr>
                <w:color w:val="auto"/>
                <w:spacing w:val="11"/>
                <w:position w:val="0"/>
                <w:highlight w:val="none"/>
              </w:rPr>
              <w:t>乡（街道）</w:t>
            </w:r>
            <w:r>
              <w:rPr>
                <w:rFonts w:hint="eastAsia"/>
                <w:color w:val="auto"/>
                <w:spacing w:val="11"/>
                <w:position w:val="0"/>
                <w:highlight w:val="none"/>
                <w:u w:val="single"/>
              </w:rPr>
              <w:t xml:space="preserve"> </w:t>
            </w:r>
            <w:r>
              <w:rPr>
                <w:rFonts w:hint="eastAsia"/>
                <w:color w:val="auto"/>
                <w:spacing w:val="11"/>
                <w:position w:val="0"/>
                <w:highlight w:val="none"/>
                <w:u w:val="single"/>
                <w:lang w:val="en-US" w:eastAsia="zh-CN"/>
              </w:rPr>
              <w:t>前进路82号县中医医院院内</w:t>
            </w:r>
            <w:r>
              <w:rPr>
                <w:rFonts w:hint="eastAsia"/>
                <w:color w:val="auto"/>
                <w:spacing w:val="11"/>
                <w:position w:val="0"/>
                <w:highlight w:val="none"/>
                <w:u w:val="single"/>
              </w:rPr>
              <w:t xml:space="preserve"> </w:t>
            </w:r>
            <w:r>
              <w:rPr>
                <w:color w:val="auto"/>
                <w:spacing w:val="11"/>
                <w:position w:val="0"/>
                <w:highlight w:val="none"/>
              </w:rPr>
              <w:t>（具体地址）</w:t>
            </w:r>
          </w:p>
        </w:tc>
      </w:tr>
      <w:tr w14:paraId="521EAA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14:paraId="3FA6D6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地理坐标</w:t>
            </w:r>
          </w:p>
        </w:tc>
        <w:tc>
          <w:tcPr>
            <w:tcW w:w="3921" w:type="pct"/>
            <w:gridSpan w:val="3"/>
            <w:tcBorders>
              <w:tl2br w:val="nil"/>
              <w:tr2bl w:val="nil"/>
            </w:tcBorders>
            <w:vAlign w:val="center"/>
          </w:tcPr>
          <w:p w14:paraId="7D7B6073">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w:t>
            </w:r>
            <w:r>
              <w:rPr>
                <w:color w:val="auto"/>
                <w:spacing w:val="11"/>
                <w:position w:val="0"/>
                <w:highlight w:val="none"/>
                <w:u w:val="single"/>
              </w:rPr>
              <w:t xml:space="preserve"> 11</w:t>
            </w:r>
            <w:r>
              <w:rPr>
                <w:rFonts w:hint="eastAsia"/>
                <w:color w:val="auto"/>
                <w:spacing w:val="11"/>
                <w:position w:val="0"/>
                <w:highlight w:val="none"/>
                <w:u w:val="single"/>
                <w:lang w:val="en-US" w:eastAsia="zh-CN"/>
              </w:rPr>
              <w:t>2</w:t>
            </w:r>
            <w:r>
              <w:rPr>
                <w:color w:val="auto"/>
                <w:spacing w:val="11"/>
                <w:position w:val="0"/>
                <w:highlight w:val="none"/>
                <w:u w:val="single"/>
              </w:rPr>
              <w:t xml:space="preserve"> </w:t>
            </w:r>
            <w:r>
              <w:rPr>
                <w:color w:val="auto"/>
                <w:spacing w:val="11"/>
                <w:position w:val="0"/>
                <w:highlight w:val="none"/>
              </w:rPr>
              <w:t>度</w:t>
            </w:r>
            <w:r>
              <w:rPr>
                <w:color w:val="auto"/>
                <w:spacing w:val="11"/>
                <w:position w:val="0"/>
                <w:highlight w:val="none"/>
                <w:u w:val="single"/>
              </w:rPr>
              <w:t xml:space="preserve"> </w:t>
            </w:r>
            <w:r>
              <w:rPr>
                <w:rFonts w:hint="eastAsia"/>
                <w:color w:val="auto"/>
                <w:spacing w:val="11"/>
                <w:position w:val="0"/>
                <w:highlight w:val="none"/>
                <w:u w:val="single"/>
                <w:lang w:val="en-US" w:eastAsia="zh-CN"/>
              </w:rPr>
              <w:t>12</w:t>
            </w:r>
            <w:r>
              <w:rPr>
                <w:color w:val="auto"/>
                <w:spacing w:val="11"/>
                <w:position w:val="0"/>
                <w:highlight w:val="none"/>
                <w:u w:val="single"/>
              </w:rPr>
              <w:t xml:space="preserve"> </w:t>
            </w:r>
            <w:r>
              <w:rPr>
                <w:color w:val="auto"/>
                <w:spacing w:val="11"/>
                <w:position w:val="0"/>
                <w:highlight w:val="none"/>
              </w:rPr>
              <w:t>分</w:t>
            </w:r>
            <w:r>
              <w:rPr>
                <w:color w:val="auto"/>
                <w:spacing w:val="11"/>
                <w:position w:val="0"/>
                <w:highlight w:val="none"/>
                <w:u w:val="single"/>
              </w:rPr>
              <w:t xml:space="preserve"> </w:t>
            </w:r>
            <w:r>
              <w:rPr>
                <w:rFonts w:hint="eastAsia"/>
                <w:color w:val="auto"/>
                <w:spacing w:val="11"/>
                <w:position w:val="0"/>
                <w:highlight w:val="none"/>
                <w:u w:val="single"/>
                <w:lang w:val="en-US" w:eastAsia="zh-CN"/>
              </w:rPr>
              <w:t>42.709</w:t>
            </w:r>
            <w:r>
              <w:rPr>
                <w:color w:val="auto"/>
                <w:spacing w:val="11"/>
                <w:position w:val="0"/>
                <w:highlight w:val="none"/>
                <w:u w:val="single"/>
              </w:rPr>
              <w:t xml:space="preserve"> </w:t>
            </w:r>
            <w:r>
              <w:rPr>
                <w:color w:val="auto"/>
                <w:spacing w:val="11"/>
                <w:position w:val="0"/>
                <w:highlight w:val="none"/>
              </w:rPr>
              <w:t>秒，</w:t>
            </w:r>
            <w:r>
              <w:rPr>
                <w:color w:val="auto"/>
                <w:spacing w:val="11"/>
                <w:position w:val="0"/>
                <w:highlight w:val="none"/>
                <w:u w:val="single"/>
              </w:rPr>
              <w:t xml:space="preserve"> 2</w:t>
            </w:r>
            <w:r>
              <w:rPr>
                <w:rFonts w:hint="eastAsia"/>
                <w:color w:val="auto"/>
                <w:spacing w:val="11"/>
                <w:position w:val="0"/>
                <w:highlight w:val="none"/>
                <w:u w:val="single"/>
                <w:lang w:val="en-US" w:eastAsia="zh-CN"/>
              </w:rPr>
              <w:t>5</w:t>
            </w:r>
            <w:r>
              <w:rPr>
                <w:color w:val="auto"/>
                <w:spacing w:val="11"/>
                <w:position w:val="0"/>
                <w:highlight w:val="none"/>
                <w:u w:val="single"/>
              </w:rPr>
              <w:t xml:space="preserve"> </w:t>
            </w:r>
            <w:r>
              <w:rPr>
                <w:color w:val="auto"/>
                <w:spacing w:val="11"/>
                <w:position w:val="0"/>
                <w:highlight w:val="none"/>
              </w:rPr>
              <w:t>度</w:t>
            </w:r>
            <w:r>
              <w:rPr>
                <w:color w:val="auto"/>
                <w:spacing w:val="11"/>
                <w:position w:val="0"/>
                <w:highlight w:val="none"/>
                <w:u w:val="single"/>
              </w:rPr>
              <w:t xml:space="preserve"> </w:t>
            </w:r>
            <w:r>
              <w:rPr>
                <w:rFonts w:hint="eastAsia"/>
                <w:color w:val="auto"/>
                <w:spacing w:val="11"/>
                <w:position w:val="0"/>
                <w:highlight w:val="none"/>
                <w:u w:val="single"/>
                <w:lang w:val="en-US" w:eastAsia="zh-CN"/>
              </w:rPr>
              <w:t>54</w:t>
            </w:r>
            <w:r>
              <w:rPr>
                <w:color w:val="auto"/>
                <w:spacing w:val="11"/>
                <w:position w:val="0"/>
                <w:highlight w:val="none"/>
                <w:u w:val="single"/>
              </w:rPr>
              <w:t xml:space="preserve"> </w:t>
            </w:r>
            <w:r>
              <w:rPr>
                <w:color w:val="auto"/>
                <w:spacing w:val="11"/>
                <w:position w:val="0"/>
                <w:highlight w:val="none"/>
              </w:rPr>
              <w:t>分</w:t>
            </w:r>
            <w:r>
              <w:rPr>
                <w:color w:val="auto"/>
                <w:spacing w:val="11"/>
                <w:position w:val="0"/>
                <w:highlight w:val="none"/>
                <w:u w:val="single"/>
              </w:rPr>
              <w:t xml:space="preserve"> </w:t>
            </w:r>
            <w:r>
              <w:rPr>
                <w:rFonts w:hint="eastAsia"/>
                <w:color w:val="auto"/>
                <w:spacing w:val="11"/>
                <w:position w:val="0"/>
                <w:highlight w:val="none"/>
                <w:u w:val="single"/>
                <w:lang w:val="en-US" w:eastAsia="zh-CN"/>
              </w:rPr>
              <w:t>15.570</w:t>
            </w:r>
            <w:r>
              <w:rPr>
                <w:color w:val="auto"/>
                <w:spacing w:val="11"/>
                <w:position w:val="0"/>
                <w:highlight w:val="none"/>
                <w:u w:val="single"/>
              </w:rPr>
              <w:t xml:space="preserve"> </w:t>
            </w:r>
            <w:r>
              <w:rPr>
                <w:color w:val="auto"/>
                <w:spacing w:val="11"/>
                <w:position w:val="0"/>
                <w:highlight w:val="none"/>
              </w:rPr>
              <w:t>秒）</w:t>
            </w:r>
          </w:p>
        </w:tc>
      </w:tr>
      <w:tr w14:paraId="79008D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078" w:type="pct"/>
            <w:tcBorders>
              <w:tl2br w:val="nil"/>
              <w:tr2bl w:val="nil"/>
            </w:tcBorders>
            <w:vAlign w:val="center"/>
          </w:tcPr>
          <w:p w14:paraId="27D56A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国民经济</w:t>
            </w:r>
          </w:p>
          <w:p w14:paraId="5179CE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行业类别</w:t>
            </w:r>
          </w:p>
        </w:tc>
        <w:tc>
          <w:tcPr>
            <w:tcW w:w="1184" w:type="pct"/>
            <w:tcBorders>
              <w:tl2br w:val="nil"/>
              <w:tr2bl w:val="nil"/>
            </w:tcBorders>
            <w:vAlign w:val="center"/>
          </w:tcPr>
          <w:p w14:paraId="1AF878FA">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eastAsiaTheme="minorEastAsia"/>
                <w:color w:val="auto"/>
                <w:spacing w:val="11"/>
                <w:position w:val="0"/>
                <w:highlight w:val="none"/>
                <w:lang w:val="en-US" w:eastAsia="zh-CN"/>
              </w:rPr>
              <w:t>Q8413中西医结合医院</w:t>
            </w:r>
          </w:p>
        </w:tc>
        <w:tc>
          <w:tcPr>
            <w:tcW w:w="1148" w:type="pct"/>
            <w:tcBorders>
              <w:tl2br w:val="nil"/>
              <w:tr2bl w:val="nil"/>
            </w:tcBorders>
            <w:vAlign w:val="center"/>
          </w:tcPr>
          <w:p w14:paraId="103BAD39">
            <w:pPr>
              <w:spacing w:line="240" w:lineRule="auto"/>
              <w:ind w:firstLine="0" w:firstLineChars="0"/>
              <w:jc w:val="center"/>
              <w:rPr>
                <w:color w:val="auto"/>
                <w:spacing w:val="11"/>
                <w:position w:val="0"/>
                <w:highlight w:val="none"/>
              </w:rPr>
            </w:pPr>
            <w:r>
              <w:rPr>
                <w:color w:val="auto"/>
                <w:spacing w:val="11"/>
                <w:position w:val="0"/>
                <w:highlight w:val="none"/>
              </w:rPr>
              <w:t>建设项目</w:t>
            </w:r>
          </w:p>
          <w:p w14:paraId="0EF95565">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行业类别</w:t>
            </w:r>
          </w:p>
        </w:tc>
        <w:tc>
          <w:tcPr>
            <w:tcW w:w="1588" w:type="pct"/>
            <w:tcBorders>
              <w:tl2br w:val="nil"/>
              <w:tr2bl w:val="nil"/>
            </w:tcBorders>
            <w:vAlign w:val="center"/>
          </w:tcPr>
          <w:p w14:paraId="58C81309">
            <w:pPr>
              <w:spacing w:line="240" w:lineRule="auto"/>
              <w:ind w:firstLine="0" w:firstLineChars="0"/>
              <w:jc w:val="center"/>
              <w:rPr>
                <w:rFonts w:hint="default" w:ascii="Times New Roman" w:hAnsi="Times New Roman" w:eastAsia="宋体" w:cs="Times New Roman"/>
                <w:color w:val="auto"/>
                <w:spacing w:val="11"/>
                <w:position w:val="0"/>
                <w:sz w:val="24"/>
                <w:szCs w:val="24"/>
                <w:highlight w:val="none"/>
                <w:u w:val="none" w:color="auto"/>
                <w:lang w:val="en-US" w:eastAsia="zh-CN"/>
              </w:rPr>
            </w:pPr>
            <w:r>
              <w:rPr>
                <w:rFonts w:hint="eastAsia"/>
                <w:color w:val="auto"/>
                <w:spacing w:val="11"/>
                <w:position w:val="0"/>
                <w:highlight w:val="none"/>
                <w:lang w:val="en-US" w:eastAsia="zh-CN"/>
              </w:rPr>
              <w:t>108</w:t>
            </w:r>
            <w:r>
              <w:rPr>
                <w:rFonts w:hint="eastAsia"/>
                <w:color w:val="auto"/>
                <w:spacing w:val="11"/>
                <w:position w:val="0"/>
                <w:highlight w:val="none"/>
              </w:rPr>
              <w:t xml:space="preserve"> </w:t>
            </w:r>
            <w:r>
              <w:rPr>
                <w:rFonts w:hint="eastAsia"/>
                <w:color w:val="auto"/>
                <w:spacing w:val="11"/>
                <w:position w:val="0"/>
                <w:highlight w:val="none"/>
                <w:lang w:val="en-US" w:eastAsia="zh-CN"/>
              </w:rPr>
              <w:t>医院841</w:t>
            </w:r>
          </w:p>
        </w:tc>
      </w:tr>
      <w:tr w14:paraId="7F0FA6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14:paraId="107DAC33">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建设性质</w:t>
            </w:r>
          </w:p>
        </w:tc>
        <w:tc>
          <w:tcPr>
            <w:tcW w:w="1184" w:type="pct"/>
            <w:tcBorders>
              <w:tl2br w:val="nil"/>
              <w:tr2bl w:val="nil"/>
            </w:tcBorders>
            <w:vAlign w:val="center"/>
          </w:tcPr>
          <w:p w14:paraId="65B3F094">
            <w:pPr>
              <w:spacing w:line="240" w:lineRule="auto"/>
              <w:ind w:firstLine="0" w:firstLineChars="0"/>
              <w:jc w:val="both"/>
              <w:rPr>
                <w:color w:val="auto"/>
                <w:spacing w:val="11"/>
                <w:position w:val="0"/>
                <w:highlight w:val="none"/>
              </w:rPr>
            </w:pPr>
            <w:r>
              <w:rPr>
                <w:color w:val="auto"/>
                <w:spacing w:val="11"/>
                <w:position w:val="0"/>
                <w:highlight w:val="none"/>
              </w:rPr>
              <w:sym w:font="Wingdings 2" w:char="00A3"/>
            </w:r>
            <w:r>
              <w:rPr>
                <w:color w:val="auto"/>
                <w:spacing w:val="11"/>
                <w:position w:val="0"/>
                <w:highlight w:val="none"/>
              </w:rPr>
              <w:t>新建</w:t>
            </w:r>
            <w:r>
              <w:rPr>
                <w:rFonts w:hint="default"/>
                <w:color w:val="auto"/>
                <w:spacing w:val="11"/>
                <w:position w:val="0"/>
                <w:highlight w:val="none"/>
                <w:lang w:val="en-US" w:eastAsia="zh-CN"/>
              </w:rPr>
              <w:t>（迁建）</w:t>
            </w:r>
          </w:p>
          <w:p w14:paraId="796D2AD5">
            <w:pPr>
              <w:spacing w:line="240" w:lineRule="auto"/>
              <w:ind w:firstLine="0" w:firstLineChars="0"/>
              <w:jc w:val="both"/>
              <w:rPr>
                <w:color w:val="auto"/>
                <w:spacing w:val="11"/>
                <w:position w:val="0"/>
                <w:highlight w:val="none"/>
              </w:rPr>
            </w:pPr>
            <w:r>
              <w:rPr>
                <w:color w:val="auto"/>
                <w:spacing w:val="11"/>
                <w:position w:val="0"/>
                <w:highlight w:val="none"/>
              </w:rPr>
              <w:sym w:font="Wingdings 2" w:char="0052"/>
            </w:r>
            <w:r>
              <w:rPr>
                <w:color w:val="auto"/>
                <w:spacing w:val="11"/>
                <w:position w:val="0"/>
                <w:highlight w:val="none"/>
              </w:rPr>
              <w:t>改</w:t>
            </w:r>
            <w:r>
              <w:rPr>
                <w:rFonts w:hint="eastAsia"/>
                <w:color w:val="auto"/>
                <w:spacing w:val="11"/>
                <w:position w:val="0"/>
                <w:highlight w:val="none"/>
                <w:lang w:eastAsia="zh-CN"/>
              </w:rPr>
              <w:t>（</w:t>
            </w:r>
            <w:r>
              <w:rPr>
                <w:rFonts w:hint="eastAsia"/>
                <w:color w:val="auto"/>
                <w:spacing w:val="11"/>
                <w:position w:val="0"/>
                <w:highlight w:val="none"/>
                <w:lang w:val="en-US" w:eastAsia="zh-CN"/>
              </w:rPr>
              <w:t>扩</w:t>
            </w:r>
            <w:r>
              <w:rPr>
                <w:rFonts w:hint="eastAsia"/>
                <w:color w:val="auto"/>
                <w:spacing w:val="11"/>
                <w:position w:val="0"/>
                <w:highlight w:val="none"/>
                <w:lang w:eastAsia="zh-CN"/>
              </w:rPr>
              <w:t>）</w:t>
            </w:r>
            <w:r>
              <w:rPr>
                <w:color w:val="auto"/>
                <w:spacing w:val="11"/>
                <w:position w:val="0"/>
                <w:highlight w:val="none"/>
              </w:rPr>
              <w:t>建</w:t>
            </w:r>
          </w:p>
          <w:p w14:paraId="0EAB13E9">
            <w:pPr>
              <w:spacing w:line="240" w:lineRule="auto"/>
              <w:ind w:firstLine="0" w:firstLineChars="0"/>
              <w:jc w:val="both"/>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sym w:font="Wingdings 2" w:char="00A3"/>
            </w:r>
            <w:r>
              <w:rPr>
                <w:color w:val="auto"/>
                <w:spacing w:val="11"/>
                <w:position w:val="0"/>
                <w:highlight w:val="none"/>
              </w:rPr>
              <w:t>技术改造</w:t>
            </w:r>
          </w:p>
        </w:tc>
        <w:tc>
          <w:tcPr>
            <w:tcW w:w="1148" w:type="pct"/>
            <w:tcBorders>
              <w:tl2br w:val="nil"/>
              <w:tr2bl w:val="nil"/>
            </w:tcBorders>
            <w:vAlign w:val="center"/>
          </w:tcPr>
          <w:p w14:paraId="64BB1DFD">
            <w:pPr>
              <w:spacing w:line="240" w:lineRule="auto"/>
              <w:ind w:firstLine="0" w:firstLineChars="0"/>
              <w:jc w:val="center"/>
              <w:rPr>
                <w:color w:val="auto"/>
                <w:spacing w:val="11"/>
                <w:position w:val="0"/>
                <w:highlight w:val="none"/>
              </w:rPr>
            </w:pPr>
            <w:r>
              <w:rPr>
                <w:color w:val="auto"/>
                <w:spacing w:val="11"/>
                <w:position w:val="0"/>
                <w:highlight w:val="none"/>
              </w:rPr>
              <w:t>建设项目</w:t>
            </w:r>
          </w:p>
          <w:p w14:paraId="266B42E8">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申报情形</w:t>
            </w:r>
          </w:p>
        </w:tc>
        <w:tc>
          <w:tcPr>
            <w:tcW w:w="1588" w:type="pct"/>
            <w:tcBorders>
              <w:tl2br w:val="nil"/>
              <w:tr2bl w:val="nil"/>
            </w:tcBorders>
            <w:vAlign w:val="center"/>
          </w:tcPr>
          <w:p w14:paraId="01CC4E25">
            <w:pPr>
              <w:spacing w:line="240" w:lineRule="auto"/>
              <w:ind w:firstLine="0" w:firstLineChars="0"/>
              <w:jc w:val="both"/>
              <w:rPr>
                <w:color w:val="auto"/>
                <w:spacing w:val="11"/>
                <w:position w:val="0"/>
                <w:highlight w:val="none"/>
              </w:rPr>
            </w:pPr>
            <w:r>
              <w:rPr>
                <w:color w:val="auto"/>
                <w:spacing w:val="11"/>
                <w:position w:val="0"/>
                <w:highlight w:val="none"/>
              </w:rPr>
              <w:sym w:font="Wingdings 2" w:char="0052"/>
            </w:r>
            <w:r>
              <w:rPr>
                <w:color w:val="auto"/>
                <w:spacing w:val="11"/>
                <w:position w:val="0"/>
                <w:highlight w:val="none"/>
              </w:rPr>
              <w:t>首次申报项目</w:t>
            </w:r>
          </w:p>
          <w:p w14:paraId="4891ABF6">
            <w:pPr>
              <w:spacing w:line="240" w:lineRule="auto"/>
              <w:ind w:firstLine="0" w:firstLineChars="0"/>
              <w:jc w:val="both"/>
              <w:rPr>
                <w:color w:val="auto"/>
                <w:spacing w:val="11"/>
                <w:position w:val="0"/>
                <w:highlight w:val="none"/>
              </w:rPr>
            </w:pPr>
            <w:r>
              <w:rPr>
                <w:color w:val="auto"/>
                <w:spacing w:val="11"/>
                <w:position w:val="0"/>
                <w:highlight w:val="none"/>
              </w:rPr>
              <w:sym w:font="Wingdings 2" w:char="00A3"/>
            </w:r>
            <w:r>
              <w:rPr>
                <w:color w:val="auto"/>
                <w:spacing w:val="11"/>
                <w:position w:val="0"/>
                <w:highlight w:val="none"/>
              </w:rPr>
              <w:t>不予批准后再次申报项目</w:t>
            </w:r>
          </w:p>
          <w:p w14:paraId="330A15DA">
            <w:pPr>
              <w:spacing w:line="240" w:lineRule="auto"/>
              <w:ind w:firstLine="0" w:firstLineChars="0"/>
              <w:jc w:val="both"/>
              <w:rPr>
                <w:color w:val="auto"/>
                <w:spacing w:val="11"/>
                <w:position w:val="0"/>
                <w:highlight w:val="none"/>
              </w:rPr>
            </w:pPr>
            <w:r>
              <w:rPr>
                <w:color w:val="auto"/>
                <w:spacing w:val="11"/>
                <w:position w:val="0"/>
                <w:highlight w:val="none"/>
              </w:rPr>
              <w:sym w:font="Wingdings 2" w:char="00A3"/>
            </w:r>
            <w:r>
              <w:rPr>
                <w:color w:val="auto"/>
                <w:spacing w:val="11"/>
                <w:position w:val="0"/>
                <w:highlight w:val="none"/>
              </w:rPr>
              <w:t>超五年重新审核项目</w:t>
            </w:r>
          </w:p>
          <w:p w14:paraId="7A9671CE">
            <w:pPr>
              <w:spacing w:line="240" w:lineRule="auto"/>
              <w:ind w:firstLine="0" w:firstLineChars="0"/>
              <w:jc w:val="both"/>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sym w:font="Wingdings 2" w:char="00A3"/>
            </w:r>
            <w:r>
              <w:rPr>
                <w:color w:val="auto"/>
                <w:spacing w:val="11"/>
                <w:position w:val="0"/>
                <w:highlight w:val="none"/>
              </w:rPr>
              <w:t>重大变动重新报批项目</w:t>
            </w:r>
          </w:p>
        </w:tc>
      </w:tr>
      <w:tr w14:paraId="349533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14:paraId="322095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项目审批（核准/备案）部门（选填）</w:t>
            </w:r>
          </w:p>
        </w:tc>
        <w:tc>
          <w:tcPr>
            <w:tcW w:w="1184" w:type="pct"/>
            <w:tcBorders>
              <w:tl2br w:val="nil"/>
              <w:tr2bl w:val="nil"/>
            </w:tcBorders>
            <w:vAlign w:val="center"/>
          </w:tcPr>
          <w:p w14:paraId="1B2821C2">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eastAsiaTheme="minorEastAsia"/>
                <w:color w:val="auto"/>
                <w:spacing w:val="11"/>
                <w:position w:val="0"/>
                <w:highlight w:val="none"/>
                <w:lang w:val="en-US" w:eastAsia="zh-CN"/>
              </w:rPr>
              <w:t>新田县发展和改革局</w:t>
            </w:r>
          </w:p>
        </w:tc>
        <w:tc>
          <w:tcPr>
            <w:tcW w:w="1148" w:type="pct"/>
            <w:tcBorders>
              <w:tl2br w:val="nil"/>
              <w:tr2bl w:val="nil"/>
            </w:tcBorders>
            <w:vAlign w:val="center"/>
          </w:tcPr>
          <w:p w14:paraId="5418ADD6">
            <w:pPr>
              <w:spacing w:line="240" w:lineRule="auto"/>
              <w:ind w:firstLine="0" w:firstLineChars="0"/>
              <w:jc w:val="center"/>
              <w:rPr>
                <w:color w:val="auto"/>
                <w:spacing w:val="11"/>
                <w:position w:val="0"/>
                <w:highlight w:val="none"/>
              </w:rPr>
            </w:pPr>
            <w:r>
              <w:rPr>
                <w:color w:val="auto"/>
                <w:spacing w:val="11"/>
                <w:position w:val="0"/>
                <w:highlight w:val="none"/>
              </w:rPr>
              <w:t>项目审批（核准/</w:t>
            </w:r>
          </w:p>
          <w:p w14:paraId="6497FEDD">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备案）文号（选填）</w:t>
            </w:r>
          </w:p>
        </w:tc>
        <w:tc>
          <w:tcPr>
            <w:tcW w:w="1588" w:type="pct"/>
            <w:tcBorders>
              <w:tl2br w:val="nil"/>
              <w:tr2bl w:val="nil"/>
            </w:tcBorders>
            <w:vAlign w:val="center"/>
          </w:tcPr>
          <w:p w14:paraId="4019D410">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eastAsiaTheme="minorEastAsia"/>
                <w:color w:val="auto"/>
                <w:spacing w:val="11"/>
                <w:position w:val="0"/>
                <w:highlight w:val="none"/>
                <w:lang w:val="en-US" w:eastAsia="zh-CN"/>
              </w:rPr>
              <w:t>新发改审批[2024]265号</w:t>
            </w:r>
          </w:p>
        </w:tc>
      </w:tr>
      <w:tr w14:paraId="0A2415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14:paraId="54A7C5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总投资（万元）</w:t>
            </w:r>
          </w:p>
        </w:tc>
        <w:tc>
          <w:tcPr>
            <w:tcW w:w="1184" w:type="pct"/>
            <w:tcBorders>
              <w:tl2br w:val="nil"/>
              <w:tr2bl w:val="nil"/>
            </w:tcBorders>
            <w:vAlign w:val="center"/>
          </w:tcPr>
          <w:p w14:paraId="7A51D8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position w:val="0"/>
                <w:highlight w:val="none"/>
                <w:lang w:val="en-US" w:eastAsia="zh-CN"/>
              </w:rPr>
              <w:t>13974.11</w:t>
            </w:r>
          </w:p>
        </w:tc>
        <w:tc>
          <w:tcPr>
            <w:tcW w:w="1148" w:type="pct"/>
            <w:tcBorders>
              <w:tl2br w:val="nil"/>
              <w:tr2bl w:val="nil"/>
            </w:tcBorders>
            <w:vAlign w:val="center"/>
          </w:tcPr>
          <w:p w14:paraId="40EC65BA">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环保投资（万元）</w:t>
            </w:r>
          </w:p>
        </w:tc>
        <w:tc>
          <w:tcPr>
            <w:tcW w:w="1588" w:type="pct"/>
            <w:tcBorders>
              <w:tl2br w:val="nil"/>
              <w:tr2bl w:val="nil"/>
            </w:tcBorders>
            <w:vAlign w:val="center"/>
          </w:tcPr>
          <w:p w14:paraId="014856B4">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position w:val="0"/>
                <w:highlight w:val="none"/>
                <w:lang w:val="en-US" w:eastAsia="zh-CN"/>
              </w:rPr>
              <w:t>200</w:t>
            </w:r>
          </w:p>
        </w:tc>
      </w:tr>
      <w:tr w14:paraId="4D8B30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14:paraId="544EB8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环保投资占比（%）</w:t>
            </w:r>
          </w:p>
        </w:tc>
        <w:tc>
          <w:tcPr>
            <w:tcW w:w="1184" w:type="pct"/>
            <w:tcBorders>
              <w:tl2br w:val="nil"/>
              <w:tr2bl w:val="nil"/>
            </w:tcBorders>
            <w:vAlign w:val="center"/>
          </w:tcPr>
          <w:p w14:paraId="24BC12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position w:val="0"/>
                <w:highlight w:val="none"/>
                <w:lang w:val="en-US" w:eastAsia="zh-CN"/>
              </w:rPr>
              <w:t>1.43</w:t>
            </w:r>
          </w:p>
        </w:tc>
        <w:tc>
          <w:tcPr>
            <w:tcW w:w="1148" w:type="pct"/>
            <w:tcBorders>
              <w:tl2br w:val="nil"/>
              <w:tr2bl w:val="nil"/>
            </w:tcBorders>
            <w:vAlign w:val="center"/>
          </w:tcPr>
          <w:p w14:paraId="69F574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施工工期</w:t>
            </w:r>
          </w:p>
        </w:tc>
        <w:tc>
          <w:tcPr>
            <w:tcW w:w="1588" w:type="pct"/>
            <w:tcBorders>
              <w:tl2br w:val="nil"/>
              <w:tr2bl w:val="nil"/>
            </w:tcBorders>
            <w:vAlign w:val="center"/>
          </w:tcPr>
          <w:p w14:paraId="24D187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position w:val="0"/>
                <w:highlight w:val="none"/>
                <w:lang w:val="en-US" w:eastAsia="zh-CN"/>
              </w:rPr>
              <w:t>2025年5月~2027年9月</w:t>
            </w:r>
          </w:p>
        </w:tc>
      </w:tr>
      <w:tr w14:paraId="65A2FE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14:paraId="683BAB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是否开工建设</w:t>
            </w:r>
          </w:p>
        </w:tc>
        <w:tc>
          <w:tcPr>
            <w:tcW w:w="1184" w:type="pct"/>
            <w:tcBorders>
              <w:tl2br w:val="nil"/>
              <w:tr2bl w:val="nil"/>
            </w:tcBorders>
            <w:vAlign w:val="center"/>
          </w:tcPr>
          <w:p w14:paraId="57076862">
            <w:pPr>
              <w:spacing w:line="240" w:lineRule="auto"/>
              <w:ind w:firstLine="0" w:firstLineChars="0"/>
              <w:jc w:val="center"/>
              <w:rPr>
                <w:color w:val="auto"/>
                <w:spacing w:val="11"/>
                <w:position w:val="0"/>
                <w:highlight w:val="none"/>
              </w:rPr>
            </w:pPr>
            <w:r>
              <w:rPr>
                <w:color w:val="auto"/>
                <w:spacing w:val="11"/>
                <w:position w:val="0"/>
                <w:highlight w:val="none"/>
              </w:rPr>
              <w:sym w:font="Wingdings 2" w:char="0052"/>
            </w:r>
            <w:r>
              <w:rPr>
                <w:color w:val="auto"/>
                <w:spacing w:val="11"/>
                <w:position w:val="0"/>
                <w:highlight w:val="none"/>
              </w:rPr>
              <w:t>否</w:t>
            </w:r>
          </w:p>
          <w:p w14:paraId="1AD834B7">
            <w:pPr>
              <w:spacing w:line="240" w:lineRule="auto"/>
              <w:ind w:firstLine="0" w:firstLineChars="0"/>
              <w:jc w:val="center"/>
              <w:rPr>
                <w:rFonts w:hint="default" w:ascii="Times New Roman" w:hAnsi="Times New Roman" w:eastAsia="宋体" w:cs="Times New Roman"/>
                <w:color w:val="auto"/>
                <w:spacing w:val="11"/>
                <w:position w:val="0"/>
                <w:sz w:val="24"/>
                <w:szCs w:val="24"/>
                <w:highlight w:val="none"/>
                <w:u w:val="none" w:color="auto"/>
                <w:lang w:val="en-US" w:eastAsia="zh-CN"/>
              </w:rPr>
            </w:pPr>
            <w:r>
              <w:rPr>
                <w:color w:val="auto"/>
                <w:spacing w:val="11"/>
                <w:position w:val="0"/>
                <w:highlight w:val="none"/>
              </w:rPr>
              <w:sym w:font="Wingdings 2" w:char="00A3"/>
            </w:r>
            <w:r>
              <w:rPr>
                <w:color w:val="auto"/>
                <w:spacing w:val="11"/>
                <w:position w:val="0"/>
                <w:highlight w:val="none"/>
              </w:rPr>
              <w:t>是</w:t>
            </w:r>
          </w:p>
        </w:tc>
        <w:tc>
          <w:tcPr>
            <w:tcW w:w="1148" w:type="pct"/>
            <w:tcBorders>
              <w:tl2br w:val="nil"/>
              <w:tr2bl w:val="nil"/>
            </w:tcBorders>
            <w:vAlign w:val="center"/>
          </w:tcPr>
          <w:p w14:paraId="4D87D56F">
            <w:pPr>
              <w:spacing w:line="240" w:lineRule="auto"/>
              <w:ind w:firstLine="0" w:firstLineChars="0"/>
              <w:jc w:val="center"/>
              <w:rPr>
                <w:color w:val="auto"/>
                <w:spacing w:val="11"/>
                <w:position w:val="0"/>
                <w:highlight w:val="none"/>
              </w:rPr>
            </w:pPr>
            <w:r>
              <w:rPr>
                <w:color w:val="auto"/>
                <w:spacing w:val="11"/>
                <w:position w:val="0"/>
                <w:highlight w:val="none"/>
              </w:rPr>
              <w:t>用地（用海）</w:t>
            </w:r>
          </w:p>
          <w:p w14:paraId="2CFBBDA9">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面积（m</w:t>
            </w:r>
            <w:r>
              <w:rPr>
                <w:color w:val="auto"/>
                <w:spacing w:val="11"/>
                <w:position w:val="0"/>
                <w:highlight w:val="none"/>
                <w:vertAlign w:val="superscript"/>
              </w:rPr>
              <w:t>2</w:t>
            </w:r>
            <w:r>
              <w:rPr>
                <w:color w:val="auto"/>
                <w:spacing w:val="11"/>
                <w:position w:val="0"/>
                <w:highlight w:val="none"/>
              </w:rPr>
              <w:t>）</w:t>
            </w:r>
          </w:p>
        </w:tc>
        <w:tc>
          <w:tcPr>
            <w:tcW w:w="1588" w:type="pct"/>
            <w:tcBorders>
              <w:tl2br w:val="nil"/>
              <w:tr2bl w:val="nil"/>
            </w:tcBorders>
            <w:vAlign w:val="center"/>
          </w:tcPr>
          <w:p w14:paraId="0018207B">
            <w:pPr>
              <w:spacing w:line="240" w:lineRule="auto"/>
              <w:ind w:firstLine="0" w:firstLineChars="0"/>
              <w:jc w:val="center"/>
              <w:rPr>
                <w:rFonts w:hint="default"/>
                <w:color w:val="auto"/>
                <w:spacing w:val="11"/>
                <w:position w:val="0"/>
                <w:highlight w:val="none"/>
                <w:lang w:val="en-US" w:eastAsia="zh-CN"/>
              </w:rPr>
            </w:pPr>
            <w:r>
              <w:rPr>
                <w:rFonts w:hint="eastAsia"/>
                <w:color w:val="auto"/>
                <w:spacing w:val="11"/>
                <w:position w:val="0"/>
                <w:highlight w:val="none"/>
                <w:lang w:val="en-US" w:eastAsia="zh-CN"/>
              </w:rPr>
              <w:t>6300</w:t>
            </w:r>
          </w:p>
        </w:tc>
      </w:tr>
      <w:tr w14:paraId="1B32EC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078" w:type="pct"/>
            <w:tcBorders>
              <w:tl2br w:val="nil"/>
              <w:tr2bl w:val="nil"/>
            </w:tcBorders>
            <w:vAlign w:val="center"/>
          </w:tcPr>
          <w:p w14:paraId="1CEFF8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专项评价设置情况</w:t>
            </w:r>
          </w:p>
        </w:tc>
        <w:tc>
          <w:tcPr>
            <w:tcW w:w="3921" w:type="pct"/>
            <w:gridSpan w:val="3"/>
            <w:tcBorders>
              <w:tl2br w:val="nil"/>
              <w:tr2bl w:val="nil"/>
            </w:tcBorders>
            <w:vAlign w:val="center"/>
          </w:tcPr>
          <w:p w14:paraId="5C3D06B2">
            <w:pPr>
              <w:autoSpaceDE w:val="0"/>
              <w:autoSpaceDN w:val="0"/>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kern w:val="0"/>
                <w:position w:val="0"/>
                <w:highlight w:val="none"/>
              </w:rPr>
              <w:t>无</w:t>
            </w:r>
          </w:p>
        </w:tc>
      </w:tr>
      <w:tr w14:paraId="3AC1D0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14:paraId="17ABBB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规划情况</w:t>
            </w:r>
          </w:p>
        </w:tc>
        <w:tc>
          <w:tcPr>
            <w:tcW w:w="3921" w:type="pct"/>
            <w:gridSpan w:val="3"/>
            <w:tcBorders>
              <w:tl2br w:val="nil"/>
              <w:tr2bl w:val="nil"/>
            </w:tcBorders>
            <w:vAlign w:val="center"/>
          </w:tcPr>
          <w:p w14:paraId="4E168AE9">
            <w:pPr>
              <w:keepNext w:val="0"/>
              <w:keepLines w:val="0"/>
              <w:pageBreakBefore w:val="0"/>
              <w:widowControl w:val="0"/>
              <w:kinsoku/>
              <w:wordWrap/>
              <w:overflowPunct/>
              <w:topLinePunct w:val="0"/>
              <w:autoSpaceDE w:val="0"/>
              <w:autoSpaceDN w:val="0"/>
              <w:bidi w:val="0"/>
              <w:adjustRightInd w:val="0"/>
              <w:snapToGrid w:val="0"/>
              <w:spacing w:before="167" w:beforeLines="50"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kern w:val="0"/>
                <w:position w:val="0"/>
                <w:highlight w:val="none"/>
                <w:lang w:val="en-US" w:eastAsia="zh-CN"/>
              </w:rPr>
              <w:t>新田</w:t>
            </w:r>
            <w:r>
              <w:rPr>
                <w:rFonts w:hint="eastAsia"/>
                <w:color w:val="auto"/>
                <w:spacing w:val="11"/>
                <w:kern w:val="0"/>
                <w:position w:val="0"/>
                <w:highlight w:val="none"/>
              </w:rPr>
              <w:t>县已完成《</w:t>
            </w:r>
            <w:r>
              <w:rPr>
                <w:rFonts w:hint="eastAsia"/>
                <w:color w:val="auto"/>
                <w:spacing w:val="11"/>
                <w:kern w:val="0"/>
                <w:position w:val="0"/>
                <w:highlight w:val="none"/>
                <w:lang w:val="en-US" w:eastAsia="zh-CN"/>
              </w:rPr>
              <w:t>新田</w:t>
            </w:r>
            <w:r>
              <w:rPr>
                <w:rFonts w:hint="eastAsia"/>
                <w:color w:val="auto"/>
                <w:spacing w:val="11"/>
                <w:kern w:val="0"/>
                <w:position w:val="0"/>
                <w:highlight w:val="none"/>
              </w:rPr>
              <w:t>县国土空间总体规划（2021</w:t>
            </w:r>
            <w:r>
              <w:rPr>
                <w:rFonts w:hint="eastAsia"/>
                <w:color w:val="auto"/>
                <w:spacing w:val="11"/>
                <w:kern w:val="0"/>
                <w:position w:val="0"/>
                <w:highlight w:val="none"/>
                <w:lang w:val="en-US" w:eastAsia="zh-CN"/>
              </w:rPr>
              <w:t>-</w:t>
            </w:r>
            <w:r>
              <w:rPr>
                <w:rFonts w:hint="eastAsia"/>
                <w:color w:val="auto"/>
                <w:spacing w:val="11"/>
                <w:kern w:val="0"/>
                <w:position w:val="0"/>
                <w:highlight w:val="none"/>
              </w:rPr>
              <w:t>2035年）》编制并</w:t>
            </w:r>
            <w:r>
              <w:rPr>
                <w:rFonts w:hint="eastAsia"/>
                <w:color w:val="auto"/>
                <w:spacing w:val="11"/>
                <w:kern w:val="0"/>
                <w:position w:val="0"/>
                <w:highlight w:val="none"/>
                <w:lang w:val="en-US" w:eastAsia="zh-CN"/>
              </w:rPr>
              <w:t>取得批复（湘政函〔2024〕77号）。</w:t>
            </w:r>
          </w:p>
        </w:tc>
      </w:tr>
      <w:tr w14:paraId="06899A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2" w:hRule="atLeast"/>
        </w:trPr>
        <w:tc>
          <w:tcPr>
            <w:tcW w:w="1078" w:type="pct"/>
            <w:tcBorders>
              <w:tl2br w:val="nil"/>
              <w:tr2bl w:val="nil"/>
            </w:tcBorders>
            <w:vAlign w:val="center"/>
          </w:tcPr>
          <w:p w14:paraId="5B80AC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规划环境影响评价情况</w:t>
            </w:r>
          </w:p>
        </w:tc>
        <w:tc>
          <w:tcPr>
            <w:tcW w:w="3921" w:type="pct"/>
            <w:gridSpan w:val="3"/>
            <w:tcBorders>
              <w:tl2br w:val="nil"/>
              <w:tr2bl w:val="nil"/>
            </w:tcBorders>
            <w:vAlign w:val="center"/>
          </w:tcPr>
          <w:p w14:paraId="5B03701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eastAsiaTheme="minorEastAsia"/>
                <w:color w:val="auto"/>
                <w:spacing w:val="11"/>
                <w:kern w:val="0"/>
                <w:position w:val="0"/>
                <w:highlight w:val="none"/>
                <w:lang w:val="en-US" w:eastAsia="zh-CN"/>
              </w:rPr>
              <w:t>/</w:t>
            </w:r>
          </w:p>
        </w:tc>
      </w:tr>
      <w:tr w14:paraId="47AC9D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8" w:hRule="atLeast"/>
        </w:trPr>
        <w:tc>
          <w:tcPr>
            <w:tcW w:w="1078" w:type="pct"/>
            <w:tcBorders>
              <w:tl2br w:val="nil"/>
              <w:tr2bl w:val="nil"/>
            </w:tcBorders>
            <w:vAlign w:val="center"/>
          </w:tcPr>
          <w:p w14:paraId="0D316B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规划及规划环境影响评价符合性分析</w:t>
            </w:r>
          </w:p>
        </w:tc>
        <w:tc>
          <w:tcPr>
            <w:tcW w:w="3921" w:type="pct"/>
            <w:gridSpan w:val="3"/>
            <w:tcBorders>
              <w:tl2br w:val="nil"/>
              <w:tr2bl w:val="nil"/>
            </w:tcBorders>
            <w:vAlign w:val="center"/>
          </w:tcPr>
          <w:p w14:paraId="51BE8C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eastAsiaTheme="minorEastAsia"/>
                <w:color w:val="auto"/>
                <w:spacing w:val="11"/>
                <w:kern w:val="0"/>
                <w:position w:val="0"/>
                <w:highlight w:val="none"/>
                <w:lang w:val="en-US" w:eastAsia="zh-CN"/>
              </w:rPr>
              <w:t>/</w:t>
            </w:r>
          </w:p>
        </w:tc>
      </w:tr>
      <w:tr w14:paraId="5D3528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14:paraId="0C8265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yellow"/>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其他符合性分析</w:t>
            </w:r>
          </w:p>
        </w:tc>
        <w:tc>
          <w:tcPr>
            <w:tcW w:w="3921" w:type="pct"/>
            <w:gridSpan w:val="3"/>
            <w:tcBorders>
              <w:tl2br w:val="nil"/>
              <w:tr2bl w:val="nil"/>
            </w:tcBorders>
            <w:vAlign w:val="center"/>
          </w:tcPr>
          <w:p w14:paraId="333BB5E5">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b/>
                <w:bCs/>
                <w:color w:val="auto"/>
                <w:spacing w:val="11"/>
                <w:position w:val="0"/>
                <w:sz w:val="24"/>
                <w:szCs w:val="22"/>
                <w:highlight w:val="none"/>
                <w:u w:val="none" w:color="auto"/>
                <w:lang w:val="en-US"/>
              </w:rPr>
            </w:pPr>
            <w:r>
              <w:rPr>
                <w:rFonts w:hint="eastAsia" w:cs="Times New Roman"/>
                <w:b/>
                <w:bCs/>
                <w:color w:val="auto"/>
                <w:spacing w:val="11"/>
                <w:position w:val="0"/>
                <w:sz w:val="24"/>
                <w:szCs w:val="22"/>
                <w:highlight w:val="none"/>
                <w:u w:val="none" w:color="auto"/>
                <w:lang w:val="en-US" w:eastAsia="zh-CN"/>
              </w:rPr>
              <w:t>1</w:t>
            </w:r>
            <w:r>
              <w:rPr>
                <w:rFonts w:hint="eastAsia" w:ascii="Times New Roman" w:hAnsi="Times New Roman" w:cs="Times New Roman"/>
                <w:b/>
                <w:bCs/>
                <w:color w:val="auto"/>
                <w:spacing w:val="11"/>
                <w:position w:val="0"/>
                <w:sz w:val="24"/>
                <w:szCs w:val="22"/>
                <w:highlight w:val="none"/>
                <w:u w:val="none" w:color="auto"/>
                <w:lang w:val="en-US" w:eastAsia="zh-CN"/>
              </w:rPr>
              <w:t>、</w:t>
            </w:r>
            <w:r>
              <w:rPr>
                <w:rFonts w:hint="default" w:ascii="Times New Roman" w:hAnsi="Times New Roman" w:eastAsia="宋体" w:cs="Times New Roman"/>
                <w:b/>
                <w:bCs/>
                <w:color w:val="auto"/>
                <w:spacing w:val="11"/>
                <w:position w:val="0"/>
                <w:sz w:val="24"/>
                <w:szCs w:val="22"/>
                <w:highlight w:val="none"/>
                <w:u w:val="none" w:color="auto"/>
                <w:lang w:val="en-US" w:eastAsia="zh-CN"/>
              </w:rPr>
              <w:t>与生态环境分区管控符合性分析</w:t>
            </w:r>
          </w:p>
          <w:p w14:paraId="6A8C194B">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生态环境部发布的《关于以改善环境质量为核心加强环境影响评价管理的通知》，要求切实加强环境影响评价管理</w:t>
            </w:r>
            <w:r>
              <w:rPr>
                <w:rFonts w:hint="eastAsia" w:ascii="宋体" w:hAnsi="宋体" w:eastAsia="宋体" w:cs="宋体"/>
                <w:caps w:val="0"/>
                <w:smallCaps w:val="0"/>
                <w:color w:val="auto"/>
                <w:spacing w:val="11"/>
                <w:position w:val="0"/>
                <w:sz w:val="24"/>
                <w:szCs w:val="24"/>
                <w:highlight w:val="none"/>
                <w:u w:val="none" w:color="auto"/>
                <w:lang w:val="en-US" w:eastAsia="zh-CN"/>
              </w:rPr>
              <w:t>，落实“生态保护红线、环境质量底线、资源利用上线和环境准入负面清单”约束，建</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立项目环评审批与规划环评、现有项目环境管理、区域环境质量联动机制，更好地发挥环评制度从源头防范环境污染和生态破坏的作用，加快推进改善环境质量。</w:t>
            </w:r>
          </w:p>
          <w:p w14:paraId="71BB987C">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（1）生态红线</w:t>
            </w:r>
          </w:p>
          <w:p w14:paraId="17B052EB">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项目位于永州市新田县龙泉街道</w:t>
            </w:r>
            <w:r>
              <w:rPr>
                <w:rFonts w:hint="eastAsia" w:cs="Times New Roman"/>
                <w:caps w:val="0"/>
                <w:smallCaps w:val="0"/>
                <w:color w:val="auto"/>
                <w:spacing w:val="11"/>
                <w:position w:val="0"/>
                <w:sz w:val="24"/>
                <w:szCs w:val="24"/>
                <w:highlight w:val="none"/>
                <w:u w:val="none" w:color="auto"/>
                <w:lang w:val="en-US" w:eastAsia="zh-CN"/>
              </w:rPr>
              <w:t>前进路82号县中医医院院内</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，根据</w:t>
            </w: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新田县</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人民政府发布</w:t>
            </w: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的《</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新田县国土空间总体规划</w:t>
            </w: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（2021-2035年），</w:t>
            </w: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本</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项目不涉及生态管控区域，不在生态保护红线区域内。因此，项目符合生态保护红线划定的规定。</w:t>
            </w:r>
          </w:p>
          <w:p w14:paraId="41B38B44">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（2）环境质量底线</w:t>
            </w:r>
          </w:p>
          <w:p w14:paraId="148336A4">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项目选址区域为环境空气功能区二类区，执行二级标准。根据环境空气质量现状的监测数据，项目选址区域环境空气质量基本能够满足《环境空气质量标准》（GB3095-2012）二级标准要求，空气质量好，尚有容量进行项目建设。项目主要气型污染物为</w:t>
            </w:r>
            <w:r>
              <w:rPr>
                <w:rFonts w:hint="eastAsia" w:cs="Times New Roman"/>
                <w:caps w:val="0"/>
                <w:smallCaps w:val="0"/>
                <w:color w:val="auto"/>
                <w:spacing w:val="11"/>
                <w:position w:val="0"/>
                <w:sz w:val="24"/>
                <w:szCs w:val="24"/>
                <w:highlight w:val="none"/>
                <w:u w:val="none" w:color="auto"/>
                <w:lang w:val="en-US" w:eastAsia="zh-CN"/>
              </w:rPr>
              <w:t>恶臭污染物</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等，采取相应治理措施后可达标排放，不会对区域环境空气质量产生明显影响。</w:t>
            </w:r>
          </w:p>
          <w:p w14:paraId="5A845B0F">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根据周边地表水的环境质量现状监测数据可知，项目区域地表水水质较好，均可达到相应水环境质量要求。项目废水</w:t>
            </w:r>
            <w:r>
              <w:rPr>
                <w:rFonts w:hint="eastAsia" w:cs="Times New Roman"/>
                <w:caps w:val="0"/>
                <w:smallCaps w:val="0"/>
                <w:color w:val="auto"/>
                <w:spacing w:val="11"/>
                <w:position w:val="0"/>
                <w:sz w:val="24"/>
                <w:szCs w:val="24"/>
                <w:highlight w:val="none"/>
                <w:u w:val="none" w:color="auto"/>
                <w:lang w:val="en-US" w:eastAsia="zh-CN"/>
              </w:rPr>
              <w:t>经处理达标后排入市政管网</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，对区域水环境质量影响小。</w:t>
            </w:r>
          </w:p>
          <w:p w14:paraId="6709A7C6">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项目运营产生的噪声源强不大，合理降噪处理后可达标排放，不会改变项目所在区域的声环境功能，因此项目建设声环境质量是符合要求的。</w:t>
            </w:r>
          </w:p>
          <w:p w14:paraId="59A29281">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综上，评价项目建设符合环境质量底线要求的。</w:t>
            </w:r>
          </w:p>
          <w:p w14:paraId="560A72AD">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（3）资源利用上线</w:t>
            </w:r>
          </w:p>
          <w:p w14:paraId="49D4DBA6">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项目使用资源主要为水、电等，本项目施工期生活、</w:t>
            </w:r>
            <w:r>
              <w:rPr>
                <w:rFonts w:hint="eastAsia" w:ascii="Times New Roman" w:hAnsi="Times New Roman" w:eastAsia="宋体" w:cs="Times New Roman"/>
                <w:caps w:val="0"/>
                <w:smallCaps w:val="0"/>
                <w:color w:val="auto"/>
                <w:spacing w:val="11"/>
                <w:position w:val="0"/>
                <w:sz w:val="24"/>
                <w:szCs w:val="24"/>
                <w:highlight w:val="none"/>
                <w:u w:val="single" w:color="auto"/>
                <w:lang w:val="en-US" w:eastAsia="zh-CN"/>
              </w:rPr>
              <w:t>施工用水取自市政自来水管网，用水量较当地供水量所占比例较小；项目施工期用电量不会超过区域用电负荷。</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项目建成运行后通过内部管理、设备选择、原辅材料的选用和管理、废物回收利用、污染治理等多方面采取可行的防治措施，</w:t>
            </w:r>
            <w:r>
              <w:rPr>
                <w:rFonts w:hint="eastAsia" w:ascii="宋体" w:hAnsi="宋体" w:eastAsia="宋体" w:cs="宋体"/>
                <w:caps w:val="0"/>
                <w:smallCaps w:val="0"/>
                <w:color w:val="auto"/>
                <w:spacing w:val="11"/>
                <w:position w:val="0"/>
                <w:sz w:val="24"/>
                <w:szCs w:val="24"/>
                <w:highlight w:val="none"/>
                <w:u w:val="single" w:color="auto"/>
                <w:lang w:val="en-US" w:eastAsia="zh-CN"/>
              </w:rPr>
              <w:t>以“节能、降耗、减污”为目</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标，有效地控制污染，项目的水、电等资源不会突破区域的资源利用上线。同时，根据核对《新田县国土</w:t>
            </w:r>
            <w:r>
              <w:rPr>
                <w:rFonts w:hint="eastAsia" w:ascii="Times New Roman" w:hAnsi="Times New Roman" w:eastAsia="宋体" w:cs="Times New Roman"/>
                <w:caps w:val="0"/>
                <w:smallCaps w:val="0"/>
                <w:color w:val="auto"/>
                <w:spacing w:val="11"/>
                <w:position w:val="0"/>
                <w:sz w:val="24"/>
                <w:szCs w:val="24"/>
                <w:highlight w:val="none"/>
                <w:u w:val="single" w:color="auto"/>
                <w:lang w:val="en-US" w:eastAsia="zh-CN"/>
              </w:rPr>
              <w:t>空间总体</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规划（2021-2035）》中中心城区土地使用规划图，本项目用地不占用基本农田，占地亦不会达到资源利用上线。</w:t>
            </w:r>
          </w:p>
          <w:p w14:paraId="301BB7BE">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因此，项目资源利用满足要求。</w:t>
            </w:r>
          </w:p>
          <w:p w14:paraId="0150AAFA">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（4）环境准入清单</w:t>
            </w:r>
          </w:p>
          <w:p w14:paraId="249EAAB6">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生态环境准入清单是基于生态保护红线、环境质量底线和资源利用上线，以清单方式列出的禁止、限制等差别化环境准入条件和要求。</w:t>
            </w:r>
          </w:p>
          <w:p w14:paraId="0F423443">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b/>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本</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项目位于永州市新田县龙泉街道</w:t>
            </w:r>
            <w:r>
              <w:rPr>
                <w:rFonts w:hint="eastAsia" w:cs="Times New Roman"/>
                <w:caps w:val="0"/>
                <w:smallCaps w:val="0"/>
                <w:color w:val="auto"/>
                <w:spacing w:val="11"/>
                <w:position w:val="0"/>
                <w:sz w:val="24"/>
                <w:szCs w:val="24"/>
                <w:highlight w:val="none"/>
                <w:u w:val="none" w:color="auto"/>
                <w:lang w:val="en-US" w:eastAsia="zh-CN"/>
              </w:rPr>
              <w:t>前进路82号县中医医院院内</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，根据</w:t>
            </w: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《永州市环境管控单元（省级以上产业园区除外）生态环境准入清单》（2023版）</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w:t>
            </w:r>
            <w:r>
              <w:rPr>
                <w:rFonts w:hint="eastAsia" w:cs="Times New Roman"/>
                <w:caps w:val="0"/>
                <w:smallCaps w:val="0"/>
                <w:color w:val="auto"/>
                <w:spacing w:val="11"/>
                <w:position w:val="0"/>
                <w:sz w:val="24"/>
                <w:szCs w:val="24"/>
                <w:highlight w:val="none"/>
                <w:u w:val="none" w:color="auto"/>
                <w:lang w:val="en-US" w:eastAsia="zh-CN"/>
              </w:rPr>
              <w:t>项目所在地</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的管控单元分类为</w:t>
            </w: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重点</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管控单元（见附图</w:t>
            </w: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6</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）。本项目与其相符性分析详见下表：</w:t>
            </w:r>
          </w:p>
          <w:p w14:paraId="77621F03">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eastAsia="宋体" w:cs="Times New Roman"/>
                <w:b/>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b/>
                <w:color w:val="auto"/>
                <w:spacing w:val="11"/>
                <w:kern w:val="2"/>
                <w:position w:val="0"/>
                <w:sz w:val="21"/>
                <w:szCs w:val="21"/>
                <w:highlight w:val="none"/>
                <w:u w:val="none" w:color="auto"/>
                <w:lang w:val="en-US" w:eastAsia="zh-CN" w:bidi="ar-SA"/>
              </w:rPr>
              <w:t>表</w:t>
            </w:r>
            <w:r>
              <w:rPr>
                <w:rFonts w:hint="eastAsia" w:cs="Times New Roman"/>
                <w:b/>
                <w:color w:val="auto"/>
                <w:spacing w:val="11"/>
                <w:kern w:val="2"/>
                <w:position w:val="0"/>
                <w:sz w:val="21"/>
                <w:szCs w:val="21"/>
                <w:highlight w:val="none"/>
                <w:u w:val="none" w:color="auto"/>
                <w:lang w:val="en-US" w:eastAsia="zh-CN" w:bidi="ar-SA"/>
              </w:rPr>
              <w:t>3</w:t>
            </w:r>
            <w:r>
              <w:rPr>
                <w:rFonts w:hint="default" w:ascii="Times New Roman" w:hAnsi="Times New Roman" w:eastAsia="宋体" w:cs="Times New Roman"/>
                <w:b/>
                <w:color w:val="auto"/>
                <w:spacing w:val="11"/>
                <w:kern w:val="2"/>
                <w:position w:val="0"/>
                <w:sz w:val="21"/>
                <w:szCs w:val="21"/>
                <w:highlight w:val="none"/>
                <w:u w:val="none" w:color="auto"/>
                <w:lang w:val="en-US" w:eastAsia="zh-CN" w:bidi="ar-SA"/>
              </w:rPr>
              <w:t xml:space="preserve">  项目与环境管控单元管控要求相符性分析一览表</w:t>
            </w:r>
          </w:p>
          <w:tbl>
            <w:tblPr>
              <w:tblStyle w:val="69"/>
              <w:tblW w:w="4998" w:type="pct"/>
              <w:tblInd w:w="1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87"/>
              <w:gridCol w:w="3380"/>
              <w:gridCol w:w="2707"/>
              <w:gridCol w:w="722"/>
            </w:tblGrid>
            <w:tr w14:paraId="5A6355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518" w:type="pct"/>
                  <w:tcBorders>
                    <w:tl2br w:val="nil"/>
                    <w:tr2bl w:val="nil"/>
                  </w:tcBorders>
                  <w:vAlign w:val="center"/>
                </w:tcPr>
                <w:p w14:paraId="16A3F4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管控维度</w:t>
                  </w:r>
                </w:p>
              </w:tc>
              <w:tc>
                <w:tcPr>
                  <w:tcW w:w="2224" w:type="pct"/>
                  <w:tcBorders>
                    <w:tl2br w:val="nil"/>
                    <w:tr2bl w:val="nil"/>
                  </w:tcBorders>
                  <w:vAlign w:val="center"/>
                </w:tcPr>
                <w:p w14:paraId="01AB91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清单中管控要求</w:t>
                  </w:r>
                </w:p>
              </w:tc>
              <w:tc>
                <w:tcPr>
                  <w:tcW w:w="1781" w:type="pct"/>
                  <w:tcBorders>
                    <w:tl2br w:val="nil"/>
                    <w:tr2bl w:val="nil"/>
                  </w:tcBorders>
                  <w:vAlign w:val="center"/>
                </w:tcPr>
                <w:p w14:paraId="02E041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符合性分析</w:t>
                  </w:r>
                </w:p>
              </w:tc>
              <w:tc>
                <w:tcPr>
                  <w:tcW w:w="475" w:type="pct"/>
                  <w:tcBorders>
                    <w:tl2br w:val="nil"/>
                    <w:tr2bl w:val="nil"/>
                  </w:tcBorders>
                  <w:shd w:val="clear" w:color="auto" w:fill="auto"/>
                  <w:vAlign w:val="center"/>
                </w:tcPr>
                <w:p w14:paraId="2917ED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rPr>
                    <w:t>符合性结论</w:t>
                  </w:r>
                </w:p>
              </w:tc>
            </w:tr>
            <w:tr w14:paraId="644D6B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18" w:type="pct"/>
                  <w:tcBorders>
                    <w:tl2br w:val="nil"/>
                    <w:tr2bl w:val="nil"/>
                  </w:tcBorders>
                  <w:vAlign w:val="center"/>
                </w:tcPr>
                <w:p w14:paraId="2918F2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空间布局约束</w:t>
                  </w:r>
                </w:p>
              </w:tc>
              <w:tc>
                <w:tcPr>
                  <w:tcW w:w="2224" w:type="pct"/>
                  <w:tcBorders>
                    <w:tl2br w:val="nil"/>
                    <w:tr2bl w:val="nil"/>
                  </w:tcBorders>
                  <w:vAlign w:val="center"/>
                </w:tcPr>
                <w:p w14:paraId="6ADC7AA2">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color="auto"/>
                      <w:lang w:val="en-US" w:eastAsia="zh-CN" w:bidi="ar-SA"/>
                    </w:rPr>
                  </w:pPr>
                  <w:r>
                    <w:rPr>
                      <w:rFonts w:hint="default" w:ascii="Times New Roman" w:hAnsi="Times New Roman" w:eastAsia="宋体" w:cs="Times New Roman"/>
                      <w:color w:val="auto"/>
                      <w:spacing w:val="11"/>
                      <w:kern w:val="0"/>
                      <w:position w:val="0"/>
                      <w:sz w:val="21"/>
                      <w:szCs w:val="21"/>
                      <w:highlight w:val="none"/>
                      <w:u w:color="auto"/>
                      <w:lang w:val="en-US" w:eastAsia="zh-CN" w:bidi="ar-SA"/>
                    </w:rPr>
                    <w:t>（1.1）产业准入应严格执行国家、省级关于主体功能区划的环境保护及产业准入负面清单要求。</w:t>
                  </w:r>
                </w:p>
                <w:p w14:paraId="26DD4937">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color="auto"/>
                      <w:lang w:val="en-US" w:eastAsia="zh-CN" w:bidi="ar-SA"/>
                    </w:rPr>
                  </w:pPr>
                  <w:r>
                    <w:rPr>
                      <w:rFonts w:hint="default" w:ascii="Times New Roman" w:hAnsi="Times New Roman" w:eastAsia="宋体" w:cs="Times New Roman"/>
                      <w:color w:val="auto"/>
                      <w:spacing w:val="11"/>
                      <w:kern w:val="0"/>
                      <w:position w:val="0"/>
                      <w:sz w:val="21"/>
                      <w:szCs w:val="21"/>
                      <w:highlight w:val="none"/>
                      <w:u w:color="auto"/>
                      <w:lang w:val="en-US" w:eastAsia="zh-CN" w:bidi="ar-SA"/>
                    </w:rPr>
                    <w:t xml:space="preserve">（1.2）城市规划区内禁止新建烧制建筑砖瓦厂；城市建成区内禁止沥青搅拌站。 </w:t>
                  </w:r>
                </w:p>
                <w:p w14:paraId="40828399">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color="auto"/>
                      <w:lang w:val="en-US" w:eastAsia="zh-CN" w:bidi="ar-SA"/>
                    </w:rPr>
                    <w:t>（1.3）新田工业集中区调区扩区原则上不应超出省级主管部门确定的拓展空间；对园区外的现有企业加强环境监管，确保污染物达标排放。</w:t>
                  </w:r>
                </w:p>
              </w:tc>
              <w:tc>
                <w:tcPr>
                  <w:tcW w:w="1781" w:type="pct"/>
                  <w:tcBorders>
                    <w:tl2br w:val="nil"/>
                    <w:tr2bl w:val="nil"/>
                  </w:tcBorders>
                  <w:vAlign w:val="center"/>
                </w:tcPr>
                <w:p w14:paraId="755C64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本项目</w:t>
                  </w:r>
                  <w:r>
                    <w:rPr>
                      <w:rFonts w:hint="eastAsia" w:cs="Times New Roman"/>
                      <w:color w:val="auto"/>
                      <w:spacing w:val="11"/>
                      <w:kern w:val="0"/>
                      <w:position w:val="0"/>
                      <w:sz w:val="21"/>
                      <w:szCs w:val="21"/>
                      <w:highlight w:val="none"/>
                      <w:u w:val="none" w:color="auto"/>
                      <w:lang w:val="en-US" w:eastAsia="zh-CN"/>
                    </w:rPr>
                    <w:t>为医院建设项目</w:t>
                  </w:r>
                  <w:r>
                    <w:rPr>
                      <w:rFonts w:hint="default" w:ascii="Times New Roman" w:hAnsi="Times New Roman" w:eastAsia="宋体" w:cs="Times New Roman"/>
                      <w:color w:val="auto"/>
                      <w:spacing w:val="11"/>
                      <w:kern w:val="0"/>
                      <w:position w:val="0"/>
                      <w:sz w:val="21"/>
                      <w:szCs w:val="21"/>
                      <w:highlight w:val="none"/>
                      <w:u w:val="none" w:color="auto"/>
                      <w:lang w:val="en-US" w:eastAsia="zh-CN"/>
                    </w:rPr>
                    <w:t>，</w:t>
                  </w:r>
                  <w:r>
                    <w:rPr>
                      <w:rFonts w:hint="eastAsia" w:ascii="Times New Roman" w:hAnsi="Times New Roman" w:eastAsia="宋体" w:cs="Times New Roman"/>
                      <w:color w:val="auto"/>
                      <w:spacing w:val="11"/>
                      <w:kern w:val="0"/>
                      <w:position w:val="0"/>
                      <w:sz w:val="21"/>
                      <w:szCs w:val="21"/>
                      <w:highlight w:val="none"/>
                      <w:u w:val="none" w:color="auto"/>
                      <w:lang w:val="en-US" w:eastAsia="zh-CN"/>
                    </w:rPr>
                    <w:t>不涉及烧制建筑砖瓦厂</w:t>
                  </w:r>
                  <w:r>
                    <w:rPr>
                      <w:rFonts w:hint="eastAsia" w:cs="Times New Roman"/>
                      <w:color w:val="auto"/>
                      <w:spacing w:val="11"/>
                      <w:kern w:val="0"/>
                      <w:position w:val="0"/>
                      <w:sz w:val="21"/>
                      <w:szCs w:val="21"/>
                      <w:highlight w:val="none"/>
                      <w:u w:val="none" w:color="auto"/>
                      <w:lang w:val="en-US" w:eastAsia="zh-CN"/>
                    </w:rPr>
                    <w:t>、沥青搅拌站</w:t>
                  </w:r>
                  <w:r>
                    <w:rPr>
                      <w:rFonts w:hint="eastAsia" w:ascii="Times New Roman" w:hAnsi="Times New Roman" w:eastAsia="宋体" w:cs="Times New Roman"/>
                      <w:color w:val="auto"/>
                      <w:spacing w:val="11"/>
                      <w:kern w:val="0"/>
                      <w:position w:val="0"/>
                      <w:sz w:val="21"/>
                      <w:szCs w:val="21"/>
                      <w:highlight w:val="none"/>
                      <w:u w:val="none" w:color="auto"/>
                      <w:lang w:val="en-US" w:eastAsia="zh-CN"/>
                    </w:rPr>
                    <w:t>；运营期废气采取有效治理措施后，污染物</w:t>
                  </w:r>
                  <w:r>
                    <w:rPr>
                      <w:rFonts w:hint="eastAsia" w:cs="Times New Roman"/>
                      <w:color w:val="auto"/>
                      <w:spacing w:val="11"/>
                      <w:kern w:val="0"/>
                      <w:position w:val="0"/>
                      <w:sz w:val="21"/>
                      <w:szCs w:val="21"/>
                      <w:highlight w:val="none"/>
                      <w:u w:val="none" w:color="auto"/>
                      <w:lang w:val="en-US" w:eastAsia="zh-CN"/>
                    </w:rPr>
                    <w:t>可</w:t>
                  </w:r>
                  <w:r>
                    <w:rPr>
                      <w:rFonts w:hint="eastAsia" w:ascii="Times New Roman" w:hAnsi="Times New Roman" w:eastAsia="宋体" w:cs="Times New Roman"/>
                      <w:color w:val="auto"/>
                      <w:spacing w:val="11"/>
                      <w:kern w:val="0"/>
                      <w:position w:val="0"/>
                      <w:sz w:val="21"/>
                      <w:szCs w:val="21"/>
                      <w:highlight w:val="none"/>
                      <w:u w:val="none" w:color="auto"/>
                      <w:lang w:val="en-US" w:eastAsia="zh-CN"/>
                    </w:rPr>
                    <w:t>达标排放</w:t>
                  </w:r>
                </w:p>
              </w:tc>
              <w:tc>
                <w:tcPr>
                  <w:tcW w:w="475" w:type="pct"/>
                  <w:tcBorders>
                    <w:tl2br w:val="nil"/>
                    <w:tr2bl w:val="nil"/>
                  </w:tcBorders>
                  <w:vAlign w:val="center"/>
                </w:tcPr>
                <w:p w14:paraId="6AE226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符合</w:t>
                  </w:r>
                </w:p>
              </w:tc>
            </w:tr>
            <w:tr w14:paraId="524DF7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18" w:type="pct"/>
                  <w:tcBorders>
                    <w:tl2br w:val="nil"/>
                    <w:tr2bl w:val="nil"/>
                  </w:tcBorders>
                  <w:vAlign w:val="center"/>
                </w:tcPr>
                <w:p w14:paraId="15B6F6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污染物排放管控</w:t>
                  </w:r>
                </w:p>
              </w:tc>
              <w:tc>
                <w:tcPr>
                  <w:tcW w:w="2224" w:type="pct"/>
                  <w:tcBorders>
                    <w:tl2br w:val="nil"/>
                    <w:tr2bl w:val="nil"/>
                  </w:tcBorders>
                  <w:vAlign w:val="center"/>
                </w:tcPr>
                <w:p w14:paraId="7A3A83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pacing w:val="11"/>
                      <w:kern w:val="0"/>
                      <w:position w:val="0"/>
                      <w:sz w:val="21"/>
                      <w:szCs w:val="21"/>
                      <w:highlight w:val="none"/>
                      <w:u w:val="none" w:color="auto"/>
                      <w:lang w:val="en-US" w:eastAsia="zh-CN"/>
                    </w:rPr>
                  </w:pPr>
                  <w:r>
                    <w:rPr>
                      <w:rFonts w:hint="eastAsia" w:ascii="Times New Roman" w:hAnsi="Times New Roman" w:eastAsia="宋体" w:cs="Times New Roman"/>
                      <w:color w:val="auto"/>
                      <w:spacing w:val="11"/>
                      <w:kern w:val="0"/>
                      <w:position w:val="0"/>
                      <w:sz w:val="21"/>
                      <w:szCs w:val="21"/>
                      <w:highlight w:val="none"/>
                      <w:u w:val="none" w:color="auto"/>
                      <w:lang w:val="en-US" w:eastAsia="zh-CN"/>
                    </w:rPr>
                    <w:t xml:space="preserve">（2.1）有关行业新建项目必须执行《新田县环境突出问题集中整治重点行业操作规范》（试行），现有项目必须在规定期限内达到《规范》要求，否则自行淘汰退出。 </w:t>
                  </w:r>
                </w:p>
                <w:p w14:paraId="08B56C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eastAsia" w:ascii="Times New Roman" w:hAnsi="Times New Roman" w:eastAsia="宋体" w:cs="Times New Roman"/>
                      <w:color w:val="auto"/>
                      <w:spacing w:val="11"/>
                      <w:kern w:val="0"/>
                      <w:position w:val="0"/>
                      <w:sz w:val="21"/>
                      <w:szCs w:val="21"/>
                      <w:highlight w:val="none"/>
                      <w:u w:val="none" w:color="auto"/>
                      <w:lang w:val="en-US" w:eastAsia="zh-CN"/>
                    </w:rPr>
                    <w:t>（2.2）加大露天焚烧垃圾和露天烧烤的查处力度、禁止露天烧烤直排。及时处理群众对露天焚烧的投诉，依法查处露天焚烧建筑垃圾、生活垃圾、秸秆等行为。全面推广并形成“户分类减量、村收集利用、镇少量中转、县处理处置”等符合农村实情、具有新田县特色的农村垃圾收集处理体系。</w:t>
                  </w:r>
                </w:p>
              </w:tc>
              <w:tc>
                <w:tcPr>
                  <w:tcW w:w="1781" w:type="pct"/>
                  <w:tcBorders>
                    <w:tl2br w:val="nil"/>
                    <w:tr2bl w:val="nil"/>
                  </w:tcBorders>
                  <w:vAlign w:val="center"/>
                </w:tcPr>
                <w:p w14:paraId="690AF2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项目运营</w:t>
                  </w:r>
                  <w:r>
                    <w:rPr>
                      <w:rFonts w:hint="eastAsia" w:ascii="Times New Roman" w:hAnsi="Times New Roman" w:eastAsia="宋体" w:cs="Times New Roman"/>
                      <w:color w:val="auto"/>
                      <w:spacing w:val="11"/>
                      <w:kern w:val="0"/>
                      <w:position w:val="0"/>
                      <w:sz w:val="21"/>
                      <w:szCs w:val="21"/>
                      <w:highlight w:val="none"/>
                      <w:u w:val="none" w:color="auto"/>
                      <w:lang w:val="en-US" w:eastAsia="zh-CN"/>
                    </w:rPr>
                    <w:t>期产生的</w:t>
                  </w:r>
                  <w:r>
                    <w:rPr>
                      <w:rFonts w:hint="eastAsia" w:cs="Times New Roman"/>
                      <w:color w:val="auto"/>
                      <w:spacing w:val="11"/>
                      <w:kern w:val="0"/>
                      <w:position w:val="0"/>
                      <w:sz w:val="21"/>
                      <w:szCs w:val="21"/>
                      <w:highlight w:val="none"/>
                      <w:u w:val="none" w:color="auto"/>
                      <w:lang w:val="en-US" w:eastAsia="zh-CN"/>
                    </w:rPr>
                    <w:t>生活垃圾由环卫部门集中清运</w:t>
                  </w:r>
                </w:p>
              </w:tc>
              <w:tc>
                <w:tcPr>
                  <w:tcW w:w="475" w:type="pct"/>
                  <w:tcBorders>
                    <w:tl2br w:val="nil"/>
                    <w:tr2bl w:val="nil"/>
                  </w:tcBorders>
                  <w:vAlign w:val="center"/>
                </w:tcPr>
                <w:p w14:paraId="2B29AA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符合</w:t>
                  </w:r>
                </w:p>
              </w:tc>
            </w:tr>
            <w:tr w14:paraId="41C274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18" w:type="pct"/>
                  <w:tcBorders>
                    <w:tl2br w:val="nil"/>
                    <w:tr2bl w:val="nil"/>
                  </w:tcBorders>
                  <w:vAlign w:val="center"/>
                </w:tcPr>
                <w:p w14:paraId="6AE0E8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环境风险防控</w:t>
                  </w:r>
                </w:p>
              </w:tc>
              <w:tc>
                <w:tcPr>
                  <w:tcW w:w="2224" w:type="pct"/>
                  <w:tcBorders>
                    <w:tl2br w:val="nil"/>
                    <w:tr2bl w:val="nil"/>
                  </w:tcBorders>
                  <w:vAlign w:val="center"/>
                </w:tcPr>
                <w:p w14:paraId="68E947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eastAsia" w:ascii="Times New Roman" w:hAnsi="Times New Roman" w:eastAsia="宋体" w:cs="Times New Roman"/>
                      <w:color w:val="auto"/>
                      <w:spacing w:val="11"/>
                      <w:kern w:val="0"/>
                      <w:position w:val="0"/>
                      <w:sz w:val="21"/>
                      <w:szCs w:val="21"/>
                      <w:highlight w:val="none"/>
                      <w:u w:val="none" w:color="auto"/>
                      <w:lang w:val="en-US" w:eastAsia="zh-CN"/>
                    </w:rPr>
                    <w:t>（3.1）加强饮用水水源地风险管控，严格保护饮用水水质安全。</w:t>
                  </w:r>
                </w:p>
              </w:tc>
              <w:tc>
                <w:tcPr>
                  <w:tcW w:w="1781" w:type="pct"/>
                  <w:tcBorders>
                    <w:tl2br w:val="nil"/>
                    <w:tr2bl w:val="nil"/>
                  </w:tcBorders>
                  <w:vAlign w:val="center"/>
                </w:tcPr>
                <w:p w14:paraId="5BEEF8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项目周边无饮用水水源地</w:t>
                  </w:r>
                </w:p>
              </w:tc>
              <w:tc>
                <w:tcPr>
                  <w:tcW w:w="475" w:type="pct"/>
                  <w:tcBorders>
                    <w:tl2br w:val="nil"/>
                    <w:tr2bl w:val="nil"/>
                  </w:tcBorders>
                  <w:vAlign w:val="center"/>
                </w:tcPr>
                <w:p w14:paraId="359D1F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符合</w:t>
                  </w:r>
                </w:p>
              </w:tc>
            </w:tr>
            <w:tr w14:paraId="235F95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18" w:type="pct"/>
                  <w:tcBorders>
                    <w:tl2br w:val="nil"/>
                    <w:tr2bl w:val="nil"/>
                  </w:tcBorders>
                  <w:vAlign w:val="center"/>
                </w:tcPr>
                <w:p w14:paraId="034748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资源开发效率要求</w:t>
                  </w:r>
                </w:p>
              </w:tc>
              <w:tc>
                <w:tcPr>
                  <w:tcW w:w="2224" w:type="pct"/>
                  <w:tcBorders>
                    <w:tl2br w:val="nil"/>
                    <w:tr2bl w:val="nil"/>
                  </w:tcBorders>
                  <w:vAlign w:val="center"/>
                </w:tcPr>
                <w:p w14:paraId="134F4C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pacing w:val="11"/>
                      <w:kern w:val="0"/>
                      <w:position w:val="0"/>
                      <w:sz w:val="21"/>
                      <w:szCs w:val="21"/>
                      <w:highlight w:val="none"/>
                      <w:u w:val="none" w:color="auto"/>
                      <w:lang w:val="en-US" w:eastAsia="zh-CN"/>
                    </w:rPr>
                  </w:pPr>
                  <w:r>
                    <w:rPr>
                      <w:rFonts w:hint="eastAsia" w:ascii="Times New Roman" w:hAnsi="Times New Roman" w:eastAsia="宋体" w:cs="Times New Roman"/>
                      <w:color w:val="auto"/>
                      <w:spacing w:val="11"/>
                      <w:kern w:val="0"/>
                      <w:position w:val="0"/>
                      <w:sz w:val="21"/>
                      <w:szCs w:val="21"/>
                      <w:highlight w:val="none"/>
                      <w:u w:val="none" w:color="auto"/>
                      <w:lang w:val="en-US" w:eastAsia="zh-CN"/>
                    </w:rPr>
                    <w:t>（4.1）高污染燃料禁燃区严格执行新田县人民政府办公室关于印发《新田县高污染燃料禁燃区划定方案》的通知（新政办函〔2019〕15号）。</w:t>
                  </w:r>
                </w:p>
                <w:p w14:paraId="5BA36D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eastAsia" w:ascii="Times New Roman" w:hAnsi="Times New Roman" w:eastAsia="宋体" w:cs="Times New Roman"/>
                      <w:color w:val="auto"/>
                      <w:spacing w:val="11"/>
                      <w:kern w:val="0"/>
                      <w:position w:val="0"/>
                      <w:sz w:val="21"/>
                      <w:szCs w:val="21"/>
                      <w:highlight w:val="none"/>
                      <w:u w:val="none" w:color="auto"/>
                      <w:lang w:val="en-US" w:eastAsia="zh-CN"/>
                    </w:rPr>
                    <w:t>（4.2）到2025年，新田县用水总量目标为15187万m</w:t>
                  </w:r>
                  <w:r>
                    <w:rPr>
                      <w:rFonts w:hint="eastAsia" w:ascii="Times New Roman" w:hAnsi="Times New Roman" w:eastAsia="宋体" w:cs="Times New Roman"/>
                      <w:color w:val="auto"/>
                      <w:spacing w:val="11"/>
                      <w:kern w:val="0"/>
                      <w:position w:val="0"/>
                      <w:sz w:val="21"/>
                      <w:szCs w:val="21"/>
                      <w:highlight w:val="none"/>
                      <w:u w:val="none" w:color="auto"/>
                      <w:vertAlign w:val="superscript"/>
                      <w:lang w:val="en-US" w:eastAsia="zh-CN"/>
                    </w:rPr>
                    <w:t>3</w:t>
                  </w:r>
                  <w:r>
                    <w:rPr>
                      <w:rFonts w:hint="eastAsia" w:ascii="Times New Roman" w:hAnsi="Times New Roman" w:eastAsia="宋体" w:cs="Times New Roman"/>
                      <w:color w:val="auto"/>
                      <w:spacing w:val="11"/>
                      <w:kern w:val="0"/>
                      <w:position w:val="0"/>
                      <w:sz w:val="21"/>
                      <w:szCs w:val="21"/>
                      <w:highlight w:val="none"/>
                      <w:u w:val="none" w:color="auto"/>
                      <w:lang w:val="en-US" w:eastAsia="zh-CN"/>
                    </w:rPr>
                    <w:t>，农业用水总量控制在 12112万m</w:t>
                  </w:r>
                  <w:r>
                    <w:rPr>
                      <w:rFonts w:hint="eastAsia" w:ascii="Times New Roman" w:hAnsi="Times New Roman" w:eastAsia="宋体" w:cs="Times New Roman"/>
                      <w:color w:val="auto"/>
                      <w:spacing w:val="11"/>
                      <w:kern w:val="0"/>
                      <w:position w:val="0"/>
                      <w:sz w:val="21"/>
                      <w:szCs w:val="21"/>
                      <w:highlight w:val="none"/>
                      <w:u w:val="none" w:color="auto"/>
                      <w:vertAlign w:val="superscript"/>
                      <w:lang w:val="en-US" w:eastAsia="zh-CN"/>
                    </w:rPr>
                    <w:t>3</w:t>
                  </w:r>
                  <w:r>
                    <w:rPr>
                      <w:rFonts w:hint="eastAsia" w:ascii="Times New Roman" w:hAnsi="Times New Roman" w:eastAsia="宋体" w:cs="Times New Roman"/>
                      <w:color w:val="auto"/>
                      <w:spacing w:val="11"/>
                      <w:kern w:val="0"/>
                      <w:position w:val="0"/>
                      <w:sz w:val="21"/>
                      <w:szCs w:val="21"/>
                      <w:highlight w:val="none"/>
                      <w:u w:val="none" w:color="auto"/>
                      <w:lang w:val="en-US" w:eastAsia="zh-CN"/>
                    </w:rPr>
                    <w:t>，万元地区生产总值用水量、万元工业增加值用水量分别比2020年降低10.08%、8.87%，农田灌溉水有效利用系数为0.555。</w:t>
                  </w:r>
                </w:p>
              </w:tc>
              <w:tc>
                <w:tcPr>
                  <w:tcW w:w="1781" w:type="pct"/>
                  <w:tcBorders>
                    <w:tl2br w:val="nil"/>
                    <w:tr2bl w:val="nil"/>
                  </w:tcBorders>
                  <w:vAlign w:val="center"/>
                </w:tcPr>
                <w:p w14:paraId="4C62F2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本项目</w:t>
                  </w:r>
                  <w:r>
                    <w:rPr>
                      <w:rFonts w:hint="eastAsia" w:cs="Times New Roman"/>
                      <w:color w:val="auto"/>
                      <w:spacing w:val="11"/>
                      <w:kern w:val="0"/>
                      <w:position w:val="0"/>
                      <w:sz w:val="21"/>
                      <w:szCs w:val="21"/>
                      <w:highlight w:val="none"/>
                      <w:u w:val="none" w:color="auto"/>
                      <w:lang w:val="en-US" w:eastAsia="zh-CN"/>
                    </w:rPr>
                    <w:t>生产过程中不涉及使用锅炉。</w:t>
                  </w:r>
                  <w:r>
                    <w:rPr>
                      <w:rFonts w:hint="default" w:ascii="Times New Roman" w:hAnsi="Times New Roman" w:eastAsia="宋体" w:cs="Times New Roman"/>
                      <w:color w:val="auto"/>
                      <w:spacing w:val="11"/>
                      <w:kern w:val="0"/>
                      <w:position w:val="0"/>
                      <w:sz w:val="21"/>
                      <w:szCs w:val="21"/>
                      <w:highlight w:val="none"/>
                      <w:u w:val="none" w:color="auto"/>
                      <w:lang w:val="en-US" w:eastAsia="zh-CN"/>
                    </w:rPr>
                    <w:t>项目施工期生活、施工用水取自市政自来水管网，用水量较当地供水量所占比例较小。项目建成运行后通过内部管理、设备选择、污染治理等多方面采取可行的防治措施，</w:t>
                  </w:r>
                  <w:r>
                    <w:rPr>
                      <w:rFonts w:hint="eastAsia" w:ascii="宋体" w:hAnsi="宋体" w:eastAsia="宋体" w:cs="宋体"/>
                      <w:color w:val="auto"/>
                      <w:spacing w:val="11"/>
                      <w:kern w:val="0"/>
                      <w:position w:val="0"/>
                      <w:sz w:val="21"/>
                      <w:szCs w:val="21"/>
                      <w:highlight w:val="none"/>
                      <w:u w:val="none" w:color="auto"/>
                      <w:lang w:val="en-US" w:eastAsia="zh-CN"/>
                    </w:rPr>
                    <w:t>以“节能、降耗、减污”为</w:t>
                  </w:r>
                  <w:r>
                    <w:rPr>
                      <w:rFonts w:hint="default" w:ascii="Times New Roman" w:hAnsi="Times New Roman" w:eastAsia="宋体" w:cs="Times New Roman"/>
                      <w:color w:val="auto"/>
                      <w:spacing w:val="11"/>
                      <w:kern w:val="0"/>
                      <w:position w:val="0"/>
                      <w:sz w:val="21"/>
                      <w:szCs w:val="21"/>
                      <w:highlight w:val="none"/>
                      <w:u w:val="none" w:color="auto"/>
                      <w:lang w:val="en-US" w:eastAsia="zh-CN"/>
                    </w:rPr>
                    <w:t>目标，有效控制，不会突破区域的资源利用上线</w:t>
                  </w:r>
                </w:p>
              </w:tc>
              <w:tc>
                <w:tcPr>
                  <w:tcW w:w="475" w:type="pct"/>
                  <w:tcBorders>
                    <w:tl2br w:val="nil"/>
                    <w:tr2bl w:val="nil"/>
                  </w:tcBorders>
                  <w:vAlign w:val="center"/>
                </w:tcPr>
                <w:p w14:paraId="129C3C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符合</w:t>
                  </w:r>
                </w:p>
              </w:tc>
            </w:tr>
          </w:tbl>
          <w:p w14:paraId="7C042B9C">
            <w:pPr>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firstLine="526" w:firstLineChars="200"/>
              <w:jc w:val="left"/>
              <w:textAlignment w:val="auto"/>
              <w:rPr>
                <w:rFonts w:hint="default" w:ascii="Times New Roman" w:hAnsi="Times New Roman" w:eastAsia="宋体" w:cs="Times New Roman"/>
                <w:b/>
                <w:bCs/>
                <w:i w:val="0"/>
                <w:iCs w:val="0"/>
                <w:color w:val="auto"/>
                <w:spacing w:val="11"/>
                <w:position w:val="0"/>
                <w:sz w:val="24"/>
                <w:szCs w:val="24"/>
                <w:highlight w:val="none"/>
                <w:u w:val="none" w:color="auto"/>
                <w:lang w:val="en-US" w:eastAsia="zh-CN"/>
              </w:rPr>
            </w:pPr>
            <w:r>
              <w:rPr>
                <w:rFonts w:hint="eastAsia" w:cs="Times New Roman"/>
                <w:b/>
                <w:bCs/>
                <w:i w:val="0"/>
                <w:iCs w:val="0"/>
                <w:color w:val="auto"/>
                <w:spacing w:val="11"/>
                <w:position w:val="0"/>
                <w:sz w:val="24"/>
                <w:szCs w:val="24"/>
                <w:highlight w:val="none"/>
                <w:u w:val="none" w:color="auto"/>
                <w:lang w:val="en-US" w:eastAsia="zh-CN"/>
              </w:rPr>
              <w:t>4</w:t>
            </w:r>
            <w:r>
              <w:rPr>
                <w:rFonts w:hint="default" w:ascii="Times New Roman" w:hAnsi="Times New Roman" w:eastAsia="宋体" w:cs="Times New Roman"/>
                <w:b/>
                <w:bCs/>
                <w:i w:val="0"/>
                <w:iCs w:val="0"/>
                <w:color w:val="auto"/>
                <w:spacing w:val="11"/>
                <w:position w:val="0"/>
                <w:sz w:val="24"/>
                <w:szCs w:val="24"/>
                <w:highlight w:val="none"/>
                <w:u w:val="none" w:color="auto"/>
                <w:lang w:val="en-US" w:eastAsia="zh-CN"/>
              </w:rPr>
              <w:t>、选址合理性分析</w:t>
            </w:r>
          </w:p>
          <w:p w14:paraId="3C397906">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olor w:val="auto"/>
                <w:spacing w:val="11"/>
                <w:position w:val="0"/>
                <w:sz w:val="24"/>
                <w:szCs w:val="24"/>
                <w:highlight w:val="none"/>
                <w:u w:val="none" w:color="auto"/>
                <w:lang w:val="en-US" w:eastAsia="zh-CN"/>
              </w:rPr>
            </w:pPr>
            <w:r>
              <w:rPr>
                <w:rFonts w:hint="eastAsia" w:cs="Times New Roman"/>
                <w:color w:val="auto"/>
                <w:spacing w:val="11"/>
                <w:position w:val="0"/>
                <w:sz w:val="24"/>
                <w:szCs w:val="24"/>
                <w:highlight w:val="none"/>
                <w:u w:val="none" w:color="auto"/>
                <w:lang w:val="en-US" w:eastAsia="zh-CN"/>
              </w:rPr>
              <w:t>项目位于永州市新田县龙泉街道前进路82号县中医医院院内，本项目已办理相关用地手续，项目所在地属于医院用地/住宅，项目所在区域周边无自然保护区、无风景名胜区、饮用水源保护区等环境特殊保护区域，无文教科研区、医疗区、商业区、游览区等人口集中地区，无需特殊保护的濒危动植物。项目不在新田县生态保护红线范围内。区域交通便捷，且项目产生的污染物经采取相应的防护措施后可做到达标排放，不会降低区域环境质量等级，对环境影响不大。</w:t>
            </w:r>
          </w:p>
          <w:p w14:paraId="195E4275">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olor w:val="auto"/>
                <w:spacing w:val="11"/>
                <w:position w:val="0"/>
                <w:sz w:val="24"/>
                <w:szCs w:val="24"/>
                <w:highlight w:val="none"/>
                <w:u w:val="none" w:color="auto"/>
                <w:lang w:val="en-US" w:eastAsia="zh-CN"/>
              </w:rPr>
            </w:pPr>
            <w:r>
              <w:rPr>
                <w:rFonts w:hint="eastAsia" w:cs="Times New Roman"/>
                <w:color w:val="auto"/>
                <w:spacing w:val="11"/>
                <w:position w:val="0"/>
                <w:sz w:val="24"/>
                <w:szCs w:val="24"/>
                <w:highlight w:val="none"/>
                <w:u w:val="none" w:color="auto"/>
                <w:lang w:val="en-US" w:eastAsia="zh-CN"/>
              </w:rPr>
              <w:t>由此可见，在保证污染物达标排放和避免事故发生的前提下，项目选址合理。</w:t>
            </w:r>
          </w:p>
          <w:p w14:paraId="11CE7A07">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pacing w:val="11"/>
                <w:position w:val="0"/>
                <w:sz w:val="24"/>
                <w:szCs w:val="24"/>
                <w:highlight w:val="none"/>
                <w:u w:val="none" w:color="auto"/>
                <w:lang w:val="en-US" w:eastAsia="zh-CN"/>
              </w:rPr>
            </w:pPr>
            <w:r>
              <w:rPr>
                <w:rFonts w:hint="eastAsia" w:cs="Times New Roman"/>
                <w:b/>
                <w:bCs/>
                <w:color w:val="auto"/>
                <w:spacing w:val="11"/>
                <w:position w:val="0"/>
                <w:sz w:val="24"/>
                <w:szCs w:val="24"/>
                <w:highlight w:val="none"/>
                <w:u w:val="none" w:color="auto"/>
                <w:lang w:val="en-US" w:eastAsia="zh-CN"/>
              </w:rPr>
              <w:t>5</w:t>
            </w:r>
            <w:r>
              <w:rPr>
                <w:rFonts w:hint="default" w:ascii="Times New Roman" w:hAnsi="Times New Roman" w:eastAsia="宋体" w:cs="Times New Roman"/>
                <w:b/>
                <w:bCs/>
                <w:color w:val="auto"/>
                <w:spacing w:val="11"/>
                <w:position w:val="0"/>
                <w:sz w:val="24"/>
                <w:szCs w:val="24"/>
                <w:highlight w:val="none"/>
                <w:u w:val="none" w:color="auto"/>
                <w:lang w:val="en-US" w:eastAsia="zh-CN"/>
              </w:rPr>
              <w:t>、产业政策符合性</w:t>
            </w:r>
          </w:p>
          <w:p w14:paraId="53E393CE">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2"/>
                <w:highlight w:val="none"/>
                <w:u w:val="none" w:color="auto"/>
                <w:lang w:val="en-US" w:eastAsia="zh-CN"/>
              </w:rPr>
            </w:pPr>
            <w:r>
              <w:rPr>
                <w:rFonts w:hint="default" w:ascii="Times New Roman" w:hAnsi="Times New Roman" w:eastAsia="宋体" w:cs="Times New Roman"/>
                <w:color w:val="auto"/>
                <w:spacing w:val="11"/>
                <w:position w:val="0"/>
                <w:sz w:val="24"/>
                <w:szCs w:val="24"/>
                <w:highlight w:val="none"/>
                <w:u w:val="none" w:color="auto"/>
                <w:lang w:val="en-US" w:eastAsia="zh-CN"/>
              </w:rPr>
              <w:t>根据中华人民共和国国家发展和改革委员会令2023年第7号令公布的《产业结构调整指导目录</w:t>
            </w:r>
            <w:r>
              <w:rPr>
                <w:rFonts w:hint="eastAsia" w:cs="Times New Roman"/>
                <w:color w:val="auto"/>
                <w:spacing w:val="11"/>
                <w:position w:val="0"/>
                <w:sz w:val="24"/>
                <w:szCs w:val="24"/>
                <w:highlight w:val="none"/>
                <w:u w:val="none" w:color="auto"/>
                <w:lang w:val="en-US" w:eastAsia="zh-CN"/>
              </w:rPr>
              <w:t>（</w:t>
            </w:r>
            <w:r>
              <w:rPr>
                <w:rFonts w:hint="default" w:ascii="Times New Roman" w:hAnsi="Times New Roman" w:eastAsia="宋体" w:cs="Times New Roman"/>
                <w:color w:val="auto"/>
                <w:spacing w:val="11"/>
                <w:position w:val="0"/>
                <w:sz w:val="24"/>
                <w:szCs w:val="24"/>
                <w:highlight w:val="none"/>
                <w:u w:val="none" w:color="auto"/>
                <w:lang w:val="en-US" w:eastAsia="zh-CN"/>
              </w:rPr>
              <w:t>2024年本</w:t>
            </w:r>
            <w:r>
              <w:rPr>
                <w:rFonts w:hint="eastAsia" w:cs="Times New Roman"/>
                <w:color w:val="auto"/>
                <w:spacing w:val="11"/>
                <w:position w:val="0"/>
                <w:sz w:val="24"/>
                <w:szCs w:val="24"/>
                <w:highlight w:val="none"/>
                <w:u w:val="none" w:color="auto"/>
                <w:lang w:val="en-US" w:eastAsia="zh-CN"/>
              </w:rPr>
              <w:t>）</w:t>
            </w:r>
            <w:r>
              <w:rPr>
                <w:rFonts w:hint="default" w:ascii="Times New Roman" w:hAnsi="Times New Roman" w:eastAsia="宋体" w:cs="Times New Roman"/>
                <w:color w:val="auto"/>
                <w:spacing w:val="11"/>
                <w:position w:val="0"/>
                <w:sz w:val="24"/>
                <w:szCs w:val="24"/>
                <w:highlight w:val="none"/>
                <w:u w:val="none" w:color="auto"/>
                <w:lang w:val="en-US" w:eastAsia="zh-CN"/>
              </w:rPr>
              <w:t>》</w:t>
            </w:r>
            <w:r>
              <w:rPr>
                <w:rFonts w:hint="eastAsia" w:cs="Times New Roman"/>
                <w:color w:val="auto"/>
                <w:spacing w:val="11"/>
                <w:position w:val="0"/>
                <w:sz w:val="24"/>
                <w:szCs w:val="24"/>
                <w:highlight w:val="none"/>
                <w:u w:val="none" w:color="auto"/>
                <w:lang w:val="en-US" w:eastAsia="zh-CN"/>
              </w:rPr>
              <w:t>，本项目属于“第一类 鼓励类：三十七、卫生健康”中的“1、医疗服务设施建设：预防保健、卫生应急、卫生监督服务设施建设，医疗卫生服务设施建设，传染病、儿童、精神卫生专科医院和康复医院（中心）、护理院（中心）、安宁疗护中心、全科医疗设施与服务，医养结合设施与服务”。且</w:t>
            </w:r>
            <w:r>
              <w:rPr>
                <w:rFonts w:hint="default" w:ascii="Times New Roman" w:hAnsi="Times New Roman" w:eastAsia="宋体" w:cs="Times New Roman"/>
                <w:color w:val="auto"/>
                <w:spacing w:val="11"/>
                <w:position w:val="0"/>
                <w:sz w:val="24"/>
                <w:szCs w:val="24"/>
                <w:highlight w:val="none"/>
                <w:u w:val="none" w:color="auto"/>
                <w:lang w:val="en-US" w:eastAsia="zh-CN"/>
              </w:rPr>
              <w:t>本项目已在新田县发展和改革局</w:t>
            </w:r>
            <w:r>
              <w:rPr>
                <w:rFonts w:hint="eastAsia" w:cs="Times New Roman"/>
                <w:color w:val="auto"/>
                <w:spacing w:val="11"/>
                <w:position w:val="0"/>
                <w:sz w:val="24"/>
                <w:szCs w:val="24"/>
                <w:highlight w:val="none"/>
                <w:u w:val="none" w:color="auto"/>
                <w:lang w:val="en-US" w:eastAsia="zh-CN"/>
              </w:rPr>
              <w:t>办理延期并重新取得</w:t>
            </w:r>
            <w:r>
              <w:rPr>
                <w:rFonts w:hint="default" w:ascii="Times New Roman" w:hAnsi="Times New Roman" w:eastAsia="宋体" w:cs="Times New Roman"/>
                <w:color w:val="auto"/>
                <w:spacing w:val="11"/>
                <w:position w:val="0"/>
                <w:sz w:val="24"/>
                <w:szCs w:val="24"/>
                <w:highlight w:val="none"/>
                <w:u w:val="none" w:color="auto"/>
                <w:lang w:val="en-US" w:eastAsia="zh-CN"/>
              </w:rPr>
              <w:t>备案</w:t>
            </w:r>
            <w:r>
              <w:rPr>
                <w:rFonts w:hint="eastAsia" w:cs="Times New Roman"/>
                <w:color w:val="auto"/>
                <w:spacing w:val="11"/>
                <w:position w:val="0"/>
                <w:sz w:val="24"/>
                <w:szCs w:val="24"/>
                <w:highlight w:val="none"/>
                <w:u w:val="none" w:color="auto"/>
                <w:lang w:val="en-US" w:eastAsia="zh-CN"/>
              </w:rPr>
              <w:t>文件（新发改审批[2024]265号）</w:t>
            </w:r>
            <w:r>
              <w:rPr>
                <w:rFonts w:hint="default" w:ascii="Times New Roman" w:hAnsi="Times New Roman" w:eastAsia="宋体" w:cs="Times New Roman"/>
                <w:color w:val="auto"/>
                <w:spacing w:val="11"/>
                <w:position w:val="0"/>
                <w:sz w:val="24"/>
                <w:szCs w:val="24"/>
                <w:highlight w:val="none"/>
                <w:u w:val="none" w:color="auto"/>
                <w:lang w:val="en-US" w:eastAsia="zh-CN"/>
              </w:rPr>
              <w:t>，项目代码为2209-431128-04-01-425134，备案证明详见附件。因此，本项目符合国家产业政策要求。</w:t>
            </w:r>
            <w:r>
              <w:rPr>
                <w:rFonts w:hint="eastAsia" w:cs="Times New Roman"/>
                <w:color w:val="auto"/>
                <w:spacing w:val="11"/>
                <w:position w:val="0"/>
                <w:sz w:val="24"/>
                <w:szCs w:val="24"/>
                <w:highlight w:val="none"/>
                <w:u w:val="none" w:color="auto"/>
                <w:lang w:val="en-US" w:eastAsia="zh-CN"/>
              </w:rPr>
              <w:t xml:space="preserve"> </w:t>
            </w:r>
          </w:p>
          <w:p w14:paraId="1834B9A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pacing w:val="11"/>
                <w:position w:val="0"/>
                <w:sz w:val="24"/>
                <w:szCs w:val="24"/>
                <w:highlight w:val="none"/>
                <w:u w:val="single" w:color="auto"/>
                <w:lang w:val="en-US" w:eastAsia="zh-CN"/>
              </w:rPr>
            </w:pPr>
            <w:r>
              <w:rPr>
                <w:rFonts w:hint="eastAsia" w:cs="Times New Roman"/>
                <w:b/>
                <w:bCs/>
                <w:color w:val="auto"/>
                <w:spacing w:val="11"/>
                <w:position w:val="0"/>
                <w:sz w:val="24"/>
                <w:szCs w:val="24"/>
                <w:highlight w:val="none"/>
                <w:u w:val="single" w:color="auto"/>
                <w:lang w:val="en-US" w:eastAsia="zh-CN"/>
              </w:rPr>
              <w:t>6</w:t>
            </w:r>
            <w:r>
              <w:rPr>
                <w:rFonts w:hint="default" w:ascii="Times New Roman" w:hAnsi="Times New Roman" w:eastAsia="宋体" w:cs="Times New Roman"/>
                <w:b/>
                <w:bCs/>
                <w:color w:val="auto"/>
                <w:spacing w:val="11"/>
                <w:position w:val="0"/>
                <w:sz w:val="24"/>
                <w:szCs w:val="24"/>
                <w:highlight w:val="none"/>
                <w:u w:val="single" w:color="auto"/>
                <w:lang w:val="en-US" w:eastAsia="zh-CN"/>
              </w:rPr>
              <w:t>、与</w:t>
            </w:r>
            <w:r>
              <w:rPr>
                <w:rFonts w:hint="eastAsia" w:ascii="宋体" w:hAnsi="宋体" w:eastAsia="宋体" w:cs="宋体"/>
                <w:b/>
                <w:bCs/>
                <w:color w:val="auto"/>
                <w:spacing w:val="11"/>
                <w:position w:val="0"/>
                <w:sz w:val="24"/>
                <w:szCs w:val="24"/>
                <w:highlight w:val="none"/>
                <w:u w:val="single" w:color="auto"/>
                <w:lang w:val="en-US" w:eastAsia="zh-CN"/>
              </w:rPr>
              <w:t>“三区三线”符</w:t>
            </w:r>
            <w:r>
              <w:rPr>
                <w:rFonts w:hint="default" w:ascii="Times New Roman" w:hAnsi="Times New Roman" w:eastAsia="宋体" w:cs="Times New Roman"/>
                <w:b/>
                <w:bCs/>
                <w:color w:val="auto"/>
                <w:spacing w:val="11"/>
                <w:position w:val="0"/>
                <w:sz w:val="24"/>
                <w:szCs w:val="24"/>
                <w:highlight w:val="none"/>
                <w:u w:val="single" w:color="auto"/>
                <w:lang w:val="en-US" w:eastAsia="zh-CN"/>
              </w:rPr>
              <w:t>合性分析</w:t>
            </w:r>
          </w:p>
          <w:p w14:paraId="72C583D0">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kern w:val="21"/>
                <w:position w:val="0"/>
                <w:sz w:val="24"/>
                <w:szCs w:val="24"/>
                <w:highlight w:val="none"/>
                <w:u w:val="single" w:color="auto"/>
                <w:shd w:val="clear" w:color="auto" w:fill="auto"/>
                <w:lang w:val="en-US" w:eastAsia="zh-CN"/>
              </w:rPr>
            </w:pPr>
            <w:r>
              <w:rPr>
                <w:rFonts w:hint="default" w:ascii="Times New Roman" w:hAnsi="Times New Roman" w:eastAsia="宋体" w:cs="Times New Roman"/>
                <w:caps w:val="0"/>
                <w:smallCaps w:val="0"/>
                <w:color w:val="auto"/>
                <w:spacing w:val="11"/>
                <w:kern w:val="21"/>
                <w:position w:val="0"/>
                <w:sz w:val="24"/>
                <w:szCs w:val="24"/>
                <w:highlight w:val="none"/>
                <w:u w:val="single" w:color="auto"/>
                <w:shd w:val="clear" w:color="auto" w:fill="auto"/>
                <w:lang w:val="en-US" w:eastAsia="zh-CN"/>
              </w:rPr>
              <w:t>“三区三线”的划定和管控是发挥国土空间规划战略性、引领性、约束性、载体性作用的重要基础，是国土空间规划的核心内容。“三区三线”的划定对于加快形成生产空间集约高效、生活空间宜居适度、生态空间山清水秀的国土空间格局具有重大意义，是调整经济结构、规划产业发展、推进城镇化不可逾越的红线。‌</w:t>
            </w:r>
          </w:p>
          <w:p w14:paraId="1E4A962C">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olor w:val="auto"/>
                <w:spacing w:val="11"/>
                <w:position w:val="0"/>
                <w:sz w:val="24"/>
                <w:szCs w:val="22"/>
                <w:highlight w:val="yellow"/>
                <w:u w:val="single" w:color="auto"/>
                <w:lang w:val="en-US" w:eastAsia="zh-CN"/>
              </w:rPr>
            </w:pPr>
            <w:r>
              <w:rPr>
                <w:rFonts w:hint="default" w:ascii="Times New Roman" w:hAnsi="Times New Roman" w:eastAsia="宋体" w:cs="Times New Roman"/>
                <w:caps w:val="0"/>
                <w:smallCaps w:val="0"/>
                <w:color w:val="auto"/>
                <w:spacing w:val="11"/>
                <w:kern w:val="21"/>
                <w:position w:val="0"/>
                <w:sz w:val="24"/>
                <w:szCs w:val="24"/>
                <w:highlight w:val="none"/>
                <w:u w:val="single" w:color="auto"/>
                <w:shd w:val="clear" w:color="auto" w:fill="auto"/>
                <w:lang w:val="en-US" w:eastAsia="zh-CN"/>
              </w:rPr>
              <w:t>本项目位于新田县</w:t>
            </w:r>
            <w:r>
              <w:rPr>
                <w:rFonts w:hint="eastAsia" w:cs="Times New Roman"/>
                <w:caps w:val="0"/>
                <w:smallCaps w:val="0"/>
                <w:color w:val="auto"/>
                <w:spacing w:val="11"/>
                <w:kern w:val="21"/>
                <w:position w:val="0"/>
                <w:sz w:val="24"/>
                <w:szCs w:val="24"/>
                <w:highlight w:val="none"/>
                <w:u w:val="single" w:color="auto"/>
                <w:shd w:val="clear" w:color="auto" w:fill="auto"/>
                <w:lang w:val="en-US" w:eastAsia="zh-CN"/>
              </w:rPr>
              <w:t>龙泉街道前进路82号县中医医院院内</w:t>
            </w:r>
            <w:r>
              <w:rPr>
                <w:rFonts w:hint="default" w:ascii="Times New Roman" w:hAnsi="Times New Roman" w:eastAsia="宋体" w:cs="Times New Roman"/>
                <w:caps w:val="0"/>
                <w:smallCaps w:val="0"/>
                <w:color w:val="auto"/>
                <w:spacing w:val="11"/>
                <w:kern w:val="21"/>
                <w:position w:val="0"/>
                <w:sz w:val="24"/>
                <w:szCs w:val="24"/>
                <w:highlight w:val="none"/>
                <w:u w:val="single" w:color="auto"/>
                <w:shd w:val="clear" w:color="auto" w:fill="auto"/>
                <w:lang w:val="en-US" w:eastAsia="zh-CN"/>
              </w:rPr>
              <w:t>，根据核对《新田县龙泉街道国土空间规划（2021-2035）》</w:t>
            </w:r>
            <w:r>
              <w:rPr>
                <w:rFonts w:hint="eastAsia" w:ascii="Times New Roman" w:hAnsi="Times New Roman" w:eastAsia="宋体" w:cs="Times New Roman"/>
                <w:caps w:val="0"/>
                <w:smallCaps w:val="0"/>
                <w:color w:val="auto"/>
                <w:spacing w:val="11"/>
                <w:kern w:val="21"/>
                <w:position w:val="0"/>
                <w:sz w:val="24"/>
                <w:szCs w:val="24"/>
                <w:highlight w:val="none"/>
                <w:u w:val="single" w:color="auto"/>
                <w:shd w:val="clear" w:color="auto" w:fill="auto"/>
                <w:lang w:val="en-US" w:eastAsia="zh-CN"/>
              </w:rPr>
              <w:t>中国土空间控制线规划图以及国土空间规划分区划定图</w:t>
            </w:r>
            <w:r>
              <w:rPr>
                <w:rFonts w:hint="default" w:ascii="Times New Roman" w:hAnsi="Times New Roman" w:eastAsia="宋体" w:cs="Times New Roman"/>
                <w:caps w:val="0"/>
                <w:smallCaps w:val="0"/>
                <w:color w:val="auto"/>
                <w:spacing w:val="11"/>
                <w:kern w:val="21"/>
                <w:position w:val="0"/>
                <w:sz w:val="24"/>
                <w:szCs w:val="24"/>
                <w:highlight w:val="none"/>
                <w:u w:val="single" w:color="auto"/>
                <w:shd w:val="clear" w:color="auto" w:fill="auto"/>
                <w:lang w:val="en-US" w:eastAsia="zh-CN"/>
              </w:rPr>
              <w:t>，本项目不</w:t>
            </w:r>
            <w:r>
              <w:rPr>
                <w:rFonts w:hint="eastAsia" w:cs="Times New Roman"/>
                <w:caps w:val="0"/>
                <w:smallCaps w:val="0"/>
                <w:color w:val="auto"/>
                <w:spacing w:val="11"/>
                <w:kern w:val="21"/>
                <w:position w:val="0"/>
                <w:sz w:val="24"/>
                <w:szCs w:val="24"/>
                <w:highlight w:val="none"/>
                <w:u w:val="single" w:color="auto"/>
                <w:shd w:val="clear" w:color="auto" w:fill="auto"/>
                <w:lang w:val="en-US" w:eastAsia="zh-CN"/>
              </w:rPr>
              <w:t>占用</w:t>
            </w:r>
            <w:r>
              <w:rPr>
                <w:rFonts w:hint="default" w:ascii="Times New Roman" w:hAnsi="Times New Roman" w:eastAsia="宋体" w:cs="Times New Roman"/>
                <w:caps w:val="0"/>
                <w:smallCaps w:val="0"/>
                <w:color w:val="auto"/>
                <w:spacing w:val="11"/>
                <w:kern w:val="21"/>
                <w:position w:val="0"/>
                <w:sz w:val="24"/>
                <w:szCs w:val="24"/>
                <w:highlight w:val="none"/>
                <w:u w:val="single" w:color="auto"/>
                <w:shd w:val="clear" w:color="auto" w:fill="auto"/>
                <w:lang w:val="en-US" w:eastAsia="zh-CN"/>
              </w:rPr>
              <w:t>基本农田范围、生态环境红线范围</w:t>
            </w:r>
            <w:r>
              <w:rPr>
                <w:rFonts w:hint="eastAsia" w:cs="Times New Roman"/>
                <w:caps w:val="0"/>
                <w:smallCaps w:val="0"/>
                <w:color w:val="auto"/>
                <w:spacing w:val="11"/>
                <w:kern w:val="21"/>
                <w:position w:val="0"/>
                <w:sz w:val="24"/>
                <w:szCs w:val="24"/>
                <w:highlight w:val="none"/>
                <w:u w:val="single" w:color="auto"/>
                <w:shd w:val="clear" w:color="auto" w:fill="auto"/>
                <w:lang w:val="en-US" w:eastAsia="zh-CN"/>
              </w:rPr>
              <w:t>，</w:t>
            </w:r>
            <w:r>
              <w:rPr>
                <w:rFonts w:hint="default" w:ascii="Times New Roman" w:hAnsi="Times New Roman" w:eastAsia="宋体" w:cs="Times New Roman"/>
                <w:caps w:val="0"/>
                <w:smallCaps w:val="0"/>
                <w:color w:val="auto"/>
                <w:spacing w:val="11"/>
                <w:kern w:val="21"/>
                <w:position w:val="0"/>
                <w:sz w:val="24"/>
                <w:szCs w:val="24"/>
                <w:highlight w:val="none"/>
                <w:u w:val="single" w:color="auto"/>
                <w:shd w:val="clear" w:color="auto" w:fill="auto"/>
                <w:lang w:val="en-US" w:eastAsia="zh-CN"/>
              </w:rPr>
              <w:t>因此本项目与“三区三线”相符</w:t>
            </w:r>
            <w:r>
              <w:rPr>
                <w:rFonts w:hint="eastAsia" w:cs="Times New Roman"/>
                <w:caps w:val="0"/>
                <w:smallCaps w:val="0"/>
                <w:color w:val="auto"/>
                <w:spacing w:val="11"/>
                <w:kern w:val="21"/>
                <w:position w:val="0"/>
                <w:sz w:val="24"/>
                <w:szCs w:val="24"/>
                <w:highlight w:val="none"/>
                <w:u w:val="single" w:color="auto"/>
                <w:shd w:val="clear" w:color="auto" w:fill="auto"/>
                <w:lang w:val="en-US" w:eastAsia="zh-CN"/>
              </w:rPr>
              <w:t>。</w:t>
            </w:r>
          </w:p>
          <w:p w14:paraId="0C771F84">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aps w:val="0"/>
                <w:smallCaps w:val="0"/>
                <w:color w:val="auto"/>
                <w:spacing w:val="11"/>
                <w:kern w:val="21"/>
                <w:position w:val="0"/>
                <w:sz w:val="24"/>
                <w:szCs w:val="24"/>
                <w:highlight w:val="none"/>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position w:val="0"/>
                <w:sz w:val="24"/>
                <w:szCs w:val="24"/>
                <w:highlight w:val="none"/>
                <w:u w:val="single" w:color="auto"/>
                <w:shd w:val="clear" w:color="auto" w:fill="auto"/>
                <w:lang w:val="en-US" w:eastAsia="zh-CN"/>
              </w:rPr>
              <w:t>拟建项目的建设符合国家产业政策，能够促进地方经济的发展</w:t>
            </w:r>
            <w:r>
              <w:rPr>
                <w:rFonts w:hint="eastAsia" w:cs="Times New Roman"/>
                <w:caps w:val="0"/>
                <w:smallCaps w:val="0"/>
                <w:color w:val="auto"/>
                <w:spacing w:val="11"/>
                <w:kern w:val="21"/>
                <w:position w:val="0"/>
                <w:sz w:val="24"/>
                <w:szCs w:val="24"/>
                <w:highlight w:val="none"/>
                <w:u w:val="single" w:color="auto"/>
                <w:shd w:val="clear" w:color="auto" w:fill="auto"/>
                <w:lang w:val="en-US" w:eastAsia="zh-CN"/>
              </w:rPr>
              <w:t>，</w:t>
            </w:r>
            <w:r>
              <w:rPr>
                <w:rFonts w:hint="eastAsia" w:ascii="Times New Roman" w:hAnsi="Times New Roman" w:eastAsia="宋体" w:cs="Times New Roman"/>
                <w:caps w:val="0"/>
                <w:smallCaps w:val="0"/>
                <w:color w:val="auto"/>
                <w:spacing w:val="11"/>
                <w:kern w:val="21"/>
                <w:position w:val="0"/>
                <w:sz w:val="24"/>
                <w:szCs w:val="24"/>
                <w:highlight w:val="none"/>
                <w:u w:val="single" w:color="auto"/>
                <w:shd w:val="clear" w:color="auto" w:fill="auto"/>
                <w:lang w:val="en-US" w:eastAsia="zh-CN"/>
              </w:rPr>
              <w:t>有利于带动扩大就业，提升当地人民的生活水平，顺应市场经济快速发展的需求，具有明显的经济和社会效益，项目的建设是十分重要和必要的</w:t>
            </w:r>
            <w:r>
              <w:rPr>
                <w:rFonts w:hint="eastAsia" w:cs="Times New Roman"/>
                <w:caps w:val="0"/>
                <w:smallCaps w:val="0"/>
                <w:color w:val="auto"/>
                <w:spacing w:val="11"/>
                <w:kern w:val="21"/>
                <w:position w:val="0"/>
                <w:sz w:val="24"/>
                <w:szCs w:val="24"/>
                <w:highlight w:val="none"/>
                <w:u w:val="single" w:color="auto"/>
                <w:shd w:val="clear" w:color="auto" w:fill="auto"/>
                <w:lang w:val="en-US" w:eastAsia="zh-CN"/>
              </w:rPr>
              <w:t>。</w:t>
            </w:r>
          </w:p>
          <w:p w14:paraId="0AC0653D">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14:paraId="3CB9C516">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14:paraId="2B9AEBFA">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14:paraId="7F5F7E9C">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14:paraId="00498D16">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14:paraId="1E70F0A0">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14:paraId="5092D547">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14:paraId="183230FA">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14:paraId="288644A2">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14:paraId="2F88441A">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14:paraId="1161303E">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14:paraId="17331BA1">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14:paraId="3A81CEC4">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14:paraId="215BBC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14:paraId="784D764D">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default" w:ascii="Times New Roman" w:hAnsi="Times New Roman" w:cs="Times New Roman" w:eastAsiaTheme="minorEastAsia"/>
                <w:color w:val="auto"/>
                <w:spacing w:val="11"/>
                <w:position w:val="0"/>
                <w:highlight w:val="yellow"/>
                <w:u w:val="none" w:color="auto"/>
                <w:lang w:val="en-US" w:eastAsia="zh-CN"/>
              </w:rPr>
            </w:pPr>
            <w:r>
              <w:rPr>
                <w:rFonts w:hint="eastAsia" w:cs="Times New Roman"/>
                <w:caps w:val="0"/>
                <w:smallCaps w:val="0"/>
                <w:color w:val="auto"/>
                <w:spacing w:val="11"/>
                <w:kern w:val="21"/>
                <w:position w:val="0"/>
                <w:sz w:val="24"/>
                <w:szCs w:val="24"/>
                <w:highlight w:val="none"/>
                <w:u w:val="none" w:color="auto"/>
                <w:shd w:val="clear" w:color="auto" w:fill="auto"/>
                <w:lang w:val="en-US" w:eastAsia="zh-CN"/>
              </w:rPr>
              <w:t xml:space="preserve"> </w:t>
            </w:r>
          </w:p>
        </w:tc>
      </w:tr>
    </w:tbl>
    <w:p w14:paraId="17E7FC18">
      <w:pPr>
        <w:bidi w:val="0"/>
        <w:rPr>
          <w:rFonts w:hint="default" w:ascii="Times New Roman" w:hAnsi="Times New Roman" w:cs="Times New Roman" w:eastAsiaTheme="minorEastAsia"/>
          <w:color w:val="auto"/>
          <w:spacing w:val="11"/>
          <w:position w:val="0"/>
          <w:highlight w:val="none"/>
          <w:u w:val="none" w:color="auto"/>
          <w:lang w:val="en-US" w:eastAsia="zh-CN"/>
        </w:rPr>
        <w:sectPr>
          <w:footerReference r:id="rId5" w:type="default"/>
          <w:pgSz w:w="11906" w:h="16838"/>
          <w:pgMar w:top="1440" w:right="1077" w:bottom="1440" w:left="1077" w:header="680" w:footer="737" w:gutter="0"/>
          <w:pgBorders>
            <w:top w:val="none" w:sz="0" w:space="0"/>
            <w:left w:val="none" w:sz="0" w:space="0"/>
            <w:bottom w:val="none" w:sz="0" w:space="0"/>
            <w:right w:val="none" w:sz="0" w:space="0"/>
          </w:pgBorders>
          <w:pgNumType w:fmt="decimal" w:start="1"/>
          <w:cols w:space="0" w:num="1"/>
          <w:rtlGutter w:val="0"/>
          <w:docGrid w:type="lines" w:linePitch="332" w:charSpace="0"/>
        </w:sectPr>
      </w:pPr>
    </w:p>
    <w:p w14:paraId="4E000080">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Chars="0"/>
        <w:jc w:val="center"/>
        <w:textAlignment w:val="auto"/>
        <w:rPr>
          <w:rFonts w:hint="default" w:ascii="Times New Roman" w:hAnsi="Times New Roman" w:cs="Times New Roman" w:eastAsiaTheme="minorEastAsia"/>
          <w:color w:val="auto"/>
          <w:spacing w:val="11"/>
          <w:position w:val="0"/>
          <w:highlight w:val="none"/>
          <w:u w:val="none" w:color="auto"/>
          <w:lang w:val="en-US" w:eastAsia="zh-CN"/>
        </w:rPr>
      </w:pPr>
      <w:bookmarkStart w:id="1" w:name="_Toc9658"/>
      <w:r>
        <w:rPr>
          <w:rFonts w:hint="default" w:ascii="Times New Roman" w:hAnsi="Times New Roman" w:cs="Times New Roman" w:eastAsiaTheme="minorEastAsia"/>
          <w:b/>
          <w:color w:val="auto"/>
          <w:spacing w:val="11"/>
          <w:position w:val="0"/>
          <w:sz w:val="36"/>
          <w:szCs w:val="36"/>
          <w:highlight w:val="none"/>
          <w:u w:val="none" w:color="auto"/>
          <w:lang w:val="en-US" w:eastAsia="zh-CN"/>
        </w:rPr>
        <w:t>二、建设项目工程分析</w:t>
      </w:r>
      <w:bookmarkEnd w:id="1"/>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9224"/>
      </w:tblGrid>
      <w:tr w14:paraId="3E5183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1" w:type="pct"/>
            <w:tcBorders>
              <w:tl2br w:val="nil"/>
              <w:tr2bl w:val="nil"/>
            </w:tcBorders>
            <w:vAlign w:val="center"/>
          </w:tcPr>
          <w:p w14:paraId="68A81AD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vertAlign w:val="baseline"/>
                <w:lang w:val="en-US" w:eastAsia="zh-CN"/>
              </w:rPr>
            </w:pPr>
            <w:r>
              <w:rPr>
                <w:rFonts w:hint="default" w:ascii="Times New Roman" w:hAnsi="Times New Roman" w:cs="Times New Roman" w:eastAsiaTheme="minorEastAsia"/>
                <w:color w:val="auto"/>
                <w:spacing w:val="11"/>
                <w:position w:val="0"/>
                <w:sz w:val="24"/>
                <w:szCs w:val="24"/>
                <w:highlight w:val="none"/>
                <w:u w:val="none" w:color="auto"/>
                <w:vertAlign w:val="baseline"/>
                <w:lang w:val="en-US" w:eastAsia="zh-CN"/>
              </w:rPr>
              <w:t>建设内容</w:t>
            </w:r>
          </w:p>
        </w:tc>
        <w:tc>
          <w:tcPr>
            <w:tcW w:w="4598" w:type="pct"/>
            <w:tcBorders>
              <w:tl2br w:val="nil"/>
              <w:tr2bl w:val="nil"/>
            </w:tcBorders>
            <w:vAlign w:val="center"/>
          </w:tcPr>
          <w:p w14:paraId="6F8B4C59">
            <w:pPr>
              <w:spacing w:beforeLines="50"/>
              <w:ind w:firstLine="0" w:firstLineChars="0"/>
              <w:rPr>
                <w:rFonts w:ascii="Times New Roman" w:hAnsi="Times New Roman" w:eastAsia="宋体" w:cs="Times New Roman"/>
                <w:b/>
                <w:color w:val="auto"/>
                <w:spacing w:val="11"/>
                <w:position w:val="0"/>
                <w:sz w:val="28"/>
                <w:szCs w:val="28"/>
                <w:highlight w:val="none"/>
              </w:rPr>
            </w:pPr>
            <w:r>
              <w:rPr>
                <w:rFonts w:ascii="Times New Roman" w:hAnsi="Times New Roman" w:eastAsia="宋体" w:cs="Times New Roman"/>
                <w:b/>
                <w:color w:val="auto"/>
                <w:spacing w:val="11"/>
                <w:position w:val="0"/>
                <w:sz w:val="28"/>
                <w:szCs w:val="28"/>
                <w:highlight w:val="none"/>
              </w:rPr>
              <w:t>工程内容及规模：</w:t>
            </w:r>
          </w:p>
          <w:p w14:paraId="23E121A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6" w:firstLineChars="200"/>
              <w:textAlignment w:val="auto"/>
              <w:rPr>
                <w:rFonts w:hint="default" w:ascii="Times New Roman" w:hAnsi="Times New Roman" w:cs="Times New Roman" w:eastAsiaTheme="minorEastAsia"/>
                <w:b/>
                <w:bCs/>
                <w:color w:val="auto"/>
                <w:spacing w:val="11"/>
                <w:position w:val="0"/>
                <w:sz w:val="24"/>
                <w:szCs w:val="24"/>
                <w:highlight w:val="yellow"/>
                <w:u w:val="none" w:color="auto"/>
                <w:lang w:val="en-US" w:eastAsia="zh-CN"/>
              </w:rPr>
            </w:pPr>
            <w:r>
              <w:rPr>
                <w:rFonts w:hint="eastAsia" w:cs="Times New Roman" w:eastAsiaTheme="minorEastAsia"/>
                <w:b/>
                <w:bCs/>
                <w:color w:val="auto"/>
                <w:spacing w:val="11"/>
                <w:position w:val="0"/>
                <w:sz w:val="24"/>
                <w:szCs w:val="24"/>
                <w:highlight w:val="none"/>
                <w:u w:val="none" w:color="auto"/>
                <w:lang w:val="en-US" w:eastAsia="zh-CN"/>
              </w:rPr>
              <w:t>1、</w:t>
            </w:r>
            <w:r>
              <w:rPr>
                <w:rFonts w:hint="default" w:ascii="Times New Roman" w:hAnsi="Times New Roman" w:cs="Times New Roman" w:eastAsiaTheme="minorEastAsia"/>
                <w:b/>
                <w:bCs/>
                <w:color w:val="auto"/>
                <w:spacing w:val="11"/>
                <w:position w:val="0"/>
                <w:sz w:val="24"/>
                <w:szCs w:val="24"/>
                <w:highlight w:val="none"/>
                <w:u w:val="none" w:color="auto"/>
              </w:rPr>
              <w:t>工程概况</w:t>
            </w:r>
          </w:p>
          <w:p w14:paraId="3BBF6475">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eastAsia"/>
                <w:bCs/>
                <w:color w:val="auto"/>
                <w:spacing w:val="11"/>
                <w:position w:val="0"/>
                <w:szCs w:val="24"/>
                <w:highlight w:val="none"/>
                <w:lang w:eastAsia="zh-CN"/>
              </w:rPr>
            </w:pPr>
            <w:r>
              <w:rPr>
                <w:rFonts w:hint="eastAsia"/>
                <w:bCs/>
                <w:color w:val="auto"/>
                <w:spacing w:val="11"/>
                <w:position w:val="0"/>
                <w:szCs w:val="24"/>
                <w:highlight w:val="none"/>
                <w:lang w:eastAsia="zh-CN"/>
              </w:rPr>
              <w:t>新田县中医医院创建于1956年，是一所集临床医疗救治、康复理疗、教学科研、预防保健于一体的二级甲等中医医院，是湖南省中医药研究院附属医院定点帮扶医院，是湘雅医院远程医疗中心联网医院及双向转诊定点指导医院、定点协作医院，是新田县卫生系统基层医务人员中医药知识及中医药适宜技术培训基地。医院目前正在创建三级医院。</w:t>
            </w:r>
          </w:p>
          <w:p w14:paraId="67024BFF">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eastAsia"/>
                <w:bCs/>
                <w:color w:val="auto"/>
                <w:spacing w:val="11"/>
                <w:position w:val="0"/>
                <w:szCs w:val="24"/>
                <w:highlight w:val="none"/>
                <w:lang w:eastAsia="zh-CN"/>
              </w:rPr>
            </w:pPr>
            <w:r>
              <w:rPr>
                <w:rFonts w:hint="eastAsia"/>
                <w:bCs/>
                <w:color w:val="auto"/>
                <w:spacing w:val="11"/>
                <w:position w:val="0"/>
                <w:szCs w:val="24"/>
                <w:highlight w:val="none"/>
                <w:lang w:eastAsia="zh-CN"/>
              </w:rPr>
              <w:t>医院地处新田县县城，用地南临健康路，东临前进路，西侧和北侧为民房。现有医院用地由新田县中医院及原新田县妇幼保健院用地合并组成。院区总用地面积21452.76平方米（32.16亩）。共设置门诊部、“120”急救中心、重症监护病房、脑病科、内科、外科、骨伤科、妇产科、儿科、肿瘤科、针灸康复科、肛肠科、眼耳鼻喉科、血透室、泌尿结石微创中心、卒中中心、治未病科、健康管理科等临床、医技科室34个，</w:t>
            </w:r>
            <w:r>
              <w:rPr>
                <w:rFonts w:hint="eastAsia"/>
                <w:bCs/>
                <w:color w:val="auto"/>
                <w:spacing w:val="11"/>
                <w:position w:val="0"/>
                <w:szCs w:val="24"/>
                <w:highlight w:val="none"/>
                <w:lang w:val="en-US" w:eastAsia="zh-CN"/>
              </w:rPr>
              <w:t>项目现设有床位350张，本次建设新增360张床位，项目建成后共设置680张床位（拆除30张床位）</w:t>
            </w:r>
            <w:r>
              <w:rPr>
                <w:rFonts w:hint="eastAsia"/>
                <w:bCs/>
                <w:color w:val="auto"/>
                <w:spacing w:val="11"/>
                <w:position w:val="0"/>
                <w:szCs w:val="24"/>
                <w:highlight w:val="none"/>
                <w:lang w:eastAsia="zh-CN"/>
              </w:rPr>
              <w:t>。</w:t>
            </w:r>
          </w:p>
          <w:p w14:paraId="0F57BA49">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eastAsia" w:eastAsia="宋体"/>
                <w:bCs/>
                <w:color w:val="auto"/>
                <w:spacing w:val="11"/>
                <w:position w:val="0"/>
                <w:szCs w:val="24"/>
                <w:highlight w:val="none"/>
                <w:u w:val="single"/>
                <w:lang w:eastAsia="zh-CN"/>
              </w:rPr>
            </w:pPr>
            <w:r>
              <w:rPr>
                <w:rFonts w:hint="eastAsia"/>
                <w:bCs/>
                <w:color w:val="auto"/>
                <w:spacing w:val="11"/>
                <w:position w:val="0"/>
                <w:szCs w:val="24"/>
                <w:highlight w:val="none"/>
                <w:u w:val="single"/>
                <w:lang w:eastAsia="zh-CN"/>
              </w:rPr>
              <w:t>随着医院业务的扩展和国家对急诊急救体系建设的逐步重视，医院现有的医疗硬件条件已无法适应新时代的要求。院方决定将院区原有门诊楼、医技楼、住院楼、棚改家属楼等四栋建筑进行拆除，并在原址新建一栋门诊、医技、内科住院综合楼，包含门诊部、住院部、医技科室、与外科楼连廊等功能用房，以及供配电、给排水、网络机房等附属工程。</w:t>
            </w:r>
            <w:r>
              <w:rPr>
                <w:rFonts w:hint="eastAsia"/>
                <w:bCs/>
                <w:color w:val="auto"/>
                <w:spacing w:val="11"/>
                <w:position w:val="0"/>
                <w:szCs w:val="24"/>
                <w:highlight w:val="none"/>
                <w:u w:val="single"/>
                <w:lang w:val="en-US" w:eastAsia="zh-CN"/>
              </w:rPr>
              <w:t>本次拟建项目拟设置病床360张，</w:t>
            </w:r>
            <w:r>
              <w:rPr>
                <w:rFonts w:hint="eastAsia" w:ascii="Times New Roman" w:eastAsia="宋体"/>
                <w:bCs/>
                <w:color w:val="auto"/>
                <w:spacing w:val="11"/>
                <w:position w:val="0"/>
                <w:szCs w:val="24"/>
                <w:highlight w:val="none"/>
                <w:u w:val="single"/>
                <w:lang w:val="en-US" w:eastAsia="zh-CN"/>
              </w:rPr>
              <w:t>本项目总用地面积为6300m</w:t>
            </w:r>
            <w:r>
              <w:rPr>
                <w:rFonts w:hint="eastAsia" w:ascii="Times New Roman" w:eastAsia="宋体"/>
                <w:bCs/>
                <w:color w:val="auto"/>
                <w:spacing w:val="11"/>
                <w:position w:val="0"/>
                <w:szCs w:val="24"/>
                <w:highlight w:val="none"/>
                <w:u w:val="single"/>
                <w:vertAlign w:val="superscript"/>
                <w:lang w:val="en-US" w:eastAsia="zh-CN"/>
              </w:rPr>
              <w:t>2</w:t>
            </w:r>
            <w:r>
              <w:rPr>
                <w:rFonts w:hint="eastAsia" w:eastAsia="宋体"/>
                <w:bCs/>
                <w:color w:val="auto"/>
                <w:spacing w:val="11"/>
                <w:position w:val="0"/>
                <w:szCs w:val="24"/>
                <w:highlight w:val="none"/>
                <w:u w:val="single"/>
                <w:lang w:eastAsia="zh-CN"/>
              </w:rPr>
              <w:t>。</w:t>
            </w:r>
          </w:p>
          <w:p w14:paraId="06F22C89">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ascii="Times New Roman" w:hAnsi="Times New Roman" w:cs="Times New Roman" w:eastAsiaTheme="minorEastAsia"/>
                <w:color w:val="auto"/>
                <w:spacing w:val="11"/>
                <w:position w:val="0"/>
                <w:sz w:val="24"/>
                <w:szCs w:val="24"/>
                <w:highlight w:val="yellow"/>
                <w:u w:val="none" w:color="auto"/>
              </w:rPr>
            </w:pPr>
            <w:r>
              <w:rPr>
                <w:bCs/>
                <w:color w:val="auto"/>
                <w:spacing w:val="11"/>
                <w:position w:val="0"/>
                <w:szCs w:val="24"/>
                <w:highlight w:val="none"/>
                <w:lang w:val="zh-CN"/>
              </w:rPr>
              <w:t>根据《中华人民共和国环境保护法》、《中华人民共和国环境影响评价法》和《建设项目环境保护管理条例》等法律、法规的要求，该项目需要进行环境影响评价</w:t>
            </w:r>
            <w:r>
              <w:rPr>
                <w:rFonts w:hint="eastAsia"/>
                <w:bCs/>
                <w:color w:val="auto"/>
                <w:spacing w:val="11"/>
                <w:position w:val="0"/>
                <w:szCs w:val="24"/>
                <w:highlight w:val="none"/>
                <w:lang w:val="zh-CN"/>
              </w:rPr>
              <w:t>，</w:t>
            </w:r>
            <w:r>
              <w:rPr>
                <w:bCs/>
                <w:color w:val="auto"/>
                <w:spacing w:val="11"/>
                <w:position w:val="0"/>
                <w:szCs w:val="24"/>
                <w:highlight w:val="none"/>
                <w:lang w:val="zh-CN"/>
              </w:rPr>
              <w:t>20</w:t>
            </w:r>
            <w:r>
              <w:rPr>
                <w:rFonts w:hint="eastAsia"/>
                <w:bCs/>
                <w:color w:val="auto"/>
                <w:spacing w:val="11"/>
                <w:position w:val="0"/>
                <w:szCs w:val="24"/>
                <w:highlight w:val="none"/>
                <w:lang w:val="en-US" w:eastAsia="zh-CN"/>
              </w:rPr>
              <w:t>25</w:t>
            </w:r>
            <w:r>
              <w:rPr>
                <w:bCs/>
                <w:color w:val="auto"/>
                <w:spacing w:val="11"/>
                <w:position w:val="0"/>
                <w:szCs w:val="24"/>
                <w:highlight w:val="none"/>
                <w:lang w:val="zh-CN"/>
              </w:rPr>
              <w:t>年</w:t>
            </w:r>
            <w:r>
              <w:rPr>
                <w:rFonts w:hint="eastAsia"/>
                <w:bCs/>
                <w:color w:val="auto"/>
                <w:spacing w:val="11"/>
                <w:position w:val="0"/>
                <w:szCs w:val="24"/>
                <w:highlight w:val="none"/>
                <w:lang w:val="en-US" w:eastAsia="zh-CN"/>
              </w:rPr>
              <w:t>3</w:t>
            </w:r>
            <w:r>
              <w:rPr>
                <w:bCs/>
                <w:color w:val="auto"/>
                <w:spacing w:val="11"/>
                <w:position w:val="0"/>
                <w:szCs w:val="24"/>
                <w:highlight w:val="none"/>
                <w:lang w:val="zh-CN"/>
              </w:rPr>
              <w:t>月，</w:t>
            </w:r>
            <w:r>
              <w:rPr>
                <w:rFonts w:hint="eastAsia"/>
                <w:bCs/>
                <w:color w:val="auto"/>
                <w:spacing w:val="11"/>
                <w:position w:val="0"/>
                <w:szCs w:val="24"/>
                <w:highlight w:val="none"/>
                <w:lang w:val="zh-CN" w:eastAsia="zh-CN"/>
              </w:rPr>
              <w:t>新田县中医医院</w:t>
            </w:r>
            <w:r>
              <w:rPr>
                <w:bCs/>
                <w:color w:val="auto"/>
                <w:spacing w:val="11"/>
                <w:position w:val="0"/>
                <w:szCs w:val="24"/>
                <w:highlight w:val="none"/>
                <w:lang w:val="zh-CN"/>
              </w:rPr>
              <w:t>委托</w:t>
            </w:r>
            <w:r>
              <w:rPr>
                <w:rFonts w:hint="eastAsia"/>
                <w:bCs/>
                <w:color w:val="auto"/>
                <w:spacing w:val="11"/>
                <w:position w:val="0"/>
                <w:szCs w:val="24"/>
                <w:highlight w:val="none"/>
                <w:lang w:val="zh-CN" w:eastAsia="zh-CN"/>
              </w:rPr>
              <w:t>湖南禹泽工程咨询有限公司</w:t>
            </w:r>
            <w:r>
              <w:rPr>
                <w:bCs/>
                <w:color w:val="auto"/>
                <w:spacing w:val="11"/>
                <w:position w:val="0"/>
                <w:szCs w:val="24"/>
                <w:highlight w:val="none"/>
                <w:lang w:val="zh-CN"/>
              </w:rPr>
              <w:t>对</w:t>
            </w:r>
            <w:r>
              <w:rPr>
                <w:rFonts w:hint="eastAsia"/>
                <w:bCs/>
                <w:color w:val="auto"/>
                <w:spacing w:val="11"/>
                <w:position w:val="0"/>
                <w:szCs w:val="24"/>
                <w:highlight w:val="none"/>
                <w:lang w:val="zh-CN" w:eastAsia="zh-CN"/>
              </w:rPr>
              <w:t>新田县中医医院门诊、医技、内科住院综合楼项目</w:t>
            </w:r>
            <w:r>
              <w:rPr>
                <w:bCs/>
                <w:color w:val="auto"/>
                <w:spacing w:val="11"/>
                <w:position w:val="0"/>
                <w:szCs w:val="24"/>
                <w:highlight w:val="none"/>
                <w:lang w:val="zh-CN"/>
              </w:rPr>
              <w:t>进行环境影响评价工作。</w:t>
            </w:r>
            <w:r>
              <w:rPr>
                <w:rFonts w:hint="eastAsia" w:ascii="Times New Roman"/>
                <w:bCs/>
                <w:color w:val="auto"/>
                <w:spacing w:val="11"/>
                <w:position w:val="0"/>
                <w:szCs w:val="24"/>
                <w:highlight w:val="none"/>
                <w:lang w:val="zh-CN"/>
              </w:rPr>
              <w:t>按照《建设项目环境影响评价分类管理名录》</w:t>
            </w:r>
            <w:r>
              <w:rPr>
                <w:rFonts w:hint="eastAsia" w:eastAsia="宋体"/>
                <w:bCs/>
                <w:color w:val="auto"/>
                <w:spacing w:val="11"/>
                <w:position w:val="0"/>
                <w:szCs w:val="24"/>
                <w:highlight w:val="none"/>
                <w:lang w:eastAsia="zh-CN"/>
              </w:rPr>
              <w:t>（</w:t>
            </w:r>
            <w:r>
              <w:rPr>
                <w:rFonts w:hint="eastAsia" w:ascii="Times New Roman" w:eastAsia="宋体"/>
                <w:bCs/>
                <w:color w:val="auto"/>
                <w:spacing w:val="11"/>
                <w:position w:val="0"/>
                <w:szCs w:val="24"/>
                <w:highlight w:val="none"/>
                <w:lang w:val="en-US" w:eastAsia="zh-CN"/>
              </w:rPr>
              <w:t>2021版</w:t>
            </w:r>
            <w:r>
              <w:rPr>
                <w:rFonts w:hint="eastAsia" w:eastAsia="宋体"/>
                <w:bCs/>
                <w:color w:val="auto"/>
                <w:spacing w:val="11"/>
                <w:position w:val="0"/>
                <w:szCs w:val="24"/>
                <w:highlight w:val="none"/>
                <w:lang w:eastAsia="zh-CN"/>
              </w:rPr>
              <w:t>）</w:t>
            </w:r>
            <w:r>
              <w:rPr>
                <w:bCs/>
                <w:color w:val="auto"/>
                <w:spacing w:val="11"/>
                <w:position w:val="0"/>
                <w:szCs w:val="24"/>
                <w:highlight w:val="none"/>
              </w:rPr>
              <w:t>，</w:t>
            </w:r>
            <w:r>
              <w:rPr>
                <w:rFonts w:hint="eastAsia" w:ascii="Times New Roman" w:eastAsia="宋体"/>
                <w:bCs/>
                <w:color w:val="auto"/>
                <w:spacing w:val="11"/>
                <w:position w:val="0"/>
                <w:szCs w:val="24"/>
                <w:highlight w:val="none"/>
                <w:lang w:val="en-US" w:eastAsia="zh-CN"/>
              </w:rPr>
              <w:t>本</w:t>
            </w:r>
            <w:r>
              <w:rPr>
                <w:bCs/>
                <w:color w:val="auto"/>
                <w:spacing w:val="11"/>
                <w:position w:val="0"/>
                <w:szCs w:val="24"/>
                <w:highlight w:val="none"/>
              </w:rPr>
              <w:t>项目</w:t>
            </w:r>
            <w:r>
              <w:rPr>
                <w:rFonts w:hint="eastAsia"/>
                <w:bCs/>
                <w:color w:val="auto"/>
                <w:spacing w:val="11"/>
                <w:position w:val="0"/>
                <w:szCs w:val="24"/>
                <w:highlight w:val="none"/>
                <w:lang w:val="en-US" w:eastAsia="zh-CN"/>
              </w:rPr>
              <w:t>建成后拟设置病床360张，</w:t>
            </w:r>
            <w:r>
              <w:rPr>
                <w:rFonts w:hint="eastAsia" w:ascii="Times New Roman" w:eastAsia="宋体"/>
                <w:bCs/>
                <w:color w:val="auto"/>
                <w:spacing w:val="11"/>
                <w:position w:val="0"/>
                <w:szCs w:val="24"/>
                <w:highlight w:val="none"/>
                <w:lang w:val="en-US" w:eastAsia="zh-CN"/>
              </w:rPr>
              <w:t>属于“</w:t>
            </w:r>
            <w:r>
              <w:rPr>
                <w:rFonts w:hint="eastAsia"/>
                <w:bCs/>
                <w:color w:val="auto"/>
                <w:spacing w:val="11"/>
                <w:position w:val="0"/>
                <w:szCs w:val="24"/>
                <w:highlight w:val="none"/>
                <w:lang w:val="en-US" w:eastAsia="zh-CN"/>
              </w:rPr>
              <w:t>四十九</w:t>
            </w:r>
            <w:r>
              <w:rPr>
                <w:bCs/>
                <w:color w:val="auto"/>
                <w:spacing w:val="11"/>
                <w:position w:val="0"/>
                <w:szCs w:val="24"/>
                <w:highlight w:val="none"/>
                <w:lang w:val="en-US" w:eastAsia="zh-CN"/>
              </w:rPr>
              <w:t>、</w:t>
            </w:r>
            <w:r>
              <w:rPr>
                <w:rFonts w:hint="eastAsia"/>
                <w:bCs/>
                <w:color w:val="auto"/>
                <w:spacing w:val="11"/>
                <w:position w:val="0"/>
                <w:szCs w:val="24"/>
                <w:highlight w:val="none"/>
                <w:lang w:val="en-US" w:eastAsia="zh-CN"/>
              </w:rPr>
              <w:t>卫生</w:t>
            </w:r>
            <w:r>
              <w:rPr>
                <w:rFonts w:hint="eastAsia" w:ascii="Times New Roman" w:eastAsia="宋体"/>
                <w:bCs/>
                <w:color w:val="auto"/>
                <w:spacing w:val="11"/>
                <w:position w:val="0"/>
                <w:szCs w:val="24"/>
                <w:highlight w:val="none"/>
                <w:lang w:val="en-US" w:eastAsia="zh-CN"/>
              </w:rPr>
              <w:t>”中的“</w:t>
            </w:r>
            <w:r>
              <w:rPr>
                <w:rFonts w:hint="eastAsia"/>
                <w:bCs/>
                <w:color w:val="auto"/>
                <w:spacing w:val="11"/>
                <w:position w:val="0"/>
                <w:szCs w:val="24"/>
                <w:highlight w:val="none"/>
                <w:lang w:val="en-US" w:eastAsia="zh-CN"/>
              </w:rPr>
              <w:t>108、医院 841</w:t>
            </w:r>
            <w:r>
              <w:rPr>
                <w:rFonts w:hint="eastAsia" w:ascii="Times New Roman" w:eastAsia="宋体"/>
                <w:bCs/>
                <w:color w:val="auto"/>
                <w:spacing w:val="11"/>
                <w:position w:val="0"/>
                <w:szCs w:val="24"/>
                <w:highlight w:val="none"/>
                <w:lang w:val="en-US" w:eastAsia="zh-CN"/>
              </w:rPr>
              <w:t>”中的“其他（住院床位20张以下的除外）”</w:t>
            </w:r>
            <w:r>
              <w:rPr>
                <w:rFonts w:hint="eastAsia"/>
                <w:bCs/>
                <w:color w:val="auto"/>
                <w:spacing w:val="11"/>
                <w:position w:val="0"/>
                <w:szCs w:val="24"/>
                <w:highlight w:val="none"/>
                <w:lang w:val="en-US" w:eastAsia="zh-CN"/>
              </w:rPr>
              <w:t>，</w:t>
            </w:r>
            <w:r>
              <w:rPr>
                <w:rFonts w:hint="eastAsia" w:ascii="Times New Roman" w:eastAsia="宋体"/>
                <w:bCs/>
                <w:color w:val="auto"/>
                <w:spacing w:val="11"/>
                <w:position w:val="0"/>
                <w:szCs w:val="24"/>
                <w:highlight w:val="none"/>
                <w:lang w:val="en-US" w:eastAsia="zh-CN"/>
              </w:rPr>
              <w:t>故项目应编制环境影响报告表。</w:t>
            </w:r>
            <w:r>
              <w:rPr>
                <w:bCs/>
                <w:snapToGrid w:val="0"/>
                <w:color w:val="auto"/>
                <w:spacing w:val="11"/>
                <w:position w:val="0"/>
                <w:szCs w:val="24"/>
                <w:highlight w:val="none"/>
              </w:rPr>
              <w:t>根据建设方提供的工程相关基础资料，按照环评技术导则要求，编制了《</w:t>
            </w:r>
            <w:r>
              <w:rPr>
                <w:rFonts w:hint="eastAsia"/>
                <w:bCs/>
                <w:color w:val="auto"/>
                <w:spacing w:val="11"/>
                <w:position w:val="0"/>
                <w:szCs w:val="24"/>
                <w:highlight w:val="none"/>
                <w:lang w:eastAsia="zh-CN"/>
              </w:rPr>
              <w:t>新田县中医医院门诊、医技、内科住院综合楼项目</w:t>
            </w:r>
            <w:r>
              <w:rPr>
                <w:bCs/>
                <w:snapToGrid w:val="0"/>
                <w:color w:val="auto"/>
                <w:spacing w:val="11"/>
                <w:position w:val="0"/>
                <w:szCs w:val="24"/>
                <w:highlight w:val="none"/>
              </w:rPr>
              <w:t>环境影响报告表》。</w:t>
            </w:r>
          </w:p>
          <w:p w14:paraId="61B7EBC2">
            <w:pPr>
              <w:ind w:firstLine="482"/>
              <w:rPr>
                <w:rFonts w:hint="default" w:ascii="Times New Roman" w:hAnsi="Times New Roman" w:eastAsia="宋体" w:cs="Times New Roman"/>
                <w:b/>
                <w:color w:val="auto"/>
                <w:spacing w:val="11"/>
                <w:position w:val="0"/>
                <w:szCs w:val="24"/>
                <w:highlight w:val="yellow"/>
                <w:lang w:val="en-US" w:eastAsia="zh-CN"/>
              </w:rPr>
            </w:pPr>
            <w:r>
              <w:rPr>
                <w:rFonts w:hint="eastAsia" w:ascii="Times New Roman" w:hAnsi="Times New Roman" w:eastAsia="宋体" w:cs="Times New Roman"/>
                <w:b/>
                <w:color w:val="auto"/>
                <w:spacing w:val="11"/>
                <w:position w:val="0"/>
                <w:szCs w:val="24"/>
                <w:highlight w:val="none"/>
                <w:lang w:val="en-US" w:eastAsia="zh-CN"/>
              </w:rPr>
              <w:t>2、</w:t>
            </w:r>
            <w:r>
              <w:rPr>
                <w:rFonts w:ascii="Times New Roman" w:hAnsi="Times New Roman" w:eastAsia="宋体" w:cs="Times New Roman"/>
                <w:b/>
                <w:color w:val="auto"/>
                <w:spacing w:val="11"/>
                <w:position w:val="0"/>
                <w:szCs w:val="24"/>
                <w:highlight w:val="none"/>
              </w:rPr>
              <w:t>建设项目名称、性质、建设单位和地点</w:t>
            </w:r>
          </w:p>
          <w:p w14:paraId="65C2DEA2">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eastAsia="宋体"/>
                <w:b w:val="0"/>
                <w:bCs/>
                <w:color w:val="auto"/>
                <w:spacing w:val="11"/>
                <w:position w:val="0"/>
                <w:szCs w:val="24"/>
                <w:highlight w:val="none"/>
                <w:lang w:eastAsia="zh-CN"/>
              </w:rPr>
            </w:pPr>
            <w:r>
              <w:rPr>
                <w:b w:val="0"/>
                <w:bCs/>
                <w:color w:val="auto"/>
                <w:spacing w:val="11"/>
                <w:position w:val="0"/>
                <w:szCs w:val="24"/>
                <w:highlight w:val="none"/>
              </w:rPr>
              <w:t>（1）项目名称：</w:t>
            </w:r>
            <w:r>
              <w:rPr>
                <w:rFonts w:hint="eastAsia"/>
                <w:b w:val="0"/>
                <w:bCs/>
                <w:color w:val="auto"/>
                <w:spacing w:val="11"/>
                <w:position w:val="0"/>
                <w:szCs w:val="24"/>
                <w:highlight w:val="none"/>
                <w:lang w:eastAsia="zh-CN"/>
              </w:rPr>
              <w:t>新田县中医医院门诊、医技、内科住院综合楼项目</w:t>
            </w:r>
          </w:p>
          <w:p w14:paraId="51157A35">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eastAsia="宋体"/>
                <w:b w:val="0"/>
                <w:bCs/>
                <w:color w:val="auto"/>
                <w:spacing w:val="11"/>
                <w:position w:val="0"/>
                <w:szCs w:val="24"/>
                <w:highlight w:val="none"/>
                <w:lang w:val="en-US" w:eastAsia="zh-CN"/>
              </w:rPr>
            </w:pPr>
            <w:r>
              <w:rPr>
                <w:b w:val="0"/>
                <w:bCs/>
                <w:color w:val="auto"/>
                <w:spacing w:val="11"/>
                <w:position w:val="0"/>
                <w:szCs w:val="24"/>
                <w:highlight w:val="none"/>
              </w:rPr>
              <w:t>（2）工程性质：</w:t>
            </w:r>
            <w:r>
              <w:rPr>
                <w:rFonts w:hint="eastAsia"/>
                <w:b w:val="0"/>
                <w:bCs/>
                <w:color w:val="auto"/>
                <w:spacing w:val="11"/>
                <w:position w:val="0"/>
                <w:szCs w:val="24"/>
                <w:highlight w:val="none"/>
                <w:lang w:val="en-US" w:eastAsia="zh-CN"/>
              </w:rPr>
              <w:t>改扩建项目</w:t>
            </w:r>
          </w:p>
          <w:p w14:paraId="473552D5">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b w:val="0"/>
                <w:bCs/>
                <w:color w:val="auto"/>
                <w:spacing w:val="11"/>
                <w:position w:val="0"/>
                <w:szCs w:val="24"/>
                <w:highlight w:val="none"/>
                <w:lang w:eastAsia="zh-CN"/>
              </w:rPr>
            </w:pPr>
            <w:r>
              <w:rPr>
                <w:b w:val="0"/>
                <w:bCs/>
                <w:color w:val="auto"/>
                <w:spacing w:val="11"/>
                <w:position w:val="0"/>
                <w:szCs w:val="24"/>
                <w:highlight w:val="none"/>
              </w:rPr>
              <w:t>（3）建设单位：</w:t>
            </w:r>
            <w:r>
              <w:rPr>
                <w:rFonts w:hint="eastAsia"/>
                <w:b w:val="0"/>
                <w:bCs/>
                <w:color w:val="auto"/>
                <w:spacing w:val="11"/>
                <w:position w:val="0"/>
                <w:szCs w:val="24"/>
                <w:highlight w:val="none"/>
                <w:lang w:eastAsia="zh-CN"/>
              </w:rPr>
              <w:t>新田县中医医院</w:t>
            </w:r>
          </w:p>
          <w:p w14:paraId="538B891E">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color w:val="auto"/>
                <w:spacing w:val="11"/>
                <w:position w:val="0"/>
                <w:szCs w:val="24"/>
                <w:highlight w:val="none"/>
              </w:rPr>
            </w:pPr>
            <w:r>
              <w:rPr>
                <w:b w:val="0"/>
                <w:bCs/>
                <w:color w:val="auto"/>
                <w:spacing w:val="11"/>
                <w:position w:val="0"/>
                <w:szCs w:val="24"/>
                <w:highlight w:val="none"/>
              </w:rPr>
              <w:t>（4）建设地点：</w:t>
            </w:r>
            <w:r>
              <w:rPr>
                <w:rFonts w:hint="eastAsia" w:ascii="Times New Roman" w:hAnsi="Times New Roman"/>
                <w:color w:val="auto"/>
                <w:spacing w:val="11"/>
                <w:kern w:val="24"/>
                <w:position w:val="0"/>
                <w:szCs w:val="24"/>
                <w:highlight w:val="none"/>
                <w:lang w:val="en-US" w:eastAsia="zh-CN"/>
              </w:rPr>
              <w:t>湖南省永州市新田县龙泉街道</w:t>
            </w:r>
            <w:r>
              <w:rPr>
                <w:rFonts w:hint="eastAsia"/>
                <w:color w:val="auto"/>
                <w:spacing w:val="11"/>
                <w:kern w:val="24"/>
                <w:position w:val="0"/>
                <w:szCs w:val="24"/>
                <w:highlight w:val="none"/>
                <w:lang w:val="en-US" w:eastAsia="zh-CN"/>
              </w:rPr>
              <w:t>前进路82号县中医医院院内</w:t>
            </w:r>
            <w:r>
              <w:rPr>
                <w:rFonts w:hint="default" w:ascii="Times New Roman" w:hAnsi="Times New Roman" w:cs="Times New Roman"/>
                <w:color w:val="auto"/>
                <w:spacing w:val="11"/>
                <w:position w:val="0"/>
                <w:szCs w:val="24"/>
                <w:highlight w:val="none"/>
              </w:rPr>
              <w:t>，东经112°1</w:t>
            </w:r>
            <w:r>
              <w:rPr>
                <w:rFonts w:hint="eastAsia" w:cs="Times New Roman"/>
                <w:color w:val="auto"/>
                <w:spacing w:val="11"/>
                <w:position w:val="0"/>
                <w:szCs w:val="24"/>
                <w:highlight w:val="none"/>
                <w:lang w:val="en-US" w:eastAsia="zh-CN"/>
              </w:rPr>
              <w:t>2</w:t>
            </w:r>
            <w:r>
              <w:rPr>
                <w:rFonts w:hint="default" w:ascii="Times New Roman" w:hAnsi="Times New Roman" w:cs="Times New Roman"/>
                <w:color w:val="auto"/>
                <w:spacing w:val="11"/>
                <w:position w:val="0"/>
                <w:szCs w:val="24"/>
                <w:highlight w:val="none"/>
              </w:rPr>
              <w:t>′</w:t>
            </w:r>
            <w:r>
              <w:rPr>
                <w:rFonts w:hint="default" w:ascii="Times New Roman" w:hAnsi="Times New Roman" w:cs="Times New Roman"/>
                <w:color w:val="auto"/>
                <w:spacing w:val="11"/>
                <w:position w:val="0"/>
                <w:szCs w:val="24"/>
                <w:highlight w:val="none"/>
                <w:lang w:val="en-US" w:eastAsia="zh-CN"/>
              </w:rPr>
              <w:t>42.709</w:t>
            </w:r>
            <w:r>
              <w:rPr>
                <w:rFonts w:hint="default" w:ascii="Times New Roman" w:hAnsi="Times New Roman" w:cs="Times New Roman"/>
                <w:color w:val="auto"/>
                <w:spacing w:val="11"/>
                <w:position w:val="0"/>
                <w:szCs w:val="24"/>
                <w:highlight w:val="none"/>
              </w:rPr>
              <w:t>″</w:t>
            </w:r>
            <w:r>
              <w:rPr>
                <w:rFonts w:hint="default" w:ascii="Times New Roman" w:hAnsi="Times New Roman" w:cs="Times New Roman"/>
                <w:color w:val="auto"/>
                <w:spacing w:val="11"/>
                <w:position w:val="0"/>
                <w:szCs w:val="24"/>
                <w:highlight w:val="none"/>
                <w:lang w:eastAsia="zh-CN"/>
              </w:rPr>
              <w:t>，</w:t>
            </w:r>
            <w:r>
              <w:rPr>
                <w:rFonts w:hint="default" w:ascii="Times New Roman" w:hAnsi="Times New Roman" w:cs="Times New Roman"/>
                <w:color w:val="auto"/>
                <w:spacing w:val="11"/>
                <w:position w:val="0"/>
                <w:szCs w:val="24"/>
                <w:highlight w:val="none"/>
              </w:rPr>
              <w:t>北纬25°5</w:t>
            </w:r>
            <w:r>
              <w:rPr>
                <w:rFonts w:hint="eastAsia" w:cs="Times New Roman"/>
                <w:color w:val="auto"/>
                <w:spacing w:val="11"/>
                <w:position w:val="0"/>
                <w:szCs w:val="24"/>
                <w:highlight w:val="none"/>
                <w:lang w:val="en-US" w:eastAsia="zh-CN"/>
              </w:rPr>
              <w:t>4</w:t>
            </w:r>
            <w:r>
              <w:rPr>
                <w:rFonts w:hint="default" w:ascii="Times New Roman" w:hAnsi="Times New Roman" w:cs="Times New Roman"/>
                <w:color w:val="auto"/>
                <w:spacing w:val="11"/>
                <w:position w:val="0"/>
                <w:szCs w:val="24"/>
                <w:highlight w:val="none"/>
              </w:rPr>
              <w:t>′</w:t>
            </w:r>
            <w:r>
              <w:rPr>
                <w:rFonts w:hint="default" w:ascii="Times New Roman" w:hAnsi="Times New Roman" w:cs="Times New Roman"/>
                <w:color w:val="auto"/>
                <w:spacing w:val="11"/>
                <w:position w:val="0"/>
                <w:szCs w:val="24"/>
                <w:highlight w:val="none"/>
                <w:lang w:val="en-US" w:eastAsia="zh-CN"/>
              </w:rPr>
              <w:t>15.570</w:t>
            </w:r>
            <w:r>
              <w:rPr>
                <w:rFonts w:hint="default" w:ascii="Times New Roman" w:hAnsi="Times New Roman" w:cs="Times New Roman"/>
                <w:color w:val="auto"/>
                <w:spacing w:val="11"/>
                <w:position w:val="0"/>
                <w:szCs w:val="24"/>
                <w:highlight w:val="none"/>
              </w:rPr>
              <w:t>″。</w:t>
            </w:r>
            <w:r>
              <w:rPr>
                <w:color w:val="auto"/>
                <w:spacing w:val="11"/>
                <w:position w:val="0"/>
                <w:szCs w:val="24"/>
                <w:highlight w:val="none"/>
              </w:rPr>
              <w:t>项目地理位置见附图1</w:t>
            </w:r>
          </w:p>
          <w:p w14:paraId="186F8629">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color w:val="auto"/>
                <w:spacing w:val="11"/>
                <w:position w:val="0"/>
                <w:szCs w:val="24"/>
                <w:highlight w:val="yellow"/>
              </w:rPr>
            </w:pPr>
            <w:r>
              <w:rPr>
                <w:b w:val="0"/>
                <w:bCs/>
                <w:color w:val="auto"/>
                <w:spacing w:val="11"/>
                <w:position w:val="0"/>
                <w:szCs w:val="24"/>
                <w:highlight w:val="none"/>
              </w:rPr>
              <w:t>（5）总投资：</w:t>
            </w:r>
            <w:r>
              <w:rPr>
                <w:rFonts w:hint="eastAsia"/>
                <w:b w:val="0"/>
                <w:bCs/>
                <w:color w:val="auto"/>
                <w:spacing w:val="11"/>
                <w:position w:val="0"/>
                <w:szCs w:val="24"/>
                <w:highlight w:val="none"/>
                <w:lang w:val="en-US" w:eastAsia="zh-CN"/>
              </w:rPr>
              <w:t>13974.11</w:t>
            </w:r>
            <w:r>
              <w:rPr>
                <w:color w:val="auto"/>
                <w:spacing w:val="11"/>
                <w:position w:val="0"/>
                <w:szCs w:val="24"/>
                <w:highlight w:val="none"/>
              </w:rPr>
              <w:t>万元，其中环保投资</w:t>
            </w:r>
            <w:r>
              <w:rPr>
                <w:rFonts w:hint="eastAsia"/>
                <w:color w:val="auto"/>
                <w:spacing w:val="11"/>
                <w:position w:val="0"/>
                <w:szCs w:val="24"/>
                <w:highlight w:val="none"/>
                <w:lang w:val="en-US" w:eastAsia="zh-CN"/>
              </w:rPr>
              <w:t>200</w:t>
            </w:r>
            <w:r>
              <w:rPr>
                <w:color w:val="auto"/>
                <w:spacing w:val="11"/>
                <w:position w:val="0"/>
                <w:szCs w:val="24"/>
                <w:highlight w:val="none"/>
              </w:rPr>
              <w:t>万元</w:t>
            </w:r>
          </w:p>
          <w:p w14:paraId="37434443">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b/>
                <w:color w:val="auto"/>
                <w:spacing w:val="11"/>
                <w:position w:val="0"/>
                <w:szCs w:val="24"/>
                <w:highlight w:val="none"/>
                <w:u w:val="none" w:color="auto"/>
              </w:rPr>
            </w:pPr>
            <w:r>
              <w:rPr>
                <w:b/>
                <w:color w:val="auto"/>
                <w:spacing w:val="11"/>
                <w:position w:val="0"/>
                <w:szCs w:val="24"/>
                <w:highlight w:val="none"/>
                <w:u w:val="none" w:color="auto"/>
              </w:rPr>
              <w:t>3、工程内容及规模</w:t>
            </w:r>
          </w:p>
          <w:p w14:paraId="60F9812D">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eastAsia="宋体"/>
                <w:color w:val="auto"/>
                <w:spacing w:val="11"/>
                <w:position w:val="0"/>
                <w:szCs w:val="24"/>
                <w:highlight w:val="yellow"/>
                <w:u w:val="single" w:color="auto"/>
                <w:lang w:val="en-US" w:eastAsia="zh-CN"/>
              </w:rPr>
            </w:pPr>
            <w:r>
              <w:rPr>
                <w:rFonts w:hint="eastAsia"/>
                <w:bCs/>
                <w:color w:val="auto"/>
                <w:spacing w:val="11"/>
                <w:position w:val="0"/>
                <w:szCs w:val="24"/>
                <w:highlight w:val="none"/>
                <w:u w:val="single" w:color="auto"/>
                <w:lang w:val="en-US" w:eastAsia="zh-CN"/>
              </w:rPr>
              <w:t>本</w:t>
            </w:r>
            <w:r>
              <w:rPr>
                <w:rFonts w:hint="eastAsia"/>
                <w:bCs/>
                <w:color w:val="auto"/>
                <w:spacing w:val="11"/>
                <w:position w:val="0"/>
                <w:szCs w:val="24"/>
                <w:highlight w:val="none"/>
                <w:u w:val="single" w:color="auto"/>
                <w:lang w:eastAsia="zh-CN"/>
              </w:rPr>
              <w:t>项目</w:t>
            </w:r>
            <w:r>
              <w:rPr>
                <w:bCs/>
                <w:color w:val="auto"/>
                <w:spacing w:val="11"/>
                <w:position w:val="0"/>
                <w:szCs w:val="24"/>
                <w:highlight w:val="none"/>
                <w:u w:val="single" w:color="auto"/>
              </w:rPr>
              <w:t>位于</w:t>
            </w:r>
            <w:r>
              <w:rPr>
                <w:rFonts w:hint="eastAsia" w:ascii="Times New Roman" w:hAnsi="Times New Roman"/>
                <w:color w:val="auto"/>
                <w:spacing w:val="11"/>
                <w:kern w:val="24"/>
                <w:position w:val="0"/>
                <w:szCs w:val="24"/>
                <w:highlight w:val="none"/>
                <w:u w:val="single" w:color="auto"/>
                <w:lang w:val="en-US" w:eastAsia="zh-CN"/>
              </w:rPr>
              <w:t>湖南省永州市新田县龙泉街道</w:t>
            </w:r>
            <w:r>
              <w:rPr>
                <w:rFonts w:hint="eastAsia"/>
                <w:color w:val="auto"/>
                <w:spacing w:val="11"/>
                <w:kern w:val="24"/>
                <w:position w:val="0"/>
                <w:szCs w:val="24"/>
                <w:highlight w:val="none"/>
                <w:u w:val="single" w:color="auto"/>
                <w:lang w:val="en-US" w:eastAsia="zh-CN"/>
              </w:rPr>
              <w:t>前进路82号县中医医院院内</w:t>
            </w:r>
            <w:r>
              <w:rPr>
                <w:bCs/>
                <w:color w:val="auto"/>
                <w:spacing w:val="11"/>
                <w:position w:val="0"/>
                <w:szCs w:val="24"/>
                <w:highlight w:val="none"/>
                <w:u w:val="single" w:color="auto"/>
              </w:rPr>
              <w:t>，占地面积</w:t>
            </w:r>
            <w:r>
              <w:rPr>
                <w:rFonts w:hint="eastAsia" w:ascii="Times New Roman" w:eastAsia="宋体"/>
                <w:bCs/>
                <w:color w:val="auto"/>
                <w:spacing w:val="11"/>
                <w:position w:val="0"/>
                <w:szCs w:val="24"/>
                <w:highlight w:val="none"/>
                <w:u w:val="single" w:color="auto"/>
                <w:lang w:val="en-US" w:eastAsia="zh-CN"/>
              </w:rPr>
              <w:t>6300m</w:t>
            </w:r>
            <w:r>
              <w:rPr>
                <w:rFonts w:hint="eastAsia" w:ascii="Times New Roman" w:eastAsia="宋体"/>
                <w:bCs/>
                <w:color w:val="auto"/>
                <w:spacing w:val="11"/>
                <w:position w:val="0"/>
                <w:szCs w:val="24"/>
                <w:highlight w:val="none"/>
                <w:u w:val="single" w:color="auto"/>
                <w:vertAlign w:val="superscript"/>
                <w:lang w:val="en-US" w:eastAsia="zh-CN"/>
              </w:rPr>
              <w:t>2</w:t>
            </w:r>
            <w:r>
              <w:rPr>
                <w:rFonts w:hint="eastAsia"/>
                <w:color w:val="auto"/>
                <w:spacing w:val="11"/>
                <w:position w:val="0"/>
                <w:szCs w:val="24"/>
                <w:highlight w:val="none"/>
                <w:u w:val="single" w:color="auto"/>
                <w:lang w:eastAsia="zh-CN"/>
              </w:rPr>
              <w:t>，</w:t>
            </w:r>
            <w:r>
              <w:rPr>
                <w:rFonts w:hint="eastAsia"/>
                <w:color w:val="auto"/>
                <w:spacing w:val="11"/>
                <w:position w:val="0"/>
                <w:szCs w:val="24"/>
                <w:highlight w:val="none"/>
                <w:u w:val="single" w:color="auto"/>
                <w:lang w:val="en-US" w:eastAsia="zh-CN"/>
              </w:rPr>
              <w:t>总建筑面积33683.91m</w:t>
            </w:r>
            <w:r>
              <w:rPr>
                <w:rFonts w:hint="eastAsia"/>
                <w:color w:val="auto"/>
                <w:spacing w:val="11"/>
                <w:position w:val="0"/>
                <w:szCs w:val="24"/>
                <w:highlight w:val="none"/>
                <w:u w:val="single" w:color="auto"/>
                <w:vertAlign w:val="superscript"/>
                <w:lang w:val="en-US" w:eastAsia="zh-CN"/>
              </w:rPr>
              <w:t>2</w:t>
            </w:r>
            <w:r>
              <w:rPr>
                <w:rFonts w:hint="eastAsia"/>
                <w:color w:val="auto"/>
                <w:spacing w:val="11"/>
                <w:position w:val="0"/>
                <w:szCs w:val="24"/>
                <w:highlight w:val="none"/>
                <w:u w:val="single" w:color="auto"/>
                <w:lang w:val="en-US" w:eastAsia="zh-CN"/>
              </w:rPr>
              <w:t>。本次拟新建一栋门诊住院综合楼、一栋污水处理设备间以及配套公用工程、环保设施等，本项目不另设食堂，食堂依托现有设施。项目建成后拟设置病床360张。</w:t>
            </w:r>
          </w:p>
          <w:p w14:paraId="3CB38646">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spacing w:val="11"/>
                <w:position w:val="0"/>
                <w:szCs w:val="24"/>
                <w:highlight w:val="none"/>
                <w:u w:val="single" w:color="auto"/>
              </w:rPr>
            </w:pPr>
            <w:r>
              <w:rPr>
                <w:color w:val="auto"/>
                <w:spacing w:val="11"/>
                <w:position w:val="0"/>
                <w:szCs w:val="24"/>
                <w:highlight w:val="none"/>
                <w:u w:val="single" w:color="auto"/>
              </w:rPr>
              <w:t>项目主要建设内容见表2-</w:t>
            </w:r>
            <w:r>
              <w:rPr>
                <w:rFonts w:hint="eastAsia" w:ascii="Times New Roman" w:eastAsia="宋体"/>
                <w:color w:val="auto"/>
                <w:spacing w:val="11"/>
                <w:position w:val="0"/>
                <w:szCs w:val="24"/>
                <w:highlight w:val="none"/>
                <w:u w:val="single" w:color="auto"/>
                <w:lang w:val="en-US" w:eastAsia="zh-CN"/>
              </w:rPr>
              <w:t>1</w:t>
            </w:r>
            <w:r>
              <w:rPr>
                <w:color w:val="auto"/>
                <w:spacing w:val="11"/>
                <w:position w:val="0"/>
                <w:szCs w:val="24"/>
                <w:highlight w:val="none"/>
                <w:u w:val="single" w:color="auto"/>
              </w:rPr>
              <w:t>。</w:t>
            </w:r>
          </w:p>
          <w:p w14:paraId="0C8ED13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pacing w:val="11"/>
                <w:position w:val="0"/>
                <w:sz w:val="21"/>
                <w:szCs w:val="21"/>
                <w:highlight w:val="none"/>
                <w:u w:val="single" w:color="auto"/>
              </w:rPr>
            </w:pPr>
            <w:r>
              <w:rPr>
                <w:rFonts w:hint="default" w:ascii="Times New Roman" w:hAnsi="Times New Roman" w:cs="Times New Roman" w:eastAsiaTheme="minorEastAsia"/>
                <w:b/>
                <w:bCs/>
                <w:color w:val="auto"/>
                <w:spacing w:val="11"/>
                <w:position w:val="0"/>
                <w:sz w:val="21"/>
                <w:szCs w:val="21"/>
                <w:highlight w:val="none"/>
                <w:u w:val="single" w:color="auto"/>
              </w:rPr>
              <w:t>表</w:t>
            </w:r>
            <w:r>
              <w:rPr>
                <w:rFonts w:hint="default" w:ascii="Times New Roman" w:hAnsi="Times New Roman" w:cs="Times New Roman" w:eastAsiaTheme="minorEastAsia"/>
                <w:b/>
                <w:bCs/>
                <w:color w:val="auto"/>
                <w:spacing w:val="11"/>
                <w:position w:val="0"/>
                <w:sz w:val="21"/>
                <w:szCs w:val="21"/>
                <w:highlight w:val="none"/>
                <w:u w:val="single" w:color="auto"/>
                <w:lang w:val="en-US" w:eastAsia="zh-CN"/>
              </w:rPr>
              <w:t>2-</w:t>
            </w:r>
            <w:r>
              <w:rPr>
                <w:rFonts w:hint="eastAsia" w:ascii="Times New Roman" w:hAnsi="Times New Roman" w:cs="Times New Roman" w:eastAsiaTheme="minorEastAsia"/>
                <w:b/>
                <w:bCs/>
                <w:color w:val="auto"/>
                <w:spacing w:val="11"/>
                <w:position w:val="0"/>
                <w:sz w:val="21"/>
                <w:szCs w:val="21"/>
                <w:highlight w:val="none"/>
                <w:u w:val="single" w:color="auto"/>
                <w:lang w:val="en-US" w:eastAsia="zh-CN"/>
              </w:rPr>
              <w:t>1</w:t>
            </w:r>
            <w:r>
              <w:rPr>
                <w:rFonts w:hint="default" w:ascii="Times New Roman" w:hAnsi="Times New Roman" w:cs="Times New Roman" w:eastAsiaTheme="minorEastAsia"/>
                <w:b/>
                <w:bCs/>
                <w:color w:val="auto"/>
                <w:spacing w:val="11"/>
                <w:position w:val="0"/>
                <w:sz w:val="21"/>
                <w:szCs w:val="21"/>
                <w:highlight w:val="none"/>
                <w:u w:val="single" w:color="auto"/>
              </w:rPr>
              <w:t xml:space="preserve"> 主要建设内容一览表</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7"/>
              <w:gridCol w:w="448"/>
              <w:gridCol w:w="767"/>
              <w:gridCol w:w="6115"/>
              <w:gridCol w:w="1054"/>
            </w:tblGrid>
            <w:tr w14:paraId="7B0F35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tcBorders>
                    <w:tl2br w:val="nil"/>
                    <w:tr2bl w:val="nil"/>
                  </w:tcBorders>
                  <w:vAlign w:val="center"/>
                </w:tcPr>
                <w:p w14:paraId="6C82C2A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ascii="Times New Roman" w:hAnsi="Times New Roman" w:eastAsia="宋体" w:cs="Times New Roman"/>
                      <w:color w:val="auto"/>
                      <w:spacing w:val="11"/>
                      <w:position w:val="0"/>
                      <w:sz w:val="21"/>
                      <w:szCs w:val="21"/>
                      <w:highlight w:val="none"/>
                      <w:u w:val="single" w:color="auto"/>
                      <w:lang w:val="en-US" w:eastAsia="zh-CN"/>
                    </w:rPr>
                    <w:t>类别</w:t>
                  </w:r>
                </w:p>
              </w:tc>
              <w:tc>
                <w:tcPr>
                  <w:tcW w:w="644" w:type="pct"/>
                  <w:gridSpan w:val="2"/>
                  <w:tcBorders>
                    <w:tl2br w:val="nil"/>
                    <w:tr2bl w:val="nil"/>
                  </w:tcBorders>
                  <w:vAlign w:val="center"/>
                </w:tcPr>
                <w:p w14:paraId="0DB2B99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ascii="Times New Roman" w:hAnsi="Times New Roman" w:eastAsia="宋体" w:cs="Times New Roman"/>
                      <w:color w:val="auto"/>
                      <w:spacing w:val="11"/>
                      <w:position w:val="0"/>
                      <w:sz w:val="21"/>
                      <w:szCs w:val="21"/>
                      <w:highlight w:val="none"/>
                      <w:u w:val="single" w:color="auto"/>
                      <w:lang w:val="en-US" w:eastAsia="zh-CN"/>
                    </w:rPr>
                    <w:t>名称</w:t>
                  </w:r>
                </w:p>
              </w:tc>
              <w:tc>
                <w:tcPr>
                  <w:tcW w:w="3405" w:type="pct"/>
                  <w:tcBorders>
                    <w:tl2br w:val="nil"/>
                    <w:tr2bl w:val="nil"/>
                  </w:tcBorders>
                  <w:vAlign w:val="center"/>
                </w:tcPr>
                <w:p w14:paraId="7D666C5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ascii="Times New Roman" w:hAnsi="Times New Roman" w:eastAsia="宋体" w:cs="Times New Roman"/>
                      <w:color w:val="auto"/>
                      <w:spacing w:val="11"/>
                      <w:position w:val="0"/>
                      <w:sz w:val="21"/>
                      <w:szCs w:val="21"/>
                      <w:highlight w:val="none"/>
                      <w:u w:val="single" w:color="auto"/>
                      <w:lang w:val="en-US" w:eastAsia="zh-CN"/>
                    </w:rPr>
                    <w:t>建设内容及规模</w:t>
                  </w:r>
                </w:p>
              </w:tc>
              <w:tc>
                <w:tcPr>
                  <w:tcW w:w="595" w:type="pct"/>
                  <w:tcBorders>
                    <w:tl2br w:val="nil"/>
                    <w:tr2bl w:val="nil"/>
                  </w:tcBorders>
                  <w:vAlign w:val="center"/>
                </w:tcPr>
                <w:p w14:paraId="6D1E212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备注</w:t>
                  </w:r>
                </w:p>
              </w:tc>
            </w:tr>
            <w:tr w14:paraId="1C6B86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restart"/>
                  <w:tcBorders>
                    <w:tl2br w:val="nil"/>
                    <w:tr2bl w:val="nil"/>
                  </w:tcBorders>
                  <w:vAlign w:val="center"/>
                </w:tcPr>
                <w:p w14:paraId="6466008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18"/>
                      <w:szCs w:val="18"/>
                      <w:highlight w:val="none"/>
                      <w:u w:val="single" w:color="auto"/>
                    </w:rPr>
                  </w:pPr>
                  <w:r>
                    <w:rPr>
                      <w:rFonts w:hint="default"/>
                      <w:b w:val="0"/>
                      <w:bCs w:val="0"/>
                      <w:color w:val="auto"/>
                      <w:spacing w:val="11"/>
                      <w:position w:val="0"/>
                      <w:sz w:val="21"/>
                      <w:szCs w:val="21"/>
                      <w:highlight w:val="none"/>
                      <w:u w:val="single" w:color="auto"/>
                    </w:rPr>
                    <w:t>主体工程</w:t>
                  </w:r>
                </w:p>
              </w:tc>
              <w:tc>
                <w:tcPr>
                  <w:tcW w:w="644" w:type="pct"/>
                  <w:gridSpan w:val="2"/>
                  <w:tcBorders>
                    <w:tl2br w:val="nil"/>
                    <w:tr2bl w:val="nil"/>
                  </w:tcBorders>
                  <w:vAlign w:val="center"/>
                </w:tcPr>
                <w:p w14:paraId="11A1B7E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lang w:val="en-US" w:eastAsia="zh-CN"/>
                    </w:rPr>
                  </w:pPr>
                  <w:r>
                    <w:rPr>
                      <w:rFonts w:hint="default"/>
                      <w:b w:val="0"/>
                      <w:bCs w:val="0"/>
                      <w:color w:val="auto"/>
                      <w:spacing w:val="11"/>
                      <w:position w:val="0"/>
                      <w:sz w:val="21"/>
                      <w:szCs w:val="21"/>
                      <w:highlight w:val="none"/>
                      <w:u w:val="single" w:color="auto"/>
                      <w:lang w:val="en-US" w:eastAsia="zh-CN"/>
                    </w:rPr>
                    <w:t>门诊住院综合楼</w:t>
                  </w:r>
                </w:p>
              </w:tc>
              <w:tc>
                <w:tcPr>
                  <w:tcW w:w="3405" w:type="pct"/>
                  <w:tcBorders>
                    <w:tl2br w:val="nil"/>
                    <w:tr2bl w:val="nil"/>
                  </w:tcBorders>
                  <w:vAlign w:val="center"/>
                </w:tcPr>
                <w:p w14:paraId="6C44CB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pacing w:val="11"/>
                      <w:position w:val="0"/>
                      <w:sz w:val="21"/>
                      <w:szCs w:val="21"/>
                      <w:highlight w:val="none"/>
                      <w:u w:val="single" w:color="auto"/>
                      <w:lang w:val="en-US" w:eastAsia="zh-CN"/>
                    </w:rPr>
                  </w:pPr>
                  <w:r>
                    <w:rPr>
                      <w:rFonts w:hint="default"/>
                      <w:color w:val="auto"/>
                      <w:spacing w:val="11"/>
                      <w:position w:val="0"/>
                      <w:sz w:val="21"/>
                      <w:szCs w:val="21"/>
                      <w:highlight w:val="none"/>
                      <w:u w:val="single" w:color="auto"/>
                      <w:lang w:val="en-US" w:eastAsia="zh-CN"/>
                    </w:rPr>
                    <w:t>1</w:t>
                  </w:r>
                  <w:r>
                    <w:rPr>
                      <w:rFonts w:hint="eastAsia"/>
                      <w:color w:val="auto"/>
                      <w:spacing w:val="11"/>
                      <w:position w:val="0"/>
                      <w:sz w:val="21"/>
                      <w:szCs w:val="21"/>
                      <w:highlight w:val="none"/>
                      <w:u w:val="single" w:color="auto"/>
                      <w:lang w:val="en-US" w:eastAsia="zh-CN"/>
                    </w:rPr>
                    <w:t>栋，地上为12层，地下2层，</w:t>
                  </w:r>
                  <w:r>
                    <w:rPr>
                      <w:rFonts w:hint="eastAsia" w:ascii="Times New Roman" w:eastAsia="宋体"/>
                      <w:color w:val="auto"/>
                      <w:spacing w:val="11"/>
                      <w:position w:val="0"/>
                      <w:sz w:val="21"/>
                      <w:szCs w:val="21"/>
                      <w:highlight w:val="none"/>
                      <w:u w:val="single" w:color="auto"/>
                      <w:lang w:val="en-US" w:eastAsia="zh-CN"/>
                    </w:rPr>
                    <w:t>总</w:t>
                  </w:r>
                  <w:r>
                    <w:rPr>
                      <w:rFonts w:hint="default"/>
                      <w:color w:val="auto"/>
                      <w:spacing w:val="11"/>
                      <w:position w:val="0"/>
                      <w:sz w:val="21"/>
                      <w:szCs w:val="21"/>
                      <w:highlight w:val="none"/>
                      <w:u w:val="single" w:color="auto"/>
                      <w:lang w:val="en-US" w:eastAsia="zh-CN"/>
                    </w:rPr>
                    <w:t>建筑面积</w:t>
                  </w:r>
                  <w:r>
                    <w:rPr>
                      <w:rFonts w:hint="eastAsia"/>
                      <w:color w:val="auto"/>
                      <w:spacing w:val="11"/>
                      <w:position w:val="0"/>
                      <w:sz w:val="21"/>
                      <w:szCs w:val="21"/>
                      <w:highlight w:val="none"/>
                      <w:u w:val="single" w:color="auto"/>
                      <w:lang w:val="en-US" w:eastAsia="zh-CN"/>
                    </w:rPr>
                    <w:t>33683.91</w:t>
                  </w:r>
                  <w:r>
                    <w:rPr>
                      <w:rFonts w:hint="default"/>
                      <w:color w:val="auto"/>
                      <w:spacing w:val="11"/>
                      <w:position w:val="0"/>
                      <w:sz w:val="21"/>
                      <w:szCs w:val="21"/>
                      <w:highlight w:val="none"/>
                      <w:u w:val="single" w:color="auto"/>
                      <w:lang w:val="en-US" w:eastAsia="zh-CN"/>
                    </w:rPr>
                    <w:t>m</w:t>
                  </w:r>
                  <w:r>
                    <w:rPr>
                      <w:rFonts w:hint="default"/>
                      <w:color w:val="auto"/>
                      <w:spacing w:val="11"/>
                      <w:position w:val="0"/>
                      <w:sz w:val="21"/>
                      <w:szCs w:val="21"/>
                      <w:highlight w:val="none"/>
                      <w:u w:val="single" w:color="auto"/>
                      <w:vertAlign w:val="superscript"/>
                      <w:lang w:val="en-US" w:eastAsia="zh-CN"/>
                    </w:rPr>
                    <w:t>2</w:t>
                  </w:r>
                  <w:r>
                    <w:rPr>
                      <w:rFonts w:hint="default"/>
                      <w:color w:val="auto"/>
                      <w:spacing w:val="11"/>
                      <w:position w:val="0"/>
                      <w:sz w:val="21"/>
                      <w:szCs w:val="21"/>
                      <w:highlight w:val="none"/>
                      <w:u w:val="single" w:color="auto"/>
                      <w:lang w:val="en-US" w:eastAsia="zh-CN"/>
                    </w:rPr>
                    <w:t>，为</w:t>
                  </w:r>
                  <w:r>
                    <w:rPr>
                      <w:rFonts w:hint="eastAsia" w:ascii="Times New Roman" w:eastAsia="宋体"/>
                      <w:color w:val="auto"/>
                      <w:spacing w:val="11"/>
                      <w:position w:val="0"/>
                      <w:sz w:val="21"/>
                      <w:szCs w:val="21"/>
                      <w:highlight w:val="none"/>
                      <w:u w:val="single" w:color="auto"/>
                      <w:lang w:val="en-US" w:eastAsia="zh-CN"/>
                    </w:rPr>
                    <w:t>钢混</w:t>
                  </w:r>
                  <w:r>
                    <w:rPr>
                      <w:rFonts w:hint="default"/>
                      <w:color w:val="auto"/>
                      <w:spacing w:val="11"/>
                      <w:position w:val="0"/>
                      <w:sz w:val="21"/>
                      <w:szCs w:val="21"/>
                      <w:highlight w:val="none"/>
                      <w:u w:val="single" w:color="auto"/>
                      <w:lang w:val="en-US" w:eastAsia="zh-CN"/>
                    </w:rPr>
                    <w:t>结构。地下一层、二层为汽车库、设备用房；一层为门诊大厅及药房、连通外科楼的连廊；二层为内科、妇产科、口腔科、心电图、B超；三层为皮肤科、五官科、外科、检验科；四层为传统中医药疗法区、中医康复治疗区、中医专家诊区、中医护理门诊区、中医治未病中心、网络信息中心；五层为病理科、内镜中心、多功能厅；六~十二层为住院部。</w:t>
                  </w:r>
                </w:p>
              </w:tc>
              <w:tc>
                <w:tcPr>
                  <w:tcW w:w="595" w:type="pct"/>
                  <w:tcBorders>
                    <w:tl2br w:val="nil"/>
                    <w:tr2bl w:val="nil"/>
                  </w:tcBorders>
                  <w:vAlign w:val="center"/>
                </w:tcPr>
                <w:p w14:paraId="6915C4B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auto"/>
                      <w:spacing w:val="11"/>
                      <w:position w:val="0"/>
                      <w:sz w:val="21"/>
                      <w:szCs w:val="21"/>
                      <w:highlight w:val="none"/>
                      <w:u w:val="single" w:color="auto"/>
                      <w:lang w:val="en-US" w:eastAsia="zh-CN"/>
                    </w:rPr>
                  </w:pPr>
                  <w:r>
                    <w:rPr>
                      <w:rFonts w:hint="eastAsia"/>
                      <w:b w:val="0"/>
                      <w:bCs w:val="0"/>
                      <w:color w:val="auto"/>
                      <w:spacing w:val="11"/>
                      <w:position w:val="0"/>
                      <w:sz w:val="21"/>
                      <w:szCs w:val="21"/>
                      <w:highlight w:val="none"/>
                      <w:u w:val="single" w:color="auto"/>
                      <w:lang w:val="en-US" w:eastAsia="zh-CN"/>
                    </w:rPr>
                    <w:t>新建</w:t>
                  </w:r>
                </w:p>
              </w:tc>
            </w:tr>
            <w:tr w14:paraId="12B93A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tcBorders>
                    <w:tl2br w:val="nil"/>
                    <w:tr2bl w:val="nil"/>
                  </w:tcBorders>
                  <w:vAlign w:val="center"/>
                </w:tcPr>
                <w:p w14:paraId="02AC1A6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p>
              </w:tc>
              <w:tc>
                <w:tcPr>
                  <w:tcW w:w="644" w:type="pct"/>
                  <w:gridSpan w:val="2"/>
                  <w:tcBorders>
                    <w:tl2br w:val="nil"/>
                    <w:tr2bl w:val="nil"/>
                  </w:tcBorders>
                  <w:vAlign w:val="center"/>
                </w:tcPr>
                <w:p w14:paraId="20FAEFA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lang w:val="en-US" w:eastAsia="zh-CN"/>
                    </w:rPr>
                  </w:pPr>
                  <w:r>
                    <w:rPr>
                      <w:rFonts w:hint="default"/>
                      <w:b w:val="0"/>
                      <w:bCs w:val="0"/>
                      <w:color w:val="auto"/>
                      <w:spacing w:val="11"/>
                      <w:position w:val="0"/>
                      <w:sz w:val="21"/>
                      <w:szCs w:val="21"/>
                      <w:highlight w:val="none"/>
                      <w:u w:val="single" w:color="auto"/>
                      <w:lang w:val="en-US" w:eastAsia="zh-CN"/>
                    </w:rPr>
                    <w:t>污水处理设备间</w:t>
                  </w:r>
                </w:p>
              </w:tc>
              <w:tc>
                <w:tcPr>
                  <w:tcW w:w="3405" w:type="pct"/>
                  <w:tcBorders>
                    <w:tl2br w:val="nil"/>
                    <w:tr2bl w:val="nil"/>
                  </w:tcBorders>
                  <w:vAlign w:val="center"/>
                </w:tcPr>
                <w:p w14:paraId="3304D7A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auto"/>
                    <w:rPr>
                      <w:rFonts w:hint="default"/>
                      <w:color w:val="auto"/>
                      <w:spacing w:val="11"/>
                      <w:position w:val="0"/>
                      <w:sz w:val="21"/>
                      <w:szCs w:val="21"/>
                      <w:highlight w:val="none"/>
                      <w:u w:val="single" w:color="auto"/>
                      <w:lang w:val="en-US" w:eastAsia="zh-CN"/>
                    </w:rPr>
                  </w:pPr>
                  <w:r>
                    <w:rPr>
                      <w:rFonts w:hint="default" w:ascii="Times New Roman" w:hAnsi="Times New Roman" w:cs="Times New Roman"/>
                      <w:b w:val="0"/>
                      <w:bCs w:val="0"/>
                      <w:color w:val="auto"/>
                      <w:spacing w:val="11"/>
                      <w:kern w:val="0"/>
                      <w:position w:val="0"/>
                      <w:sz w:val="21"/>
                      <w:szCs w:val="21"/>
                      <w:highlight w:val="none"/>
                      <w:u w:val="single" w:color="auto"/>
                      <w:lang w:val="en-US" w:eastAsia="zh-CN" w:bidi="ar"/>
                    </w:rPr>
                    <w:t>1栋</w:t>
                  </w:r>
                  <w:r>
                    <w:rPr>
                      <w:rFonts w:hint="eastAsia" w:ascii="Times New Roman" w:hAnsi="Times New Roman" w:cs="Times New Roman"/>
                      <w:b w:val="0"/>
                      <w:bCs w:val="0"/>
                      <w:color w:val="auto"/>
                      <w:spacing w:val="11"/>
                      <w:kern w:val="0"/>
                      <w:position w:val="0"/>
                      <w:sz w:val="21"/>
                      <w:szCs w:val="21"/>
                      <w:highlight w:val="none"/>
                      <w:u w:val="single" w:color="auto"/>
                      <w:lang w:val="en-US" w:eastAsia="zh-CN" w:bidi="ar"/>
                    </w:rPr>
                    <w:t>1F</w:t>
                  </w:r>
                  <w:r>
                    <w:rPr>
                      <w:rFonts w:hint="default" w:ascii="Times New Roman" w:hAnsi="Times New Roman" w:cs="Times New Roman"/>
                      <w:b w:val="0"/>
                      <w:bCs w:val="0"/>
                      <w:color w:val="auto"/>
                      <w:spacing w:val="11"/>
                      <w:kern w:val="0"/>
                      <w:position w:val="0"/>
                      <w:sz w:val="21"/>
                      <w:szCs w:val="21"/>
                      <w:highlight w:val="none"/>
                      <w:u w:val="single" w:color="auto"/>
                      <w:lang w:val="en-US" w:eastAsia="zh-CN" w:bidi="ar"/>
                    </w:rPr>
                    <w:t>，钢混结构，建筑面积</w:t>
                  </w:r>
                  <w:r>
                    <w:rPr>
                      <w:rFonts w:hint="eastAsia" w:cs="Times New Roman"/>
                      <w:b w:val="0"/>
                      <w:bCs w:val="0"/>
                      <w:color w:val="auto"/>
                      <w:spacing w:val="11"/>
                      <w:kern w:val="0"/>
                      <w:position w:val="0"/>
                      <w:sz w:val="21"/>
                      <w:szCs w:val="21"/>
                      <w:highlight w:val="none"/>
                      <w:u w:val="single" w:color="auto"/>
                      <w:lang w:val="en-US" w:eastAsia="zh-CN" w:bidi="ar"/>
                    </w:rPr>
                    <w:t>36</w:t>
                  </w:r>
                  <w:r>
                    <w:rPr>
                      <w:rFonts w:hint="default" w:ascii="Times New Roman" w:hAnsi="Times New Roman" w:cs="Times New Roman"/>
                      <w:b w:val="0"/>
                      <w:bCs w:val="0"/>
                      <w:color w:val="auto"/>
                      <w:spacing w:val="11"/>
                      <w:kern w:val="0"/>
                      <w:position w:val="0"/>
                      <w:sz w:val="21"/>
                      <w:szCs w:val="21"/>
                      <w:highlight w:val="none"/>
                      <w:u w:val="single" w:color="auto"/>
                      <w:lang w:val="en-US" w:eastAsia="zh-CN" w:bidi="ar"/>
                    </w:rPr>
                    <w:t>m</w:t>
                  </w:r>
                  <w:r>
                    <w:rPr>
                      <w:rFonts w:hint="default" w:ascii="Times New Roman" w:hAnsi="Times New Roman" w:cs="Times New Roman"/>
                      <w:b w:val="0"/>
                      <w:bCs w:val="0"/>
                      <w:color w:val="auto"/>
                      <w:spacing w:val="11"/>
                      <w:kern w:val="0"/>
                      <w:position w:val="0"/>
                      <w:sz w:val="21"/>
                      <w:szCs w:val="21"/>
                      <w:highlight w:val="none"/>
                      <w:u w:val="single" w:color="auto"/>
                      <w:vertAlign w:val="superscript"/>
                      <w:lang w:val="en-US" w:eastAsia="zh-CN" w:bidi="ar"/>
                    </w:rPr>
                    <w:t>2</w:t>
                  </w:r>
                  <w:r>
                    <w:rPr>
                      <w:rFonts w:hint="default" w:ascii="Times New Roman" w:hAnsi="Times New Roman" w:cs="Times New Roman"/>
                      <w:b w:val="0"/>
                      <w:bCs w:val="0"/>
                      <w:color w:val="auto"/>
                      <w:spacing w:val="11"/>
                      <w:kern w:val="0"/>
                      <w:position w:val="0"/>
                      <w:sz w:val="21"/>
                      <w:szCs w:val="21"/>
                      <w:highlight w:val="none"/>
                      <w:u w:val="single" w:color="auto"/>
                      <w:lang w:val="en-US" w:eastAsia="zh-CN" w:bidi="ar"/>
                    </w:rPr>
                    <w:t>，</w:t>
                  </w:r>
                  <w:r>
                    <w:rPr>
                      <w:rFonts w:hint="eastAsia" w:cs="Times New Roman"/>
                      <w:b w:val="0"/>
                      <w:bCs w:val="0"/>
                      <w:color w:val="auto"/>
                      <w:spacing w:val="11"/>
                      <w:kern w:val="0"/>
                      <w:position w:val="0"/>
                      <w:sz w:val="21"/>
                      <w:szCs w:val="21"/>
                      <w:highlight w:val="none"/>
                      <w:u w:val="single" w:color="auto"/>
                      <w:lang w:val="en-US" w:eastAsia="zh-CN" w:bidi="ar"/>
                    </w:rPr>
                    <w:t>为单层建筑，设备间内设置消毒设备，预处理池位于设备间下方</w:t>
                  </w:r>
                </w:p>
              </w:tc>
              <w:tc>
                <w:tcPr>
                  <w:tcW w:w="595" w:type="pct"/>
                  <w:tcBorders>
                    <w:tl2br w:val="nil"/>
                    <w:tr2bl w:val="nil"/>
                  </w:tcBorders>
                  <w:vAlign w:val="center"/>
                </w:tcPr>
                <w:p w14:paraId="6C97ECC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auto"/>
                      <w:spacing w:val="11"/>
                      <w:position w:val="0"/>
                      <w:sz w:val="21"/>
                      <w:szCs w:val="21"/>
                      <w:highlight w:val="none"/>
                      <w:u w:val="single" w:color="auto"/>
                      <w:lang w:val="en-US" w:eastAsia="zh-CN"/>
                    </w:rPr>
                  </w:pPr>
                  <w:r>
                    <w:rPr>
                      <w:rFonts w:hint="eastAsia"/>
                      <w:b w:val="0"/>
                      <w:bCs w:val="0"/>
                      <w:color w:val="auto"/>
                      <w:spacing w:val="11"/>
                      <w:position w:val="0"/>
                      <w:sz w:val="21"/>
                      <w:szCs w:val="21"/>
                      <w:highlight w:val="none"/>
                      <w:u w:val="single" w:color="auto"/>
                      <w:lang w:val="en-US" w:eastAsia="zh-CN"/>
                    </w:rPr>
                    <w:t>新建</w:t>
                  </w:r>
                </w:p>
              </w:tc>
            </w:tr>
            <w:tr w14:paraId="16331E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353" w:type="pct"/>
                  <w:vMerge w:val="restart"/>
                  <w:tcBorders>
                    <w:tl2br w:val="nil"/>
                    <w:tr2bl w:val="nil"/>
                  </w:tcBorders>
                  <w:vAlign w:val="center"/>
                </w:tcPr>
                <w:p w14:paraId="409525D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rPr>
                    <w:t>公用工程</w:t>
                  </w:r>
                </w:p>
              </w:tc>
              <w:tc>
                <w:tcPr>
                  <w:tcW w:w="644" w:type="pct"/>
                  <w:gridSpan w:val="2"/>
                  <w:tcBorders>
                    <w:tl2br w:val="nil"/>
                    <w:tr2bl w:val="nil"/>
                  </w:tcBorders>
                  <w:vAlign w:val="center"/>
                </w:tcPr>
                <w:p w14:paraId="3DCBE57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rPr>
                    <w:t>供水</w:t>
                  </w:r>
                </w:p>
              </w:tc>
              <w:tc>
                <w:tcPr>
                  <w:tcW w:w="3405" w:type="pct"/>
                  <w:tcBorders>
                    <w:tl2br w:val="nil"/>
                    <w:tr2bl w:val="nil"/>
                  </w:tcBorders>
                  <w:vAlign w:val="center"/>
                </w:tcPr>
                <w:p w14:paraId="26323CA5">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eastAsia="宋体"/>
                      <w:b w:val="0"/>
                      <w:bCs w:val="0"/>
                      <w:color w:val="auto"/>
                      <w:spacing w:val="11"/>
                      <w:position w:val="0"/>
                      <w:sz w:val="21"/>
                      <w:szCs w:val="21"/>
                      <w:highlight w:val="none"/>
                      <w:u w:val="single" w:color="auto"/>
                      <w:lang w:eastAsia="zh-CN"/>
                    </w:rPr>
                  </w:pPr>
                  <w:r>
                    <w:rPr>
                      <w:rFonts w:hint="default"/>
                      <w:b w:val="0"/>
                      <w:bCs w:val="0"/>
                      <w:color w:val="auto"/>
                      <w:spacing w:val="11"/>
                      <w:position w:val="0"/>
                      <w:sz w:val="21"/>
                      <w:szCs w:val="21"/>
                      <w:highlight w:val="none"/>
                      <w:u w:val="single" w:color="auto"/>
                    </w:rPr>
                    <w:t>生活用水由市政供水</w:t>
                  </w:r>
                  <w:r>
                    <w:rPr>
                      <w:rFonts w:hint="eastAsia"/>
                      <w:b w:val="0"/>
                      <w:bCs w:val="0"/>
                      <w:color w:val="auto"/>
                      <w:spacing w:val="11"/>
                      <w:position w:val="0"/>
                      <w:sz w:val="21"/>
                      <w:szCs w:val="21"/>
                      <w:highlight w:val="none"/>
                      <w:u w:val="single" w:color="auto"/>
                      <w:lang w:val="en-US" w:eastAsia="zh-CN"/>
                    </w:rPr>
                    <w:t>管网</w:t>
                  </w:r>
                  <w:r>
                    <w:rPr>
                      <w:rFonts w:hint="default"/>
                      <w:b w:val="0"/>
                      <w:bCs w:val="0"/>
                      <w:color w:val="auto"/>
                      <w:spacing w:val="11"/>
                      <w:position w:val="0"/>
                      <w:sz w:val="21"/>
                      <w:szCs w:val="21"/>
                      <w:highlight w:val="none"/>
                      <w:u w:val="single" w:color="auto"/>
                    </w:rPr>
                    <w:t>供给</w:t>
                  </w:r>
                </w:p>
              </w:tc>
              <w:tc>
                <w:tcPr>
                  <w:tcW w:w="595" w:type="pct"/>
                  <w:tcBorders>
                    <w:tl2br w:val="nil"/>
                    <w:tr2bl w:val="nil"/>
                  </w:tcBorders>
                  <w:vAlign w:val="center"/>
                </w:tcPr>
                <w:p w14:paraId="4081916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lang w:val="en-US" w:eastAsia="zh-CN"/>
                    </w:rPr>
                    <w:t>新建</w:t>
                  </w:r>
                </w:p>
              </w:tc>
            </w:tr>
            <w:tr w14:paraId="635CE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tcBorders>
                    <w:tl2br w:val="nil"/>
                    <w:tr2bl w:val="nil"/>
                  </w:tcBorders>
                  <w:vAlign w:val="center"/>
                </w:tcPr>
                <w:p w14:paraId="3F7341A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p>
              </w:tc>
              <w:tc>
                <w:tcPr>
                  <w:tcW w:w="644" w:type="pct"/>
                  <w:gridSpan w:val="2"/>
                  <w:tcBorders>
                    <w:tl2br w:val="nil"/>
                    <w:tr2bl w:val="nil"/>
                  </w:tcBorders>
                  <w:vAlign w:val="center"/>
                </w:tcPr>
                <w:p w14:paraId="07803AB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rPr>
                    <w:t>供电</w:t>
                  </w:r>
                </w:p>
              </w:tc>
              <w:tc>
                <w:tcPr>
                  <w:tcW w:w="3405" w:type="pct"/>
                  <w:tcBorders>
                    <w:tl2br w:val="nil"/>
                    <w:tr2bl w:val="nil"/>
                  </w:tcBorders>
                  <w:vAlign w:val="center"/>
                </w:tcPr>
                <w:p w14:paraId="7C7D3745">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eastAsia="宋体"/>
                      <w:b w:val="0"/>
                      <w:bCs w:val="0"/>
                      <w:color w:val="auto"/>
                      <w:spacing w:val="11"/>
                      <w:position w:val="0"/>
                      <w:sz w:val="21"/>
                      <w:szCs w:val="21"/>
                      <w:highlight w:val="none"/>
                      <w:u w:val="single" w:color="auto"/>
                      <w:lang w:eastAsia="zh-CN"/>
                    </w:rPr>
                  </w:pPr>
                  <w:r>
                    <w:rPr>
                      <w:rFonts w:hint="default"/>
                      <w:b w:val="0"/>
                      <w:bCs w:val="0"/>
                      <w:color w:val="auto"/>
                      <w:spacing w:val="11"/>
                      <w:position w:val="0"/>
                      <w:sz w:val="21"/>
                      <w:szCs w:val="21"/>
                      <w:highlight w:val="none"/>
                      <w:u w:val="single" w:color="auto"/>
                    </w:rPr>
                    <w:t>由区域供电管网统一供给。设</w:t>
                  </w:r>
                  <w:r>
                    <w:rPr>
                      <w:rFonts w:hint="eastAsia"/>
                      <w:b w:val="0"/>
                      <w:bCs w:val="0"/>
                      <w:color w:val="auto"/>
                      <w:spacing w:val="11"/>
                      <w:position w:val="0"/>
                      <w:sz w:val="21"/>
                      <w:szCs w:val="21"/>
                      <w:highlight w:val="none"/>
                      <w:u w:val="single" w:color="auto"/>
                      <w:lang w:val="en-US" w:eastAsia="zh-CN"/>
                    </w:rPr>
                    <w:t>配电间1</w:t>
                  </w:r>
                  <w:r>
                    <w:rPr>
                      <w:rFonts w:hint="default"/>
                      <w:b w:val="0"/>
                      <w:bCs w:val="0"/>
                      <w:color w:val="auto"/>
                      <w:spacing w:val="11"/>
                      <w:position w:val="0"/>
                      <w:sz w:val="21"/>
                      <w:szCs w:val="21"/>
                      <w:highlight w:val="none"/>
                      <w:u w:val="single" w:color="auto"/>
                    </w:rPr>
                    <w:t>个</w:t>
                  </w:r>
                  <w:r>
                    <w:rPr>
                      <w:rFonts w:hint="eastAsia"/>
                      <w:b w:val="0"/>
                      <w:bCs w:val="0"/>
                      <w:color w:val="auto"/>
                      <w:spacing w:val="11"/>
                      <w:position w:val="0"/>
                      <w:sz w:val="21"/>
                      <w:szCs w:val="21"/>
                      <w:highlight w:val="none"/>
                      <w:u w:val="single" w:color="auto"/>
                      <w:lang w:eastAsia="zh-CN"/>
                    </w:rPr>
                    <w:t>（</w:t>
                  </w:r>
                  <w:r>
                    <w:rPr>
                      <w:rFonts w:hint="eastAsia"/>
                      <w:b w:val="0"/>
                      <w:bCs w:val="0"/>
                      <w:color w:val="auto"/>
                      <w:spacing w:val="11"/>
                      <w:position w:val="0"/>
                      <w:sz w:val="21"/>
                      <w:szCs w:val="21"/>
                      <w:highlight w:val="none"/>
                      <w:u w:val="single" w:color="auto"/>
                      <w:lang w:val="en-US" w:eastAsia="zh-CN"/>
                    </w:rPr>
                    <w:t>位于负一层</w:t>
                  </w:r>
                  <w:r>
                    <w:rPr>
                      <w:rFonts w:hint="eastAsia"/>
                      <w:b w:val="0"/>
                      <w:bCs w:val="0"/>
                      <w:color w:val="auto"/>
                      <w:spacing w:val="11"/>
                      <w:position w:val="0"/>
                      <w:sz w:val="21"/>
                      <w:szCs w:val="21"/>
                      <w:highlight w:val="none"/>
                      <w:u w:val="single" w:color="auto"/>
                      <w:lang w:eastAsia="zh-CN"/>
                    </w:rPr>
                    <w:t>）</w:t>
                  </w:r>
                </w:p>
              </w:tc>
              <w:tc>
                <w:tcPr>
                  <w:tcW w:w="595" w:type="pct"/>
                  <w:tcBorders>
                    <w:tl2br w:val="nil"/>
                    <w:tr2bl w:val="nil"/>
                  </w:tcBorders>
                  <w:vAlign w:val="center"/>
                </w:tcPr>
                <w:p w14:paraId="35E56FA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lang w:val="en-US" w:eastAsia="zh-CN"/>
                    </w:rPr>
                    <w:t>新建</w:t>
                  </w:r>
                </w:p>
              </w:tc>
            </w:tr>
            <w:tr w14:paraId="53BCDD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restart"/>
                  <w:tcBorders>
                    <w:tl2br w:val="nil"/>
                    <w:tr2bl w:val="nil"/>
                  </w:tcBorders>
                  <w:vAlign w:val="center"/>
                </w:tcPr>
                <w:p w14:paraId="0710953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rPr>
                    <w:t>环保工程</w:t>
                  </w:r>
                </w:p>
              </w:tc>
              <w:tc>
                <w:tcPr>
                  <w:tcW w:w="644" w:type="pct"/>
                  <w:gridSpan w:val="2"/>
                  <w:tcBorders>
                    <w:tl2br w:val="nil"/>
                    <w:tr2bl w:val="nil"/>
                  </w:tcBorders>
                  <w:vAlign w:val="center"/>
                </w:tcPr>
                <w:p w14:paraId="087D303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rPr>
                    <w:t>废气</w:t>
                  </w:r>
                </w:p>
              </w:tc>
              <w:tc>
                <w:tcPr>
                  <w:tcW w:w="3405" w:type="pct"/>
                  <w:tcBorders>
                    <w:tl2br w:val="nil"/>
                    <w:tr2bl w:val="nil"/>
                  </w:tcBorders>
                  <w:vAlign w:val="center"/>
                </w:tcPr>
                <w:p w14:paraId="0241E121">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b w:val="0"/>
                      <w:bCs w:val="0"/>
                      <w:color w:val="auto"/>
                      <w:spacing w:val="11"/>
                      <w:position w:val="0"/>
                      <w:sz w:val="21"/>
                      <w:szCs w:val="21"/>
                      <w:highlight w:val="none"/>
                      <w:u w:val="single" w:color="auto"/>
                      <w:lang w:val="en-US" w:eastAsia="zh-CN"/>
                    </w:rPr>
                  </w:pPr>
                  <w:r>
                    <w:rPr>
                      <w:rFonts w:hint="eastAsia" w:cs="Times New Roman"/>
                      <w:b w:val="0"/>
                      <w:bCs w:val="0"/>
                      <w:color w:val="auto"/>
                      <w:spacing w:val="11"/>
                      <w:position w:val="0"/>
                      <w:sz w:val="21"/>
                      <w:szCs w:val="21"/>
                      <w:highlight w:val="none"/>
                      <w:u w:val="single" w:color="auto"/>
                      <w:lang w:val="en-US" w:eastAsia="zh-CN"/>
                    </w:rPr>
                    <w:t>污水处理设施产生的恶臭气体：加强管理、增加污水处理站周边绿化；</w:t>
                  </w:r>
                </w:p>
                <w:p w14:paraId="5143B328">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b w:val="0"/>
                      <w:bCs w:val="0"/>
                      <w:color w:val="auto"/>
                      <w:spacing w:val="11"/>
                      <w:position w:val="0"/>
                      <w:sz w:val="21"/>
                      <w:szCs w:val="21"/>
                      <w:highlight w:val="none"/>
                      <w:u w:val="single" w:color="auto"/>
                      <w:lang w:val="en-US" w:eastAsia="zh-CN"/>
                    </w:rPr>
                  </w:pPr>
                  <w:r>
                    <w:rPr>
                      <w:rFonts w:hint="eastAsia" w:cs="Times New Roman"/>
                      <w:b w:val="0"/>
                      <w:bCs w:val="0"/>
                      <w:color w:val="auto"/>
                      <w:spacing w:val="11"/>
                      <w:position w:val="0"/>
                      <w:sz w:val="21"/>
                      <w:szCs w:val="21"/>
                      <w:highlight w:val="none"/>
                      <w:u w:val="single" w:color="auto"/>
                      <w:lang w:val="en-US" w:eastAsia="zh-CN"/>
                    </w:rPr>
                    <w:t>中药煎药异味：设置抽风口，将废气引至楼顶排放；</w:t>
                  </w:r>
                </w:p>
                <w:p w14:paraId="42E5CAA7">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b w:val="0"/>
                      <w:bCs w:val="0"/>
                      <w:color w:val="auto"/>
                      <w:spacing w:val="11"/>
                      <w:position w:val="0"/>
                      <w:sz w:val="21"/>
                      <w:szCs w:val="21"/>
                      <w:highlight w:val="none"/>
                      <w:u w:val="single" w:color="auto"/>
                      <w:lang w:val="en-US" w:eastAsia="zh-CN"/>
                    </w:rPr>
                  </w:pPr>
                  <w:r>
                    <w:rPr>
                      <w:rFonts w:hint="eastAsia" w:ascii="Times New Roman" w:hAnsi="Times New Roman" w:cs="Times New Roman"/>
                      <w:b w:val="0"/>
                      <w:bCs w:val="0"/>
                      <w:color w:val="auto"/>
                      <w:spacing w:val="11"/>
                      <w:position w:val="0"/>
                      <w:sz w:val="21"/>
                      <w:szCs w:val="21"/>
                      <w:highlight w:val="none"/>
                      <w:u w:val="single" w:color="auto"/>
                      <w:lang w:val="en-US" w:eastAsia="zh-CN"/>
                    </w:rPr>
                    <w:t>汽车尾气：</w:t>
                  </w:r>
                  <w:r>
                    <w:rPr>
                      <w:rFonts w:hint="eastAsia" w:cs="Times New Roman"/>
                      <w:b w:val="0"/>
                      <w:bCs w:val="0"/>
                      <w:color w:val="auto"/>
                      <w:spacing w:val="11"/>
                      <w:position w:val="0"/>
                      <w:sz w:val="21"/>
                      <w:szCs w:val="21"/>
                      <w:highlight w:val="none"/>
                      <w:u w:val="single" w:color="auto"/>
                      <w:lang w:val="en-US" w:eastAsia="zh-CN"/>
                    </w:rPr>
                    <w:t>大气自然扩散；</w:t>
                  </w:r>
                </w:p>
                <w:p w14:paraId="783C9722">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pacing w:val="11"/>
                      <w:position w:val="0"/>
                      <w:sz w:val="21"/>
                      <w:szCs w:val="21"/>
                      <w:highlight w:val="none"/>
                      <w:u w:val="single" w:color="auto"/>
                      <w:lang w:val="en-US" w:eastAsia="zh-CN"/>
                    </w:rPr>
                  </w:pPr>
                  <w:r>
                    <w:rPr>
                      <w:rFonts w:hint="eastAsia" w:cs="Times New Roman"/>
                      <w:b w:val="0"/>
                      <w:bCs w:val="0"/>
                      <w:color w:val="auto"/>
                      <w:spacing w:val="11"/>
                      <w:position w:val="0"/>
                      <w:sz w:val="21"/>
                      <w:szCs w:val="21"/>
                      <w:highlight w:val="none"/>
                      <w:u w:val="single" w:color="auto"/>
                      <w:lang w:val="en-US" w:eastAsia="zh-CN"/>
                    </w:rPr>
                    <w:t>检验科等其他废气：由废气净化系统处理后于屋顶高空排放</w:t>
                  </w:r>
                </w:p>
              </w:tc>
              <w:tc>
                <w:tcPr>
                  <w:tcW w:w="595" w:type="pct"/>
                  <w:tcBorders>
                    <w:tl2br w:val="nil"/>
                    <w:tr2bl w:val="nil"/>
                  </w:tcBorders>
                  <w:vAlign w:val="center"/>
                </w:tcPr>
                <w:p w14:paraId="4808ABA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spacing w:val="11"/>
                      <w:position w:val="0"/>
                      <w:sz w:val="21"/>
                      <w:szCs w:val="21"/>
                      <w:highlight w:val="none"/>
                      <w:u w:val="single" w:color="auto"/>
                      <w:lang w:val="en-US" w:eastAsia="zh-CN"/>
                    </w:rPr>
                  </w:pPr>
                  <w:r>
                    <w:rPr>
                      <w:rFonts w:hint="eastAsia" w:ascii="Times New Roman" w:hAnsi="Times New Roman" w:cs="Times New Roman"/>
                      <w:b w:val="0"/>
                      <w:bCs w:val="0"/>
                      <w:color w:val="auto"/>
                      <w:spacing w:val="11"/>
                      <w:position w:val="0"/>
                      <w:sz w:val="21"/>
                      <w:szCs w:val="21"/>
                      <w:highlight w:val="none"/>
                      <w:u w:val="single" w:color="auto"/>
                      <w:lang w:val="en-US" w:eastAsia="zh-CN"/>
                    </w:rPr>
                    <w:t>新建</w:t>
                  </w:r>
                </w:p>
              </w:tc>
            </w:tr>
            <w:tr w14:paraId="331B01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tcBorders>
                    <w:tl2br w:val="nil"/>
                    <w:tr2bl w:val="nil"/>
                  </w:tcBorders>
                  <w:vAlign w:val="center"/>
                </w:tcPr>
                <w:p w14:paraId="29C9C7E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p>
              </w:tc>
              <w:tc>
                <w:tcPr>
                  <w:tcW w:w="644" w:type="pct"/>
                  <w:gridSpan w:val="2"/>
                  <w:tcBorders>
                    <w:tl2br w:val="nil"/>
                    <w:tr2bl w:val="nil"/>
                  </w:tcBorders>
                  <w:vAlign w:val="center"/>
                </w:tcPr>
                <w:p w14:paraId="79ED96C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rPr>
                    <w:t>废水</w:t>
                  </w:r>
                </w:p>
              </w:tc>
              <w:tc>
                <w:tcPr>
                  <w:tcW w:w="3405" w:type="pct"/>
                  <w:tcBorders>
                    <w:tl2br w:val="nil"/>
                    <w:tr2bl w:val="nil"/>
                  </w:tcBorders>
                  <w:vAlign w:val="center"/>
                </w:tcPr>
                <w:p w14:paraId="0818D787">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pacing w:val="11"/>
                      <w:position w:val="0"/>
                      <w:sz w:val="21"/>
                      <w:szCs w:val="21"/>
                      <w:highlight w:val="none"/>
                      <w:u w:val="single" w:color="auto"/>
                      <w:lang w:val="en-US" w:eastAsia="zh-CN"/>
                    </w:rPr>
                  </w:pPr>
                  <w:r>
                    <w:rPr>
                      <w:rFonts w:hint="eastAsia"/>
                      <w:b w:val="0"/>
                      <w:bCs w:val="0"/>
                      <w:color w:val="auto"/>
                      <w:spacing w:val="11"/>
                      <w:position w:val="0"/>
                      <w:sz w:val="21"/>
                      <w:szCs w:val="21"/>
                      <w:highlight w:val="none"/>
                      <w:u w:val="single" w:color="auto"/>
                      <w:lang w:val="en-US" w:eastAsia="zh-CN"/>
                    </w:rPr>
                    <w:t>运营过程中产生的生活污水经化粪池处理后排入院区现有污水管网，进入院内污水处理站；口腔科以及检验科废水经预处理池处理后再排入院区现有污水管网，进入院内污水处理站处理达标后排入市政污水管网；含铬废水交由有资质单位进行处理</w:t>
                  </w:r>
                </w:p>
              </w:tc>
              <w:tc>
                <w:tcPr>
                  <w:tcW w:w="595" w:type="pct"/>
                  <w:tcBorders>
                    <w:tl2br w:val="nil"/>
                    <w:tr2bl w:val="nil"/>
                  </w:tcBorders>
                  <w:vAlign w:val="center"/>
                </w:tcPr>
                <w:p w14:paraId="7AD2601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auto"/>
                      <w:spacing w:val="11"/>
                      <w:position w:val="0"/>
                      <w:sz w:val="21"/>
                      <w:szCs w:val="21"/>
                      <w:highlight w:val="none"/>
                      <w:u w:val="single" w:color="auto"/>
                      <w:lang w:val="en-US" w:eastAsia="zh-CN"/>
                    </w:rPr>
                  </w:pPr>
                  <w:r>
                    <w:rPr>
                      <w:rFonts w:hint="eastAsia"/>
                      <w:b w:val="0"/>
                      <w:bCs w:val="0"/>
                      <w:color w:val="auto"/>
                      <w:spacing w:val="11"/>
                      <w:position w:val="0"/>
                      <w:sz w:val="21"/>
                      <w:szCs w:val="21"/>
                      <w:highlight w:val="none"/>
                      <w:u w:val="single" w:color="auto"/>
                      <w:lang w:val="en-US" w:eastAsia="zh-CN"/>
                    </w:rPr>
                    <w:t>新建</w:t>
                  </w:r>
                </w:p>
              </w:tc>
            </w:tr>
            <w:tr w14:paraId="4671FF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tcBorders>
                    <w:tl2br w:val="nil"/>
                    <w:tr2bl w:val="nil"/>
                  </w:tcBorders>
                  <w:vAlign w:val="center"/>
                </w:tcPr>
                <w:p w14:paraId="3732EAD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p>
              </w:tc>
              <w:tc>
                <w:tcPr>
                  <w:tcW w:w="644" w:type="pct"/>
                  <w:gridSpan w:val="2"/>
                  <w:tcBorders>
                    <w:tl2br w:val="nil"/>
                    <w:tr2bl w:val="nil"/>
                  </w:tcBorders>
                  <w:vAlign w:val="center"/>
                </w:tcPr>
                <w:p w14:paraId="65D96E8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rPr>
                    <w:t>噪声</w:t>
                  </w:r>
                </w:p>
              </w:tc>
              <w:tc>
                <w:tcPr>
                  <w:tcW w:w="3405" w:type="pct"/>
                  <w:tcBorders>
                    <w:tl2br w:val="nil"/>
                    <w:tr2bl w:val="nil"/>
                  </w:tcBorders>
                  <w:vAlign w:val="center"/>
                </w:tcPr>
                <w:p w14:paraId="38ACAE33">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lang w:val="en-US" w:eastAsia="zh-CN"/>
                    </w:rPr>
                    <w:t>选用低噪声设备，</w:t>
                  </w:r>
                  <w:r>
                    <w:rPr>
                      <w:rFonts w:hint="eastAsia"/>
                      <w:b w:val="0"/>
                      <w:bCs w:val="0"/>
                      <w:color w:val="auto"/>
                      <w:spacing w:val="11"/>
                      <w:position w:val="0"/>
                      <w:sz w:val="21"/>
                      <w:szCs w:val="21"/>
                      <w:highlight w:val="none"/>
                      <w:u w:val="single" w:color="auto"/>
                      <w:lang w:val="en-US" w:eastAsia="zh-CN"/>
                    </w:rPr>
                    <w:t>墙体</w:t>
                  </w:r>
                  <w:r>
                    <w:rPr>
                      <w:rFonts w:hint="default"/>
                      <w:b w:val="0"/>
                      <w:bCs w:val="0"/>
                      <w:color w:val="auto"/>
                      <w:spacing w:val="11"/>
                      <w:position w:val="0"/>
                      <w:sz w:val="21"/>
                      <w:szCs w:val="21"/>
                      <w:highlight w:val="none"/>
                      <w:u w:val="single" w:color="auto"/>
                      <w:lang w:val="en-US" w:eastAsia="zh-CN"/>
                    </w:rPr>
                    <w:t>隔声，加装减振基础，强噪声设备加装隔声罩</w:t>
                  </w:r>
                </w:p>
              </w:tc>
              <w:tc>
                <w:tcPr>
                  <w:tcW w:w="595" w:type="pct"/>
                  <w:tcBorders>
                    <w:tl2br w:val="nil"/>
                    <w:tr2bl w:val="nil"/>
                  </w:tcBorders>
                  <w:vAlign w:val="center"/>
                </w:tcPr>
                <w:p w14:paraId="6348792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lang w:val="en-US" w:eastAsia="zh-CN"/>
                    </w:rPr>
                  </w:pPr>
                  <w:r>
                    <w:rPr>
                      <w:rFonts w:hint="default"/>
                      <w:b w:val="0"/>
                      <w:bCs w:val="0"/>
                      <w:color w:val="auto"/>
                      <w:spacing w:val="11"/>
                      <w:position w:val="0"/>
                      <w:sz w:val="21"/>
                      <w:szCs w:val="21"/>
                      <w:highlight w:val="none"/>
                      <w:u w:val="single" w:color="auto"/>
                      <w:lang w:val="en-US" w:eastAsia="zh-CN"/>
                    </w:rPr>
                    <w:t>新建</w:t>
                  </w:r>
                </w:p>
              </w:tc>
            </w:tr>
            <w:tr w14:paraId="3A0B67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53" w:type="pct"/>
                  <w:vMerge w:val="continue"/>
                  <w:tcBorders>
                    <w:tl2br w:val="nil"/>
                    <w:tr2bl w:val="nil"/>
                  </w:tcBorders>
                  <w:vAlign w:val="center"/>
                </w:tcPr>
                <w:p w14:paraId="15E4A79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p>
              </w:tc>
              <w:tc>
                <w:tcPr>
                  <w:tcW w:w="208" w:type="pct"/>
                  <w:vMerge w:val="restart"/>
                  <w:tcBorders>
                    <w:tl2br w:val="nil"/>
                    <w:tr2bl w:val="nil"/>
                  </w:tcBorders>
                  <w:vAlign w:val="center"/>
                </w:tcPr>
                <w:p w14:paraId="42C2C6C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lang w:val="en-US" w:eastAsia="zh-CN"/>
                    </w:rPr>
                    <w:t>固体废物</w:t>
                  </w:r>
                </w:p>
              </w:tc>
              <w:tc>
                <w:tcPr>
                  <w:tcW w:w="435" w:type="pct"/>
                  <w:tcBorders>
                    <w:tl2br w:val="nil"/>
                    <w:tr2bl w:val="nil"/>
                  </w:tcBorders>
                  <w:shd w:val="clear" w:color="auto" w:fill="auto"/>
                  <w:vAlign w:val="center"/>
                </w:tcPr>
                <w:p w14:paraId="330868F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single" w:color="auto"/>
                      <w:lang w:val="en-US" w:eastAsia="zh-CN"/>
                    </w:rPr>
                  </w:pPr>
                  <w:r>
                    <w:rPr>
                      <w:rFonts w:hint="default" w:ascii="Times New Roman" w:hAnsi="Times New Roman" w:eastAsia="宋体" w:cs="Times New Roman"/>
                      <w:b w:val="0"/>
                      <w:bCs w:val="0"/>
                      <w:color w:val="auto"/>
                      <w:spacing w:val="11"/>
                      <w:position w:val="0"/>
                      <w:sz w:val="21"/>
                      <w:szCs w:val="21"/>
                      <w:highlight w:val="none"/>
                      <w:u w:val="single" w:color="auto"/>
                      <w:lang w:val="en-US" w:eastAsia="zh-CN"/>
                    </w:rPr>
                    <w:t>危险废物</w:t>
                  </w:r>
                </w:p>
              </w:tc>
              <w:tc>
                <w:tcPr>
                  <w:tcW w:w="3405" w:type="pct"/>
                  <w:tcBorders>
                    <w:tl2br w:val="nil"/>
                    <w:tr2bl w:val="nil"/>
                  </w:tcBorders>
                  <w:vAlign w:val="center"/>
                </w:tcPr>
                <w:p w14:paraId="2934EDF9">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pacing w:val="11"/>
                      <w:position w:val="0"/>
                      <w:sz w:val="21"/>
                      <w:szCs w:val="21"/>
                      <w:highlight w:val="none"/>
                      <w:u w:val="single" w:color="auto"/>
                      <w:lang w:val="en-US" w:eastAsia="zh-CN"/>
                    </w:rPr>
                  </w:pPr>
                  <w:r>
                    <w:rPr>
                      <w:rFonts w:hint="eastAsia"/>
                      <w:b w:val="0"/>
                      <w:bCs w:val="0"/>
                      <w:color w:val="auto"/>
                      <w:spacing w:val="11"/>
                      <w:position w:val="0"/>
                      <w:sz w:val="21"/>
                      <w:szCs w:val="21"/>
                      <w:highlight w:val="none"/>
                      <w:u w:val="single" w:color="auto"/>
                      <w:lang w:val="en-US" w:eastAsia="zh-CN"/>
                    </w:rPr>
                    <w:t>拟建一间医疗废物暂存间（20m</w:t>
                  </w:r>
                  <w:r>
                    <w:rPr>
                      <w:rFonts w:hint="eastAsia"/>
                      <w:b w:val="0"/>
                      <w:bCs w:val="0"/>
                      <w:color w:val="auto"/>
                      <w:spacing w:val="11"/>
                      <w:position w:val="0"/>
                      <w:sz w:val="21"/>
                      <w:szCs w:val="21"/>
                      <w:highlight w:val="none"/>
                      <w:u w:val="single" w:color="auto"/>
                      <w:vertAlign w:val="superscript"/>
                      <w:lang w:val="en-US" w:eastAsia="zh-CN"/>
                    </w:rPr>
                    <w:t>2</w:t>
                  </w:r>
                  <w:r>
                    <w:rPr>
                      <w:rFonts w:hint="eastAsia"/>
                      <w:b w:val="0"/>
                      <w:bCs w:val="0"/>
                      <w:color w:val="auto"/>
                      <w:spacing w:val="11"/>
                      <w:position w:val="0"/>
                      <w:sz w:val="21"/>
                      <w:szCs w:val="21"/>
                      <w:highlight w:val="none"/>
                      <w:u w:val="single" w:color="auto"/>
                      <w:lang w:val="en-US" w:eastAsia="zh-CN"/>
                    </w:rPr>
                    <w:t>），位于负一楼</w:t>
                  </w:r>
                </w:p>
              </w:tc>
              <w:tc>
                <w:tcPr>
                  <w:tcW w:w="595" w:type="pct"/>
                  <w:tcBorders>
                    <w:tl2br w:val="nil"/>
                    <w:tr2bl w:val="nil"/>
                  </w:tcBorders>
                  <w:vAlign w:val="center"/>
                </w:tcPr>
                <w:p w14:paraId="3EBD611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lang w:val="en-US" w:eastAsia="zh-CN"/>
                    </w:rPr>
                  </w:pPr>
                  <w:r>
                    <w:rPr>
                      <w:rFonts w:hint="eastAsia"/>
                      <w:b w:val="0"/>
                      <w:bCs w:val="0"/>
                      <w:color w:val="auto"/>
                      <w:spacing w:val="11"/>
                      <w:position w:val="0"/>
                      <w:sz w:val="21"/>
                      <w:szCs w:val="21"/>
                      <w:highlight w:val="none"/>
                      <w:u w:val="single" w:color="auto"/>
                      <w:lang w:val="en-US" w:eastAsia="zh-CN"/>
                    </w:rPr>
                    <w:t>新建</w:t>
                  </w:r>
                </w:p>
              </w:tc>
            </w:tr>
            <w:tr w14:paraId="599D4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53" w:type="pct"/>
                  <w:vMerge w:val="continue"/>
                  <w:tcBorders>
                    <w:tl2br w:val="nil"/>
                    <w:tr2bl w:val="nil"/>
                  </w:tcBorders>
                  <w:vAlign w:val="center"/>
                </w:tcPr>
                <w:p w14:paraId="6F60AC1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pacing w:val="11"/>
                      <w:highlight w:val="none"/>
                      <w:u w:val="single" w:color="auto"/>
                    </w:rPr>
                  </w:pPr>
                </w:p>
              </w:tc>
              <w:tc>
                <w:tcPr>
                  <w:tcW w:w="208" w:type="pct"/>
                  <w:vMerge w:val="continue"/>
                  <w:tcBorders>
                    <w:tl2br w:val="nil"/>
                    <w:tr2bl w:val="nil"/>
                  </w:tcBorders>
                  <w:vAlign w:val="center"/>
                </w:tcPr>
                <w:p w14:paraId="714AF36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pacing w:val="11"/>
                      <w:highlight w:val="none"/>
                      <w:u w:val="single" w:color="auto"/>
                    </w:rPr>
                  </w:pPr>
                </w:p>
              </w:tc>
              <w:tc>
                <w:tcPr>
                  <w:tcW w:w="435" w:type="pct"/>
                  <w:tcBorders>
                    <w:tl2br w:val="nil"/>
                    <w:tr2bl w:val="nil"/>
                  </w:tcBorders>
                  <w:shd w:val="clear" w:color="auto" w:fill="auto"/>
                  <w:vAlign w:val="center"/>
                </w:tcPr>
                <w:p w14:paraId="7F6FA33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b w:val="0"/>
                      <w:bCs w:val="0"/>
                      <w:color w:val="auto"/>
                      <w:spacing w:val="11"/>
                      <w:position w:val="0"/>
                      <w:sz w:val="21"/>
                      <w:szCs w:val="21"/>
                      <w:highlight w:val="none"/>
                      <w:u w:val="single" w:color="auto"/>
                      <w:lang w:val="en-US" w:eastAsia="zh-CN"/>
                    </w:rPr>
                    <w:t>生活垃圾</w:t>
                  </w:r>
                </w:p>
              </w:tc>
              <w:tc>
                <w:tcPr>
                  <w:tcW w:w="3405" w:type="pct"/>
                  <w:tcBorders>
                    <w:tl2br w:val="nil"/>
                    <w:tr2bl w:val="nil"/>
                  </w:tcBorders>
                  <w:shd w:val="clear" w:color="auto" w:fill="auto"/>
                  <w:vAlign w:val="center"/>
                </w:tcPr>
                <w:p w14:paraId="616C590D">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auto"/>
                      <w:spacing w:val="11"/>
                      <w:kern w:val="2"/>
                      <w:position w:val="0"/>
                      <w:sz w:val="21"/>
                      <w:szCs w:val="21"/>
                      <w:highlight w:val="none"/>
                      <w:u w:val="single" w:color="auto"/>
                      <w:lang w:val="en-US" w:eastAsia="zh-CN" w:bidi="ar-SA"/>
                    </w:rPr>
                  </w:pPr>
                  <w:r>
                    <w:rPr>
                      <w:rFonts w:hint="default"/>
                      <w:b w:val="0"/>
                      <w:bCs w:val="0"/>
                      <w:color w:val="auto"/>
                      <w:spacing w:val="11"/>
                      <w:position w:val="0"/>
                      <w:sz w:val="21"/>
                      <w:szCs w:val="21"/>
                      <w:highlight w:val="none"/>
                      <w:u w:val="single" w:color="auto"/>
                      <w:lang w:val="en-US" w:eastAsia="zh-CN"/>
                    </w:rPr>
                    <w:t>设置垃圾分类收集桶，收集后由环卫部门统一清运处理</w:t>
                  </w:r>
                </w:p>
              </w:tc>
              <w:tc>
                <w:tcPr>
                  <w:tcW w:w="595" w:type="pct"/>
                  <w:tcBorders>
                    <w:tl2br w:val="nil"/>
                    <w:tr2bl w:val="nil"/>
                  </w:tcBorders>
                  <w:shd w:val="clear" w:color="auto" w:fill="auto"/>
                  <w:vAlign w:val="center"/>
                </w:tcPr>
                <w:p w14:paraId="432E2F1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2"/>
                      <w:position w:val="0"/>
                      <w:sz w:val="21"/>
                      <w:szCs w:val="21"/>
                      <w:highlight w:val="none"/>
                      <w:u w:val="single" w:color="auto"/>
                      <w:lang w:val="en-US" w:eastAsia="zh-CN" w:bidi="ar-SA"/>
                    </w:rPr>
                  </w:pPr>
                  <w:r>
                    <w:rPr>
                      <w:rFonts w:hint="eastAsia"/>
                      <w:b w:val="0"/>
                      <w:bCs w:val="0"/>
                      <w:color w:val="auto"/>
                      <w:spacing w:val="11"/>
                      <w:position w:val="0"/>
                      <w:sz w:val="21"/>
                      <w:szCs w:val="21"/>
                      <w:highlight w:val="none"/>
                      <w:u w:val="single" w:color="auto"/>
                      <w:lang w:val="en-US" w:eastAsia="zh-CN"/>
                    </w:rPr>
                    <w:t>新建</w:t>
                  </w:r>
                </w:p>
              </w:tc>
            </w:tr>
          </w:tbl>
          <w:p w14:paraId="55327C1B">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firstLine="526" w:firstLineChars="200"/>
              <w:jc w:val="both"/>
              <w:textAlignment w:val="auto"/>
              <w:outlineLvl w:val="2"/>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pPr>
            <w:r>
              <w:rPr>
                <w:rFonts w:hint="eastAsia" w:cs="Times New Roman" w:eastAsiaTheme="minorEastAsia"/>
                <w:b/>
                <w:bCs/>
                <w:color w:val="auto"/>
                <w:spacing w:val="11"/>
                <w:kern w:val="2"/>
                <w:position w:val="0"/>
                <w:sz w:val="24"/>
                <w:szCs w:val="22"/>
                <w:highlight w:val="none"/>
                <w:u w:val="none" w:color="auto"/>
                <w:lang w:val="en-US" w:eastAsia="zh-CN" w:bidi="ar-SA"/>
              </w:rPr>
              <w:t>4、</w:t>
            </w:r>
            <w:r>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t>主要原辅材料及能源动力</w:t>
            </w:r>
          </w:p>
          <w:p w14:paraId="3FF2EE8A">
            <w:pPr>
              <w:keepNext w:val="0"/>
              <w:keepLines w:val="0"/>
              <w:pageBreakBefore w:val="0"/>
              <w:widowControl w:val="0"/>
              <w:kinsoku/>
              <w:wordWrap/>
              <w:overflowPunct/>
              <w:topLinePunct w:val="0"/>
              <w:autoSpaceDE/>
              <w:autoSpaceDN/>
              <w:bidi w:val="0"/>
              <w:adjustRightInd w:val="0"/>
              <w:snapToGrid w:val="0"/>
              <w:spacing w:line="360" w:lineRule="auto"/>
              <w:ind w:firstLine="573"/>
              <w:textAlignment w:val="baseline"/>
              <w:rPr>
                <w:rFonts w:hint="default" w:ascii="Times New Roman" w:hAnsi="Times New Roman" w:cs="Times New Roman" w:eastAsiaTheme="minorEastAsia"/>
                <w:b/>
                <w:bCs/>
                <w:color w:val="auto"/>
                <w:spacing w:val="11"/>
                <w:position w:val="0"/>
                <w:sz w:val="21"/>
                <w:szCs w:val="21"/>
                <w:highlight w:val="none"/>
                <w:u w:val="none" w:color="auto"/>
              </w:rPr>
            </w:pPr>
            <w:r>
              <w:rPr>
                <w:rFonts w:hint="default" w:ascii="Times New Roman" w:hAnsi="Times New Roman" w:cs="Times New Roman" w:eastAsiaTheme="minorEastAsia"/>
                <w:color w:val="auto"/>
                <w:spacing w:val="11"/>
                <w:position w:val="0"/>
                <w:sz w:val="24"/>
                <w:szCs w:val="24"/>
                <w:highlight w:val="none"/>
                <w:u w:val="none" w:color="auto"/>
              </w:rPr>
              <w:t>项目主要原辅材料及能源消耗见表</w:t>
            </w:r>
            <w:r>
              <w:rPr>
                <w:rFonts w:hint="default" w:ascii="Times New Roman" w:hAnsi="Times New Roman" w:cs="Times New Roman" w:eastAsiaTheme="minorEastAsia"/>
                <w:color w:val="auto"/>
                <w:spacing w:val="11"/>
                <w:position w:val="0"/>
                <w:sz w:val="24"/>
                <w:szCs w:val="24"/>
                <w:highlight w:val="none"/>
                <w:u w:val="none" w:color="auto"/>
                <w:lang w:val="en-US" w:eastAsia="zh-CN"/>
              </w:rPr>
              <w:t>2-</w:t>
            </w:r>
            <w:r>
              <w:rPr>
                <w:rFonts w:hint="eastAsia" w:cs="Times New Roman" w:eastAsiaTheme="minorEastAsia"/>
                <w:color w:val="auto"/>
                <w:spacing w:val="11"/>
                <w:position w:val="0"/>
                <w:sz w:val="24"/>
                <w:szCs w:val="24"/>
                <w:highlight w:val="none"/>
                <w:u w:val="none" w:color="auto"/>
                <w:lang w:val="en-US" w:eastAsia="zh-CN"/>
              </w:rPr>
              <w:t>2</w:t>
            </w:r>
            <w:r>
              <w:rPr>
                <w:rFonts w:hint="default" w:ascii="Times New Roman" w:hAnsi="Times New Roman" w:cs="Times New Roman" w:eastAsiaTheme="minorEastAsia"/>
                <w:color w:val="auto"/>
                <w:spacing w:val="11"/>
                <w:position w:val="0"/>
                <w:sz w:val="24"/>
                <w:szCs w:val="24"/>
                <w:highlight w:val="none"/>
                <w:u w:val="none" w:color="auto"/>
              </w:rPr>
              <w:t>。</w:t>
            </w:r>
          </w:p>
          <w:p w14:paraId="3055A5AC">
            <w:pPr>
              <w:spacing w:line="240" w:lineRule="auto"/>
              <w:jc w:val="center"/>
              <w:rPr>
                <w:rFonts w:hint="default" w:ascii="Times New Roman" w:hAnsi="Times New Roman" w:cs="Times New Roman" w:eastAsiaTheme="minorEastAsia"/>
                <w:b/>
                <w:bCs/>
                <w:color w:val="auto"/>
                <w:spacing w:val="11"/>
                <w:position w:val="0"/>
                <w:sz w:val="21"/>
                <w:szCs w:val="21"/>
                <w:highlight w:val="none"/>
                <w:u w:val="single" w:color="auto"/>
              </w:rPr>
            </w:pPr>
            <w:r>
              <w:rPr>
                <w:rFonts w:hint="default" w:ascii="Times New Roman" w:hAnsi="Times New Roman" w:cs="Times New Roman" w:eastAsiaTheme="minorEastAsia"/>
                <w:b/>
                <w:bCs/>
                <w:color w:val="auto"/>
                <w:spacing w:val="11"/>
                <w:position w:val="0"/>
                <w:sz w:val="21"/>
                <w:szCs w:val="21"/>
                <w:highlight w:val="none"/>
                <w:u w:val="single" w:color="auto"/>
              </w:rPr>
              <w:t>表</w:t>
            </w:r>
            <w:r>
              <w:rPr>
                <w:rFonts w:hint="default" w:ascii="Times New Roman" w:hAnsi="Times New Roman" w:cs="Times New Roman" w:eastAsiaTheme="minorEastAsia"/>
                <w:b/>
                <w:bCs/>
                <w:color w:val="auto"/>
                <w:spacing w:val="11"/>
                <w:position w:val="0"/>
                <w:sz w:val="21"/>
                <w:szCs w:val="21"/>
                <w:highlight w:val="none"/>
                <w:u w:val="single" w:color="auto"/>
                <w:lang w:val="en-US" w:eastAsia="zh-CN"/>
              </w:rPr>
              <w:t>2-</w:t>
            </w:r>
            <w:r>
              <w:rPr>
                <w:rFonts w:hint="eastAsia" w:cs="Times New Roman" w:eastAsiaTheme="minorEastAsia"/>
                <w:b/>
                <w:bCs/>
                <w:color w:val="auto"/>
                <w:spacing w:val="11"/>
                <w:position w:val="0"/>
                <w:sz w:val="21"/>
                <w:szCs w:val="21"/>
                <w:highlight w:val="none"/>
                <w:u w:val="single" w:color="auto"/>
                <w:lang w:val="en-US" w:eastAsia="zh-CN"/>
              </w:rPr>
              <w:t>2</w:t>
            </w:r>
            <w:r>
              <w:rPr>
                <w:rFonts w:hint="eastAsia" w:ascii="Times New Roman" w:hAnsi="Times New Roman" w:cs="Times New Roman" w:eastAsiaTheme="minorEastAsia"/>
                <w:b/>
                <w:bCs/>
                <w:color w:val="auto"/>
                <w:spacing w:val="11"/>
                <w:position w:val="0"/>
                <w:sz w:val="21"/>
                <w:szCs w:val="21"/>
                <w:highlight w:val="none"/>
                <w:u w:val="single" w:color="auto"/>
                <w:lang w:val="en-US" w:eastAsia="zh-CN"/>
              </w:rPr>
              <w:t xml:space="preserve"> 项目</w:t>
            </w:r>
            <w:r>
              <w:rPr>
                <w:rFonts w:hint="default" w:ascii="Times New Roman" w:hAnsi="Times New Roman" w:cs="Times New Roman" w:eastAsiaTheme="minorEastAsia"/>
                <w:b/>
                <w:bCs/>
                <w:color w:val="auto"/>
                <w:spacing w:val="11"/>
                <w:position w:val="0"/>
                <w:sz w:val="21"/>
                <w:szCs w:val="21"/>
                <w:highlight w:val="none"/>
                <w:u w:val="single" w:color="auto"/>
              </w:rPr>
              <w:t>主要原辅材料及能源消耗一览表</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2422"/>
              <w:gridCol w:w="1635"/>
              <w:gridCol w:w="1280"/>
              <w:gridCol w:w="2906"/>
            </w:tblGrid>
            <w:tr w14:paraId="2974AD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22" w:type="pct"/>
                  <w:tcBorders>
                    <w:tl2br w:val="nil"/>
                    <w:tr2bl w:val="nil"/>
                  </w:tcBorders>
                  <w:noWrap w:val="0"/>
                  <w:vAlign w:val="center"/>
                </w:tcPr>
                <w:p w14:paraId="7D0A41E4">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序号</w:t>
                  </w:r>
                </w:p>
              </w:tc>
              <w:tc>
                <w:tcPr>
                  <w:tcW w:w="1345" w:type="pct"/>
                  <w:tcBorders>
                    <w:tl2br w:val="nil"/>
                    <w:tr2bl w:val="nil"/>
                  </w:tcBorders>
                  <w:noWrap w:val="0"/>
                  <w:vAlign w:val="center"/>
                </w:tcPr>
                <w:p w14:paraId="62A07514">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名称</w:t>
                  </w:r>
                </w:p>
              </w:tc>
              <w:tc>
                <w:tcPr>
                  <w:tcW w:w="908" w:type="pct"/>
                  <w:tcBorders>
                    <w:tl2br w:val="nil"/>
                    <w:tr2bl w:val="nil"/>
                  </w:tcBorders>
                  <w:noWrap w:val="0"/>
                  <w:vAlign w:val="center"/>
                </w:tcPr>
                <w:p w14:paraId="73F28E86">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年消耗量</w:t>
                  </w:r>
                </w:p>
              </w:tc>
              <w:tc>
                <w:tcPr>
                  <w:tcW w:w="711" w:type="pct"/>
                  <w:tcBorders>
                    <w:tl2br w:val="nil"/>
                    <w:tr2bl w:val="nil"/>
                  </w:tcBorders>
                  <w:noWrap w:val="0"/>
                  <w:vAlign w:val="center"/>
                </w:tcPr>
                <w:p w14:paraId="664E6A77">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cs="Times New Roman"/>
                      <w:b w:val="0"/>
                      <w:bCs w:val="0"/>
                      <w:color w:val="auto"/>
                      <w:spacing w:val="11"/>
                      <w:sz w:val="21"/>
                      <w:szCs w:val="21"/>
                      <w:highlight w:val="none"/>
                      <w:u w:val="single" w:color="auto"/>
                      <w:vertAlign w:val="baseline"/>
                      <w:lang w:val="en-US" w:eastAsia="zh-CN"/>
                    </w:rPr>
                    <w:t>最大储存量</w:t>
                  </w:r>
                </w:p>
              </w:tc>
              <w:tc>
                <w:tcPr>
                  <w:tcW w:w="1612" w:type="pct"/>
                  <w:tcBorders>
                    <w:tl2br w:val="nil"/>
                    <w:tr2bl w:val="nil"/>
                  </w:tcBorders>
                  <w:noWrap w:val="0"/>
                  <w:vAlign w:val="center"/>
                </w:tcPr>
                <w:p w14:paraId="1996B62E">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备注</w:t>
                  </w:r>
                </w:p>
              </w:tc>
            </w:tr>
            <w:tr w14:paraId="3A7D76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noWrap w:val="0"/>
                  <w:vAlign w:val="center"/>
                </w:tcPr>
                <w:p w14:paraId="01DADF6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1</w:t>
                  </w:r>
                </w:p>
              </w:tc>
              <w:tc>
                <w:tcPr>
                  <w:tcW w:w="1345" w:type="pct"/>
                  <w:tcBorders>
                    <w:tl2br w:val="nil"/>
                    <w:tr2bl w:val="nil"/>
                  </w:tcBorders>
                  <w:noWrap w:val="0"/>
                  <w:vAlign w:val="center"/>
                </w:tcPr>
                <w:p w14:paraId="6110A314">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一次性医用手套</w:t>
                  </w:r>
                </w:p>
              </w:tc>
              <w:tc>
                <w:tcPr>
                  <w:tcW w:w="908" w:type="pct"/>
                  <w:tcBorders>
                    <w:tl2br w:val="nil"/>
                    <w:tr2bl w:val="nil"/>
                  </w:tcBorders>
                  <w:shd w:val="clear" w:color="auto" w:fill="auto"/>
                  <w:noWrap w:val="0"/>
                  <w:vAlign w:val="center"/>
                </w:tcPr>
                <w:p w14:paraId="00247C5F">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150000副</w:t>
                  </w:r>
                </w:p>
              </w:tc>
              <w:tc>
                <w:tcPr>
                  <w:tcW w:w="711" w:type="pct"/>
                  <w:tcBorders>
                    <w:tl2br w:val="nil"/>
                    <w:tr2bl w:val="nil"/>
                  </w:tcBorders>
                  <w:shd w:val="clear" w:color="auto" w:fill="auto"/>
                  <w:noWrap w:val="0"/>
                  <w:vAlign w:val="center"/>
                </w:tcPr>
                <w:p w14:paraId="3496C901">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37500副</w:t>
                  </w:r>
                </w:p>
              </w:tc>
              <w:tc>
                <w:tcPr>
                  <w:tcW w:w="1612" w:type="pct"/>
                  <w:tcBorders>
                    <w:tl2br w:val="nil"/>
                    <w:tr2bl w:val="nil"/>
                  </w:tcBorders>
                  <w:noWrap w:val="0"/>
                  <w:vAlign w:val="center"/>
                </w:tcPr>
                <w:p w14:paraId="243D08B0">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p>
              </w:tc>
            </w:tr>
            <w:tr w14:paraId="3E4025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noWrap w:val="0"/>
                  <w:vAlign w:val="center"/>
                </w:tcPr>
                <w:p w14:paraId="35C6E44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2</w:t>
                  </w:r>
                </w:p>
              </w:tc>
              <w:tc>
                <w:tcPr>
                  <w:tcW w:w="1345" w:type="pct"/>
                  <w:tcBorders>
                    <w:tl2br w:val="nil"/>
                    <w:tr2bl w:val="nil"/>
                  </w:tcBorders>
                  <w:noWrap w:val="0"/>
                  <w:vAlign w:val="center"/>
                </w:tcPr>
                <w:p w14:paraId="3956424B">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一次性注射器</w:t>
                  </w:r>
                </w:p>
              </w:tc>
              <w:tc>
                <w:tcPr>
                  <w:tcW w:w="908" w:type="pct"/>
                  <w:tcBorders>
                    <w:tl2br w:val="nil"/>
                    <w:tr2bl w:val="nil"/>
                  </w:tcBorders>
                  <w:shd w:val="clear" w:color="auto" w:fill="auto"/>
                  <w:noWrap w:val="0"/>
                  <w:vAlign w:val="center"/>
                </w:tcPr>
                <w:p w14:paraId="3C2B2AE9">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120000支</w:t>
                  </w:r>
                </w:p>
              </w:tc>
              <w:tc>
                <w:tcPr>
                  <w:tcW w:w="711" w:type="pct"/>
                  <w:tcBorders>
                    <w:tl2br w:val="nil"/>
                    <w:tr2bl w:val="nil"/>
                  </w:tcBorders>
                  <w:shd w:val="clear" w:color="auto" w:fill="auto"/>
                  <w:noWrap w:val="0"/>
                  <w:vAlign w:val="center"/>
                </w:tcPr>
                <w:p w14:paraId="2F9601AC">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30000支</w:t>
                  </w:r>
                </w:p>
              </w:tc>
              <w:tc>
                <w:tcPr>
                  <w:tcW w:w="1612" w:type="pct"/>
                  <w:tcBorders>
                    <w:tl2br w:val="nil"/>
                    <w:tr2bl w:val="nil"/>
                  </w:tcBorders>
                  <w:noWrap w:val="0"/>
                  <w:vAlign w:val="center"/>
                </w:tcPr>
                <w:p w14:paraId="387FB3D6">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p>
              </w:tc>
            </w:tr>
            <w:tr w14:paraId="5565AE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noWrap w:val="0"/>
                  <w:vAlign w:val="center"/>
                </w:tcPr>
                <w:p w14:paraId="6CEEAF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3</w:t>
                  </w:r>
                </w:p>
              </w:tc>
              <w:tc>
                <w:tcPr>
                  <w:tcW w:w="1345" w:type="pct"/>
                  <w:tcBorders>
                    <w:tl2br w:val="nil"/>
                    <w:tr2bl w:val="nil"/>
                  </w:tcBorders>
                  <w:noWrap w:val="0"/>
                  <w:vAlign w:val="center"/>
                </w:tcPr>
                <w:p w14:paraId="1F0F32AF">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一次性螺口输液器</w:t>
                  </w:r>
                </w:p>
              </w:tc>
              <w:tc>
                <w:tcPr>
                  <w:tcW w:w="908" w:type="pct"/>
                  <w:tcBorders>
                    <w:tl2br w:val="nil"/>
                    <w:tr2bl w:val="nil"/>
                  </w:tcBorders>
                  <w:shd w:val="clear" w:color="auto" w:fill="auto"/>
                  <w:noWrap w:val="0"/>
                  <w:vAlign w:val="center"/>
                </w:tcPr>
                <w:p w14:paraId="586F5E96">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240000支</w:t>
                  </w:r>
                </w:p>
              </w:tc>
              <w:tc>
                <w:tcPr>
                  <w:tcW w:w="711" w:type="pct"/>
                  <w:tcBorders>
                    <w:tl2br w:val="nil"/>
                    <w:tr2bl w:val="nil"/>
                  </w:tcBorders>
                  <w:shd w:val="clear" w:color="auto" w:fill="auto"/>
                  <w:noWrap w:val="0"/>
                  <w:vAlign w:val="center"/>
                </w:tcPr>
                <w:p w14:paraId="7C3D8F83">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60000支</w:t>
                  </w:r>
                </w:p>
              </w:tc>
              <w:tc>
                <w:tcPr>
                  <w:tcW w:w="1612" w:type="pct"/>
                  <w:tcBorders>
                    <w:tl2br w:val="nil"/>
                    <w:tr2bl w:val="nil"/>
                  </w:tcBorders>
                  <w:noWrap w:val="0"/>
                  <w:vAlign w:val="center"/>
                </w:tcPr>
                <w:p w14:paraId="7D4CAD47">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p>
              </w:tc>
            </w:tr>
            <w:tr w14:paraId="3DD06D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noWrap w:val="0"/>
                  <w:vAlign w:val="center"/>
                </w:tcPr>
                <w:p w14:paraId="6D11F3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4</w:t>
                  </w:r>
                </w:p>
              </w:tc>
              <w:tc>
                <w:tcPr>
                  <w:tcW w:w="1345" w:type="pct"/>
                  <w:tcBorders>
                    <w:tl2br w:val="nil"/>
                    <w:tr2bl w:val="nil"/>
                  </w:tcBorders>
                  <w:noWrap w:val="0"/>
                  <w:vAlign w:val="center"/>
                </w:tcPr>
                <w:p w14:paraId="5B4B4C1E">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医用棉签</w:t>
                  </w:r>
                </w:p>
              </w:tc>
              <w:tc>
                <w:tcPr>
                  <w:tcW w:w="908" w:type="pct"/>
                  <w:tcBorders>
                    <w:tl2br w:val="nil"/>
                    <w:tr2bl w:val="nil"/>
                  </w:tcBorders>
                  <w:shd w:val="clear" w:color="auto" w:fill="auto"/>
                  <w:noWrap w:val="0"/>
                  <w:vAlign w:val="center"/>
                </w:tcPr>
                <w:p w14:paraId="665042FF">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30000包</w:t>
                  </w:r>
                </w:p>
              </w:tc>
              <w:tc>
                <w:tcPr>
                  <w:tcW w:w="711" w:type="pct"/>
                  <w:tcBorders>
                    <w:tl2br w:val="nil"/>
                    <w:tr2bl w:val="nil"/>
                  </w:tcBorders>
                  <w:shd w:val="clear" w:color="auto" w:fill="auto"/>
                  <w:noWrap w:val="0"/>
                  <w:vAlign w:val="center"/>
                </w:tcPr>
                <w:p w14:paraId="00051FE3">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7500包</w:t>
                  </w:r>
                </w:p>
              </w:tc>
              <w:tc>
                <w:tcPr>
                  <w:tcW w:w="1612" w:type="pct"/>
                  <w:tcBorders>
                    <w:tl2br w:val="nil"/>
                    <w:tr2bl w:val="nil"/>
                  </w:tcBorders>
                  <w:noWrap w:val="0"/>
                  <w:vAlign w:val="center"/>
                </w:tcPr>
                <w:p w14:paraId="7CB60828">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p>
              </w:tc>
            </w:tr>
            <w:tr w14:paraId="3912D2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noWrap w:val="0"/>
                  <w:vAlign w:val="center"/>
                </w:tcPr>
                <w:p w14:paraId="0D36E6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5</w:t>
                  </w:r>
                </w:p>
              </w:tc>
              <w:tc>
                <w:tcPr>
                  <w:tcW w:w="1345" w:type="pct"/>
                  <w:tcBorders>
                    <w:tl2br w:val="nil"/>
                    <w:tr2bl w:val="nil"/>
                  </w:tcBorders>
                  <w:noWrap w:val="0"/>
                  <w:vAlign w:val="center"/>
                </w:tcPr>
                <w:p w14:paraId="178B05FD">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医用绷带</w:t>
                  </w:r>
                </w:p>
              </w:tc>
              <w:tc>
                <w:tcPr>
                  <w:tcW w:w="908" w:type="pct"/>
                  <w:tcBorders>
                    <w:tl2br w:val="nil"/>
                    <w:tr2bl w:val="nil"/>
                  </w:tcBorders>
                  <w:shd w:val="clear" w:color="auto" w:fill="auto"/>
                  <w:noWrap w:val="0"/>
                  <w:vAlign w:val="center"/>
                </w:tcPr>
                <w:p w14:paraId="21125252">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300卷</w:t>
                  </w:r>
                </w:p>
              </w:tc>
              <w:tc>
                <w:tcPr>
                  <w:tcW w:w="711" w:type="pct"/>
                  <w:tcBorders>
                    <w:tl2br w:val="nil"/>
                    <w:tr2bl w:val="nil"/>
                  </w:tcBorders>
                  <w:shd w:val="clear" w:color="auto" w:fill="auto"/>
                  <w:noWrap w:val="0"/>
                  <w:vAlign w:val="center"/>
                </w:tcPr>
                <w:p w14:paraId="25C5F4D2">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75卷</w:t>
                  </w:r>
                </w:p>
              </w:tc>
              <w:tc>
                <w:tcPr>
                  <w:tcW w:w="1612" w:type="pct"/>
                  <w:tcBorders>
                    <w:tl2br w:val="nil"/>
                    <w:tr2bl w:val="nil"/>
                  </w:tcBorders>
                  <w:noWrap w:val="0"/>
                  <w:vAlign w:val="center"/>
                </w:tcPr>
                <w:p w14:paraId="258DAB04">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p>
              </w:tc>
            </w:tr>
            <w:tr w14:paraId="284387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noWrap w:val="0"/>
                  <w:vAlign w:val="center"/>
                </w:tcPr>
                <w:p w14:paraId="2AA036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6</w:t>
                  </w:r>
                </w:p>
              </w:tc>
              <w:tc>
                <w:tcPr>
                  <w:tcW w:w="1345" w:type="pct"/>
                  <w:tcBorders>
                    <w:tl2br w:val="nil"/>
                    <w:tr2bl w:val="nil"/>
                  </w:tcBorders>
                  <w:noWrap w:val="0"/>
                  <w:vAlign w:val="center"/>
                </w:tcPr>
                <w:p w14:paraId="690D7DBF">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84消毒液</w:t>
                  </w:r>
                </w:p>
              </w:tc>
              <w:tc>
                <w:tcPr>
                  <w:tcW w:w="908" w:type="pct"/>
                  <w:tcBorders>
                    <w:tl2br w:val="nil"/>
                    <w:tr2bl w:val="nil"/>
                  </w:tcBorders>
                  <w:shd w:val="clear" w:color="auto" w:fill="auto"/>
                  <w:noWrap w:val="0"/>
                  <w:vAlign w:val="center"/>
                </w:tcPr>
                <w:p w14:paraId="0D70F765">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3000瓶</w:t>
                  </w:r>
                </w:p>
              </w:tc>
              <w:tc>
                <w:tcPr>
                  <w:tcW w:w="711" w:type="pct"/>
                  <w:tcBorders>
                    <w:tl2br w:val="nil"/>
                    <w:tr2bl w:val="nil"/>
                  </w:tcBorders>
                  <w:shd w:val="clear" w:color="auto" w:fill="auto"/>
                  <w:noWrap w:val="0"/>
                  <w:vAlign w:val="center"/>
                </w:tcPr>
                <w:p w14:paraId="46B14A57">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750瓶</w:t>
                  </w:r>
                </w:p>
              </w:tc>
              <w:tc>
                <w:tcPr>
                  <w:tcW w:w="1612" w:type="pct"/>
                  <w:tcBorders>
                    <w:tl2br w:val="nil"/>
                    <w:tr2bl w:val="nil"/>
                  </w:tcBorders>
                  <w:noWrap w:val="0"/>
                  <w:vAlign w:val="center"/>
                </w:tcPr>
                <w:p w14:paraId="0FEFFEC5">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500ml/瓶</w:t>
                  </w:r>
                </w:p>
              </w:tc>
            </w:tr>
            <w:tr w14:paraId="71FEF8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14:paraId="31136C9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7</w:t>
                  </w:r>
                </w:p>
              </w:tc>
              <w:tc>
                <w:tcPr>
                  <w:tcW w:w="1345" w:type="pct"/>
                  <w:tcBorders>
                    <w:tl2br w:val="nil"/>
                    <w:tr2bl w:val="nil"/>
                  </w:tcBorders>
                  <w:noWrap w:val="0"/>
                  <w:vAlign w:val="center"/>
                </w:tcPr>
                <w:p w14:paraId="3CC3645E">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酒精</w:t>
                  </w:r>
                </w:p>
              </w:tc>
              <w:tc>
                <w:tcPr>
                  <w:tcW w:w="908" w:type="pct"/>
                  <w:tcBorders>
                    <w:tl2br w:val="nil"/>
                    <w:tr2bl w:val="nil"/>
                  </w:tcBorders>
                  <w:shd w:val="clear" w:color="auto" w:fill="auto"/>
                  <w:noWrap w:val="0"/>
                  <w:vAlign w:val="center"/>
                </w:tcPr>
                <w:p w14:paraId="6A137AAF">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6000瓶</w:t>
                  </w:r>
                </w:p>
              </w:tc>
              <w:tc>
                <w:tcPr>
                  <w:tcW w:w="711" w:type="pct"/>
                  <w:tcBorders>
                    <w:tl2br w:val="nil"/>
                    <w:tr2bl w:val="nil"/>
                  </w:tcBorders>
                  <w:shd w:val="clear" w:color="auto" w:fill="auto"/>
                  <w:noWrap w:val="0"/>
                  <w:vAlign w:val="center"/>
                </w:tcPr>
                <w:p w14:paraId="5EB83F5F">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1500瓶</w:t>
                  </w:r>
                </w:p>
              </w:tc>
              <w:tc>
                <w:tcPr>
                  <w:tcW w:w="1612" w:type="pct"/>
                  <w:tcBorders>
                    <w:tl2br w:val="nil"/>
                    <w:tr2bl w:val="nil"/>
                  </w:tcBorders>
                  <w:noWrap w:val="0"/>
                  <w:vAlign w:val="center"/>
                </w:tcPr>
                <w:p w14:paraId="2147DA73">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500ml/瓶</w:t>
                  </w:r>
                </w:p>
              </w:tc>
            </w:tr>
            <w:tr w14:paraId="1F7B19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14:paraId="7936238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8</w:t>
                  </w:r>
                </w:p>
              </w:tc>
              <w:tc>
                <w:tcPr>
                  <w:tcW w:w="1345" w:type="pct"/>
                  <w:tcBorders>
                    <w:tl2br w:val="nil"/>
                    <w:tr2bl w:val="nil"/>
                  </w:tcBorders>
                  <w:noWrap w:val="0"/>
                  <w:vAlign w:val="center"/>
                </w:tcPr>
                <w:p w14:paraId="5E37F531">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活性氧消毒剂</w:t>
                  </w:r>
                </w:p>
              </w:tc>
              <w:tc>
                <w:tcPr>
                  <w:tcW w:w="908" w:type="pct"/>
                  <w:tcBorders>
                    <w:tl2br w:val="nil"/>
                    <w:tr2bl w:val="nil"/>
                  </w:tcBorders>
                  <w:noWrap w:val="0"/>
                  <w:vAlign w:val="center"/>
                </w:tcPr>
                <w:p w14:paraId="254A5BA1">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1.095t</w:t>
                  </w:r>
                </w:p>
              </w:tc>
              <w:tc>
                <w:tcPr>
                  <w:tcW w:w="711" w:type="pct"/>
                  <w:tcBorders>
                    <w:tl2br w:val="nil"/>
                    <w:tr2bl w:val="nil"/>
                  </w:tcBorders>
                  <w:shd w:val="clear" w:color="auto" w:fill="auto"/>
                  <w:noWrap w:val="0"/>
                  <w:vAlign w:val="center"/>
                </w:tcPr>
                <w:p w14:paraId="3D376270">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0.5t</w:t>
                  </w:r>
                </w:p>
              </w:tc>
              <w:tc>
                <w:tcPr>
                  <w:tcW w:w="1612" w:type="pct"/>
                  <w:tcBorders>
                    <w:tl2br w:val="nil"/>
                    <w:tr2bl w:val="nil"/>
                  </w:tcBorders>
                  <w:noWrap w:val="0"/>
                  <w:vAlign w:val="center"/>
                </w:tcPr>
                <w:p w14:paraId="671D95D7">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cs="Times New Roman"/>
                      <w:b w:val="0"/>
                      <w:bCs w:val="0"/>
                      <w:color w:val="auto"/>
                      <w:spacing w:val="11"/>
                      <w:sz w:val="21"/>
                      <w:szCs w:val="21"/>
                      <w:highlight w:val="none"/>
                      <w:u w:val="single" w:color="auto"/>
                      <w:vertAlign w:val="baseline"/>
                      <w:lang w:val="en-US" w:eastAsia="zh-CN"/>
                    </w:rPr>
                    <w:t>预处理池</w:t>
                  </w: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消毒剂</w:t>
                  </w:r>
                </w:p>
              </w:tc>
            </w:tr>
            <w:tr w14:paraId="2C92BB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14:paraId="12698CF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9</w:t>
                  </w:r>
                </w:p>
              </w:tc>
              <w:tc>
                <w:tcPr>
                  <w:tcW w:w="1345" w:type="pct"/>
                  <w:tcBorders>
                    <w:tl2br w:val="nil"/>
                    <w:tr2bl w:val="nil"/>
                  </w:tcBorders>
                  <w:noWrap w:val="0"/>
                  <w:vAlign w:val="center"/>
                </w:tcPr>
                <w:p w14:paraId="08ECD8D8">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留置针</w:t>
                  </w:r>
                </w:p>
              </w:tc>
              <w:tc>
                <w:tcPr>
                  <w:tcW w:w="908" w:type="pct"/>
                  <w:tcBorders>
                    <w:tl2br w:val="nil"/>
                    <w:tr2bl w:val="nil"/>
                  </w:tcBorders>
                  <w:shd w:val="clear" w:color="auto" w:fill="auto"/>
                  <w:noWrap w:val="0"/>
                  <w:vAlign w:val="center"/>
                </w:tcPr>
                <w:p w14:paraId="22E504CF">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48000个</w:t>
                  </w:r>
                </w:p>
              </w:tc>
              <w:tc>
                <w:tcPr>
                  <w:tcW w:w="711" w:type="pct"/>
                  <w:tcBorders>
                    <w:tl2br w:val="nil"/>
                    <w:tr2bl w:val="nil"/>
                  </w:tcBorders>
                  <w:shd w:val="clear" w:color="auto" w:fill="auto"/>
                  <w:noWrap w:val="0"/>
                  <w:vAlign w:val="center"/>
                </w:tcPr>
                <w:p w14:paraId="075E240A">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12000个</w:t>
                  </w:r>
                </w:p>
              </w:tc>
              <w:tc>
                <w:tcPr>
                  <w:tcW w:w="1612" w:type="pct"/>
                  <w:tcBorders>
                    <w:tl2br w:val="nil"/>
                    <w:tr2bl w:val="nil"/>
                  </w:tcBorders>
                  <w:noWrap w:val="0"/>
                  <w:vAlign w:val="center"/>
                </w:tcPr>
                <w:p w14:paraId="42EAAA4A">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p>
              </w:tc>
            </w:tr>
            <w:tr w14:paraId="69728B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14:paraId="1F2C0FC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10</w:t>
                  </w:r>
                </w:p>
              </w:tc>
              <w:tc>
                <w:tcPr>
                  <w:tcW w:w="1345" w:type="pct"/>
                  <w:tcBorders>
                    <w:tl2br w:val="nil"/>
                    <w:tr2bl w:val="nil"/>
                  </w:tcBorders>
                  <w:noWrap w:val="0"/>
                  <w:vAlign w:val="center"/>
                </w:tcPr>
                <w:p w14:paraId="1B86CFF0">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回缩式采血针</w:t>
                  </w:r>
                </w:p>
              </w:tc>
              <w:tc>
                <w:tcPr>
                  <w:tcW w:w="908" w:type="pct"/>
                  <w:tcBorders>
                    <w:tl2br w:val="nil"/>
                    <w:tr2bl w:val="nil"/>
                  </w:tcBorders>
                  <w:shd w:val="clear" w:color="auto" w:fill="auto"/>
                  <w:noWrap w:val="0"/>
                  <w:vAlign w:val="center"/>
                </w:tcPr>
                <w:p w14:paraId="6C968215">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9000个</w:t>
                  </w:r>
                </w:p>
              </w:tc>
              <w:tc>
                <w:tcPr>
                  <w:tcW w:w="711" w:type="pct"/>
                  <w:tcBorders>
                    <w:tl2br w:val="nil"/>
                    <w:tr2bl w:val="nil"/>
                  </w:tcBorders>
                  <w:shd w:val="clear" w:color="auto" w:fill="auto"/>
                  <w:noWrap w:val="0"/>
                  <w:vAlign w:val="center"/>
                </w:tcPr>
                <w:p w14:paraId="7BCAFB37">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2250个</w:t>
                  </w:r>
                </w:p>
              </w:tc>
              <w:tc>
                <w:tcPr>
                  <w:tcW w:w="1612" w:type="pct"/>
                  <w:tcBorders>
                    <w:tl2br w:val="nil"/>
                    <w:tr2bl w:val="nil"/>
                  </w:tcBorders>
                  <w:noWrap w:val="0"/>
                  <w:vAlign w:val="center"/>
                </w:tcPr>
                <w:p w14:paraId="53BD6370">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p>
              </w:tc>
            </w:tr>
            <w:tr w14:paraId="6D0A18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14:paraId="339F80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11</w:t>
                  </w:r>
                </w:p>
              </w:tc>
              <w:tc>
                <w:tcPr>
                  <w:tcW w:w="1345" w:type="pct"/>
                  <w:tcBorders>
                    <w:tl2br w:val="nil"/>
                    <w:tr2bl w:val="nil"/>
                  </w:tcBorders>
                  <w:noWrap w:val="0"/>
                  <w:vAlign w:val="center"/>
                </w:tcPr>
                <w:p w14:paraId="22DA5C74">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防护口罩</w:t>
                  </w:r>
                </w:p>
              </w:tc>
              <w:tc>
                <w:tcPr>
                  <w:tcW w:w="908" w:type="pct"/>
                  <w:tcBorders>
                    <w:tl2br w:val="nil"/>
                    <w:tr2bl w:val="nil"/>
                  </w:tcBorders>
                  <w:shd w:val="clear" w:color="auto" w:fill="auto"/>
                  <w:noWrap w:val="0"/>
                  <w:vAlign w:val="center"/>
                </w:tcPr>
                <w:p w14:paraId="0E40821C">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120000个</w:t>
                  </w:r>
                </w:p>
              </w:tc>
              <w:tc>
                <w:tcPr>
                  <w:tcW w:w="711" w:type="pct"/>
                  <w:tcBorders>
                    <w:tl2br w:val="nil"/>
                    <w:tr2bl w:val="nil"/>
                  </w:tcBorders>
                  <w:shd w:val="clear" w:color="auto" w:fill="auto"/>
                  <w:noWrap w:val="0"/>
                  <w:vAlign w:val="center"/>
                </w:tcPr>
                <w:p w14:paraId="4822ED12">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30000个</w:t>
                  </w:r>
                </w:p>
              </w:tc>
              <w:tc>
                <w:tcPr>
                  <w:tcW w:w="1612" w:type="pct"/>
                  <w:tcBorders>
                    <w:tl2br w:val="nil"/>
                    <w:tr2bl w:val="nil"/>
                  </w:tcBorders>
                  <w:noWrap w:val="0"/>
                  <w:vAlign w:val="center"/>
                </w:tcPr>
                <w:p w14:paraId="54A2608D">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p>
              </w:tc>
            </w:tr>
            <w:tr w14:paraId="623D87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14:paraId="2EFA672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12</w:t>
                  </w:r>
                </w:p>
              </w:tc>
              <w:tc>
                <w:tcPr>
                  <w:tcW w:w="1345" w:type="pct"/>
                  <w:tcBorders>
                    <w:tl2br w:val="nil"/>
                    <w:tr2bl w:val="nil"/>
                  </w:tcBorders>
                  <w:shd w:val="clear" w:color="auto" w:fill="auto"/>
                  <w:noWrap w:val="0"/>
                  <w:vAlign w:val="center"/>
                </w:tcPr>
                <w:p w14:paraId="2A35A964">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静脉采血针</w:t>
                  </w:r>
                </w:p>
              </w:tc>
              <w:tc>
                <w:tcPr>
                  <w:tcW w:w="908" w:type="pct"/>
                  <w:tcBorders>
                    <w:tl2br w:val="nil"/>
                    <w:tr2bl w:val="nil"/>
                  </w:tcBorders>
                  <w:shd w:val="clear" w:color="auto" w:fill="auto"/>
                  <w:noWrap w:val="0"/>
                  <w:vAlign w:val="center"/>
                </w:tcPr>
                <w:p w14:paraId="025244B2">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15000个</w:t>
                  </w:r>
                </w:p>
              </w:tc>
              <w:tc>
                <w:tcPr>
                  <w:tcW w:w="711" w:type="pct"/>
                  <w:tcBorders>
                    <w:tl2br w:val="nil"/>
                    <w:tr2bl w:val="nil"/>
                  </w:tcBorders>
                  <w:shd w:val="clear" w:color="auto" w:fill="auto"/>
                  <w:noWrap w:val="0"/>
                  <w:vAlign w:val="center"/>
                </w:tcPr>
                <w:p w14:paraId="54D8505B">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3750个</w:t>
                  </w:r>
                </w:p>
              </w:tc>
              <w:tc>
                <w:tcPr>
                  <w:tcW w:w="1612" w:type="pct"/>
                  <w:tcBorders>
                    <w:tl2br w:val="nil"/>
                    <w:tr2bl w:val="nil"/>
                  </w:tcBorders>
                  <w:noWrap w:val="0"/>
                  <w:vAlign w:val="center"/>
                </w:tcPr>
                <w:p w14:paraId="33E9A1FA">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p>
              </w:tc>
            </w:tr>
            <w:tr w14:paraId="728BCE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14:paraId="2921D06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13</w:t>
                  </w:r>
                </w:p>
              </w:tc>
              <w:tc>
                <w:tcPr>
                  <w:tcW w:w="1345" w:type="pct"/>
                  <w:tcBorders>
                    <w:tl2br w:val="nil"/>
                    <w:tr2bl w:val="nil"/>
                  </w:tcBorders>
                  <w:shd w:val="clear" w:color="auto" w:fill="auto"/>
                  <w:noWrap w:val="0"/>
                  <w:vAlign w:val="center"/>
                </w:tcPr>
                <w:p w14:paraId="599BCC15">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一体式吸氧管</w:t>
                  </w:r>
                </w:p>
              </w:tc>
              <w:tc>
                <w:tcPr>
                  <w:tcW w:w="908" w:type="pct"/>
                  <w:tcBorders>
                    <w:tl2br w:val="nil"/>
                    <w:tr2bl w:val="nil"/>
                  </w:tcBorders>
                  <w:shd w:val="clear" w:color="auto" w:fill="auto"/>
                  <w:noWrap w:val="0"/>
                  <w:vAlign w:val="center"/>
                </w:tcPr>
                <w:p w14:paraId="0BD74D33">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15000个</w:t>
                  </w:r>
                </w:p>
              </w:tc>
              <w:tc>
                <w:tcPr>
                  <w:tcW w:w="711" w:type="pct"/>
                  <w:tcBorders>
                    <w:tl2br w:val="nil"/>
                    <w:tr2bl w:val="nil"/>
                  </w:tcBorders>
                  <w:shd w:val="clear" w:color="auto" w:fill="auto"/>
                  <w:noWrap w:val="0"/>
                  <w:vAlign w:val="center"/>
                </w:tcPr>
                <w:p w14:paraId="667E0FBD">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3750个</w:t>
                  </w:r>
                </w:p>
              </w:tc>
              <w:tc>
                <w:tcPr>
                  <w:tcW w:w="1612" w:type="pct"/>
                  <w:tcBorders>
                    <w:tl2br w:val="nil"/>
                    <w:tr2bl w:val="nil"/>
                  </w:tcBorders>
                  <w:noWrap w:val="0"/>
                  <w:vAlign w:val="center"/>
                </w:tcPr>
                <w:p w14:paraId="2BF5F682">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p>
              </w:tc>
            </w:tr>
            <w:tr w14:paraId="7FE42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14:paraId="793C27C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14</w:t>
                  </w:r>
                </w:p>
              </w:tc>
              <w:tc>
                <w:tcPr>
                  <w:tcW w:w="1345" w:type="pct"/>
                  <w:tcBorders>
                    <w:tl2br w:val="nil"/>
                    <w:tr2bl w:val="nil"/>
                  </w:tcBorders>
                  <w:shd w:val="clear" w:color="auto" w:fill="auto"/>
                  <w:noWrap w:val="0"/>
                  <w:vAlign w:val="center"/>
                </w:tcPr>
                <w:p w14:paraId="0B8E7E7F">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密闭式输液接头</w:t>
                  </w:r>
                </w:p>
              </w:tc>
              <w:tc>
                <w:tcPr>
                  <w:tcW w:w="908" w:type="pct"/>
                  <w:tcBorders>
                    <w:tl2br w:val="nil"/>
                    <w:tr2bl w:val="nil"/>
                  </w:tcBorders>
                  <w:shd w:val="clear" w:color="auto" w:fill="auto"/>
                  <w:noWrap w:val="0"/>
                  <w:vAlign w:val="center"/>
                </w:tcPr>
                <w:p w14:paraId="2794D593">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30000个</w:t>
                  </w:r>
                </w:p>
              </w:tc>
              <w:tc>
                <w:tcPr>
                  <w:tcW w:w="711" w:type="pct"/>
                  <w:tcBorders>
                    <w:tl2br w:val="nil"/>
                    <w:tr2bl w:val="nil"/>
                  </w:tcBorders>
                  <w:shd w:val="clear" w:color="auto" w:fill="auto"/>
                  <w:noWrap w:val="0"/>
                  <w:vAlign w:val="center"/>
                </w:tcPr>
                <w:p w14:paraId="02A5E308">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7500个</w:t>
                  </w:r>
                </w:p>
              </w:tc>
              <w:tc>
                <w:tcPr>
                  <w:tcW w:w="1612" w:type="pct"/>
                  <w:tcBorders>
                    <w:tl2br w:val="nil"/>
                    <w:tr2bl w:val="nil"/>
                  </w:tcBorders>
                  <w:noWrap w:val="0"/>
                  <w:vAlign w:val="center"/>
                </w:tcPr>
                <w:p w14:paraId="648FA8AD">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p>
              </w:tc>
            </w:tr>
            <w:tr w14:paraId="763E15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14:paraId="60D929F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15</w:t>
                  </w:r>
                </w:p>
              </w:tc>
              <w:tc>
                <w:tcPr>
                  <w:tcW w:w="1345" w:type="pct"/>
                  <w:tcBorders>
                    <w:tl2br w:val="nil"/>
                    <w:tr2bl w:val="nil"/>
                  </w:tcBorders>
                  <w:shd w:val="clear" w:color="auto" w:fill="auto"/>
                  <w:noWrap w:val="0"/>
                  <w:vAlign w:val="center"/>
                </w:tcPr>
                <w:p w14:paraId="789F97EF">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吸氧面罩</w:t>
                  </w:r>
                </w:p>
              </w:tc>
              <w:tc>
                <w:tcPr>
                  <w:tcW w:w="908" w:type="pct"/>
                  <w:tcBorders>
                    <w:tl2br w:val="nil"/>
                    <w:tr2bl w:val="nil"/>
                  </w:tcBorders>
                  <w:shd w:val="clear" w:color="auto" w:fill="auto"/>
                  <w:noWrap w:val="0"/>
                  <w:vAlign w:val="center"/>
                </w:tcPr>
                <w:p w14:paraId="4B8199F5">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3000个</w:t>
                  </w:r>
                </w:p>
              </w:tc>
              <w:tc>
                <w:tcPr>
                  <w:tcW w:w="711" w:type="pct"/>
                  <w:tcBorders>
                    <w:tl2br w:val="nil"/>
                    <w:tr2bl w:val="nil"/>
                  </w:tcBorders>
                  <w:shd w:val="clear" w:color="auto" w:fill="auto"/>
                  <w:noWrap w:val="0"/>
                  <w:vAlign w:val="center"/>
                </w:tcPr>
                <w:p w14:paraId="50C0B4FB">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750个</w:t>
                  </w:r>
                </w:p>
              </w:tc>
              <w:tc>
                <w:tcPr>
                  <w:tcW w:w="1612" w:type="pct"/>
                  <w:tcBorders>
                    <w:tl2br w:val="nil"/>
                    <w:tr2bl w:val="nil"/>
                  </w:tcBorders>
                  <w:noWrap w:val="0"/>
                  <w:vAlign w:val="center"/>
                </w:tcPr>
                <w:p w14:paraId="01863600">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p>
              </w:tc>
            </w:tr>
            <w:tr w14:paraId="62F400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14:paraId="378881D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16</w:t>
                  </w:r>
                </w:p>
              </w:tc>
              <w:tc>
                <w:tcPr>
                  <w:tcW w:w="1345" w:type="pct"/>
                  <w:tcBorders>
                    <w:tl2br w:val="nil"/>
                    <w:tr2bl w:val="nil"/>
                  </w:tcBorders>
                  <w:shd w:val="clear" w:color="auto" w:fill="auto"/>
                  <w:noWrap w:val="0"/>
                  <w:vAlign w:val="center"/>
                </w:tcPr>
                <w:p w14:paraId="5ED0FEB6">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eastAsia"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t>中药</w:t>
                  </w:r>
                </w:p>
              </w:tc>
              <w:tc>
                <w:tcPr>
                  <w:tcW w:w="908" w:type="pct"/>
                  <w:vMerge w:val="restart"/>
                  <w:tcBorders>
                    <w:tl2br w:val="nil"/>
                    <w:tr2bl w:val="nil"/>
                  </w:tcBorders>
                  <w:shd w:val="clear" w:color="auto" w:fill="auto"/>
                  <w:noWrap w:val="0"/>
                  <w:vAlign w:val="center"/>
                </w:tcPr>
                <w:p w14:paraId="2ADDDF97">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t>根据需要购买</w:t>
                  </w:r>
                </w:p>
              </w:tc>
              <w:tc>
                <w:tcPr>
                  <w:tcW w:w="711" w:type="pct"/>
                  <w:vMerge w:val="restart"/>
                  <w:tcBorders>
                    <w:tl2br w:val="nil"/>
                    <w:tr2bl w:val="nil"/>
                  </w:tcBorders>
                  <w:shd w:val="clear" w:color="auto" w:fill="auto"/>
                  <w:noWrap w:val="0"/>
                  <w:vAlign w:val="center"/>
                </w:tcPr>
                <w:p w14:paraId="48250561">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eastAsia"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t>/</w:t>
                  </w:r>
                </w:p>
              </w:tc>
              <w:tc>
                <w:tcPr>
                  <w:tcW w:w="1612" w:type="pct"/>
                  <w:vMerge w:val="restart"/>
                  <w:tcBorders>
                    <w:tl2br w:val="nil"/>
                    <w:tr2bl w:val="nil"/>
                  </w:tcBorders>
                  <w:noWrap w:val="0"/>
                  <w:vAlign w:val="center"/>
                </w:tcPr>
                <w:p w14:paraId="50E455DB">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基本为常见中、西药，不涉</w:t>
                  </w:r>
                </w:p>
                <w:p w14:paraId="497AE9F6">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及毒害、挥发性强的物质</w:t>
                  </w:r>
                </w:p>
              </w:tc>
            </w:tr>
            <w:tr w14:paraId="11EF32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14:paraId="1BE873E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17</w:t>
                  </w:r>
                </w:p>
              </w:tc>
              <w:tc>
                <w:tcPr>
                  <w:tcW w:w="1345" w:type="pct"/>
                  <w:tcBorders>
                    <w:tl2br w:val="nil"/>
                    <w:tr2bl w:val="nil"/>
                  </w:tcBorders>
                  <w:shd w:val="clear" w:color="auto" w:fill="auto"/>
                  <w:noWrap w:val="0"/>
                  <w:vAlign w:val="center"/>
                </w:tcPr>
                <w:p w14:paraId="35489F07">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eastAsia"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t>西药</w:t>
                  </w:r>
                </w:p>
              </w:tc>
              <w:tc>
                <w:tcPr>
                  <w:tcW w:w="908" w:type="pct"/>
                  <w:vMerge w:val="continue"/>
                  <w:tcBorders>
                    <w:tl2br w:val="nil"/>
                    <w:tr2bl w:val="nil"/>
                  </w:tcBorders>
                  <w:shd w:val="clear" w:color="auto" w:fill="auto"/>
                  <w:noWrap w:val="0"/>
                  <w:vAlign w:val="center"/>
                </w:tcPr>
                <w:p w14:paraId="3FC255AE">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p>
              </w:tc>
              <w:tc>
                <w:tcPr>
                  <w:tcW w:w="711" w:type="pct"/>
                  <w:vMerge w:val="continue"/>
                  <w:tcBorders>
                    <w:tl2br w:val="nil"/>
                    <w:tr2bl w:val="nil"/>
                  </w:tcBorders>
                  <w:shd w:val="clear" w:color="auto" w:fill="auto"/>
                  <w:noWrap w:val="0"/>
                  <w:vAlign w:val="center"/>
                </w:tcPr>
                <w:p w14:paraId="7C44319A">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p>
              </w:tc>
              <w:tc>
                <w:tcPr>
                  <w:tcW w:w="1612" w:type="pct"/>
                  <w:vMerge w:val="continue"/>
                  <w:tcBorders>
                    <w:tl2br w:val="nil"/>
                    <w:tr2bl w:val="nil"/>
                  </w:tcBorders>
                  <w:noWrap w:val="0"/>
                  <w:vAlign w:val="center"/>
                </w:tcPr>
                <w:p w14:paraId="0BD9944D">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p>
              </w:tc>
            </w:tr>
            <w:tr w14:paraId="31278A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noWrap w:val="0"/>
                  <w:vAlign w:val="center"/>
                </w:tcPr>
                <w:p w14:paraId="123C5B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pacing w:val="11"/>
                      <w:kern w:val="2"/>
                      <w:sz w:val="21"/>
                      <w:szCs w:val="21"/>
                      <w:highlight w:val="none"/>
                      <w:u w:val="single" w:color="auto"/>
                      <w:vertAlign w:val="baseline"/>
                      <w:lang w:val="en-US" w:eastAsia="zh-CN" w:bidi="ar-SA"/>
                    </w:rPr>
                  </w:pPr>
                  <w:r>
                    <w:rPr>
                      <w:rFonts w:hint="eastAsia" w:cs="Times New Roman"/>
                      <w:b w:val="0"/>
                      <w:bCs w:val="0"/>
                      <w:color w:val="auto"/>
                      <w:spacing w:val="11"/>
                      <w:kern w:val="2"/>
                      <w:sz w:val="21"/>
                      <w:szCs w:val="21"/>
                      <w:highlight w:val="none"/>
                      <w:u w:val="single" w:color="auto"/>
                      <w:vertAlign w:val="baseline"/>
                      <w:lang w:val="en-US" w:eastAsia="zh-CN" w:bidi="ar-SA"/>
                    </w:rPr>
                    <w:t>18</w:t>
                  </w:r>
                </w:p>
              </w:tc>
              <w:tc>
                <w:tcPr>
                  <w:tcW w:w="1345" w:type="pct"/>
                  <w:tcBorders>
                    <w:tl2br w:val="nil"/>
                    <w:tr2bl w:val="nil"/>
                  </w:tcBorders>
                  <w:noWrap w:val="0"/>
                  <w:vAlign w:val="center"/>
                </w:tcPr>
                <w:p w14:paraId="265FEBE8">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水</w:t>
                  </w:r>
                </w:p>
              </w:tc>
              <w:tc>
                <w:tcPr>
                  <w:tcW w:w="908" w:type="pct"/>
                  <w:tcBorders>
                    <w:tl2br w:val="nil"/>
                    <w:tr2bl w:val="nil"/>
                  </w:tcBorders>
                  <w:noWrap w:val="0"/>
                  <w:vAlign w:val="center"/>
                </w:tcPr>
                <w:p w14:paraId="2C4EE6EC">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cs="Times New Roman"/>
                      <w:b w:val="0"/>
                      <w:bCs w:val="0"/>
                      <w:color w:val="auto"/>
                      <w:spacing w:val="11"/>
                      <w:sz w:val="21"/>
                      <w:szCs w:val="21"/>
                      <w:highlight w:val="none"/>
                      <w:u w:val="single" w:color="auto"/>
                      <w:vertAlign w:val="baseline"/>
                      <w:lang w:val="en-US" w:eastAsia="zh-CN"/>
                    </w:rPr>
                    <w:t>13.81</w:t>
                  </w: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万m</w:t>
                  </w:r>
                  <w:r>
                    <w:rPr>
                      <w:rFonts w:hint="eastAsia" w:ascii="Times New Roman" w:hAnsi="Times New Roman" w:eastAsia="宋体" w:cs="Times New Roman"/>
                      <w:b w:val="0"/>
                      <w:bCs w:val="0"/>
                      <w:color w:val="auto"/>
                      <w:spacing w:val="11"/>
                      <w:sz w:val="21"/>
                      <w:szCs w:val="21"/>
                      <w:highlight w:val="none"/>
                      <w:u w:val="single" w:color="auto"/>
                      <w:vertAlign w:val="superscript"/>
                      <w:lang w:val="en-US" w:eastAsia="zh-CN"/>
                    </w:rPr>
                    <w:t>3</w:t>
                  </w: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/a</w:t>
                  </w:r>
                </w:p>
              </w:tc>
              <w:tc>
                <w:tcPr>
                  <w:tcW w:w="711" w:type="pct"/>
                  <w:tcBorders>
                    <w:tl2br w:val="nil"/>
                    <w:tr2bl w:val="nil"/>
                  </w:tcBorders>
                  <w:shd w:val="clear" w:color="auto" w:fill="auto"/>
                  <w:noWrap w:val="0"/>
                  <w:vAlign w:val="center"/>
                </w:tcPr>
                <w:p w14:paraId="3EBD202F">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w:t>
                  </w:r>
                </w:p>
              </w:tc>
              <w:tc>
                <w:tcPr>
                  <w:tcW w:w="1612" w:type="pct"/>
                  <w:tcBorders>
                    <w:tl2br w:val="nil"/>
                    <w:tr2bl w:val="nil"/>
                  </w:tcBorders>
                  <w:noWrap w:val="0"/>
                  <w:vAlign w:val="center"/>
                </w:tcPr>
                <w:p w14:paraId="7123B6CF">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yellow"/>
                      <w:u w:val="single" w:color="auto"/>
                      <w:vertAlign w:val="baseline"/>
                      <w:lang w:val="en-US" w:eastAsia="zh-CN"/>
                    </w:rPr>
                  </w:pPr>
                </w:p>
              </w:tc>
            </w:tr>
            <w:tr w14:paraId="13EC7F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22" w:type="pct"/>
                  <w:tcBorders>
                    <w:tl2br w:val="nil"/>
                    <w:tr2bl w:val="nil"/>
                  </w:tcBorders>
                  <w:noWrap w:val="0"/>
                  <w:vAlign w:val="center"/>
                </w:tcPr>
                <w:p w14:paraId="57AB1D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b w:val="0"/>
                      <w:bCs w:val="0"/>
                      <w:color w:val="auto"/>
                      <w:spacing w:val="11"/>
                      <w:kern w:val="2"/>
                      <w:sz w:val="21"/>
                      <w:szCs w:val="21"/>
                      <w:highlight w:val="none"/>
                      <w:u w:val="single" w:color="auto"/>
                      <w:vertAlign w:val="baseline"/>
                      <w:lang w:val="en-US" w:eastAsia="zh-CN" w:bidi="ar-SA"/>
                    </w:rPr>
                  </w:pPr>
                  <w:r>
                    <w:rPr>
                      <w:rFonts w:hint="eastAsia" w:cs="Times New Roman"/>
                      <w:b w:val="0"/>
                      <w:bCs w:val="0"/>
                      <w:color w:val="auto"/>
                      <w:spacing w:val="11"/>
                      <w:kern w:val="2"/>
                      <w:sz w:val="21"/>
                      <w:szCs w:val="21"/>
                      <w:highlight w:val="none"/>
                      <w:u w:val="single" w:color="auto"/>
                      <w:vertAlign w:val="baseline"/>
                      <w:lang w:val="en-US" w:eastAsia="zh-CN" w:bidi="ar-SA"/>
                    </w:rPr>
                    <w:t>19</w:t>
                  </w:r>
                </w:p>
              </w:tc>
              <w:tc>
                <w:tcPr>
                  <w:tcW w:w="1345" w:type="pct"/>
                  <w:tcBorders>
                    <w:tl2br w:val="nil"/>
                    <w:tr2bl w:val="nil"/>
                  </w:tcBorders>
                  <w:noWrap w:val="0"/>
                  <w:vAlign w:val="center"/>
                </w:tcPr>
                <w:p w14:paraId="5AFFC7B2">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cs="Times New Roman"/>
                      <w:b w:val="0"/>
                      <w:bCs w:val="0"/>
                      <w:color w:val="auto"/>
                      <w:spacing w:val="11"/>
                      <w:sz w:val="21"/>
                      <w:szCs w:val="21"/>
                      <w:highlight w:val="none"/>
                      <w:u w:val="single" w:color="auto"/>
                      <w:vertAlign w:val="baseline"/>
                      <w:lang w:val="en-US" w:eastAsia="zh-CN"/>
                    </w:rPr>
                    <w:t>电</w:t>
                  </w:r>
                </w:p>
              </w:tc>
              <w:tc>
                <w:tcPr>
                  <w:tcW w:w="908" w:type="pct"/>
                  <w:tcBorders>
                    <w:tl2br w:val="nil"/>
                    <w:tr2bl w:val="nil"/>
                  </w:tcBorders>
                  <w:noWrap w:val="0"/>
                  <w:vAlign w:val="center"/>
                </w:tcPr>
                <w:p w14:paraId="45BAD642">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cs="Times New Roman"/>
                      <w:b w:val="0"/>
                      <w:bCs w:val="0"/>
                      <w:color w:val="auto"/>
                      <w:spacing w:val="11"/>
                      <w:sz w:val="21"/>
                      <w:szCs w:val="21"/>
                      <w:highlight w:val="none"/>
                      <w:u w:val="single" w:color="auto"/>
                      <w:vertAlign w:val="baseline"/>
                      <w:lang w:val="en-US" w:eastAsia="zh-CN"/>
                    </w:rPr>
                  </w:pPr>
                  <w:r>
                    <w:rPr>
                      <w:rFonts w:hint="eastAsia" w:cs="Times New Roman"/>
                      <w:b w:val="0"/>
                      <w:bCs w:val="0"/>
                      <w:color w:val="auto"/>
                      <w:spacing w:val="11"/>
                      <w:sz w:val="21"/>
                      <w:szCs w:val="21"/>
                      <w:highlight w:val="none"/>
                      <w:u w:val="single" w:color="auto"/>
                      <w:vertAlign w:val="baseline"/>
                      <w:lang w:val="en-US" w:eastAsia="zh-CN"/>
                    </w:rPr>
                    <w:t>423.4万KWh</w:t>
                  </w:r>
                </w:p>
              </w:tc>
              <w:tc>
                <w:tcPr>
                  <w:tcW w:w="711" w:type="pct"/>
                  <w:tcBorders>
                    <w:tl2br w:val="nil"/>
                    <w:tr2bl w:val="nil"/>
                  </w:tcBorders>
                  <w:shd w:val="clear" w:color="auto" w:fill="auto"/>
                  <w:noWrap w:val="0"/>
                  <w:vAlign w:val="center"/>
                </w:tcPr>
                <w:p w14:paraId="5B615968">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w:t>
                  </w:r>
                </w:p>
              </w:tc>
              <w:tc>
                <w:tcPr>
                  <w:tcW w:w="1612" w:type="pct"/>
                  <w:tcBorders>
                    <w:tl2br w:val="nil"/>
                    <w:tr2bl w:val="nil"/>
                  </w:tcBorders>
                  <w:noWrap w:val="0"/>
                  <w:vAlign w:val="center"/>
                </w:tcPr>
                <w:p w14:paraId="61CAA83C">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yellow"/>
                      <w:u w:val="single" w:color="auto"/>
                      <w:vertAlign w:val="baseline"/>
                      <w:lang w:val="en-US" w:eastAsia="zh-CN"/>
                    </w:rPr>
                  </w:pPr>
                </w:p>
              </w:tc>
            </w:tr>
            <w:tr w14:paraId="49912F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noWrap w:val="0"/>
                  <w:vAlign w:val="center"/>
                </w:tcPr>
                <w:p w14:paraId="22F19E9A">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b w:val="0"/>
                      <w:bCs w:val="0"/>
                      <w:color w:val="auto"/>
                      <w:spacing w:val="11"/>
                      <w:sz w:val="21"/>
                      <w:szCs w:val="21"/>
                      <w:highlight w:val="yellow"/>
                      <w:u w:val="single" w:color="auto"/>
                      <w:vertAlign w:val="baseline"/>
                      <w:lang w:val="en-US" w:eastAsia="zh-CN"/>
                    </w:rPr>
                  </w:pPr>
                  <w:r>
                    <w:rPr>
                      <w:rFonts w:hint="eastAsia" w:cs="Times New Roman"/>
                      <w:b w:val="0"/>
                      <w:bCs w:val="0"/>
                      <w:color w:val="auto"/>
                      <w:spacing w:val="11"/>
                      <w:sz w:val="21"/>
                      <w:szCs w:val="21"/>
                      <w:highlight w:val="none"/>
                      <w:u w:val="single" w:color="auto"/>
                      <w:vertAlign w:val="baseline"/>
                      <w:lang w:val="en-US" w:eastAsia="zh-CN"/>
                    </w:rPr>
                    <w:t>注：本项目不涉及存放和使用放疗性药物。</w:t>
                  </w:r>
                </w:p>
              </w:tc>
            </w:tr>
          </w:tbl>
          <w:p w14:paraId="6EBD87D9">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6" w:firstLineChars="200"/>
              <w:textAlignment w:val="auto"/>
              <w:rPr>
                <w:rFonts w:hint="default"/>
                <w:b/>
                <w:bCs/>
                <w:color w:val="auto"/>
                <w:spacing w:val="11"/>
                <w:position w:val="0"/>
                <w:sz w:val="24"/>
                <w:szCs w:val="24"/>
                <w:highlight w:val="none"/>
                <w:u w:val="single" w:color="auto"/>
                <w:lang w:eastAsia="zh-CN"/>
              </w:rPr>
            </w:pPr>
            <w:r>
              <w:rPr>
                <w:rFonts w:hint="default"/>
                <w:b/>
                <w:bCs/>
                <w:color w:val="auto"/>
                <w:spacing w:val="11"/>
                <w:position w:val="0"/>
                <w:sz w:val="24"/>
                <w:szCs w:val="24"/>
                <w:highlight w:val="none"/>
                <w:u w:val="single" w:color="auto"/>
                <w:lang w:val="en-US" w:eastAsia="zh-CN"/>
              </w:rPr>
              <w:t>主要原料理化性质如下：</w:t>
            </w:r>
          </w:p>
          <w:p w14:paraId="15F4923B">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textAlignment w:val="auto"/>
              <w:rPr>
                <w:rFonts w:hint="default"/>
                <w:b w:val="0"/>
                <w:bCs w:val="0"/>
                <w:color w:val="auto"/>
                <w:spacing w:val="11"/>
                <w:position w:val="0"/>
                <w:sz w:val="24"/>
                <w:szCs w:val="24"/>
                <w:highlight w:val="none"/>
                <w:u w:val="single" w:color="auto"/>
                <w:lang w:eastAsia="zh-CN"/>
              </w:rPr>
            </w:pPr>
            <w:r>
              <w:rPr>
                <w:rFonts w:hint="default"/>
                <w:b/>
                <w:bCs/>
                <w:color w:val="auto"/>
                <w:spacing w:val="11"/>
                <w:position w:val="0"/>
                <w:sz w:val="24"/>
                <w:szCs w:val="24"/>
                <w:highlight w:val="none"/>
                <w:u w:val="single" w:color="auto"/>
                <w:lang w:val="en-US" w:eastAsia="zh-CN"/>
              </w:rPr>
              <w:t>84消毒液</w:t>
            </w:r>
            <w:r>
              <w:rPr>
                <w:rFonts w:hint="eastAsia"/>
                <w:b/>
                <w:bCs/>
                <w:color w:val="auto"/>
                <w:spacing w:val="11"/>
                <w:position w:val="0"/>
                <w:sz w:val="24"/>
                <w:szCs w:val="24"/>
                <w:highlight w:val="none"/>
                <w:u w:val="single" w:color="auto"/>
                <w:lang w:val="en-US" w:eastAsia="zh-CN"/>
              </w:rPr>
              <w:t>：</w:t>
            </w:r>
            <w:r>
              <w:rPr>
                <w:rFonts w:hint="eastAsia"/>
                <w:b w:val="0"/>
                <w:bCs w:val="0"/>
                <w:color w:val="auto"/>
                <w:spacing w:val="11"/>
                <w:position w:val="0"/>
                <w:sz w:val="24"/>
                <w:szCs w:val="24"/>
                <w:highlight w:val="none"/>
                <w:u w:val="single" w:color="auto"/>
                <w:lang w:val="en-US" w:eastAsia="zh-CN"/>
              </w:rPr>
              <w:t>主要用于环境和物体表面消毒剂，含有强力去污成份，84消毒液为无色或淡黄色液体，且具有刺激性气味，有效氯含量为5.5%-6.5%，可杀灭大肠杆菌，适用于家庭，宾馆，医院，饭店及其它公共场所的物体表面消毒；</w:t>
            </w:r>
          </w:p>
          <w:p w14:paraId="7BFD781C">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textAlignment w:val="auto"/>
              <w:rPr>
                <w:rFonts w:hint="eastAsia"/>
                <w:b w:val="0"/>
                <w:bCs w:val="0"/>
                <w:color w:val="auto"/>
                <w:spacing w:val="11"/>
                <w:position w:val="0"/>
                <w:sz w:val="24"/>
                <w:szCs w:val="24"/>
                <w:highlight w:val="none"/>
                <w:u w:val="single" w:color="auto"/>
                <w:lang w:val="en-US" w:eastAsia="zh-CN"/>
              </w:rPr>
            </w:pPr>
            <w:r>
              <w:rPr>
                <w:rFonts w:hint="default"/>
                <w:b/>
                <w:bCs/>
                <w:color w:val="auto"/>
                <w:spacing w:val="11"/>
                <w:position w:val="0"/>
                <w:sz w:val="24"/>
                <w:szCs w:val="24"/>
                <w:highlight w:val="none"/>
                <w:u w:val="single" w:color="auto"/>
                <w:lang w:val="en-US" w:eastAsia="zh-CN"/>
              </w:rPr>
              <w:t>活性氧消毒剂</w:t>
            </w:r>
            <w:r>
              <w:rPr>
                <w:rFonts w:hint="eastAsia"/>
                <w:b/>
                <w:bCs/>
                <w:color w:val="auto"/>
                <w:spacing w:val="11"/>
                <w:position w:val="0"/>
                <w:sz w:val="24"/>
                <w:szCs w:val="24"/>
                <w:highlight w:val="none"/>
                <w:u w:val="single" w:color="auto"/>
                <w:lang w:val="en-US" w:eastAsia="zh-CN"/>
              </w:rPr>
              <w:t>：</w:t>
            </w:r>
            <w:r>
              <w:rPr>
                <w:rFonts w:hint="eastAsia"/>
                <w:b w:val="0"/>
                <w:bCs w:val="0"/>
                <w:color w:val="auto"/>
                <w:spacing w:val="11"/>
                <w:position w:val="0"/>
                <w:sz w:val="24"/>
                <w:szCs w:val="24"/>
                <w:highlight w:val="none"/>
                <w:u w:val="single" w:color="auto"/>
                <w:lang w:val="en-US" w:eastAsia="zh-CN"/>
              </w:rPr>
              <w:t>白色粉末，本品是以单过硫酸氢钾复合盐、二氯异氰尿酸钠、氯化钠、增效剂、稳定剂为主要原料的复合消毒粉，主要成分单过硫酸氢钾复合盐含量为23.8%-29.0%，活性氧含量10.6%-13.0%，有效氧含量43.6-53.2%。可杀灭大肠杆菌、金黄色葡萄球菌、枯草杆菌黑色变种芽孢、白色念珠菌、化脓性球菌、肠道致病菌、致病性酵母菌等医院感染常见细菌和细菌芽孢，并能有效灭活病毒（脊髓灰质炎病毒）；</w:t>
            </w:r>
          </w:p>
          <w:p w14:paraId="52F2DDAD">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textAlignment w:val="auto"/>
              <w:rPr>
                <w:rFonts w:hint="default"/>
                <w:b w:val="0"/>
                <w:bCs w:val="0"/>
                <w:color w:val="auto"/>
                <w:spacing w:val="11"/>
                <w:position w:val="0"/>
                <w:sz w:val="24"/>
                <w:szCs w:val="24"/>
                <w:highlight w:val="none"/>
                <w:u w:val="single" w:color="auto"/>
                <w:lang w:eastAsia="zh-CN"/>
              </w:rPr>
            </w:pPr>
            <w:r>
              <w:rPr>
                <w:rFonts w:hint="eastAsia" w:ascii="Times New Roman" w:eastAsia="宋体"/>
                <w:b/>
                <w:color w:val="auto"/>
                <w:spacing w:val="11"/>
                <w:kern w:val="0"/>
                <w:sz w:val="24"/>
                <w:highlight w:val="none"/>
                <w:u w:val="single" w:color="auto"/>
                <w:lang w:val="en-US" w:eastAsia="zh-CN"/>
              </w:rPr>
              <w:t>酒精</w:t>
            </w:r>
            <w:r>
              <w:rPr>
                <w:b/>
                <w:color w:val="auto"/>
                <w:spacing w:val="11"/>
                <w:kern w:val="0"/>
                <w:sz w:val="24"/>
                <w:highlight w:val="none"/>
                <w:u w:val="single" w:color="auto"/>
              </w:rPr>
              <w:t>：</w:t>
            </w:r>
            <w:r>
              <w:rPr>
                <w:rFonts w:hint="eastAsia" w:ascii="Times New Roman" w:eastAsia="宋体"/>
                <w:b w:val="0"/>
                <w:bCs/>
                <w:color w:val="auto"/>
                <w:spacing w:val="11"/>
                <w:kern w:val="0"/>
                <w:sz w:val="24"/>
                <w:highlight w:val="none"/>
                <w:u w:val="single" w:color="auto"/>
                <w:lang w:val="en-US" w:eastAsia="zh-CN"/>
              </w:rPr>
              <w:t>能与水以任意比互溶；可混溶于醚、氯仿、甲醇、丙酮、甘油等多数有机溶剂。无色透明液体，有特殊香味，易挥发。相对密度0.816。乙醇液体密度是0.789g/cm</w:t>
            </w:r>
            <w:r>
              <w:rPr>
                <w:rFonts w:hint="eastAsia" w:ascii="Times New Roman"/>
                <w:b w:val="0"/>
                <w:bCs/>
                <w:color w:val="auto"/>
                <w:spacing w:val="11"/>
                <w:kern w:val="0"/>
                <w:sz w:val="24"/>
                <w:highlight w:val="none"/>
                <w:u w:val="single" w:color="auto"/>
                <w:lang w:val="en-US" w:eastAsia="zh-CN"/>
              </w:rPr>
              <w:t>，</w:t>
            </w:r>
            <w:r>
              <w:rPr>
                <w:rFonts w:hint="eastAsia" w:ascii="Times New Roman" w:eastAsia="宋体"/>
                <w:b w:val="0"/>
                <w:bCs/>
                <w:color w:val="auto"/>
                <w:spacing w:val="11"/>
                <w:kern w:val="0"/>
                <w:sz w:val="24"/>
                <w:highlight w:val="none"/>
                <w:u w:val="single" w:color="auto"/>
                <w:lang w:val="en-US" w:eastAsia="zh-CN"/>
              </w:rPr>
              <w:t>乙醇气体密度为1.59kg/m，沸点是78.4℃，熔点是-114.3℃。易燃,其蒸气能与空气形成爆炸性混合物，能与水以任意比互溶。燃烧热1365.5kJ/mol。闪点13℃；引燃温度363℃；爆炸上限19%（V/V）；爆炸下限3.3%（V/V）</w:t>
            </w:r>
            <w:r>
              <w:rPr>
                <w:rFonts w:hint="eastAsia"/>
                <w:b w:val="0"/>
                <w:bCs w:val="0"/>
                <w:color w:val="auto"/>
                <w:spacing w:val="11"/>
                <w:position w:val="0"/>
                <w:sz w:val="24"/>
                <w:szCs w:val="24"/>
                <w:highlight w:val="none"/>
                <w:u w:val="single" w:color="auto"/>
                <w:lang w:val="en-US" w:eastAsia="zh-CN"/>
              </w:rPr>
              <w:t>。</w:t>
            </w:r>
          </w:p>
          <w:p w14:paraId="42C880D3">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textAlignment w:val="auto"/>
              <w:outlineLvl w:val="2"/>
              <w:rPr>
                <w:rFonts w:hint="default" w:ascii="Times New Roman" w:hAnsi="Times New Roman" w:cs="Times New Roman" w:eastAsiaTheme="minorEastAsia"/>
                <w:b/>
                <w:bCs/>
                <w:color w:val="auto"/>
                <w:spacing w:val="11"/>
                <w:kern w:val="2"/>
                <w:position w:val="0"/>
                <w:sz w:val="24"/>
                <w:szCs w:val="22"/>
                <w:highlight w:val="none"/>
                <w:u w:val="single" w:color="auto"/>
                <w:lang w:val="en-US" w:eastAsia="zh-CN" w:bidi="ar-SA"/>
              </w:rPr>
            </w:pPr>
            <w:r>
              <w:rPr>
                <w:rFonts w:hint="eastAsia" w:cs="Times New Roman" w:eastAsiaTheme="minorEastAsia"/>
                <w:b/>
                <w:bCs/>
                <w:color w:val="auto"/>
                <w:spacing w:val="11"/>
                <w:kern w:val="2"/>
                <w:position w:val="0"/>
                <w:sz w:val="24"/>
                <w:szCs w:val="22"/>
                <w:highlight w:val="none"/>
                <w:u w:val="single" w:color="auto"/>
                <w:lang w:val="en-US" w:eastAsia="zh-CN" w:bidi="ar-SA"/>
              </w:rPr>
              <w:t>6、</w:t>
            </w:r>
            <w:r>
              <w:rPr>
                <w:rFonts w:hint="default" w:ascii="Times New Roman" w:hAnsi="Times New Roman" w:cs="Times New Roman" w:eastAsiaTheme="minorEastAsia"/>
                <w:b/>
                <w:bCs/>
                <w:color w:val="auto"/>
                <w:spacing w:val="11"/>
                <w:kern w:val="2"/>
                <w:position w:val="0"/>
                <w:sz w:val="24"/>
                <w:szCs w:val="22"/>
                <w:highlight w:val="none"/>
                <w:u w:val="single" w:color="auto"/>
                <w:lang w:val="en-US" w:eastAsia="zh-CN" w:bidi="ar-SA"/>
              </w:rPr>
              <w:t>主要生产设备</w:t>
            </w:r>
          </w:p>
          <w:p w14:paraId="62AAE16F">
            <w:pPr>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cs="Times New Roman" w:eastAsiaTheme="minorEastAsia"/>
                <w:color w:val="auto"/>
                <w:spacing w:val="11"/>
                <w:position w:val="0"/>
                <w:sz w:val="24"/>
                <w:szCs w:val="21"/>
                <w:highlight w:val="none"/>
                <w:u w:val="single" w:color="auto"/>
              </w:rPr>
            </w:pPr>
            <w:r>
              <w:rPr>
                <w:rFonts w:hint="default" w:ascii="Times New Roman" w:hAnsi="Times New Roman" w:cs="Times New Roman" w:eastAsiaTheme="minorEastAsia"/>
                <w:color w:val="auto"/>
                <w:spacing w:val="11"/>
                <w:position w:val="0"/>
                <w:sz w:val="24"/>
                <w:szCs w:val="21"/>
                <w:highlight w:val="none"/>
                <w:u w:val="single" w:color="auto"/>
                <w:lang w:val="en-US" w:eastAsia="zh-CN"/>
              </w:rPr>
              <w:t>项目使用的生产设备均不属于《产业结构调整指导目录（2024年本）》中限制、淘汰类，符合国家产业政策要求。项目</w:t>
            </w:r>
            <w:r>
              <w:rPr>
                <w:rFonts w:hint="default" w:ascii="Times New Roman" w:hAnsi="Times New Roman" w:cs="Times New Roman" w:eastAsiaTheme="minorEastAsia"/>
                <w:color w:val="auto"/>
                <w:spacing w:val="11"/>
                <w:position w:val="0"/>
                <w:sz w:val="24"/>
                <w:szCs w:val="21"/>
                <w:highlight w:val="none"/>
                <w:u w:val="single" w:color="auto"/>
              </w:rPr>
              <w:t>生产设备情况详见表</w:t>
            </w:r>
            <w:r>
              <w:rPr>
                <w:rFonts w:hint="default" w:ascii="Times New Roman" w:hAnsi="Times New Roman" w:cs="Times New Roman" w:eastAsiaTheme="minorEastAsia"/>
                <w:color w:val="auto"/>
                <w:spacing w:val="11"/>
                <w:position w:val="0"/>
                <w:sz w:val="24"/>
                <w:szCs w:val="21"/>
                <w:highlight w:val="none"/>
                <w:u w:val="single" w:color="auto"/>
                <w:lang w:val="en-US" w:eastAsia="zh-CN"/>
              </w:rPr>
              <w:t>2</w:t>
            </w:r>
            <w:r>
              <w:rPr>
                <w:rFonts w:hint="default" w:ascii="Times New Roman" w:hAnsi="Times New Roman" w:cs="Times New Roman" w:eastAsiaTheme="minorEastAsia"/>
                <w:color w:val="auto"/>
                <w:spacing w:val="11"/>
                <w:position w:val="0"/>
                <w:sz w:val="24"/>
                <w:szCs w:val="21"/>
                <w:highlight w:val="none"/>
                <w:u w:val="single" w:color="auto"/>
              </w:rPr>
              <w:t>-</w:t>
            </w:r>
            <w:r>
              <w:rPr>
                <w:rFonts w:hint="eastAsia" w:cs="Times New Roman" w:eastAsiaTheme="minorEastAsia"/>
                <w:color w:val="auto"/>
                <w:spacing w:val="11"/>
                <w:position w:val="0"/>
                <w:sz w:val="24"/>
                <w:szCs w:val="21"/>
                <w:highlight w:val="none"/>
                <w:u w:val="single" w:color="auto"/>
                <w:lang w:val="en-US" w:eastAsia="zh-CN"/>
              </w:rPr>
              <w:t>3</w:t>
            </w:r>
            <w:r>
              <w:rPr>
                <w:rFonts w:hint="default" w:ascii="Times New Roman" w:hAnsi="Times New Roman" w:cs="Times New Roman" w:eastAsiaTheme="minorEastAsia"/>
                <w:color w:val="auto"/>
                <w:spacing w:val="11"/>
                <w:position w:val="0"/>
                <w:sz w:val="24"/>
                <w:szCs w:val="21"/>
                <w:highlight w:val="none"/>
                <w:u w:val="single" w:color="auto"/>
              </w:rPr>
              <w:t>。</w:t>
            </w:r>
          </w:p>
          <w:p w14:paraId="760BB6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auto"/>
                <w:spacing w:val="11"/>
                <w:position w:val="0"/>
                <w:sz w:val="21"/>
                <w:szCs w:val="21"/>
                <w:highlight w:val="none"/>
                <w:u w:val="single" w:color="auto"/>
              </w:rPr>
            </w:pPr>
            <w:r>
              <w:rPr>
                <w:rFonts w:hint="default" w:ascii="Times New Roman" w:hAnsi="Times New Roman" w:cs="Times New Roman" w:eastAsiaTheme="minorEastAsia"/>
                <w:b/>
                <w:color w:val="auto"/>
                <w:spacing w:val="11"/>
                <w:position w:val="0"/>
                <w:sz w:val="21"/>
                <w:szCs w:val="21"/>
                <w:highlight w:val="none"/>
                <w:u w:val="single" w:color="auto"/>
              </w:rPr>
              <w:t>表</w:t>
            </w:r>
            <w:r>
              <w:rPr>
                <w:rFonts w:hint="default" w:ascii="Times New Roman" w:hAnsi="Times New Roman" w:cs="Times New Roman" w:eastAsiaTheme="minorEastAsia"/>
                <w:b/>
                <w:color w:val="auto"/>
                <w:spacing w:val="11"/>
                <w:position w:val="0"/>
                <w:sz w:val="21"/>
                <w:szCs w:val="21"/>
                <w:highlight w:val="none"/>
                <w:u w:val="single" w:color="auto"/>
                <w:lang w:val="en-US" w:eastAsia="zh-CN"/>
              </w:rPr>
              <w:t>2</w:t>
            </w:r>
            <w:r>
              <w:rPr>
                <w:rFonts w:hint="default" w:ascii="Times New Roman" w:hAnsi="Times New Roman" w:cs="Times New Roman" w:eastAsiaTheme="minorEastAsia"/>
                <w:b/>
                <w:color w:val="auto"/>
                <w:spacing w:val="11"/>
                <w:position w:val="0"/>
                <w:sz w:val="21"/>
                <w:szCs w:val="21"/>
                <w:highlight w:val="none"/>
                <w:u w:val="single" w:color="auto"/>
              </w:rPr>
              <w:t>-</w:t>
            </w:r>
            <w:r>
              <w:rPr>
                <w:rFonts w:hint="eastAsia" w:cs="Times New Roman" w:eastAsiaTheme="minorEastAsia"/>
                <w:b/>
                <w:color w:val="auto"/>
                <w:spacing w:val="11"/>
                <w:position w:val="0"/>
                <w:sz w:val="21"/>
                <w:szCs w:val="21"/>
                <w:highlight w:val="none"/>
                <w:u w:val="single" w:color="auto"/>
                <w:lang w:val="en-US" w:eastAsia="zh-CN"/>
              </w:rPr>
              <w:t xml:space="preserve">3  </w:t>
            </w:r>
            <w:r>
              <w:rPr>
                <w:rFonts w:hint="default" w:ascii="Times New Roman" w:hAnsi="Times New Roman" w:cs="Times New Roman" w:eastAsiaTheme="minorEastAsia"/>
                <w:b/>
                <w:color w:val="auto"/>
                <w:spacing w:val="11"/>
                <w:position w:val="0"/>
                <w:sz w:val="21"/>
                <w:szCs w:val="21"/>
                <w:highlight w:val="none"/>
                <w:u w:val="single" w:color="auto"/>
              </w:rPr>
              <w:t>项目主要设备一览表</w:t>
            </w:r>
          </w:p>
          <w:tbl>
            <w:tblPr>
              <w:tblStyle w:val="24"/>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701"/>
              <w:gridCol w:w="2355"/>
              <w:gridCol w:w="2128"/>
              <w:gridCol w:w="1908"/>
              <w:gridCol w:w="1911"/>
            </w:tblGrid>
            <w:tr w14:paraId="64CBBC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389" w:type="pct"/>
                  <w:tcBorders>
                    <w:tl2br w:val="nil"/>
                    <w:tr2bl w:val="nil"/>
                  </w:tcBorders>
                  <w:shd w:val="clear" w:color="auto" w:fill="auto"/>
                  <w:vAlign w:val="center"/>
                </w:tcPr>
                <w:p w14:paraId="44A0E9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序号</w:t>
                  </w:r>
                </w:p>
              </w:tc>
              <w:tc>
                <w:tcPr>
                  <w:tcW w:w="1307" w:type="pct"/>
                  <w:tcBorders>
                    <w:tl2br w:val="nil"/>
                    <w:tr2bl w:val="nil"/>
                  </w:tcBorders>
                  <w:shd w:val="clear" w:color="auto" w:fill="auto"/>
                  <w:vAlign w:val="center"/>
                </w:tcPr>
                <w:p w14:paraId="42EC7A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名称</w:t>
                  </w:r>
                </w:p>
              </w:tc>
              <w:tc>
                <w:tcPr>
                  <w:tcW w:w="1181" w:type="pct"/>
                  <w:tcBorders>
                    <w:tl2br w:val="nil"/>
                    <w:tr2bl w:val="nil"/>
                  </w:tcBorders>
                  <w:shd w:val="clear" w:color="auto" w:fill="auto"/>
                  <w:vAlign w:val="center"/>
                </w:tcPr>
                <w:p w14:paraId="4222E7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规格型号</w:t>
                  </w:r>
                </w:p>
              </w:tc>
              <w:tc>
                <w:tcPr>
                  <w:tcW w:w="1059" w:type="pct"/>
                  <w:tcBorders>
                    <w:tl2br w:val="nil"/>
                    <w:tr2bl w:val="nil"/>
                  </w:tcBorders>
                  <w:shd w:val="clear" w:color="auto" w:fill="auto"/>
                  <w:vAlign w:val="center"/>
                </w:tcPr>
                <w:p w14:paraId="246BF2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设备数量（台）</w:t>
                  </w:r>
                </w:p>
              </w:tc>
              <w:tc>
                <w:tcPr>
                  <w:tcW w:w="1061" w:type="pct"/>
                  <w:tcBorders>
                    <w:tl2br w:val="nil"/>
                    <w:tr2bl w:val="nil"/>
                  </w:tcBorders>
                  <w:shd w:val="clear" w:color="auto" w:fill="auto"/>
                  <w:vAlign w:val="center"/>
                </w:tcPr>
                <w:p w14:paraId="07E5B6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r>
                    <w:rPr>
                      <w:rFonts w:hint="eastAsia" w:cs="Times New Roman"/>
                      <w:color w:val="auto"/>
                      <w:spacing w:val="11"/>
                      <w:sz w:val="21"/>
                      <w:szCs w:val="21"/>
                      <w:highlight w:val="none"/>
                      <w:u w:val="single" w:color="auto"/>
                      <w:lang w:val="en-US" w:eastAsia="zh-CN"/>
                    </w:rPr>
                    <w:t>备注</w:t>
                  </w:r>
                </w:p>
              </w:tc>
            </w:tr>
            <w:tr w14:paraId="3A3339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14:paraId="45C1C5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307" w:type="pct"/>
                  <w:tcBorders>
                    <w:tl2br w:val="nil"/>
                    <w:tr2bl w:val="nil"/>
                  </w:tcBorders>
                  <w:shd w:val="clear" w:color="auto" w:fill="auto"/>
                  <w:vAlign w:val="center"/>
                </w:tcPr>
                <w:p w14:paraId="200687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彩色超声诊断仪</w:t>
                  </w:r>
                </w:p>
              </w:tc>
              <w:tc>
                <w:tcPr>
                  <w:tcW w:w="1181" w:type="pct"/>
                  <w:tcBorders>
                    <w:tl2br w:val="nil"/>
                    <w:tr2bl w:val="nil"/>
                  </w:tcBorders>
                  <w:shd w:val="clear" w:color="auto" w:fill="auto"/>
                  <w:vAlign w:val="center"/>
                </w:tcPr>
                <w:p w14:paraId="23DDC5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GE Logiq F6</w:t>
                  </w:r>
                </w:p>
              </w:tc>
              <w:tc>
                <w:tcPr>
                  <w:tcW w:w="1059" w:type="pct"/>
                  <w:tcBorders>
                    <w:tl2br w:val="nil"/>
                    <w:tr2bl w:val="nil"/>
                  </w:tcBorders>
                  <w:shd w:val="clear" w:color="auto" w:fill="auto"/>
                  <w:vAlign w:val="center"/>
                </w:tcPr>
                <w:p w14:paraId="6E33CC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5</w:t>
                  </w:r>
                </w:p>
              </w:tc>
              <w:tc>
                <w:tcPr>
                  <w:tcW w:w="1061" w:type="pct"/>
                  <w:vMerge w:val="restart"/>
                  <w:tcBorders>
                    <w:tl2br w:val="nil"/>
                    <w:tr2bl w:val="nil"/>
                  </w:tcBorders>
                  <w:shd w:val="clear" w:color="auto" w:fill="auto"/>
                  <w:vAlign w:val="center"/>
                </w:tcPr>
                <w:p w14:paraId="286EB7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r>
                    <w:rPr>
                      <w:rFonts w:hint="default" w:ascii="Times New Roman" w:hAnsi="Times New Roman" w:eastAsia="宋体" w:cs="Times New Roman"/>
                      <w:color w:val="auto"/>
                      <w:spacing w:val="11"/>
                      <w:sz w:val="21"/>
                      <w:szCs w:val="21"/>
                      <w:highlight w:val="none"/>
                      <w:u w:val="single" w:color="auto"/>
                      <w:lang w:val="en-US" w:eastAsia="zh-CN"/>
                    </w:rPr>
                    <w:t>利用原有设备</w:t>
                  </w:r>
                </w:p>
              </w:tc>
            </w:tr>
            <w:tr w14:paraId="1D38F9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14:paraId="01C13E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w:t>
                  </w:r>
                </w:p>
              </w:tc>
              <w:tc>
                <w:tcPr>
                  <w:tcW w:w="1307" w:type="pct"/>
                  <w:tcBorders>
                    <w:tl2br w:val="nil"/>
                    <w:tr2bl w:val="nil"/>
                  </w:tcBorders>
                  <w:shd w:val="clear" w:color="auto" w:fill="auto"/>
                  <w:vAlign w:val="center"/>
                </w:tcPr>
                <w:p w14:paraId="08577E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除颤仪</w:t>
                  </w:r>
                </w:p>
              </w:tc>
              <w:tc>
                <w:tcPr>
                  <w:tcW w:w="1181" w:type="pct"/>
                  <w:tcBorders>
                    <w:tl2br w:val="nil"/>
                    <w:tr2bl w:val="nil"/>
                  </w:tcBorders>
                  <w:shd w:val="clear" w:color="auto" w:fill="auto"/>
                  <w:vAlign w:val="top"/>
                </w:tcPr>
                <w:p w14:paraId="3DEE2F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D3</w:t>
                  </w:r>
                </w:p>
              </w:tc>
              <w:tc>
                <w:tcPr>
                  <w:tcW w:w="1059" w:type="pct"/>
                  <w:tcBorders>
                    <w:tl2br w:val="nil"/>
                    <w:tr2bl w:val="nil"/>
                  </w:tcBorders>
                  <w:shd w:val="clear" w:color="auto" w:fill="auto"/>
                  <w:vAlign w:val="center"/>
                </w:tcPr>
                <w:p w14:paraId="666C15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14:paraId="5F547F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14:paraId="515A5C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330" w:hRule="atLeast"/>
              </w:trPr>
              <w:tc>
                <w:tcPr>
                  <w:tcW w:w="389" w:type="pct"/>
                  <w:tcBorders>
                    <w:tl2br w:val="nil"/>
                    <w:tr2bl w:val="nil"/>
                  </w:tcBorders>
                  <w:shd w:val="clear" w:color="auto" w:fill="auto"/>
                  <w:vAlign w:val="center"/>
                </w:tcPr>
                <w:p w14:paraId="4D815D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3</w:t>
                  </w:r>
                </w:p>
              </w:tc>
              <w:tc>
                <w:tcPr>
                  <w:tcW w:w="1307" w:type="pct"/>
                  <w:tcBorders>
                    <w:tl2br w:val="nil"/>
                    <w:tr2bl w:val="nil"/>
                  </w:tcBorders>
                  <w:shd w:val="clear" w:color="auto" w:fill="auto"/>
                  <w:vAlign w:val="center"/>
                </w:tcPr>
                <w:p w14:paraId="0F5632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心电监护仪</w:t>
                  </w:r>
                </w:p>
              </w:tc>
              <w:tc>
                <w:tcPr>
                  <w:tcW w:w="1181" w:type="pct"/>
                  <w:tcBorders>
                    <w:tl2br w:val="nil"/>
                    <w:tr2bl w:val="nil"/>
                  </w:tcBorders>
                  <w:shd w:val="clear" w:color="auto" w:fill="auto"/>
                  <w:vAlign w:val="top"/>
                </w:tcPr>
                <w:p w14:paraId="0F40D5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uMEC10</w:t>
                  </w:r>
                </w:p>
              </w:tc>
              <w:tc>
                <w:tcPr>
                  <w:tcW w:w="1059" w:type="pct"/>
                  <w:tcBorders>
                    <w:tl2br w:val="nil"/>
                    <w:tr2bl w:val="nil"/>
                  </w:tcBorders>
                  <w:shd w:val="clear" w:color="auto" w:fill="auto"/>
                  <w:vAlign w:val="center"/>
                </w:tcPr>
                <w:p w14:paraId="7D6CA5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14:paraId="524E84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14:paraId="7965B1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14:paraId="5DBF98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4</w:t>
                  </w:r>
                </w:p>
              </w:tc>
              <w:tc>
                <w:tcPr>
                  <w:tcW w:w="1307" w:type="pct"/>
                  <w:tcBorders>
                    <w:tl2br w:val="nil"/>
                    <w:tr2bl w:val="nil"/>
                  </w:tcBorders>
                  <w:shd w:val="clear" w:color="auto" w:fill="auto"/>
                  <w:vAlign w:val="center"/>
                </w:tcPr>
                <w:p w14:paraId="6B2C27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心电监护仪</w:t>
                  </w:r>
                </w:p>
              </w:tc>
              <w:tc>
                <w:tcPr>
                  <w:tcW w:w="1181" w:type="pct"/>
                  <w:tcBorders>
                    <w:tl2br w:val="nil"/>
                    <w:tr2bl w:val="nil"/>
                  </w:tcBorders>
                  <w:shd w:val="clear" w:color="auto" w:fill="auto"/>
                  <w:vAlign w:val="top"/>
                </w:tcPr>
                <w:p w14:paraId="62D1E7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8000E</w:t>
                  </w:r>
                </w:p>
              </w:tc>
              <w:tc>
                <w:tcPr>
                  <w:tcW w:w="1059" w:type="pct"/>
                  <w:tcBorders>
                    <w:tl2br w:val="nil"/>
                    <w:tr2bl w:val="nil"/>
                  </w:tcBorders>
                  <w:shd w:val="clear" w:color="auto" w:fill="auto"/>
                  <w:vAlign w:val="center"/>
                </w:tcPr>
                <w:p w14:paraId="69F4E5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14:paraId="5683CF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14:paraId="604BCD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5" w:hRule="atLeast"/>
              </w:trPr>
              <w:tc>
                <w:tcPr>
                  <w:tcW w:w="389" w:type="pct"/>
                  <w:tcBorders>
                    <w:tl2br w:val="nil"/>
                    <w:tr2bl w:val="nil"/>
                  </w:tcBorders>
                  <w:shd w:val="clear" w:color="auto" w:fill="auto"/>
                  <w:vAlign w:val="center"/>
                </w:tcPr>
                <w:p w14:paraId="459891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5</w:t>
                  </w:r>
                </w:p>
              </w:tc>
              <w:tc>
                <w:tcPr>
                  <w:tcW w:w="1307" w:type="pct"/>
                  <w:tcBorders>
                    <w:tl2br w:val="nil"/>
                    <w:tr2bl w:val="nil"/>
                  </w:tcBorders>
                  <w:shd w:val="clear" w:color="auto" w:fill="auto"/>
                  <w:vAlign w:val="center"/>
                </w:tcPr>
                <w:p w14:paraId="58BC3E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等离子体空气净化消毒机（移动消毒机）</w:t>
                  </w:r>
                </w:p>
              </w:tc>
              <w:tc>
                <w:tcPr>
                  <w:tcW w:w="1181" w:type="pct"/>
                  <w:tcBorders>
                    <w:tl2br w:val="nil"/>
                    <w:tr2bl w:val="nil"/>
                  </w:tcBorders>
                  <w:shd w:val="clear" w:color="auto" w:fill="auto"/>
                  <w:vAlign w:val="center"/>
                </w:tcPr>
                <w:p w14:paraId="55621A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LK/KJF-Y100-D</w:t>
                  </w:r>
                </w:p>
              </w:tc>
              <w:tc>
                <w:tcPr>
                  <w:tcW w:w="1059" w:type="pct"/>
                  <w:tcBorders>
                    <w:tl2br w:val="nil"/>
                    <w:tr2bl w:val="nil"/>
                  </w:tcBorders>
                  <w:shd w:val="clear" w:color="auto" w:fill="auto"/>
                  <w:vAlign w:val="center"/>
                </w:tcPr>
                <w:p w14:paraId="3CF50C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10</w:t>
                  </w:r>
                </w:p>
              </w:tc>
              <w:tc>
                <w:tcPr>
                  <w:tcW w:w="1061" w:type="pct"/>
                  <w:vMerge w:val="continue"/>
                  <w:tcBorders>
                    <w:tl2br w:val="nil"/>
                    <w:tr2bl w:val="nil"/>
                  </w:tcBorders>
                  <w:shd w:val="clear" w:color="auto" w:fill="auto"/>
                  <w:vAlign w:val="center"/>
                </w:tcPr>
                <w:p w14:paraId="0E138B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14:paraId="107CF3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14:paraId="3697FD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6</w:t>
                  </w:r>
                </w:p>
              </w:tc>
              <w:tc>
                <w:tcPr>
                  <w:tcW w:w="1307" w:type="pct"/>
                  <w:tcBorders>
                    <w:tl2br w:val="nil"/>
                    <w:tr2bl w:val="nil"/>
                  </w:tcBorders>
                  <w:shd w:val="clear" w:color="auto" w:fill="auto"/>
                  <w:vAlign w:val="center"/>
                </w:tcPr>
                <w:p w14:paraId="243254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洗胃机</w:t>
                  </w:r>
                </w:p>
              </w:tc>
              <w:tc>
                <w:tcPr>
                  <w:tcW w:w="1181" w:type="pct"/>
                  <w:tcBorders>
                    <w:tl2br w:val="nil"/>
                    <w:tr2bl w:val="nil"/>
                  </w:tcBorders>
                  <w:shd w:val="clear" w:color="auto" w:fill="auto"/>
                  <w:vAlign w:val="center"/>
                </w:tcPr>
                <w:p w14:paraId="3E39BE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7D</w:t>
                  </w:r>
                </w:p>
              </w:tc>
              <w:tc>
                <w:tcPr>
                  <w:tcW w:w="1059" w:type="pct"/>
                  <w:tcBorders>
                    <w:tl2br w:val="nil"/>
                    <w:tr2bl w:val="nil"/>
                  </w:tcBorders>
                  <w:shd w:val="clear" w:color="auto" w:fill="auto"/>
                  <w:vAlign w:val="center"/>
                </w:tcPr>
                <w:p w14:paraId="7F49D4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14:paraId="2512E1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14:paraId="42A860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14:paraId="4D505F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7</w:t>
                  </w:r>
                </w:p>
              </w:tc>
              <w:tc>
                <w:tcPr>
                  <w:tcW w:w="1307" w:type="pct"/>
                  <w:tcBorders>
                    <w:tl2br w:val="nil"/>
                    <w:tr2bl w:val="nil"/>
                  </w:tcBorders>
                  <w:shd w:val="clear" w:color="auto" w:fill="auto"/>
                  <w:vAlign w:val="center"/>
                </w:tcPr>
                <w:p w14:paraId="1379B2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心电图机</w:t>
                  </w:r>
                </w:p>
              </w:tc>
              <w:tc>
                <w:tcPr>
                  <w:tcW w:w="1181" w:type="pct"/>
                  <w:tcBorders>
                    <w:tl2br w:val="nil"/>
                    <w:tr2bl w:val="nil"/>
                  </w:tcBorders>
                  <w:shd w:val="clear" w:color="auto" w:fill="auto"/>
                  <w:vAlign w:val="center"/>
                </w:tcPr>
                <w:p w14:paraId="6B29DB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CM1200B</w:t>
                  </w:r>
                </w:p>
              </w:tc>
              <w:tc>
                <w:tcPr>
                  <w:tcW w:w="1059" w:type="pct"/>
                  <w:tcBorders>
                    <w:tl2br w:val="nil"/>
                    <w:tr2bl w:val="nil"/>
                  </w:tcBorders>
                  <w:shd w:val="clear" w:color="auto" w:fill="auto"/>
                  <w:vAlign w:val="center"/>
                </w:tcPr>
                <w:p w14:paraId="70ADD7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14:paraId="524ED5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14:paraId="3CE5EA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14:paraId="4B9113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8</w:t>
                  </w:r>
                </w:p>
              </w:tc>
              <w:tc>
                <w:tcPr>
                  <w:tcW w:w="1307" w:type="pct"/>
                  <w:tcBorders>
                    <w:tl2br w:val="nil"/>
                    <w:tr2bl w:val="nil"/>
                  </w:tcBorders>
                  <w:shd w:val="clear" w:color="auto" w:fill="auto"/>
                  <w:vAlign w:val="center"/>
                </w:tcPr>
                <w:p w14:paraId="1C515C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心电监护仪</w:t>
                  </w:r>
                </w:p>
              </w:tc>
              <w:tc>
                <w:tcPr>
                  <w:tcW w:w="1181" w:type="pct"/>
                  <w:tcBorders>
                    <w:tl2br w:val="nil"/>
                    <w:tr2bl w:val="nil"/>
                  </w:tcBorders>
                  <w:shd w:val="clear" w:color="auto" w:fill="auto"/>
                  <w:vAlign w:val="center"/>
                </w:tcPr>
                <w:p w14:paraId="5A5C24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iPM 5NEO</w:t>
                  </w:r>
                </w:p>
              </w:tc>
              <w:tc>
                <w:tcPr>
                  <w:tcW w:w="1059" w:type="pct"/>
                  <w:tcBorders>
                    <w:tl2br w:val="nil"/>
                    <w:tr2bl w:val="nil"/>
                  </w:tcBorders>
                  <w:shd w:val="clear" w:color="auto" w:fill="auto"/>
                  <w:vAlign w:val="center"/>
                </w:tcPr>
                <w:p w14:paraId="034648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w:t>
                  </w:r>
                </w:p>
              </w:tc>
              <w:tc>
                <w:tcPr>
                  <w:tcW w:w="1061" w:type="pct"/>
                  <w:vMerge w:val="continue"/>
                  <w:tcBorders>
                    <w:tl2br w:val="nil"/>
                    <w:tr2bl w:val="nil"/>
                  </w:tcBorders>
                  <w:shd w:val="clear" w:color="auto" w:fill="auto"/>
                  <w:vAlign w:val="center"/>
                </w:tcPr>
                <w:p w14:paraId="4FE940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14:paraId="7DCF8C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14:paraId="47119A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9</w:t>
                  </w:r>
                </w:p>
              </w:tc>
              <w:tc>
                <w:tcPr>
                  <w:tcW w:w="1307" w:type="pct"/>
                  <w:tcBorders>
                    <w:tl2br w:val="nil"/>
                    <w:tr2bl w:val="nil"/>
                  </w:tcBorders>
                  <w:shd w:val="clear" w:color="auto" w:fill="auto"/>
                  <w:vAlign w:val="center"/>
                </w:tcPr>
                <w:p w14:paraId="3C2820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电动吸痰器</w:t>
                  </w:r>
                </w:p>
              </w:tc>
              <w:tc>
                <w:tcPr>
                  <w:tcW w:w="1181" w:type="pct"/>
                  <w:tcBorders>
                    <w:tl2br w:val="nil"/>
                    <w:tr2bl w:val="nil"/>
                  </w:tcBorders>
                  <w:shd w:val="clear" w:color="auto" w:fill="auto"/>
                  <w:vAlign w:val="center"/>
                </w:tcPr>
                <w:p w14:paraId="54CADD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7A-23D</w:t>
                  </w:r>
                </w:p>
              </w:tc>
              <w:tc>
                <w:tcPr>
                  <w:tcW w:w="1059" w:type="pct"/>
                  <w:tcBorders>
                    <w:tl2br w:val="nil"/>
                    <w:tr2bl w:val="nil"/>
                  </w:tcBorders>
                  <w:shd w:val="clear" w:color="auto" w:fill="auto"/>
                  <w:vAlign w:val="center"/>
                </w:tcPr>
                <w:p w14:paraId="61D336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w:t>
                  </w:r>
                </w:p>
              </w:tc>
              <w:tc>
                <w:tcPr>
                  <w:tcW w:w="1061" w:type="pct"/>
                  <w:vMerge w:val="continue"/>
                  <w:tcBorders>
                    <w:tl2br w:val="nil"/>
                    <w:tr2bl w:val="nil"/>
                  </w:tcBorders>
                  <w:shd w:val="clear" w:color="auto" w:fill="auto"/>
                  <w:vAlign w:val="center"/>
                </w:tcPr>
                <w:p w14:paraId="0B9221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14:paraId="35B090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14:paraId="48C10E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10</w:t>
                  </w:r>
                </w:p>
              </w:tc>
              <w:tc>
                <w:tcPr>
                  <w:tcW w:w="1307" w:type="pct"/>
                  <w:tcBorders>
                    <w:tl2br w:val="nil"/>
                    <w:tr2bl w:val="nil"/>
                  </w:tcBorders>
                  <w:shd w:val="clear" w:color="auto" w:fill="auto"/>
                  <w:vAlign w:val="center"/>
                </w:tcPr>
                <w:p w14:paraId="381FD1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红外线血管成像仪</w:t>
                  </w:r>
                </w:p>
              </w:tc>
              <w:tc>
                <w:tcPr>
                  <w:tcW w:w="1181" w:type="pct"/>
                  <w:tcBorders>
                    <w:tl2br w:val="nil"/>
                    <w:tr2bl w:val="nil"/>
                  </w:tcBorders>
                  <w:shd w:val="clear" w:color="auto" w:fill="auto"/>
                  <w:vAlign w:val="center"/>
                </w:tcPr>
                <w:p w14:paraId="5DA376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VE-40</w:t>
                  </w:r>
                </w:p>
              </w:tc>
              <w:tc>
                <w:tcPr>
                  <w:tcW w:w="1059" w:type="pct"/>
                  <w:tcBorders>
                    <w:tl2br w:val="nil"/>
                    <w:tr2bl w:val="nil"/>
                  </w:tcBorders>
                  <w:shd w:val="clear" w:color="auto" w:fill="auto"/>
                  <w:vAlign w:val="center"/>
                </w:tcPr>
                <w:p w14:paraId="203BB6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14:paraId="51C630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14:paraId="5CC6BF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14:paraId="1B143D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11</w:t>
                  </w:r>
                </w:p>
              </w:tc>
              <w:tc>
                <w:tcPr>
                  <w:tcW w:w="1307" w:type="pct"/>
                  <w:tcBorders>
                    <w:tl2br w:val="nil"/>
                    <w:tr2bl w:val="nil"/>
                  </w:tcBorders>
                  <w:shd w:val="clear" w:color="auto" w:fill="auto"/>
                  <w:vAlign w:val="center"/>
                </w:tcPr>
                <w:p w14:paraId="5E83D1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震动排痰仪</w:t>
                  </w:r>
                </w:p>
              </w:tc>
              <w:tc>
                <w:tcPr>
                  <w:tcW w:w="1181" w:type="pct"/>
                  <w:tcBorders>
                    <w:tl2br w:val="nil"/>
                    <w:tr2bl w:val="nil"/>
                  </w:tcBorders>
                  <w:shd w:val="clear" w:color="auto" w:fill="auto"/>
                  <w:vAlign w:val="center"/>
                </w:tcPr>
                <w:p w14:paraId="72FA75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PTJQ-8000A</w:t>
                  </w:r>
                </w:p>
              </w:tc>
              <w:tc>
                <w:tcPr>
                  <w:tcW w:w="1059" w:type="pct"/>
                  <w:tcBorders>
                    <w:tl2br w:val="nil"/>
                    <w:tr2bl w:val="nil"/>
                  </w:tcBorders>
                  <w:shd w:val="clear" w:color="auto" w:fill="auto"/>
                  <w:vAlign w:val="center"/>
                </w:tcPr>
                <w:p w14:paraId="509B22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14:paraId="06F2BF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14:paraId="5CEC83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14:paraId="6D8C4A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12</w:t>
                  </w:r>
                </w:p>
              </w:tc>
              <w:tc>
                <w:tcPr>
                  <w:tcW w:w="1307" w:type="pct"/>
                  <w:tcBorders>
                    <w:tl2br w:val="nil"/>
                    <w:tr2bl w:val="nil"/>
                  </w:tcBorders>
                  <w:shd w:val="clear" w:color="auto" w:fill="auto"/>
                  <w:vAlign w:val="center"/>
                </w:tcPr>
                <w:p w14:paraId="005F78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黄疸测量仪</w:t>
                  </w:r>
                </w:p>
              </w:tc>
              <w:tc>
                <w:tcPr>
                  <w:tcW w:w="1181" w:type="pct"/>
                  <w:tcBorders>
                    <w:tl2br w:val="nil"/>
                    <w:tr2bl w:val="nil"/>
                  </w:tcBorders>
                  <w:shd w:val="clear" w:color="auto" w:fill="auto"/>
                  <w:vAlign w:val="center"/>
                </w:tcPr>
                <w:p w14:paraId="569E52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JH201C</w:t>
                  </w:r>
                </w:p>
              </w:tc>
              <w:tc>
                <w:tcPr>
                  <w:tcW w:w="1059" w:type="pct"/>
                  <w:tcBorders>
                    <w:tl2br w:val="nil"/>
                    <w:tr2bl w:val="nil"/>
                  </w:tcBorders>
                  <w:shd w:val="clear" w:color="auto" w:fill="auto"/>
                  <w:vAlign w:val="center"/>
                </w:tcPr>
                <w:p w14:paraId="691D4E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14:paraId="231612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14:paraId="0066A4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14:paraId="0A32AE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13</w:t>
                  </w:r>
                </w:p>
              </w:tc>
              <w:tc>
                <w:tcPr>
                  <w:tcW w:w="1307" w:type="pct"/>
                  <w:tcBorders>
                    <w:tl2br w:val="nil"/>
                    <w:tr2bl w:val="nil"/>
                  </w:tcBorders>
                  <w:shd w:val="clear" w:color="auto" w:fill="auto"/>
                  <w:vAlign w:val="center"/>
                </w:tcPr>
                <w:p w14:paraId="3DFCA5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有创呼吸机</w:t>
                  </w:r>
                </w:p>
              </w:tc>
              <w:tc>
                <w:tcPr>
                  <w:tcW w:w="1181" w:type="pct"/>
                  <w:tcBorders>
                    <w:tl2br w:val="nil"/>
                    <w:tr2bl w:val="nil"/>
                  </w:tcBorders>
                  <w:shd w:val="clear" w:color="auto" w:fill="auto"/>
                  <w:vAlign w:val="top"/>
                </w:tcPr>
                <w:p w14:paraId="153ED2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sophie-conventional</w:t>
                  </w:r>
                </w:p>
              </w:tc>
              <w:tc>
                <w:tcPr>
                  <w:tcW w:w="1059" w:type="pct"/>
                  <w:tcBorders>
                    <w:tl2br w:val="nil"/>
                    <w:tr2bl w:val="nil"/>
                  </w:tcBorders>
                  <w:shd w:val="clear" w:color="auto" w:fill="auto"/>
                  <w:vAlign w:val="center"/>
                </w:tcPr>
                <w:p w14:paraId="127FD3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w:t>
                  </w:r>
                </w:p>
              </w:tc>
              <w:tc>
                <w:tcPr>
                  <w:tcW w:w="1061" w:type="pct"/>
                  <w:vMerge w:val="continue"/>
                  <w:tcBorders>
                    <w:tl2br w:val="nil"/>
                    <w:tr2bl w:val="nil"/>
                  </w:tcBorders>
                  <w:shd w:val="clear" w:color="auto" w:fill="auto"/>
                  <w:vAlign w:val="center"/>
                </w:tcPr>
                <w:p w14:paraId="256B55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14:paraId="5FED2C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14:paraId="3F6FFD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14</w:t>
                  </w:r>
                </w:p>
              </w:tc>
              <w:tc>
                <w:tcPr>
                  <w:tcW w:w="1307" w:type="pct"/>
                  <w:tcBorders>
                    <w:tl2br w:val="nil"/>
                    <w:tr2bl w:val="nil"/>
                  </w:tcBorders>
                  <w:shd w:val="clear" w:color="auto" w:fill="auto"/>
                  <w:vAlign w:val="center"/>
                </w:tcPr>
                <w:p w14:paraId="104719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无创呼吸机</w:t>
                  </w:r>
                </w:p>
              </w:tc>
              <w:tc>
                <w:tcPr>
                  <w:tcW w:w="1181" w:type="pct"/>
                  <w:tcBorders>
                    <w:tl2br w:val="nil"/>
                    <w:tr2bl w:val="nil"/>
                  </w:tcBorders>
                  <w:shd w:val="clear" w:color="auto" w:fill="auto"/>
                  <w:vAlign w:val="top"/>
                </w:tcPr>
                <w:p w14:paraId="0727C2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3090（medin-cno）</w:t>
                  </w:r>
                </w:p>
              </w:tc>
              <w:tc>
                <w:tcPr>
                  <w:tcW w:w="1059" w:type="pct"/>
                  <w:tcBorders>
                    <w:tl2br w:val="nil"/>
                    <w:tr2bl w:val="nil"/>
                  </w:tcBorders>
                  <w:shd w:val="clear" w:color="auto" w:fill="auto"/>
                  <w:vAlign w:val="center"/>
                </w:tcPr>
                <w:p w14:paraId="51A353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w:t>
                  </w:r>
                </w:p>
              </w:tc>
              <w:tc>
                <w:tcPr>
                  <w:tcW w:w="1061" w:type="pct"/>
                  <w:vMerge w:val="continue"/>
                  <w:tcBorders>
                    <w:tl2br w:val="nil"/>
                    <w:tr2bl w:val="nil"/>
                  </w:tcBorders>
                  <w:shd w:val="clear" w:color="auto" w:fill="auto"/>
                  <w:vAlign w:val="center"/>
                </w:tcPr>
                <w:p w14:paraId="21D280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14:paraId="07E936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14:paraId="562F67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15</w:t>
                  </w:r>
                </w:p>
              </w:tc>
              <w:tc>
                <w:tcPr>
                  <w:tcW w:w="1307" w:type="pct"/>
                  <w:tcBorders>
                    <w:tl2br w:val="nil"/>
                    <w:tr2bl w:val="nil"/>
                  </w:tcBorders>
                  <w:shd w:val="clear" w:color="auto" w:fill="auto"/>
                  <w:vAlign w:val="center"/>
                </w:tcPr>
                <w:p w14:paraId="08EA31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心电监护仪</w:t>
                  </w:r>
                </w:p>
              </w:tc>
              <w:tc>
                <w:tcPr>
                  <w:tcW w:w="1181" w:type="pct"/>
                  <w:tcBorders>
                    <w:tl2br w:val="nil"/>
                    <w:tr2bl w:val="nil"/>
                  </w:tcBorders>
                  <w:shd w:val="clear" w:color="auto" w:fill="auto"/>
                  <w:vAlign w:val="center"/>
                </w:tcPr>
                <w:p w14:paraId="380F3D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X8</w:t>
                  </w:r>
                </w:p>
              </w:tc>
              <w:tc>
                <w:tcPr>
                  <w:tcW w:w="1059" w:type="pct"/>
                  <w:tcBorders>
                    <w:tl2br w:val="nil"/>
                    <w:tr2bl w:val="nil"/>
                  </w:tcBorders>
                  <w:shd w:val="clear" w:color="auto" w:fill="auto"/>
                  <w:vAlign w:val="center"/>
                </w:tcPr>
                <w:p w14:paraId="176B1A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10</w:t>
                  </w:r>
                </w:p>
              </w:tc>
              <w:tc>
                <w:tcPr>
                  <w:tcW w:w="1061" w:type="pct"/>
                  <w:vMerge w:val="continue"/>
                  <w:tcBorders>
                    <w:tl2br w:val="nil"/>
                    <w:tr2bl w:val="nil"/>
                  </w:tcBorders>
                  <w:shd w:val="clear" w:color="auto" w:fill="auto"/>
                  <w:vAlign w:val="center"/>
                </w:tcPr>
                <w:p w14:paraId="76ECF1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14:paraId="7624F6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14:paraId="1CA2E8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16</w:t>
                  </w:r>
                </w:p>
              </w:tc>
              <w:tc>
                <w:tcPr>
                  <w:tcW w:w="1307" w:type="pct"/>
                  <w:tcBorders>
                    <w:tl2br w:val="nil"/>
                    <w:tr2bl w:val="nil"/>
                  </w:tcBorders>
                  <w:shd w:val="clear" w:color="auto" w:fill="auto"/>
                  <w:vAlign w:val="center"/>
                </w:tcPr>
                <w:p w14:paraId="48EB26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空气波压力循环治疗仪</w:t>
                  </w:r>
                </w:p>
              </w:tc>
              <w:tc>
                <w:tcPr>
                  <w:tcW w:w="1181" w:type="pct"/>
                  <w:tcBorders>
                    <w:tl2br w:val="nil"/>
                    <w:tr2bl w:val="nil"/>
                  </w:tcBorders>
                  <w:shd w:val="clear" w:color="auto" w:fill="auto"/>
                  <w:vAlign w:val="center"/>
                </w:tcPr>
                <w:p w14:paraId="07054D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AP1000</w:t>
                  </w:r>
                </w:p>
              </w:tc>
              <w:tc>
                <w:tcPr>
                  <w:tcW w:w="1059" w:type="pct"/>
                  <w:tcBorders>
                    <w:tl2br w:val="nil"/>
                    <w:tr2bl w:val="nil"/>
                  </w:tcBorders>
                  <w:shd w:val="clear" w:color="auto" w:fill="auto"/>
                  <w:vAlign w:val="center"/>
                </w:tcPr>
                <w:p w14:paraId="735668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14:paraId="5EE5AD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14:paraId="490AAC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14:paraId="385115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17</w:t>
                  </w:r>
                </w:p>
              </w:tc>
              <w:tc>
                <w:tcPr>
                  <w:tcW w:w="1307" w:type="pct"/>
                  <w:tcBorders>
                    <w:tl2br w:val="nil"/>
                    <w:tr2bl w:val="nil"/>
                  </w:tcBorders>
                  <w:shd w:val="clear" w:color="auto" w:fill="auto"/>
                  <w:vAlign w:val="center"/>
                </w:tcPr>
                <w:p w14:paraId="17F9C5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盆底康复评估仪</w:t>
                  </w:r>
                </w:p>
              </w:tc>
              <w:tc>
                <w:tcPr>
                  <w:tcW w:w="1181" w:type="pct"/>
                  <w:tcBorders>
                    <w:tl2br w:val="nil"/>
                    <w:tr2bl w:val="nil"/>
                  </w:tcBorders>
                  <w:shd w:val="clear" w:color="auto" w:fill="auto"/>
                  <w:vAlign w:val="center"/>
                </w:tcPr>
                <w:p w14:paraId="18FA6F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MLDA2</w:t>
                  </w:r>
                </w:p>
              </w:tc>
              <w:tc>
                <w:tcPr>
                  <w:tcW w:w="1059" w:type="pct"/>
                  <w:tcBorders>
                    <w:tl2br w:val="nil"/>
                    <w:tr2bl w:val="nil"/>
                  </w:tcBorders>
                  <w:shd w:val="clear" w:color="auto" w:fill="auto"/>
                  <w:vAlign w:val="center"/>
                </w:tcPr>
                <w:p w14:paraId="7399C0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14:paraId="3449F6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14:paraId="3325EC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14:paraId="0F3039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18</w:t>
                  </w:r>
                </w:p>
              </w:tc>
              <w:tc>
                <w:tcPr>
                  <w:tcW w:w="1307" w:type="pct"/>
                  <w:tcBorders>
                    <w:tl2br w:val="nil"/>
                    <w:tr2bl w:val="nil"/>
                  </w:tcBorders>
                  <w:shd w:val="clear" w:color="auto" w:fill="auto"/>
                  <w:vAlign w:val="center"/>
                </w:tcPr>
                <w:p w14:paraId="59F585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盆底康复治疗仪</w:t>
                  </w:r>
                </w:p>
              </w:tc>
              <w:tc>
                <w:tcPr>
                  <w:tcW w:w="1181" w:type="pct"/>
                  <w:tcBorders>
                    <w:tl2br w:val="nil"/>
                    <w:tr2bl w:val="nil"/>
                  </w:tcBorders>
                  <w:shd w:val="clear" w:color="auto" w:fill="auto"/>
                  <w:vAlign w:val="center"/>
                </w:tcPr>
                <w:p w14:paraId="539695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MLDB4</w:t>
                  </w:r>
                </w:p>
              </w:tc>
              <w:tc>
                <w:tcPr>
                  <w:tcW w:w="1059" w:type="pct"/>
                  <w:tcBorders>
                    <w:tl2br w:val="nil"/>
                    <w:tr2bl w:val="nil"/>
                  </w:tcBorders>
                  <w:shd w:val="clear" w:color="auto" w:fill="auto"/>
                  <w:vAlign w:val="center"/>
                </w:tcPr>
                <w:p w14:paraId="57C9C5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14:paraId="56EEA8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14:paraId="621FB0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14:paraId="0321C8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19</w:t>
                  </w:r>
                </w:p>
              </w:tc>
              <w:tc>
                <w:tcPr>
                  <w:tcW w:w="1307" w:type="pct"/>
                  <w:tcBorders>
                    <w:tl2br w:val="nil"/>
                    <w:tr2bl w:val="nil"/>
                  </w:tcBorders>
                  <w:shd w:val="clear" w:color="auto" w:fill="auto"/>
                  <w:vAlign w:val="center"/>
                </w:tcPr>
                <w:p w14:paraId="324A5A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胎心监护仪</w:t>
                  </w:r>
                </w:p>
              </w:tc>
              <w:tc>
                <w:tcPr>
                  <w:tcW w:w="1181" w:type="pct"/>
                  <w:tcBorders>
                    <w:tl2br w:val="nil"/>
                    <w:tr2bl w:val="nil"/>
                  </w:tcBorders>
                  <w:shd w:val="clear" w:color="auto" w:fill="auto"/>
                  <w:vAlign w:val="center"/>
                </w:tcPr>
                <w:p w14:paraId="7B66A7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STAR5000</w:t>
                  </w:r>
                </w:p>
              </w:tc>
              <w:tc>
                <w:tcPr>
                  <w:tcW w:w="1059" w:type="pct"/>
                  <w:tcBorders>
                    <w:tl2br w:val="nil"/>
                    <w:tr2bl w:val="nil"/>
                  </w:tcBorders>
                  <w:shd w:val="clear" w:color="auto" w:fill="auto"/>
                  <w:vAlign w:val="center"/>
                </w:tcPr>
                <w:p w14:paraId="47EAF4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14:paraId="382A80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14:paraId="673FAF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14:paraId="7AA6F8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20</w:t>
                  </w:r>
                </w:p>
              </w:tc>
              <w:tc>
                <w:tcPr>
                  <w:tcW w:w="1307" w:type="pct"/>
                  <w:tcBorders>
                    <w:tl2br w:val="nil"/>
                    <w:tr2bl w:val="nil"/>
                  </w:tcBorders>
                  <w:shd w:val="clear" w:color="auto" w:fill="auto"/>
                  <w:vAlign w:val="center"/>
                </w:tcPr>
                <w:p w14:paraId="6BFB64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心电监护仪</w:t>
                  </w:r>
                </w:p>
              </w:tc>
              <w:tc>
                <w:tcPr>
                  <w:tcW w:w="1181" w:type="pct"/>
                  <w:tcBorders>
                    <w:tl2br w:val="nil"/>
                    <w:tr2bl w:val="nil"/>
                  </w:tcBorders>
                  <w:shd w:val="clear" w:color="auto" w:fill="auto"/>
                  <w:vAlign w:val="center"/>
                </w:tcPr>
                <w:p w14:paraId="442825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MEC-1000</w:t>
                  </w:r>
                </w:p>
              </w:tc>
              <w:tc>
                <w:tcPr>
                  <w:tcW w:w="1059" w:type="pct"/>
                  <w:tcBorders>
                    <w:tl2br w:val="nil"/>
                    <w:tr2bl w:val="nil"/>
                  </w:tcBorders>
                  <w:shd w:val="clear" w:color="auto" w:fill="auto"/>
                  <w:vAlign w:val="center"/>
                </w:tcPr>
                <w:p w14:paraId="230E0E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5</w:t>
                  </w:r>
                </w:p>
              </w:tc>
              <w:tc>
                <w:tcPr>
                  <w:tcW w:w="1061" w:type="pct"/>
                  <w:vMerge w:val="continue"/>
                  <w:tcBorders>
                    <w:tl2br w:val="nil"/>
                    <w:tr2bl w:val="nil"/>
                  </w:tcBorders>
                  <w:shd w:val="clear" w:color="auto" w:fill="auto"/>
                  <w:vAlign w:val="center"/>
                </w:tcPr>
                <w:p w14:paraId="2B7479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14:paraId="3A4930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14:paraId="40BECE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21</w:t>
                  </w:r>
                </w:p>
              </w:tc>
              <w:tc>
                <w:tcPr>
                  <w:tcW w:w="1307" w:type="pct"/>
                  <w:tcBorders>
                    <w:tl2br w:val="nil"/>
                    <w:tr2bl w:val="nil"/>
                  </w:tcBorders>
                  <w:shd w:val="clear" w:color="auto" w:fill="auto"/>
                  <w:vAlign w:val="center"/>
                </w:tcPr>
                <w:p w14:paraId="3D2C25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层流床（电动病床）</w:t>
                  </w:r>
                </w:p>
              </w:tc>
              <w:tc>
                <w:tcPr>
                  <w:tcW w:w="1181" w:type="pct"/>
                  <w:tcBorders>
                    <w:tl2br w:val="nil"/>
                    <w:tr2bl w:val="nil"/>
                  </w:tcBorders>
                  <w:shd w:val="clear" w:color="auto" w:fill="auto"/>
                  <w:vAlign w:val="center"/>
                </w:tcPr>
                <w:p w14:paraId="01B60F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SLV-B4110</w:t>
                  </w:r>
                </w:p>
              </w:tc>
              <w:tc>
                <w:tcPr>
                  <w:tcW w:w="1059" w:type="pct"/>
                  <w:tcBorders>
                    <w:tl2br w:val="nil"/>
                    <w:tr2bl w:val="nil"/>
                  </w:tcBorders>
                  <w:shd w:val="clear" w:color="auto" w:fill="auto"/>
                  <w:vAlign w:val="center"/>
                </w:tcPr>
                <w:p w14:paraId="1A18F6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w:t>
                  </w:r>
                </w:p>
              </w:tc>
              <w:tc>
                <w:tcPr>
                  <w:tcW w:w="1061" w:type="pct"/>
                  <w:vMerge w:val="continue"/>
                  <w:tcBorders>
                    <w:tl2br w:val="nil"/>
                    <w:tr2bl w:val="nil"/>
                  </w:tcBorders>
                  <w:shd w:val="clear" w:color="auto" w:fill="auto"/>
                  <w:vAlign w:val="center"/>
                </w:tcPr>
                <w:p w14:paraId="369287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14:paraId="7A23D4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14:paraId="6595B8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22</w:t>
                  </w:r>
                </w:p>
              </w:tc>
              <w:tc>
                <w:tcPr>
                  <w:tcW w:w="1307" w:type="pct"/>
                  <w:tcBorders>
                    <w:tl2br w:val="nil"/>
                    <w:tr2bl w:val="nil"/>
                  </w:tcBorders>
                  <w:shd w:val="clear" w:color="auto" w:fill="auto"/>
                  <w:vAlign w:val="center"/>
                </w:tcPr>
                <w:p w14:paraId="26F43C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心电监护仪</w:t>
                  </w:r>
                </w:p>
              </w:tc>
              <w:tc>
                <w:tcPr>
                  <w:tcW w:w="1181" w:type="pct"/>
                  <w:tcBorders>
                    <w:tl2br w:val="nil"/>
                    <w:tr2bl w:val="nil"/>
                  </w:tcBorders>
                  <w:shd w:val="clear" w:color="auto" w:fill="auto"/>
                  <w:vAlign w:val="center"/>
                </w:tcPr>
                <w:p w14:paraId="2D39B9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MEC-1000</w:t>
                  </w:r>
                </w:p>
              </w:tc>
              <w:tc>
                <w:tcPr>
                  <w:tcW w:w="1059" w:type="pct"/>
                  <w:tcBorders>
                    <w:tl2br w:val="nil"/>
                    <w:tr2bl w:val="nil"/>
                  </w:tcBorders>
                  <w:shd w:val="clear" w:color="auto" w:fill="auto"/>
                  <w:vAlign w:val="center"/>
                </w:tcPr>
                <w:p w14:paraId="0B74FB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3</w:t>
                  </w:r>
                </w:p>
              </w:tc>
              <w:tc>
                <w:tcPr>
                  <w:tcW w:w="1061" w:type="pct"/>
                  <w:vMerge w:val="continue"/>
                  <w:tcBorders>
                    <w:tl2br w:val="nil"/>
                    <w:tr2bl w:val="nil"/>
                  </w:tcBorders>
                  <w:shd w:val="clear" w:color="auto" w:fill="auto"/>
                  <w:vAlign w:val="center"/>
                </w:tcPr>
                <w:p w14:paraId="6B403D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14:paraId="0237A9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14:paraId="073101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23</w:t>
                  </w:r>
                </w:p>
              </w:tc>
              <w:tc>
                <w:tcPr>
                  <w:tcW w:w="1307" w:type="pct"/>
                  <w:tcBorders>
                    <w:tl2br w:val="nil"/>
                    <w:tr2bl w:val="nil"/>
                  </w:tcBorders>
                  <w:shd w:val="clear" w:color="auto" w:fill="auto"/>
                  <w:vAlign w:val="center"/>
                </w:tcPr>
                <w:p w14:paraId="532613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电动牵引床</w:t>
                  </w:r>
                </w:p>
              </w:tc>
              <w:tc>
                <w:tcPr>
                  <w:tcW w:w="1181" w:type="pct"/>
                  <w:tcBorders>
                    <w:tl2br w:val="nil"/>
                    <w:tr2bl w:val="nil"/>
                  </w:tcBorders>
                  <w:shd w:val="clear" w:color="auto" w:fill="auto"/>
                  <w:vAlign w:val="center"/>
                </w:tcPr>
                <w:p w14:paraId="3B117B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WRAI</w:t>
                  </w:r>
                </w:p>
              </w:tc>
              <w:tc>
                <w:tcPr>
                  <w:tcW w:w="1059" w:type="pct"/>
                  <w:tcBorders>
                    <w:tl2br w:val="nil"/>
                    <w:tr2bl w:val="nil"/>
                  </w:tcBorders>
                  <w:shd w:val="clear" w:color="auto" w:fill="auto"/>
                  <w:vAlign w:val="center"/>
                </w:tcPr>
                <w:p w14:paraId="0AFF44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4</w:t>
                  </w:r>
                </w:p>
              </w:tc>
              <w:tc>
                <w:tcPr>
                  <w:tcW w:w="1061" w:type="pct"/>
                  <w:vMerge w:val="continue"/>
                  <w:tcBorders>
                    <w:tl2br w:val="nil"/>
                    <w:tr2bl w:val="nil"/>
                  </w:tcBorders>
                  <w:shd w:val="clear" w:color="auto" w:fill="auto"/>
                  <w:vAlign w:val="center"/>
                </w:tcPr>
                <w:p w14:paraId="27E9F1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14:paraId="33F2B4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14:paraId="20B3D5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24</w:t>
                  </w:r>
                </w:p>
              </w:tc>
              <w:tc>
                <w:tcPr>
                  <w:tcW w:w="1307" w:type="pct"/>
                  <w:tcBorders>
                    <w:tl2br w:val="nil"/>
                    <w:tr2bl w:val="nil"/>
                  </w:tcBorders>
                  <w:shd w:val="clear" w:color="auto" w:fill="auto"/>
                  <w:vAlign w:val="center"/>
                </w:tcPr>
                <w:p w14:paraId="1DD2FD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骨创伤治疗仪</w:t>
                  </w:r>
                </w:p>
              </w:tc>
              <w:tc>
                <w:tcPr>
                  <w:tcW w:w="1181" w:type="pct"/>
                  <w:tcBorders>
                    <w:tl2br w:val="nil"/>
                    <w:tr2bl w:val="nil"/>
                  </w:tcBorders>
                  <w:shd w:val="clear" w:color="auto" w:fill="auto"/>
                  <w:vAlign w:val="center"/>
                </w:tcPr>
                <w:p w14:paraId="2C2287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BL-G02型</w:t>
                  </w:r>
                </w:p>
              </w:tc>
              <w:tc>
                <w:tcPr>
                  <w:tcW w:w="1059" w:type="pct"/>
                  <w:tcBorders>
                    <w:tl2br w:val="nil"/>
                    <w:tr2bl w:val="nil"/>
                  </w:tcBorders>
                  <w:shd w:val="clear" w:color="auto" w:fill="auto"/>
                  <w:vAlign w:val="center"/>
                </w:tcPr>
                <w:p w14:paraId="55B331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w:t>
                  </w:r>
                </w:p>
              </w:tc>
              <w:tc>
                <w:tcPr>
                  <w:tcW w:w="1061" w:type="pct"/>
                  <w:vMerge w:val="continue"/>
                  <w:tcBorders>
                    <w:tl2br w:val="nil"/>
                    <w:tr2bl w:val="nil"/>
                  </w:tcBorders>
                  <w:shd w:val="clear" w:color="auto" w:fill="auto"/>
                  <w:vAlign w:val="center"/>
                </w:tcPr>
                <w:p w14:paraId="5AFE76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14:paraId="17B4F7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14:paraId="7ECB1F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25</w:t>
                  </w:r>
                </w:p>
              </w:tc>
              <w:tc>
                <w:tcPr>
                  <w:tcW w:w="1307" w:type="pct"/>
                  <w:tcBorders>
                    <w:tl2br w:val="nil"/>
                    <w:tr2bl w:val="nil"/>
                  </w:tcBorders>
                  <w:shd w:val="clear" w:color="auto" w:fill="auto"/>
                  <w:vAlign w:val="center"/>
                </w:tcPr>
                <w:p w14:paraId="7D9C8D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骨伤理疗机</w:t>
                  </w:r>
                </w:p>
              </w:tc>
              <w:tc>
                <w:tcPr>
                  <w:tcW w:w="1181" w:type="pct"/>
                  <w:tcBorders>
                    <w:tl2br w:val="nil"/>
                    <w:tr2bl w:val="nil"/>
                  </w:tcBorders>
                  <w:shd w:val="clear" w:color="auto" w:fill="auto"/>
                  <w:vAlign w:val="top"/>
                </w:tcPr>
                <w:p w14:paraId="2320EC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HB-ZP1</w:t>
                  </w:r>
                </w:p>
              </w:tc>
              <w:tc>
                <w:tcPr>
                  <w:tcW w:w="1059" w:type="pct"/>
                  <w:tcBorders>
                    <w:tl2br w:val="nil"/>
                    <w:tr2bl w:val="nil"/>
                  </w:tcBorders>
                  <w:shd w:val="clear" w:color="auto" w:fill="auto"/>
                  <w:vAlign w:val="center"/>
                </w:tcPr>
                <w:p w14:paraId="55C210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w:t>
                  </w:r>
                </w:p>
              </w:tc>
              <w:tc>
                <w:tcPr>
                  <w:tcW w:w="1061" w:type="pct"/>
                  <w:vMerge w:val="continue"/>
                  <w:tcBorders>
                    <w:tl2br w:val="nil"/>
                    <w:tr2bl w:val="nil"/>
                  </w:tcBorders>
                  <w:shd w:val="clear" w:color="auto" w:fill="auto"/>
                  <w:vAlign w:val="center"/>
                </w:tcPr>
                <w:p w14:paraId="1E5F46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14:paraId="6D4116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14:paraId="468528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26</w:t>
                  </w:r>
                </w:p>
              </w:tc>
              <w:tc>
                <w:tcPr>
                  <w:tcW w:w="1307" w:type="pct"/>
                  <w:tcBorders>
                    <w:tl2br w:val="nil"/>
                    <w:tr2bl w:val="nil"/>
                  </w:tcBorders>
                  <w:shd w:val="clear" w:color="auto" w:fill="auto"/>
                  <w:vAlign w:val="center"/>
                </w:tcPr>
                <w:p w14:paraId="5A20BD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小儿输尿管镜</w:t>
                  </w:r>
                </w:p>
              </w:tc>
              <w:tc>
                <w:tcPr>
                  <w:tcW w:w="1181" w:type="pct"/>
                  <w:tcBorders>
                    <w:tl2br w:val="nil"/>
                    <w:tr2bl w:val="nil"/>
                  </w:tcBorders>
                  <w:shd w:val="clear" w:color="auto" w:fill="auto"/>
                  <w:vAlign w:val="center"/>
                </w:tcPr>
                <w:p w14:paraId="48852A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8702.534</w:t>
                  </w:r>
                </w:p>
              </w:tc>
              <w:tc>
                <w:tcPr>
                  <w:tcW w:w="1059" w:type="pct"/>
                  <w:tcBorders>
                    <w:tl2br w:val="nil"/>
                    <w:tr2bl w:val="nil"/>
                  </w:tcBorders>
                  <w:shd w:val="clear" w:color="auto" w:fill="auto"/>
                  <w:vAlign w:val="center"/>
                </w:tcPr>
                <w:p w14:paraId="7F3C06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14:paraId="3084FD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14:paraId="365675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14:paraId="724A66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27</w:t>
                  </w:r>
                </w:p>
              </w:tc>
              <w:tc>
                <w:tcPr>
                  <w:tcW w:w="1307" w:type="pct"/>
                  <w:tcBorders>
                    <w:tl2br w:val="nil"/>
                    <w:tr2bl w:val="nil"/>
                  </w:tcBorders>
                  <w:shd w:val="clear" w:color="auto" w:fill="auto"/>
                  <w:vAlign w:val="center"/>
                </w:tcPr>
                <w:p w14:paraId="632DA6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腔镜显示系统</w:t>
                  </w:r>
                </w:p>
              </w:tc>
              <w:tc>
                <w:tcPr>
                  <w:tcW w:w="1181" w:type="pct"/>
                  <w:tcBorders>
                    <w:tl2br w:val="nil"/>
                    <w:tr2bl w:val="nil"/>
                  </w:tcBorders>
                  <w:shd w:val="clear" w:color="auto" w:fill="auto"/>
                  <w:vAlign w:val="top"/>
                </w:tcPr>
                <w:p w14:paraId="57FC3A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（摄像系统、冷光源）</w:t>
                  </w:r>
                </w:p>
              </w:tc>
              <w:tc>
                <w:tcPr>
                  <w:tcW w:w="1059" w:type="pct"/>
                  <w:tcBorders>
                    <w:tl2br w:val="nil"/>
                    <w:tr2bl w:val="nil"/>
                  </w:tcBorders>
                  <w:shd w:val="clear" w:color="auto" w:fill="auto"/>
                  <w:vAlign w:val="center"/>
                </w:tcPr>
                <w:p w14:paraId="48F0BE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14:paraId="0A80BA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14:paraId="393B03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14:paraId="6D7263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28</w:t>
                  </w:r>
                </w:p>
              </w:tc>
              <w:tc>
                <w:tcPr>
                  <w:tcW w:w="1307" w:type="pct"/>
                  <w:tcBorders>
                    <w:tl2br w:val="nil"/>
                    <w:tr2bl w:val="nil"/>
                  </w:tcBorders>
                  <w:shd w:val="clear" w:color="auto" w:fill="auto"/>
                  <w:vAlign w:val="center"/>
                </w:tcPr>
                <w:p w14:paraId="4CC578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体外除颤监护仪</w:t>
                  </w:r>
                </w:p>
              </w:tc>
              <w:tc>
                <w:tcPr>
                  <w:tcW w:w="1181" w:type="pct"/>
                  <w:tcBorders>
                    <w:tl2br w:val="nil"/>
                    <w:tr2bl w:val="nil"/>
                  </w:tcBorders>
                  <w:shd w:val="clear" w:color="auto" w:fill="auto"/>
                  <w:vAlign w:val="center"/>
                </w:tcPr>
                <w:p w14:paraId="481716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S6</w:t>
                  </w:r>
                </w:p>
              </w:tc>
              <w:tc>
                <w:tcPr>
                  <w:tcW w:w="1059" w:type="pct"/>
                  <w:tcBorders>
                    <w:tl2br w:val="nil"/>
                    <w:tr2bl w:val="nil"/>
                  </w:tcBorders>
                  <w:shd w:val="clear" w:color="auto" w:fill="auto"/>
                  <w:vAlign w:val="center"/>
                </w:tcPr>
                <w:p w14:paraId="63DCE7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5</w:t>
                  </w:r>
                </w:p>
              </w:tc>
              <w:tc>
                <w:tcPr>
                  <w:tcW w:w="1061" w:type="pct"/>
                  <w:vMerge w:val="continue"/>
                  <w:tcBorders>
                    <w:tl2br w:val="nil"/>
                    <w:tr2bl w:val="nil"/>
                  </w:tcBorders>
                  <w:shd w:val="clear" w:color="auto" w:fill="auto"/>
                  <w:vAlign w:val="center"/>
                </w:tcPr>
                <w:p w14:paraId="4C4143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14:paraId="2C6A13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14:paraId="7E61E0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29</w:t>
                  </w:r>
                </w:p>
              </w:tc>
              <w:tc>
                <w:tcPr>
                  <w:tcW w:w="1307" w:type="pct"/>
                  <w:tcBorders>
                    <w:tl2br w:val="nil"/>
                    <w:tr2bl w:val="nil"/>
                  </w:tcBorders>
                  <w:shd w:val="clear" w:color="auto" w:fill="auto"/>
                  <w:vAlign w:val="center"/>
                </w:tcPr>
                <w:p w14:paraId="6BD710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供氧系统</w:t>
                  </w:r>
                </w:p>
              </w:tc>
              <w:tc>
                <w:tcPr>
                  <w:tcW w:w="1181" w:type="pct"/>
                  <w:tcBorders>
                    <w:tl2br w:val="nil"/>
                    <w:tr2bl w:val="nil"/>
                  </w:tcBorders>
                  <w:shd w:val="clear" w:color="auto" w:fill="auto"/>
                  <w:vAlign w:val="center"/>
                </w:tcPr>
                <w:p w14:paraId="06A4A1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w:t>
                  </w:r>
                </w:p>
              </w:tc>
              <w:tc>
                <w:tcPr>
                  <w:tcW w:w="1059" w:type="pct"/>
                  <w:tcBorders>
                    <w:tl2br w:val="nil"/>
                    <w:tr2bl w:val="nil"/>
                  </w:tcBorders>
                  <w:shd w:val="clear" w:color="auto" w:fill="auto"/>
                  <w:vAlign w:val="center"/>
                </w:tcPr>
                <w:p w14:paraId="7DEA6A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14:paraId="71BFDE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14:paraId="07FEF9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14:paraId="526753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30</w:t>
                  </w:r>
                </w:p>
              </w:tc>
              <w:tc>
                <w:tcPr>
                  <w:tcW w:w="1307" w:type="pct"/>
                  <w:tcBorders>
                    <w:tl2br w:val="nil"/>
                    <w:tr2bl w:val="nil"/>
                  </w:tcBorders>
                  <w:shd w:val="clear" w:color="auto" w:fill="auto"/>
                  <w:vAlign w:val="center"/>
                </w:tcPr>
                <w:p w14:paraId="018E65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输液泵</w:t>
                  </w:r>
                </w:p>
              </w:tc>
              <w:tc>
                <w:tcPr>
                  <w:tcW w:w="1181" w:type="pct"/>
                  <w:tcBorders>
                    <w:tl2br w:val="nil"/>
                    <w:tr2bl w:val="nil"/>
                  </w:tcBorders>
                  <w:shd w:val="clear" w:color="auto" w:fill="auto"/>
                  <w:vAlign w:val="center"/>
                </w:tcPr>
                <w:p w14:paraId="7EE5B1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BYS-820</w:t>
                  </w:r>
                </w:p>
              </w:tc>
              <w:tc>
                <w:tcPr>
                  <w:tcW w:w="1059" w:type="pct"/>
                  <w:tcBorders>
                    <w:tl2br w:val="nil"/>
                    <w:tr2bl w:val="nil"/>
                  </w:tcBorders>
                  <w:shd w:val="clear" w:color="auto" w:fill="auto"/>
                  <w:vAlign w:val="center"/>
                </w:tcPr>
                <w:p w14:paraId="643AFA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10</w:t>
                  </w:r>
                </w:p>
              </w:tc>
              <w:tc>
                <w:tcPr>
                  <w:tcW w:w="1061" w:type="pct"/>
                  <w:vMerge w:val="continue"/>
                  <w:tcBorders>
                    <w:tl2br w:val="nil"/>
                    <w:tr2bl w:val="nil"/>
                  </w:tcBorders>
                  <w:shd w:val="clear" w:color="auto" w:fill="auto"/>
                  <w:vAlign w:val="center"/>
                </w:tcPr>
                <w:p w14:paraId="1C6641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14:paraId="36D001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14:paraId="3F4283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31</w:t>
                  </w:r>
                </w:p>
              </w:tc>
              <w:tc>
                <w:tcPr>
                  <w:tcW w:w="1307" w:type="pct"/>
                  <w:tcBorders>
                    <w:tl2br w:val="nil"/>
                    <w:tr2bl w:val="nil"/>
                  </w:tcBorders>
                  <w:shd w:val="clear" w:color="auto" w:fill="auto"/>
                  <w:vAlign w:val="center"/>
                </w:tcPr>
                <w:p w14:paraId="70E28B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高流量无创呼吸湿化治疗仪</w:t>
                  </w:r>
                </w:p>
              </w:tc>
              <w:tc>
                <w:tcPr>
                  <w:tcW w:w="1181" w:type="pct"/>
                  <w:tcBorders>
                    <w:tl2br w:val="nil"/>
                    <w:tr2bl w:val="nil"/>
                  </w:tcBorders>
                  <w:shd w:val="clear" w:color="auto" w:fill="auto"/>
                  <w:vAlign w:val="center"/>
                </w:tcPr>
                <w:p w14:paraId="503694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OH-70</w:t>
                  </w:r>
                </w:p>
              </w:tc>
              <w:tc>
                <w:tcPr>
                  <w:tcW w:w="1059" w:type="pct"/>
                  <w:tcBorders>
                    <w:tl2br w:val="nil"/>
                    <w:tr2bl w:val="nil"/>
                  </w:tcBorders>
                  <w:shd w:val="clear" w:color="auto" w:fill="auto"/>
                  <w:vAlign w:val="center"/>
                </w:tcPr>
                <w:p w14:paraId="43C7CC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w:t>
                  </w:r>
                </w:p>
              </w:tc>
              <w:tc>
                <w:tcPr>
                  <w:tcW w:w="1061" w:type="pct"/>
                  <w:vMerge w:val="continue"/>
                  <w:tcBorders>
                    <w:tl2br w:val="nil"/>
                    <w:tr2bl w:val="nil"/>
                  </w:tcBorders>
                  <w:shd w:val="clear" w:color="auto" w:fill="auto"/>
                  <w:vAlign w:val="center"/>
                </w:tcPr>
                <w:p w14:paraId="015AEF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14:paraId="4E6114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14:paraId="4BA3E0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32</w:t>
                  </w:r>
                </w:p>
              </w:tc>
              <w:tc>
                <w:tcPr>
                  <w:tcW w:w="1307" w:type="pct"/>
                  <w:tcBorders>
                    <w:tl2br w:val="nil"/>
                    <w:tr2bl w:val="nil"/>
                  </w:tcBorders>
                  <w:shd w:val="clear" w:color="auto" w:fill="auto"/>
                  <w:vAlign w:val="center"/>
                </w:tcPr>
                <w:p w14:paraId="763019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床单位臭氧消毒机</w:t>
                  </w:r>
                </w:p>
              </w:tc>
              <w:tc>
                <w:tcPr>
                  <w:tcW w:w="1181" w:type="pct"/>
                  <w:tcBorders>
                    <w:tl2br w:val="nil"/>
                    <w:tr2bl w:val="nil"/>
                  </w:tcBorders>
                  <w:shd w:val="clear" w:color="auto" w:fill="auto"/>
                  <w:vAlign w:val="center"/>
                </w:tcPr>
                <w:p w14:paraId="5F4FA8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LK/CXD</w:t>
                  </w:r>
                </w:p>
              </w:tc>
              <w:tc>
                <w:tcPr>
                  <w:tcW w:w="1059" w:type="pct"/>
                  <w:tcBorders>
                    <w:tl2br w:val="nil"/>
                    <w:tr2bl w:val="nil"/>
                  </w:tcBorders>
                  <w:shd w:val="clear" w:color="auto" w:fill="auto"/>
                  <w:vAlign w:val="center"/>
                </w:tcPr>
                <w:p w14:paraId="41C1CC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14:paraId="42B89F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14:paraId="5A9974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14:paraId="32B3C8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33</w:t>
                  </w:r>
                </w:p>
              </w:tc>
              <w:tc>
                <w:tcPr>
                  <w:tcW w:w="1307" w:type="pct"/>
                  <w:tcBorders>
                    <w:tl2br w:val="nil"/>
                    <w:tr2bl w:val="nil"/>
                  </w:tcBorders>
                  <w:shd w:val="clear" w:color="auto" w:fill="auto"/>
                  <w:vAlign w:val="center"/>
                </w:tcPr>
                <w:p w14:paraId="2A9DE5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肠内营养泵</w:t>
                  </w:r>
                </w:p>
              </w:tc>
              <w:tc>
                <w:tcPr>
                  <w:tcW w:w="1181" w:type="pct"/>
                  <w:tcBorders>
                    <w:tl2br w:val="nil"/>
                    <w:tr2bl w:val="nil"/>
                  </w:tcBorders>
                  <w:shd w:val="clear" w:color="auto" w:fill="auto"/>
                  <w:vAlign w:val="center"/>
                </w:tcPr>
                <w:p w14:paraId="7C409E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HK-300</w:t>
                  </w:r>
                </w:p>
              </w:tc>
              <w:tc>
                <w:tcPr>
                  <w:tcW w:w="1059" w:type="pct"/>
                  <w:tcBorders>
                    <w:tl2br w:val="nil"/>
                    <w:tr2bl w:val="nil"/>
                  </w:tcBorders>
                  <w:shd w:val="clear" w:color="auto" w:fill="auto"/>
                  <w:vAlign w:val="center"/>
                </w:tcPr>
                <w:p w14:paraId="7169D3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3</w:t>
                  </w:r>
                </w:p>
              </w:tc>
              <w:tc>
                <w:tcPr>
                  <w:tcW w:w="1061" w:type="pct"/>
                  <w:vMerge w:val="continue"/>
                  <w:tcBorders>
                    <w:tl2br w:val="nil"/>
                    <w:tr2bl w:val="nil"/>
                  </w:tcBorders>
                  <w:shd w:val="clear" w:color="auto" w:fill="auto"/>
                  <w:vAlign w:val="center"/>
                </w:tcPr>
                <w:p w14:paraId="58C229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14:paraId="4BA448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14:paraId="5EC560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34</w:t>
                  </w:r>
                </w:p>
              </w:tc>
              <w:tc>
                <w:tcPr>
                  <w:tcW w:w="1307" w:type="pct"/>
                  <w:tcBorders>
                    <w:tl2br w:val="nil"/>
                    <w:tr2bl w:val="nil"/>
                  </w:tcBorders>
                  <w:shd w:val="clear" w:color="auto" w:fill="auto"/>
                  <w:vAlign w:val="center"/>
                </w:tcPr>
                <w:p w14:paraId="265BD9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高流量吸氧</w:t>
                  </w:r>
                </w:p>
              </w:tc>
              <w:tc>
                <w:tcPr>
                  <w:tcW w:w="1181" w:type="pct"/>
                  <w:tcBorders>
                    <w:tl2br w:val="nil"/>
                    <w:tr2bl w:val="nil"/>
                  </w:tcBorders>
                  <w:shd w:val="clear" w:color="auto" w:fill="auto"/>
                  <w:vAlign w:val="center"/>
                </w:tcPr>
                <w:p w14:paraId="7BD994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PT101AZ</w:t>
                  </w:r>
                </w:p>
              </w:tc>
              <w:tc>
                <w:tcPr>
                  <w:tcW w:w="1059" w:type="pct"/>
                  <w:tcBorders>
                    <w:tl2br w:val="nil"/>
                    <w:tr2bl w:val="nil"/>
                  </w:tcBorders>
                  <w:shd w:val="clear" w:color="auto" w:fill="auto"/>
                  <w:vAlign w:val="center"/>
                </w:tcPr>
                <w:p w14:paraId="0861FC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14:paraId="63C4E4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14:paraId="0FB2DF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14:paraId="12A82B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35</w:t>
                  </w:r>
                </w:p>
              </w:tc>
              <w:tc>
                <w:tcPr>
                  <w:tcW w:w="1307" w:type="pct"/>
                  <w:tcBorders>
                    <w:tl2br w:val="nil"/>
                    <w:tr2bl w:val="nil"/>
                  </w:tcBorders>
                  <w:shd w:val="clear" w:color="auto" w:fill="auto"/>
                  <w:vAlign w:val="center"/>
                </w:tcPr>
                <w:p w14:paraId="23FB85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有创呼吸机</w:t>
                  </w:r>
                </w:p>
              </w:tc>
              <w:tc>
                <w:tcPr>
                  <w:tcW w:w="1181" w:type="pct"/>
                  <w:tcBorders>
                    <w:tl2br w:val="nil"/>
                    <w:tr2bl w:val="nil"/>
                  </w:tcBorders>
                  <w:shd w:val="clear" w:color="auto" w:fill="auto"/>
                  <w:vAlign w:val="center"/>
                </w:tcPr>
                <w:p w14:paraId="1B12DB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VG70</w:t>
                  </w:r>
                </w:p>
              </w:tc>
              <w:tc>
                <w:tcPr>
                  <w:tcW w:w="1059" w:type="pct"/>
                  <w:tcBorders>
                    <w:tl2br w:val="nil"/>
                    <w:tr2bl w:val="nil"/>
                  </w:tcBorders>
                  <w:shd w:val="clear" w:color="auto" w:fill="auto"/>
                  <w:vAlign w:val="center"/>
                </w:tcPr>
                <w:p w14:paraId="55FD2B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14:paraId="12431D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bl>
          <w:p w14:paraId="7ED1AA18">
            <w:pPr>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right="0" w:firstLine="526" w:firstLineChars="200"/>
              <w:jc w:val="both"/>
              <w:textAlignment w:val="auto"/>
              <w:rPr>
                <w:rFonts w:hint="default" w:ascii="Times New Roman" w:hAnsi="Times New Roman" w:cs="Times New Roman" w:eastAsiaTheme="minorEastAsia"/>
                <w:b/>
                <w:color w:val="auto"/>
                <w:spacing w:val="11"/>
                <w:kern w:val="21"/>
                <w:position w:val="0"/>
                <w:sz w:val="24"/>
                <w:szCs w:val="24"/>
                <w:highlight w:val="none"/>
                <w:u w:val="none" w:color="auto"/>
                <w:lang w:val="en-US" w:eastAsia="zh-CN" w:bidi="ar-SA"/>
              </w:rPr>
            </w:pPr>
            <w:r>
              <w:rPr>
                <w:rFonts w:hint="eastAsia" w:cs="Times New Roman" w:eastAsiaTheme="minorEastAsia"/>
                <w:b/>
                <w:color w:val="auto"/>
                <w:spacing w:val="11"/>
                <w:kern w:val="21"/>
                <w:position w:val="0"/>
                <w:sz w:val="24"/>
                <w:szCs w:val="24"/>
                <w:highlight w:val="none"/>
                <w:u w:val="none" w:color="auto"/>
                <w:lang w:val="en-US" w:eastAsia="zh-CN" w:bidi="ar-SA"/>
              </w:rPr>
              <w:t>7、</w:t>
            </w:r>
            <w:r>
              <w:rPr>
                <w:rFonts w:hint="default" w:ascii="Times New Roman" w:hAnsi="Times New Roman" w:cs="Times New Roman" w:eastAsiaTheme="minorEastAsia"/>
                <w:b/>
                <w:color w:val="auto"/>
                <w:spacing w:val="11"/>
                <w:kern w:val="21"/>
                <w:position w:val="0"/>
                <w:sz w:val="24"/>
                <w:szCs w:val="24"/>
                <w:highlight w:val="none"/>
                <w:u w:val="none" w:color="auto"/>
                <w:lang w:val="en-US" w:eastAsia="zh-CN" w:bidi="ar-SA"/>
              </w:rPr>
              <w:t>公用工程</w:t>
            </w:r>
          </w:p>
          <w:p w14:paraId="6078E04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cs="Times New Roman" w:eastAsiaTheme="minorEastAsia"/>
                <w:b w:val="0"/>
                <w:bCs w:val="0"/>
                <w:color w:val="auto"/>
                <w:spacing w:val="11"/>
                <w:position w:val="0"/>
                <w:sz w:val="24"/>
                <w:szCs w:val="22"/>
                <w:highlight w:val="none"/>
                <w:u w:val="none" w:color="auto"/>
                <w:lang w:eastAsia="zh-CN"/>
              </w:rPr>
            </w:pPr>
            <w:r>
              <w:rPr>
                <w:rFonts w:hint="eastAsia" w:cs="Times New Roman" w:eastAsiaTheme="minorEastAsia"/>
                <w:b w:val="0"/>
                <w:bCs w:val="0"/>
                <w:color w:val="auto"/>
                <w:spacing w:val="11"/>
                <w:position w:val="0"/>
                <w:sz w:val="24"/>
                <w:szCs w:val="22"/>
                <w:highlight w:val="none"/>
                <w:u w:val="none" w:color="auto"/>
                <w:lang w:val="en-US" w:eastAsia="zh-CN"/>
              </w:rPr>
              <w:t>（1）</w:t>
            </w:r>
            <w:r>
              <w:rPr>
                <w:rFonts w:hint="default" w:ascii="Times New Roman" w:hAnsi="Times New Roman" w:cs="Times New Roman" w:eastAsiaTheme="minorEastAsia"/>
                <w:b w:val="0"/>
                <w:bCs w:val="0"/>
                <w:color w:val="auto"/>
                <w:spacing w:val="11"/>
                <w:position w:val="0"/>
                <w:sz w:val="24"/>
                <w:szCs w:val="22"/>
                <w:highlight w:val="none"/>
                <w:u w:val="none" w:color="auto"/>
                <w:lang w:val="en-US" w:eastAsia="zh-CN"/>
              </w:rPr>
              <w:t>给、排水</w:t>
            </w:r>
          </w:p>
          <w:p w14:paraId="3CA423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524" w:firstLineChars="200"/>
              <w:textAlignment w:val="auto"/>
              <w:rPr>
                <w:rFonts w:hint="default" w:ascii="Times New Roman" w:hAnsi="Times New Roman" w:cs="Times New Roman" w:eastAsiaTheme="minorEastAsia"/>
                <w:color w:val="auto"/>
                <w:spacing w:val="11"/>
                <w:position w:val="0"/>
                <w:sz w:val="24"/>
                <w:szCs w:val="22"/>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rPr>
              <w:t>①</w:t>
            </w:r>
            <w:r>
              <w:rPr>
                <w:rFonts w:hint="default" w:ascii="Times New Roman" w:hAnsi="Times New Roman" w:cs="Times New Roman" w:eastAsiaTheme="minorEastAsia"/>
                <w:color w:val="auto"/>
                <w:spacing w:val="11"/>
                <w:position w:val="0"/>
                <w:sz w:val="24"/>
                <w:szCs w:val="24"/>
                <w:highlight w:val="none"/>
                <w:u w:val="none" w:color="auto"/>
                <w:lang w:val="en-US" w:eastAsia="zh-CN"/>
              </w:rPr>
              <w:t>给水：</w:t>
            </w:r>
            <w:r>
              <w:rPr>
                <w:rFonts w:hint="eastAsia" w:ascii="Times New Roman" w:hAnsi="Times New Roman" w:cs="Times New Roman" w:eastAsiaTheme="minorEastAsia"/>
                <w:color w:val="auto"/>
                <w:spacing w:val="11"/>
                <w:position w:val="0"/>
                <w:sz w:val="24"/>
                <w:szCs w:val="24"/>
                <w:highlight w:val="none"/>
                <w:u w:val="none" w:color="auto"/>
                <w:lang w:val="en-US" w:eastAsia="zh-CN"/>
              </w:rPr>
              <w:t>由市政供水供给</w:t>
            </w:r>
            <w:r>
              <w:rPr>
                <w:rFonts w:hint="eastAsia" w:cs="Times New Roman" w:eastAsiaTheme="minorEastAsia"/>
                <w:color w:val="auto"/>
                <w:spacing w:val="11"/>
                <w:position w:val="0"/>
                <w:sz w:val="24"/>
                <w:szCs w:val="24"/>
                <w:highlight w:val="none"/>
                <w:u w:val="none" w:color="auto"/>
                <w:lang w:val="en-US" w:eastAsia="zh-CN"/>
              </w:rPr>
              <w:t>。</w:t>
            </w:r>
          </w:p>
          <w:p w14:paraId="1B036F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524" w:firstLineChars="200"/>
              <w:textAlignment w:val="auto"/>
              <w:rPr>
                <w:rFonts w:hint="eastAsia" w:ascii="Times New Roman" w:hAnsi="Times New Roman" w:cs="Times New Roman" w:eastAsiaTheme="minorEastAsia"/>
                <w:bCs/>
                <w:i w:val="0"/>
                <w:iCs w:val="0"/>
                <w:color w:val="auto"/>
                <w:spacing w:val="11"/>
                <w:kern w:val="21"/>
                <w:position w:val="0"/>
                <w:sz w:val="24"/>
                <w:szCs w:val="22"/>
                <w:highlight w:val="none"/>
                <w:u w:val="none" w:color="auto"/>
                <w:lang w:eastAsia="zh-CN"/>
              </w:rPr>
            </w:pPr>
            <w:r>
              <w:rPr>
                <w:rFonts w:hint="default" w:ascii="Times New Roman" w:hAnsi="Times New Roman" w:cs="Times New Roman" w:eastAsiaTheme="minorEastAsia"/>
                <w:bCs/>
                <w:i w:val="0"/>
                <w:iCs w:val="0"/>
                <w:snapToGrid w:val="0"/>
                <w:color w:val="auto"/>
                <w:spacing w:val="11"/>
                <w:position w:val="0"/>
                <w:sz w:val="24"/>
                <w:szCs w:val="22"/>
                <w:highlight w:val="none"/>
                <w:u w:val="none" w:color="auto"/>
              </w:rPr>
              <w:t>②</w:t>
            </w:r>
            <w:r>
              <w:rPr>
                <w:rFonts w:hint="default" w:ascii="Times New Roman" w:hAnsi="Times New Roman" w:cs="Times New Roman" w:eastAsiaTheme="minorEastAsia"/>
                <w:bCs/>
                <w:i w:val="0"/>
                <w:iCs w:val="0"/>
                <w:color w:val="auto"/>
                <w:spacing w:val="11"/>
                <w:kern w:val="21"/>
                <w:position w:val="0"/>
                <w:sz w:val="24"/>
                <w:szCs w:val="20"/>
                <w:highlight w:val="none"/>
                <w:u w:val="none" w:color="auto"/>
                <w:lang w:val="en-US" w:eastAsia="zh-CN"/>
              </w:rPr>
              <w:t>排水：本项目采用雨污分流的排放方式，室外未受污染的雨水经雨水管道收集后排入市政雨水管网</w:t>
            </w:r>
            <w:r>
              <w:rPr>
                <w:rFonts w:hint="eastAsia" w:cs="Times New Roman" w:eastAsiaTheme="minorEastAsia"/>
                <w:bCs/>
                <w:i w:val="0"/>
                <w:iCs w:val="0"/>
                <w:color w:val="auto"/>
                <w:spacing w:val="11"/>
                <w:kern w:val="21"/>
                <w:position w:val="0"/>
                <w:sz w:val="24"/>
                <w:szCs w:val="20"/>
                <w:highlight w:val="none"/>
                <w:u w:val="none" w:color="auto"/>
                <w:lang w:val="en-US" w:eastAsia="zh-CN"/>
              </w:rPr>
              <w:t>。运营过程中产生的生活污水经化粪池处理后排入院区现有污水管网，进入院内污水处理站；口腔科以及检验科废水经预处理池处理后再排入院区现有污水管网，进入院内污水处理站处理达标后排入市政污水管网</w:t>
            </w:r>
            <w:r>
              <w:rPr>
                <w:rFonts w:hint="eastAsia" w:cs="Times New Roman" w:eastAsiaTheme="minorEastAsia"/>
                <w:i w:val="0"/>
                <w:iCs w:val="0"/>
                <w:color w:val="auto"/>
                <w:spacing w:val="11"/>
                <w:position w:val="0"/>
                <w:sz w:val="24"/>
                <w:szCs w:val="24"/>
                <w:highlight w:val="none"/>
                <w:u w:val="none" w:color="auto"/>
                <w:lang w:val="en-US" w:eastAsia="zh-CN"/>
              </w:rPr>
              <w:t>。</w:t>
            </w:r>
          </w:p>
          <w:p w14:paraId="2108C38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24" w:firstLineChars="200"/>
              <w:textAlignment w:val="auto"/>
              <w:rPr>
                <w:rFonts w:hint="default" w:ascii="Times New Roman" w:hAnsi="Times New Roman" w:cs="Times New Roman" w:eastAsiaTheme="minorEastAsia"/>
                <w:b w:val="0"/>
                <w:bCs w:val="0"/>
                <w:color w:val="auto"/>
                <w:spacing w:val="11"/>
                <w:position w:val="0"/>
                <w:sz w:val="24"/>
                <w:szCs w:val="22"/>
                <w:highlight w:val="none"/>
                <w:u w:val="none" w:color="auto"/>
              </w:rPr>
            </w:pPr>
            <w:r>
              <w:rPr>
                <w:rFonts w:hint="eastAsia" w:cs="Times New Roman" w:eastAsiaTheme="minorEastAsia"/>
                <w:b w:val="0"/>
                <w:bCs w:val="0"/>
                <w:color w:val="auto"/>
                <w:spacing w:val="11"/>
                <w:position w:val="0"/>
                <w:sz w:val="24"/>
                <w:szCs w:val="22"/>
                <w:highlight w:val="none"/>
                <w:u w:val="none" w:color="auto"/>
                <w:lang w:val="en-US" w:eastAsia="zh-CN"/>
              </w:rPr>
              <w:t>（2）</w:t>
            </w:r>
            <w:r>
              <w:rPr>
                <w:rFonts w:hint="default" w:ascii="Times New Roman" w:hAnsi="Times New Roman" w:cs="Times New Roman" w:eastAsiaTheme="minorEastAsia"/>
                <w:b w:val="0"/>
                <w:bCs w:val="0"/>
                <w:color w:val="auto"/>
                <w:spacing w:val="11"/>
                <w:position w:val="0"/>
                <w:sz w:val="24"/>
                <w:szCs w:val="22"/>
                <w:highlight w:val="none"/>
                <w:u w:val="none" w:color="auto"/>
              </w:rPr>
              <w:t>供电</w:t>
            </w:r>
          </w:p>
          <w:p w14:paraId="140B7EF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24" w:firstLineChars="200"/>
              <w:textAlignment w:val="auto"/>
              <w:rPr>
                <w:rFonts w:hint="eastAsia" w:ascii="Times New Roman" w:hAnsi="Times New Roman" w:cs="Times New Roman" w:eastAsiaTheme="minorEastAsia"/>
                <w:b w:val="0"/>
                <w:bCs w:val="0"/>
                <w:color w:val="auto"/>
                <w:spacing w:val="11"/>
                <w:position w:val="0"/>
                <w:sz w:val="24"/>
                <w:highlight w:val="none"/>
                <w:u w:val="none" w:color="auto"/>
                <w:lang w:eastAsia="zh-CN"/>
              </w:rPr>
            </w:pPr>
            <w:r>
              <w:rPr>
                <w:rFonts w:hint="default" w:ascii="Times New Roman" w:hAnsi="Times New Roman" w:cs="Times New Roman" w:eastAsiaTheme="minorEastAsia"/>
                <w:b w:val="0"/>
                <w:bCs w:val="0"/>
                <w:color w:val="auto"/>
                <w:spacing w:val="11"/>
                <w:position w:val="0"/>
                <w:sz w:val="24"/>
                <w:highlight w:val="none"/>
                <w:u w:val="none" w:color="auto"/>
              </w:rPr>
              <w:t>本项目用电由市政电网接入</w:t>
            </w:r>
            <w:r>
              <w:rPr>
                <w:rFonts w:hint="eastAsia" w:cs="Times New Roman" w:eastAsiaTheme="minorEastAsia"/>
                <w:b w:val="0"/>
                <w:bCs w:val="0"/>
                <w:color w:val="auto"/>
                <w:spacing w:val="11"/>
                <w:position w:val="0"/>
                <w:sz w:val="24"/>
                <w:highlight w:val="none"/>
                <w:u w:val="none" w:color="auto"/>
                <w:lang w:eastAsia="zh-CN"/>
              </w:rPr>
              <w:t>。</w:t>
            </w:r>
          </w:p>
          <w:p w14:paraId="238E79C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pPr>
            <w:r>
              <w:rPr>
                <w:rFonts w:hint="eastAsia" w:cs="Times New Roman" w:eastAsiaTheme="minorEastAsia"/>
                <w:b w:val="0"/>
                <w:bCs w:val="0"/>
                <w:color w:val="auto"/>
                <w:spacing w:val="11"/>
                <w:position w:val="0"/>
                <w:sz w:val="24"/>
                <w:szCs w:val="24"/>
                <w:highlight w:val="none"/>
                <w:u w:val="none" w:color="auto"/>
                <w:lang w:val="en-US" w:eastAsia="zh-CN"/>
              </w:rPr>
              <w:t>（3）</w:t>
            </w:r>
            <w:r>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t>施工进度安排</w:t>
            </w:r>
          </w:p>
          <w:p w14:paraId="73690161">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pPr>
            <w:r>
              <w:rPr>
                <w:rFonts w:hint="eastAsia" w:cs="Times New Roman" w:eastAsiaTheme="minorEastAsia"/>
                <w:b w:val="0"/>
                <w:bCs w:val="0"/>
                <w:color w:val="auto"/>
                <w:spacing w:val="11"/>
                <w:position w:val="0"/>
                <w:sz w:val="24"/>
                <w:szCs w:val="24"/>
                <w:highlight w:val="none"/>
                <w:u w:val="none" w:color="auto"/>
                <w:lang w:val="en-US" w:eastAsia="zh-CN"/>
              </w:rPr>
              <w:t>项目施工时间为2025年5月~2027年9月</w:t>
            </w:r>
            <w:r>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t>，工期约</w:t>
            </w:r>
            <w:r>
              <w:rPr>
                <w:rFonts w:hint="eastAsia" w:cs="Times New Roman" w:eastAsiaTheme="minorEastAsia"/>
                <w:b w:val="0"/>
                <w:bCs w:val="0"/>
                <w:color w:val="auto"/>
                <w:spacing w:val="11"/>
                <w:position w:val="0"/>
                <w:sz w:val="24"/>
                <w:szCs w:val="24"/>
                <w:highlight w:val="none"/>
                <w:u w:val="none" w:color="auto"/>
                <w:lang w:val="en-US" w:eastAsia="zh-CN"/>
              </w:rPr>
              <w:t>29</w:t>
            </w:r>
            <w:r>
              <w:rPr>
                <w:rFonts w:hint="eastAsia" w:ascii="Times New Roman" w:hAnsi="Times New Roman" w:cs="Times New Roman" w:eastAsiaTheme="minorEastAsia"/>
                <w:b w:val="0"/>
                <w:bCs w:val="0"/>
                <w:color w:val="auto"/>
                <w:spacing w:val="11"/>
                <w:position w:val="0"/>
                <w:sz w:val="24"/>
                <w:szCs w:val="24"/>
                <w:highlight w:val="none"/>
                <w:u w:val="none" w:color="auto"/>
                <w:lang w:val="en-US" w:eastAsia="zh-CN"/>
              </w:rPr>
              <w:t>个月</w:t>
            </w:r>
            <w:r>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t>，202</w:t>
            </w:r>
            <w:r>
              <w:rPr>
                <w:rFonts w:hint="eastAsia" w:cs="Times New Roman" w:eastAsiaTheme="minorEastAsia"/>
                <w:b w:val="0"/>
                <w:bCs w:val="0"/>
                <w:color w:val="auto"/>
                <w:spacing w:val="11"/>
                <w:position w:val="0"/>
                <w:sz w:val="24"/>
                <w:szCs w:val="24"/>
                <w:highlight w:val="none"/>
                <w:u w:val="none" w:color="auto"/>
                <w:lang w:val="en-US" w:eastAsia="zh-CN"/>
              </w:rPr>
              <w:t>7</w:t>
            </w:r>
            <w:r>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t>年</w:t>
            </w:r>
            <w:r>
              <w:rPr>
                <w:rFonts w:hint="eastAsia" w:cs="Times New Roman" w:eastAsiaTheme="minorEastAsia"/>
                <w:b w:val="0"/>
                <w:bCs w:val="0"/>
                <w:color w:val="auto"/>
                <w:spacing w:val="11"/>
                <w:position w:val="0"/>
                <w:sz w:val="24"/>
                <w:szCs w:val="24"/>
                <w:highlight w:val="none"/>
                <w:u w:val="none" w:color="auto"/>
                <w:lang w:val="en-US" w:eastAsia="zh-CN"/>
              </w:rPr>
              <w:t>10</w:t>
            </w:r>
            <w:r>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t>月投产</w:t>
            </w:r>
            <w:r>
              <w:rPr>
                <w:rFonts w:hint="eastAsia" w:cs="Times New Roman" w:eastAsiaTheme="minorEastAsia"/>
                <w:b w:val="0"/>
                <w:bCs w:val="0"/>
                <w:color w:val="auto"/>
                <w:spacing w:val="11"/>
                <w:position w:val="0"/>
                <w:sz w:val="24"/>
                <w:szCs w:val="24"/>
                <w:highlight w:val="none"/>
                <w:u w:val="none" w:color="auto"/>
                <w:lang w:val="en-US" w:eastAsia="zh-CN"/>
              </w:rPr>
              <w:t>试</w:t>
            </w:r>
            <w:r>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t>运营。</w:t>
            </w:r>
          </w:p>
          <w:p w14:paraId="1CC5123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pPr>
            <w:r>
              <w:rPr>
                <w:rFonts w:hint="eastAsia" w:cs="Times New Roman" w:eastAsiaTheme="minorEastAsia"/>
                <w:b w:val="0"/>
                <w:bCs w:val="0"/>
                <w:color w:val="auto"/>
                <w:spacing w:val="11"/>
                <w:position w:val="0"/>
                <w:sz w:val="24"/>
                <w:szCs w:val="24"/>
                <w:highlight w:val="none"/>
                <w:u w:val="none" w:color="auto"/>
                <w:lang w:val="en-US" w:eastAsia="zh-CN"/>
              </w:rPr>
              <w:t>（4）</w:t>
            </w:r>
            <w:r>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t>劳动定员及工作制度</w:t>
            </w:r>
          </w:p>
          <w:p w14:paraId="21C1775C">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bCs/>
                <w:color w:val="auto"/>
                <w:spacing w:val="11"/>
                <w:position w:val="0"/>
                <w:sz w:val="24"/>
                <w:szCs w:val="20"/>
                <w:highlight w:val="none"/>
                <w:u w:val="none" w:color="auto"/>
                <w:lang w:val="en-US" w:eastAsia="zh-CN"/>
              </w:rPr>
              <w:t>本项目建成后不新增员工，</w:t>
            </w:r>
            <w:r>
              <w:rPr>
                <w:rFonts w:hint="eastAsia" w:ascii="Times New Roman" w:hAnsi="Times New Roman" w:cs="Times New Roman" w:eastAsiaTheme="minorEastAsia"/>
                <w:bCs/>
                <w:color w:val="auto"/>
                <w:spacing w:val="11"/>
                <w:position w:val="0"/>
                <w:sz w:val="24"/>
                <w:szCs w:val="20"/>
                <w:highlight w:val="none"/>
                <w:u w:val="none" w:color="auto"/>
                <w:lang w:val="en-US" w:eastAsia="zh-CN"/>
              </w:rPr>
              <w:t>年工作365天，24h工作制，医护人员实行轮班制。</w:t>
            </w:r>
          </w:p>
        </w:tc>
      </w:tr>
      <w:tr w14:paraId="765A50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1" w:type="pct"/>
            <w:tcBorders>
              <w:tl2br w:val="nil"/>
              <w:tr2bl w:val="nil"/>
            </w:tcBorders>
            <w:vAlign w:val="center"/>
          </w:tcPr>
          <w:p w14:paraId="0EC0E718">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vertAlign w:val="baseline"/>
                <w:lang w:val="en-US" w:eastAsia="zh-CN"/>
              </w:rPr>
            </w:pPr>
            <w:r>
              <w:rPr>
                <w:rFonts w:hint="default" w:ascii="Times New Roman" w:hAnsi="Times New Roman" w:cs="Times New Roman" w:eastAsiaTheme="minorEastAsia"/>
                <w:color w:val="auto"/>
                <w:spacing w:val="11"/>
                <w:position w:val="0"/>
                <w:sz w:val="24"/>
                <w:szCs w:val="24"/>
                <w:highlight w:val="none"/>
                <w:u w:val="none" w:color="auto"/>
                <w:vertAlign w:val="baseline"/>
                <w:lang w:val="en-US" w:eastAsia="zh-CN"/>
              </w:rPr>
              <w:t>工艺流程和产污环节</w:t>
            </w:r>
          </w:p>
        </w:tc>
        <w:tc>
          <w:tcPr>
            <w:tcW w:w="4598" w:type="pct"/>
            <w:tcBorders>
              <w:tl2br w:val="nil"/>
              <w:tr2bl w:val="nil"/>
            </w:tcBorders>
            <w:vAlign w:val="top"/>
          </w:tcPr>
          <w:p w14:paraId="4A3C242C">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firstLine="0" w:firstLineChars="0"/>
              <w:jc w:val="both"/>
              <w:textAlignment w:val="auto"/>
              <w:rPr>
                <w:rFonts w:hint="default" w:ascii="Times New Roman" w:hAnsi="Times New Roman" w:cs="Times New Roman" w:eastAsiaTheme="minorEastAsia"/>
                <w:b/>
                <w:color w:val="auto"/>
                <w:spacing w:val="11"/>
                <w:kern w:val="21"/>
                <w:position w:val="0"/>
                <w:sz w:val="28"/>
                <w:szCs w:val="28"/>
                <w:highlight w:val="none"/>
                <w:u w:val="none" w:color="auto"/>
                <w:lang w:val="en-US" w:eastAsia="zh-CN" w:bidi="ar-SA"/>
              </w:rPr>
            </w:pPr>
            <w:r>
              <w:rPr>
                <w:rFonts w:hint="default" w:ascii="Times New Roman" w:hAnsi="Times New Roman" w:cs="Times New Roman" w:eastAsiaTheme="minorEastAsia"/>
                <w:b/>
                <w:color w:val="auto"/>
                <w:spacing w:val="11"/>
                <w:kern w:val="21"/>
                <w:position w:val="0"/>
                <w:sz w:val="28"/>
                <w:szCs w:val="28"/>
                <w:highlight w:val="none"/>
                <w:u w:val="none" w:color="auto"/>
                <w:lang w:val="en-US" w:eastAsia="zh-CN" w:bidi="ar-SA"/>
              </w:rPr>
              <w:t>工艺流程简述：</w:t>
            </w:r>
          </w:p>
          <w:p w14:paraId="4AA4DAE5">
            <w:pPr>
              <w:pStyle w:val="6"/>
              <w:pageBreakBefore w:val="0"/>
              <w:widowControl w:val="0"/>
              <w:numPr>
                <w:ilvl w:val="0"/>
                <w:numId w:val="0"/>
              </w:numPr>
              <w:kinsoku/>
              <w:wordWrap/>
              <w:overflowPunct/>
              <w:topLinePunct w:val="0"/>
              <w:autoSpaceDE/>
              <w:autoSpaceDN/>
              <w:bidi w:val="0"/>
              <w:adjustRightInd w:val="0"/>
              <w:snapToGrid w:val="0"/>
              <w:spacing w:line="360" w:lineRule="auto"/>
              <w:ind w:left="284" w:leftChars="0" w:firstLine="263" w:firstLineChars="100"/>
              <w:jc w:val="both"/>
              <w:textAlignment w:val="auto"/>
              <w:outlineLvl w:val="2"/>
              <w:rPr>
                <w:rFonts w:hint="default" w:ascii="Times New Roman" w:hAnsi="Times New Roman" w:cs="Times New Roman" w:eastAsiaTheme="minorEastAsia"/>
                <w:color w:val="auto"/>
                <w:spacing w:val="11"/>
                <w:position w:val="0"/>
                <w:szCs w:val="22"/>
                <w:highlight w:val="none"/>
                <w:u w:val="none" w:color="auto"/>
                <w:lang w:val="en-US" w:eastAsia="zh-CN"/>
              </w:rPr>
            </w:pPr>
            <w:r>
              <w:rPr>
                <w:rFonts w:hint="eastAsia" w:cs="Times New Roman" w:eastAsiaTheme="minorEastAsia"/>
                <w:color w:val="auto"/>
                <w:spacing w:val="11"/>
                <w:position w:val="0"/>
                <w:szCs w:val="22"/>
                <w:highlight w:val="none"/>
                <w:u w:val="none" w:color="auto"/>
                <w:lang w:val="en-US" w:eastAsia="zh-CN"/>
              </w:rPr>
              <w:t>1、</w:t>
            </w:r>
            <w:r>
              <w:rPr>
                <w:rFonts w:hint="default" w:ascii="Times New Roman" w:hAnsi="Times New Roman" w:cs="Times New Roman" w:eastAsiaTheme="minorEastAsia"/>
                <w:color w:val="auto"/>
                <w:spacing w:val="11"/>
                <w:position w:val="0"/>
                <w:szCs w:val="22"/>
                <w:highlight w:val="none"/>
                <w:u w:val="none" w:color="auto"/>
                <w:lang w:val="en-US" w:eastAsia="zh-CN"/>
              </w:rPr>
              <w:t>施工期工艺流程及产污节点</w:t>
            </w:r>
          </w:p>
          <w:p w14:paraId="6CA46B14">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2"/>
                <w:highlight w:val="none"/>
                <w:u w:val="none" w:color="auto"/>
                <w:lang w:val="en-US" w:eastAsia="zh-CN"/>
              </w:rPr>
            </w:pPr>
            <w:r>
              <w:rPr>
                <w:rFonts w:hint="default" w:ascii="Times New Roman" w:hAnsi="Times New Roman" w:cs="Times New Roman" w:eastAsiaTheme="minorEastAsia"/>
                <w:color w:val="auto"/>
                <w:spacing w:val="11"/>
                <w:position w:val="0"/>
                <w:sz w:val="24"/>
                <w:szCs w:val="22"/>
                <w:highlight w:val="none"/>
                <w:u w:val="none" w:color="auto"/>
                <w:lang w:val="en-US" w:eastAsia="zh-CN"/>
              </w:rPr>
              <w:t>本项目施工期工艺流程及产污环节见下图：</w:t>
            </w:r>
          </w:p>
          <w:p w14:paraId="449FE2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color w:val="auto"/>
                <w:spacing w:val="11"/>
                <w:position w:val="0"/>
                <w:szCs w:val="24"/>
              </w:rPr>
            </w:pPr>
            <w:r>
              <w:rPr>
                <w:rFonts w:ascii="Times New Roman" w:hAnsi="Times New Roman" w:cs="Times New Roman"/>
                <w:b/>
                <w:bCs/>
                <w:color w:val="auto"/>
                <w:spacing w:val="11"/>
                <w:position w:val="0"/>
                <w:szCs w:val="24"/>
              </w:rPr>
              <w:drawing>
                <wp:inline distT="0" distB="0" distL="114300" distR="114300">
                  <wp:extent cx="5400675" cy="1895475"/>
                  <wp:effectExtent l="0" t="0" r="9525"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5400675" cy="1895475"/>
                          </a:xfrm>
                          <a:prstGeom prst="rect">
                            <a:avLst/>
                          </a:prstGeom>
                          <a:noFill/>
                          <a:ln>
                            <a:noFill/>
                          </a:ln>
                        </pic:spPr>
                      </pic:pic>
                    </a:graphicData>
                  </a:graphic>
                </wp:inline>
              </w:drawing>
            </w:r>
          </w:p>
          <w:p w14:paraId="1C674C58">
            <w:pPr>
              <w:ind w:firstLine="0" w:firstLineChars="0"/>
              <w:jc w:val="center"/>
              <w:rPr>
                <w:rFonts w:ascii="Times New Roman" w:hAnsi="Times New Roman" w:cs="Times New Roman"/>
                <w:color w:val="auto"/>
                <w:spacing w:val="11"/>
                <w:position w:val="0"/>
                <w:szCs w:val="24"/>
              </w:rPr>
            </w:pPr>
            <w:r>
              <w:rPr>
                <w:rFonts w:hint="eastAsia" w:ascii="Times New Roman" w:hAnsi="Times New Roman" w:cs="Times New Roman"/>
                <w:b/>
                <w:bCs/>
                <w:color w:val="auto"/>
                <w:spacing w:val="11"/>
                <w:position w:val="0"/>
                <w:sz w:val="21"/>
                <w:szCs w:val="21"/>
              </w:rPr>
              <w:t>图</w:t>
            </w:r>
            <w:r>
              <w:rPr>
                <w:rFonts w:ascii="Times New Roman" w:hAnsi="Times New Roman" w:cs="Times New Roman"/>
                <w:b/>
                <w:bCs/>
                <w:color w:val="auto"/>
                <w:spacing w:val="11"/>
                <w:position w:val="0"/>
                <w:sz w:val="21"/>
                <w:szCs w:val="21"/>
              </w:rPr>
              <w:t>2-</w:t>
            </w:r>
            <w:r>
              <w:rPr>
                <w:rFonts w:hint="eastAsia" w:ascii="Times New Roman" w:hAnsi="Times New Roman" w:cs="Times New Roman"/>
                <w:b/>
                <w:bCs/>
                <w:color w:val="auto"/>
                <w:spacing w:val="11"/>
                <w:position w:val="0"/>
                <w:sz w:val="21"/>
                <w:szCs w:val="21"/>
              </w:rPr>
              <w:t>1</w:t>
            </w:r>
            <w:r>
              <w:rPr>
                <w:rFonts w:ascii="Times New Roman" w:hAnsi="Times New Roman" w:cs="Times New Roman"/>
                <w:b/>
                <w:bCs/>
                <w:color w:val="auto"/>
                <w:spacing w:val="11"/>
                <w:position w:val="0"/>
                <w:sz w:val="21"/>
                <w:szCs w:val="21"/>
              </w:rPr>
              <w:t xml:space="preserve">  施工期工艺流程及产污环节图</w:t>
            </w:r>
          </w:p>
          <w:p w14:paraId="741561B8">
            <w:pPr>
              <w:adjustRightInd w:val="0"/>
              <w:snapToGrid w:val="0"/>
              <w:spacing w:line="360" w:lineRule="auto"/>
              <w:ind w:left="0" w:leftChars="0" w:firstLine="526" w:firstLineChars="200"/>
              <w:jc w:val="both"/>
              <w:rPr>
                <w:rFonts w:hint="eastAsia" w:ascii="Times New Roman" w:hAnsi="Times New Roman" w:cs="Times New Roman" w:eastAsiaTheme="minorEastAsia"/>
                <w:b/>
                <w:bCs/>
                <w:color w:val="auto"/>
                <w:spacing w:val="11"/>
                <w:position w:val="0"/>
                <w:sz w:val="24"/>
                <w:szCs w:val="24"/>
                <w:highlight w:val="none"/>
                <w:u w:val="none" w:color="auto"/>
                <w:lang w:val="en-US" w:eastAsia="zh-CN"/>
              </w:rPr>
            </w:pPr>
            <w:r>
              <w:rPr>
                <w:rFonts w:hint="eastAsia" w:ascii="Times New Roman" w:hAnsi="Times New Roman" w:cs="Times New Roman" w:eastAsiaTheme="minorEastAsia"/>
                <w:b/>
                <w:bCs/>
                <w:color w:val="auto"/>
                <w:spacing w:val="11"/>
                <w:position w:val="0"/>
                <w:sz w:val="24"/>
                <w:szCs w:val="24"/>
                <w:highlight w:val="none"/>
                <w:u w:val="none" w:color="auto"/>
                <w:lang w:val="en-US" w:eastAsia="zh-CN"/>
              </w:rPr>
              <w:t>工艺流程简述：</w:t>
            </w:r>
          </w:p>
          <w:p w14:paraId="44E10210">
            <w:pPr>
              <w:adjustRightInd w:val="0"/>
              <w:snapToGrid w:val="0"/>
              <w:spacing w:line="360" w:lineRule="auto"/>
              <w:ind w:left="0" w:leftChars="0" w:firstLine="524" w:firstLineChars="200"/>
              <w:jc w:val="both"/>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项目施工过程中会产生施工粉尘、施工噪声、施工废水及建筑垃圾等。</w:t>
            </w:r>
          </w:p>
          <w:p w14:paraId="62F57425">
            <w:pPr>
              <w:adjustRightInd w:val="0"/>
              <w:snapToGrid w:val="0"/>
              <w:spacing w:line="360" w:lineRule="auto"/>
              <w:ind w:left="0" w:leftChars="0" w:firstLine="524" w:firstLineChars="200"/>
              <w:jc w:val="both"/>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（1）废气</w:t>
            </w:r>
          </w:p>
          <w:p w14:paraId="700515AB">
            <w:pPr>
              <w:adjustRightInd w:val="0"/>
              <w:snapToGrid w:val="0"/>
              <w:spacing w:line="360" w:lineRule="auto"/>
              <w:ind w:left="0" w:leftChars="0" w:firstLine="524" w:firstLineChars="200"/>
              <w:jc w:val="both"/>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施工粉尘主要来源于拆除原有建筑、土地开挖、房屋建筑、装饰过程、安装工程等过程。项目施工期应避免在大风、暴雨天气进行挖填作业、散装物料装卸等活动。</w:t>
            </w:r>
          </w:p>
          <w:p w14:paraId="3562BD4E">
            <w:pPr>
              <w:adjustRightInd w:val="0"/>
              <w:snapToGrid w:val="0"/>
              <w:spacing w:line="360" w:lineRule="auto"/>
              <w:ind w:left="0" w:leftChars="0" w:firstLine="524" w:firstLineChars="200"/>
              <w:jc w:val="both"/>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（2）废水</w:t>
            </w:r>
          </w:p>
          <w:p w14:paraId="501EC01D">
            <w:pPr>
              <w:adjustRightInd w:val="0"/>
              <w:snapToGrid w:val="0"/>
              <w:spacing w:line="360" w:lineRule="auto"/>
              <w:ind w:left="0" w:leftChars="0" w:firstLine="524" w:firstLineChars="200"/>
              <w:jc w:val="both"/>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施工期生产用水主要为混凝土搅拌及路面、土方喷洒水等，废水产生量较少，生产废水经沉淀池沉淀后可回用于施工建设，项目不设施工人员宿舍，施工人员主要来自附近居民，依托</w:t>
            </w:r>
            <w:r>
              <w:rPr>
                <w:rFonts w:hint="eastAsia" w:cs="Times New Roman" w:eastAsiaTheme="minorEastAsia"/>
                <w:color w:val="auto"/>
                <w:spacing w:val="11"/>
                <w:position w:val="0"/>
                <w:sz w:val="24"/>
                <w:szCs w:val="24"/>
                <w:highlight w:val="none"/>
                <w:u w:val="none" w:color="auto"/>
                <w:lang w:val="en-US" w:eastAsia="zh-CN"/>
              </w:rPr>
              <w:t>现有项目</w:t>
            </w:r>
            <w:r>
              <w:rPr>
                <w:rFonts w:hint="eastAsia" w:ascii="Times New Roman" w:hAnsi="Times New Roman" w:cs="Times New Roman" w:eastAsiaTheme="minorEastAsia"/>
                <w:color w:val="auto"/>
                <w:spacing w:val="11"/>
                <w:position w:val="0"/>
                <w:sz w:val="24"/>
                <w:szCs w:val="24"/>
                <w:highlight w:val="none"/>
                <w:u w:val="none" w:color="auto"/>
                <w:lang w:val="en-US" w:eastAsia="zh-CN"/>
              </w:rPr>
              <w:t>厕所使用。</w:t>
            </w:r>
          </w:p>
          <w:p w14:paraId="76563A67">
            <w:pPr>
              <w:adjustRightInd w:val="0"/>
              <w:snapToGrid w:val="0"/>
              <w:spacing w:line="360" w:lineRule="auto"/>
              <w:ind w:left="0" w:leftChars="0" w:firstLine="524" w:firstLineChars="200"/>
              <w:jc w:val="both"/>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 xml:space="preserve">（3）噪声 </w:t>
            </w:r>
          </w:p>
          <w:p w14:paraId="23964617">
            <w:pPr>
              <w:adjustRightInd w:val="0"/>
              <w:snapToGrid w:val="0"/>
              <w:spacing w:line="360" w:lineRule="auto"/>
              <w:ind w:left="0" w:leftChars="0" w:firstLine="524" w:firstLineChars="200"/>
              <w:jc w:val="both"/>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 xml:space="preserve">噪声主要来源于施工机械，推土机、混凝土搅拌机和起重机80-95dB(A)。项目在施工期应合理安排施工时间，定时检查、保养施工机械，在一定程度上可减轻对施工场地周围噪声环境的影响。 </w:t>
            </w:r>
          </w:p>
          <w:p w14:paraId="1B080164">
            <w:pPr>
              <w:adjustRightInd w:val="0"/>
              <w:snapToGrid w:val="0"/>
              <w:spacing w:line="360" w:lineRule="auto"/>
              <w:ind w:left="0" w:leftChars="0" w:firstLine="524" w:firstLineChars="200"/>
              <w:jc w:val="both"/>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 xml:space="preserve">（4）固废 </w:t>
            </w:r>
          </w:p>
          <w:p w14:paraId="1D318390">
            <w:pPr>
              <w:adjustRightInd w:val="0"/>
              <w:snapToGrid w:val="0"/>
              <w:spacing w:line="360" w:lineRule="auto"/>
              <w:ind w:left="0" w:leftChars="0" w:firstLine="524" w:firstLineChars="200"/>
              <w:jc w:val="both"/>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施工期固体废物包括施工垃圾和生活垃圾。施工垃圾由施工单位及时清运至政府指定地点，生活垃圾经收集后由环卫部门定期清运。</w:t>
            </w:r>
          </w:p>
          <w:p w14:paraId="28E7E4A4">
            <w:pPr>
              <w:adjustRightInd w:val="0"/>
              <w:snapToGrid w:val="0"/>
              <w:spacing w:line="360" w:lineRule="auto"/>
              <w:ind w:left="0" w:leftChars="0" w:firstLine="524" w:firstLineChars="200"/>
              <w:jc w:val="both"/>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施工期产生的</w:t>
            </w:r>
            <w:r>
              <w:rPr>
                <w:rFonts w:hint="eastAsia" w:ascii="Times New Roman" w:hAnsi="Times New Roman" w:cs="Times New Roman" w:eastAsiaTheme="minorEastAsia"/>
                <w:color w:val="auto"/>
                <w:spacing w:val="11"/>
                <w:position w:val="0"/>
                <w:sz w:val="24"/>
                <w:szCs w:val="24"/>
                <w:highlight w:val="none"/>
                <w:u w:val="none" w:color="auto"/>
                <w:lang w:val="en-US" w:eastAsia="zh-CN"/>
              </w:rPr>
              <w:t>这些污染物均会对环境造成一定的不利影响，工程建设完成后，除部分永久性占地为持续性影响外，其余环境影响仅在施工期存在，并且影响范围小、时间短。</w:t>
            </w:r>
          </w:p>
          <w:p w14:paraId="1D2433F5">
            <w:pPr>
              <w:pStyle w:val="6"/>
              <w:numPr>
                <w:ilvl w:val="0"/>
                <w:numId w:val="0"/>
              </w:numPr>
              <w:ind w:firstLine="526" w:firstLineChars="200"/>
              <w:jc w:val="both"/>
              <w:outlineLvl w:val="2"/>
              <w:rPr>
                <w:rFonts w:hint="default" w:ascii="Times New Roman" w:hAnsi="Times New Roman" w:cs="Times New Roman" w:eastAsiaTheme="minorEastAsia"/>
                <w:color w:val="auto"/>
                <w:spacing w:val="11"/>
                <w:position w:val="0"/>
                <w:szCs w:val="22"/>
                <w:highlight w:val="none"/>
                <w:u w:val="none" w:color="auto"/>
                <w:lang w:val="en-US" w:eastAsia="zh-CN"/>
              </w:rPr>
            </w:pPr>
            <w:r>
              <w:rPr>
                <w:rFonts w:hint="eastAsia" w:cs="Times New Roman" w:eastAsiaTheme="minorEastAsia"/>
                <w:color w:val="auto"/>
                <w:spacing w:val="11"/>
                <w:position w:val="0"/>
                <w:szCs w:val="22"/>
                <w:highlight w:val="none"/>
                <w:u w:val="none" w:color="auto"/>
                <w:lang w:val="en-US" w:eastAsia="zh-CN"/>
              </w:rPr>
              <w:t>2、</w:t>
            </w:r>
            <w:r>
              <w:rPr>
                <w:rFonts w:hint="default" w:ascii="Times New Roman" w:hAnsi="Times New Roman" w:cs="Times New Roman" w:eastAsiaTheme="minorEastAsia"/>
                <w:color w:val="auto"/>
                <w:spacing w:val="11"/>
                <w:position w:val="0"/>
                <w:szCs w:val="22"/>
                <w:highlight w:val="none"/>
                <w:u w:val="none" w:color="auto"/>
                <w:lang w:val="en-US" w:eastAsia="zh-CN"/>
              </w:rPr>
              <w:t>营运期工艺流程及产污节点</w:t>
            </w:r>
          </w:p>
          <w:p w14:paraId="15C58F9C">
            <w:pPr>
              <w:adjustRightInd w:val="0"/>
              <w:snapToGrid w:val="0"/>
              <w:spacing w:line="360" w:lineRule="auto"/>
              <w:ind w:left="0" w:leftChars="0" w:firstLine="524" w:firstLineChars="200"/>
              <w:jc w:val="both"/>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本项目运营期工艺流程及产污环节见下图</w:t>
            </w:r>
            <w:r>
              <w:rPr>
                <w:rFonts w:hint="default" w:ascii="Times New Roman" w:hAnsi="Times New Roman" w:cs="Times New Roman" w:eastAsiaTheme="minorEastAsia"/>
                <w:color w:val="auto"/>
                <w:spacing w:val="11"/>
                <w:position w:val="0"/>
                <w:sz w:val="24"/>
                <w:szCs w:val="24"/>
                <w:highlight w:val="none"/>
                <w:u w:val="none" w:color="auto"/>
                <w:lang w:val="en-US" w:eastAsia="zh-CN"/>
              </w:rPr>
              <w:t>：</w:t>
            </w:r>
          </w:p>
          <w:p w14:paraId="107B5E8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eastAsiaTheme="minorEastAsia"/>
                <w:b/>
                <w:bCs/>
                <w:color w:val="auto"/>
                <w:spacing w:val="11"/>
                <w:kern w:val="2"/>
                <w:position w:val="0"/>
                <w:sz w:val="21"/>
                <w:szCs w:val="21"/>
                <w:highlight w:val="none"/>
                <w:u w:val="none" w:color="auto"/>
                <w:lang w:val="en-US" w:eastAsia="zh-CN" w:bidi="ar-SA"/>
              </w:rPr>
            </w:pPr>
            <w:r>
              <w:rPr>
                <w:rFonts w:hint="default" w:ascii="Times New Roman" w:hAnsi="Times New Roman" w:cs="Times New Roman" w:eastAsiaTheme="minorEastAsia"/>
                <w:b/>
                <w:bCs/>
                <w:color w:val="auto"/>
                <w:spacing w:val="11"/>
                <w:kern w:val="2"/>
                <w:position w:val="0"/>
                <w:sz w:val="21"/>
                <w:szCs w:val="21"/>
                <w:highlight w:val="none"/>
                <w:u w:val="none" w:color="auto"/>
                <w:lang w:val="en-US" w:eastAsia="zh-CN" w:bidi="ar-SA"/>
              </w:rPr>
              <w:drawing>
                <wp:inline distT="0" distB="0" distL="114300" distR="114300">
                  <wp:extent cx="5674360" cy="4156710"/>
                  <wp:effectExtent l="0" t="0" r="0" b="0"/>
                  <wp:docPr id="13" name="ECB019B1-382A-4266-B25C-5B523AA43C14-1" descr="C:/Users/Administrator/AppData/Local/Temp/wps.INHvic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B019B1-382A-4266-B25C-5B523AA43C14-1" descr="C:/Users/Administrator/AppData/Local/Temp/wps.INHvicwps"/>
                          <pic:cNvPicPr>
                            <a:picLocks noChangeAspect="1"/>
                          </pic:cNvPicPr>
                        </pic:nvPicPr>
                        <pic:blipFill>
                          <a:blip r:embed="rId9"/>
                          <a:stretch>
                            <a:fillRect/>
                          </a:stretch>
                        </pic:blipFill>
                        <pic:spPr>
                          <a:xfrm>
                            <a:off x="0" y="0"/>
                            <a:ext cx="5674360" cy="4156710"/>
                          </a:xfrm>
                          <a:prstGeom prst="rect">
                            <a:avLst/>
                          </a:prstGeom>
                        </pic:spPr>
                      </pic:pic>
                    </a:graphicData>
                  </a:graphic>
                </wp:inline>
              </w:drawing>
            </w:r>
          </w:p>
          <w:p w14:paraId="1DF64E8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eastAsiaTheme="minorEastAsia"/>
                <w:b/>
                <w:bCs/>
                <w:color w:val="auto"/>
                <w:spacing w:val="11"/>
                <w:kern w:val="2"/>
                <w:position w:val="0"/>
                <w:sz w:val="21"/>
                <w:szCs w:val="21"/>
                <w:highlight w:val="none"/>
                <w:u w:val="none" w:color="auto"/>
                <w:lang w:val="en-US" w:eastAsia="zh-CN" w:bidi="ar-SA"/>
              </w:rPr>
            </w:pPr>
            <w:r>
              <w:rPr>
                <w:rFonts w:hint="default" w:ascii="Times New Roman" w:hAnsi="Times New Roman" w:cs="Times New Roman" w:eastAsiaTheme="minorEastAsia"/>
                <w:b/>
                <w:bCs/>
                <w:color w:val="auto"/>
                <w:spacing w:val="11"/>
                <w:kern w:val="2"/>
                <w:position w:val="0"/>
                <w:sz w:val="21"/>
                <w:szCs w:val="21"/>
                <w:highlight w:val="none"/>
                <w:u w:val="none" w:color="auto"/>
                <w:lang w:val="en-US" w:eastAsia="zh-CN" w:bidi="ar-SA"/>
              </w:rPr>
              <w:t>图2-</w:t>
            </w:r>
            <w:r>
              <w:rPr>
                <w:rFonts w:hint="eastAsia" w:cs="Times New Roman" w:eastAsiaTheme="minorEastAsia"/>
                <w:b/>
                <w:bCs/>
                <w:color w:val="auto"/>
                <w:spacing w:val="11"/>
                <w:kern w:val="2"/>
                <w:position w:val="0"/>
                <w:sz w:val="21"/>
                <w:szCs w:val="21"/>
                <w:highlight w:val="none"/>
                <w:u w:val="none" w:color="auto"/>
                <w:lang w:val="en-US" w:eastAsia="zh-CN" w:bidi="ar-SA"/>
              </w:rPr>
              <w:t xml:space="preserve">2  </w:t>
            </w:r>
            <w:r>
              <w:rPr>
                <w:rFonts w:hint="default" w:ascii="Times New Roman" w:hAnsi="Times New Roman" w:cs="Times New Roman" w:eastAsiaTheme="minorEastAsia"/>
                <w:b/>
                <w:bCs/>
                <w:color w:val="auto"/>
                <w:spacing w:val="11"/>
                <w:kern w:val="2"/>
                <w:position w:val="0"/>
                <w:sz w:val="21"/>
                <w:szCs w:val="21"/>
                <w:highlight w:val="none"/>
                <w:u w:val="none" w:color="auto"/>
                <w:lang w:val="en-US" w:eastAsia="zh-CN" w:bidi="ar-SA"/>
              </w:rPr>
              <w:t>项目</w:t>
            </w:r>
            <w:r>
              <w:rPr>
                <w:rFonts w:hint="eastAsia" w:cs="Times New Roman" w:eastAsiaTheme="minorEastAsia"/>
                <w:b/>
                <w:bCs/>
                <w:color w:val="auto"/>
                <w:spacing w:val="11"/>
                <w:kern w:val="2"/>
                <w:position w:val="0"/>
                <w:sz w:val="21"/>
                <w:szCs w:val="21"/>
                <w:highlight w:val="none"/>
                <w:u w:val="none" w:color="auto"/>
                <w:lang w:val="en-US" w:eastAsia="zh-CN" w:bidi="ar-SA"/>
              </w:rPr>
              <w:t>运营期</w:t>
            </w:r>
            <w:r>
              <w:rPr>
                <w:rFonts w:hint="default" w:ascii="Times New Roman" w:hAnsi="Times New Roman" w:cs="Times New Roman" w:eastAsiaTheme="minorEastAsia"/>
                <w:b/>
                <w:bCs/>
                <w:color w:val="auto"/>
                <w:spacing w:val="11"/>
                <w:kern w:val="2"/>
                <w:position w:val="0"/>
                <w:sz w:val="21"/>
                <w:szCs w:val="21"/>
                <w:highlight w:val="none"/>
                <w:u w:val="none" w:color="auto"/>
                <w:lang w:val="en-US" w:eastAsia="zh-CN" w:bidi="ar-SA"/>
              </w:rPr>
              <w:t>工艺流程及产污环节图</w:t>
            </w:r>
          </w:p>
          <w:p w14:paraId="5D5CB082">
            <w:pPr>
              <w:keepNext w:val="0"/>
              <w:keepLines w:val="0"/>
              <w:pageBreakBefore w:val="0"/>
              <w:widowControl w:val="0"/>
              <w:kinsoku/>
              <w:wordWrap/>
              <w:overflowPunct/>
              <w:topLinePunct w:val="0"/>
              <w:autoSpaceDE/>
              <w:autoSpaceDN/>
              <w:bidi w:val="0"/>
              <w:adjustRightInd w:val="0"/>
              <w:snapToGrid w:val="0"/>
              <w:spacing w:before="167" w:beforeLines="50" w:afterLines="0" w:line="360" w:lineRule="auto"/>
              <w:jc w:val="both"/>
              <w:textAlignment w:val="auto"/>
              <w:rPr>
                <w:rFonts w:ascii="Times New Roman" w:hAnsi="Times New Roman" w:eastAsia="宋体" w:cs="Times New Roman"/>
                <w:b/>
                <w:bCs/>
                <w:color w:val="auto"/>
                <w:spacing w:val="11"/>
                <w:kern w:val="2"/>
                <w:position w:val="0"/>
                <w:sz w:val="24"/>
                <w:szCs w:val="24"/>
                <w:highlight w:val="none"/>
                <w:lang w:val="en-US" w:eastAsia="zh-CN" w:bidi="ar-SA"/>
              </w:rPr>
            </w:pPr>
            <w:r>
              <w:rPr>
                <w:rFonts w:hint="eastAsia" w:ascii="Times New Roman" w:hAnsi="Times New Roman" w:eastAsia="宋体" w:cs="Times New Roman"/>
                <w:b/>
                <w:bCs/>
                <w:color w:val="auto"/>
                <w:spacing w:val="11"/>
                <w:kern w:val="2"/>
                <w:position w:val="0"/>
                <w:sz w:val="24"/>
                <w:szCs w:val="24"/>
                <w:highlight w:val="none"/>
                <w:lang w:val="en-US" w:eastAsia="zh-CN" w:bidi="ar-SA"/>
              </w:rPr>
              <w:t>工艺流程简述</w:t>
            </w:r>
            <w:r>
              <w:rPr>
                <w:rFonts w:ascii="Times New Roman" w:hAnsi="Times New Roman" w:eastAsia="宋体" w:cs="Times New Roman"/>
                <w:b/>
                <w:bCs/>
                <w:color w:val="auto"/>
                <w:spacing w:val="11"/>
                <w:kern w:val="2"/>
                <w:position w:val="0"/>
                <w:sz w:val="24"/>
                <w:szCs w:val="24"/>
                <w:highlight w:val="none"/>
                <w:lang w:val="en-US" w:eastAsia="zh-CN" w:bidi="ar-SA"/>
              </w:rPr>
              <w:t>：</w:t>
            </w:r>
          </w:p>
          <w:p w14:paraId="40A1E8CF">
            <w:pPr>
              <w:keepNext w:val="0"/>
              <w:keepLines w:val="0"/>
              <w:suppressLineNumbers w:val="0"/>
              <w:adjustRightInd w:val="0"/>
              <w:snapToGrid w:val="0"/>
              <w:spacing w:before="0" w:beforeAutospacing="0" w:after="0" w:afterAutospacing="0" w:line="360" w:lineRule="auto"/>
              <w:ind w:left="0" w:right="0" w:firstLine="524" w:firstLineChars="200"/>
              <w:jc w:val="both"/>
              <w:rPr>
                <w:rFonts w:hint="eastAsia" w:ascii="Times New Roman" w:hAnsi="Times New Roman" w:eastAsia="宋体" w:cs="Times New Roman"/>
                <w:b w:val="0"/>
                <w:bCs w:val="0"/>
                <w:color w:val="auto"/>
                <w:spacing w:val="11"/>
                <w:position w:val="0"/>
                <w:szCs w:val="24"/>
                <w:highlight w:val="none"/>
                <w:lang w:val="en-US" w:eastAsia="zh-CN"/>
              </w:rPr>
            </w:pPr>
            <w:r>
              <w:rPr>
                <w:rFonts w:hint="eastAsia" w:ascii="Times New Roman" w:hAnsi="Times New Roman" w:eastAsia="宋体" w:cs="Times New Roman"/>
                <w:b w:val="0"/>
                <w:bCs w:val="0"/>
                <w:color w:val="auto"/>
                <w:spacing w:val="11"/>
                <w:position w:val="0"/>
                <w:szCs w:val="24"/>
                <w:highlight w:val="none"/>
                <w:lang w:val="en-US" w:eastAsia="zh-CN"/>
              </w:rPr>
              <w:t xml:space="preserve">就诊：病患到医生处就诊，通过问诊及检查，全面了解患者的病情。 </w:t>
            </w:r>
          </w:p>
          <w:p w14:paraId="202E99B8">
            <w:pPr>
              <w:keepNext w:val="0"/>
              <w:keepLines w:val="0"/>
              <w:suppressLineNumbers w:val="0"/>
              <w:adjustRightInd w:val="0"/>
              <w:snapToGrid w:val="0"/>
              <w:spacing w:before="0" w:beforeAutospacing="0" w:after="0" w:afterAutospacing="0" w:line="360" w:lineRule="auto"/>
              <w:ind w:left="0" w:right="0" w:firstLine="524" w:firstLineChars="200"/>
              <w:jc w:val="both"/>
              <w:rPr>
                <w:rFonts w:hint="eastAsia" w:ascii="Times New Roman" w:hAnsi="Times New Roman" w:eastAsia="宋体" w:cs="Times New Roman"/>
                <w:b w:val="0"/>
                <w:bCs w:val="0"/>
                <w:color w:val="auto"/>
                <w:spacing w:val="11"/>
                <w:position w:val="0"/>
                <w:szCs w:val="24"/>
                <w:highlight w:val="none"/>
                <w:lang w:val="en-US" w:eastAsia="zh-CN"/>
              </w:rPr>
            </w:pPr>
            <w:r>
              <w:rPr>
                <w:rFonts w:hint="eastAsia" w:ascii="Times New Roman" w:hAnsi="Times New Roman" w:eastAsia="宋体" w:cs="Times New Roman"/>
                <w:b w:val="0"/>
                <w:bCs w:val="0"/>
                <w:color w:val="auto"/>
                <w:spacing w:val="11"/>
                <w:position w:val="0"/>
                <w:szCs w:val="24"/>
                <w:highlight w:val="none"/>
                <w:lang w:val="en-US" w:eastAsia="zh-CN"/>
              </w:rPr>
              <w:t xml:space="preserve">分类诊疗：根据病人的诊断情况，采取直接取药、门诊治疗等治疗后出院，部分患者需要留院进行进一步治疗，办理入院手续。 </w:t>
            </w:r>
          </w:p>
          <w:p w14:paraId="0AECE8FC">
            <w:pPr>
              <w:keepNext w:val="0"/>
              <w:keepLines w:val="0"/>
              <w:suppressLineNumbers w:val="0"/>
              <w:adjustRightInd w:val="0"/>
              <w:snapToGrid w:val="0"/>
              <w:spacing w:before="0" w:beforeAutospacing="0" w:after="0" w:afterAutospacing="0" w:line="360" w:lineRule="auto"/>
              <w:ind w:left="0" w:right="0" w:firstLine="524" w:firstLineChars="200"/>
              <w:jc w:val="both"/>
              <w:rPr>
                <w:rFonts w:hint="eastAsia" w:ascii="Times New Roman" w:hAnsi="Times New Roman" w:eastAsia="宋体" w:cs="Times New Roman"/>
                <w:b w:val="0"/>
                <w:bCs w:val="0"/>
                <w:color w:val="auto"/>
                <w:spacing w:val="11"/>
                <w:position w:val="0"/>
                <w:szCs w:val="24"/>
                <w:highlight w:val="none"/>
                <w:lang w:val="en-US" w:eastAsia="zh-CN"/>
              </w:rPr>
            </w:pPr>
            <w:r>
              <w:rPr>
                <w:rFonts w:hint="eastAsia" w:ascii="Times New Roman" w:hAnsi="Times New Roman" w:eastAsia="宋体" w:cs="Times New Roman"/>
                <w:b w:val="0"/>
                <w:bCs w:val="0"/>
                <w:color w:val="auto"/>
                <w:spacing w:val="11"/>
                <w:position w:val="0"/>
                <w:szCs w:val="24"/>
                <w:highlight w:val="none"/>
                <w:lang w:val="en-US" w:eastAsia="zh-CN"/>
              </w:rPr>
              <w:t>出院：住院患者已康复，经医生同意，办理出院手续，出院回家调理。</w:t>
            </w:r>
          </w:p>
          <w:p w14:paraId="4F07AC6A">
            <w:pPr>
              <w:keepNext w:val="0"/>
              <w:keepLines w:val="0"/>
              <w:suppressLineNumbers w:val="0"/>
              <w:spacing w:before="0" w:beforeAutospacing="0" w:after="0" w:afterAutospacing="0" w:line="360" w:lineRule="auto"/>
              <w:ind w:left="0" w:leftChars="0" w:right="0" w:firstLine="526" w:firstLineChars="200"/>
              <w:jc w:val="both"/>
              <w:rPr>
                <w:rFonts w:hint="default" w:ascii="Times New Roman" w:hAnsi="Times New Roman" w:cs="Times New Roman" w:eastAsiaTheme="minorEastAsia"/>
                <w:b/>
                <w:color w:val="auto"/>
                <w:spacing w:val="11"/>
                <w:position w:val="0"/>
                <w:sz w:val="24"/>
                <w:highlight w:val="none"/>
                <w:u w:val="none" w:color="auto"/>
              </w:rPr>
            </w:pPr>
            <w:r>
              <w:rPr>
                <w:rFonts w:hint="eastAsia" w:cs="Times New Roman" w:eastAsiaTheme="minorEastAsia"/>
                <w:b/>
                <w:color w:val="auto"/>
                <w:spacing w:val="11"/>
                <w:position w:val="0"/>
                <w:sz w:val="24"/>
                <w:highlight w:val="none"/>
                <w:u w:val="none" w:color="auto"/>
                <w:lang w:val="en-US" w:eastAsia="zh-CN"/>
              </w:rPr>
              <w:t>3、</w:t>
            </w:r>
            <w:r>
              <w:rPr>
                <w:rFonts w:hint="default" w:ascii="Times New Roman" w:hAnsi="Times New Roman" w:cs="Times New Roman" w:eastAsiaTheme="minorEastAsia"/>
                <w:b/>
                <w:color w:val="auto"/>
                <w:spacing w:val="11"/>
                <w:position w:val="0"/>
                <w:sz w:val="24"/>
                <w:highlight w:val="none"/>
                <w:u w:val="none" w:color="auto"/>
              </w:rPr>
              <w:t>营运期主要污染工序及污染因子：</w:t>
            </w:r>
          </w:p>
          <w:p w14:paraId="52F35AC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524" w:firstLineChars="200"/>
              <w:jc w:val="both"/>
              <w:textAlignment w:val="auto"/>
              <w:rPr>
                <w:rFonts w:hint="eastAsia" w:ascii="Times New Roman" w:hAnsi="Times New Roman" w:cs="Times New Roman" w:eastAsiaTheme="minorEastAsia"/>
                <w:color w:val="auto"/>
                <w:spacing w:val="11"/>
                <w:position w:val="0"/>
                <w:sz w:val="24"/>
                <w:highlight w:val="none"/>
                <w:u w:val="none" w:color="auto"/>
                <w:lang w:eastAsia="zh-CN"/>
              </w:rPr>
            </w:pPr>
            <w:r>
              <w:rPr>
                <w:rFonts w:hint="default" w:ascii="Times New Roman" w:hAnsi="Times New Roman" w:cs="Times New Roman" w:eastAsiaTheme="minorEastAsia"/>
                <w:color w:val="auto"/>
                <w:spacing w:val="11"/>
                <w:kern w:val="2"/>
                <w:position w:val="0"/>
                <w:sz w:val="24"/>
                <w:szCs w:val="21"/>
                <w:highlight w:val="none"/>
                <w:u w:color="auto"/>
                <w:lang w:val="en-US" w:eastAsia="zh-CN" w:bidi="ar-SA"/>
              </w:rPr>
              <w:t>（1）</w:t>
            </w:r>
            <w:r>
              <w:rPr>
                <w:rFonts w:hint="default" w:ascii="Times New Roman" w:hAnsi="Times New Roman" w:cs="Times New Roman" w:eastAsiaTheme="minorEastAsia"/>
                <w:color w:val="auto"/>
                <w:spacing w:val="11"/>
                <w:position w:val="0"/>
                <w:sz w:val="24"/>
                <w:highlight w:val="none"/>
                <w:u w:val="none" w:color="auto"/>
              </w:rPr>
              <w:t>废水：</w:t>
            </w:r>
            <w:r>
              <w:rPr>
                <w:rFonts w:hint="default" w:ascii="Times New Roman" w:hAnsi="Times New Roman" w:cs="Times New Roman" w:eastAsiaTheme="minorEastAsia"/>
                <w:color w:val="auto"/>
                <w:spacing w:val="11"/>
                <w:position w:val="0"/>
                <w:sz w:val="24"/>
                <w:highlight w:val="none"/>
                <w:u w:val="none" w:color="auto"/>
                <w:lang w:val="en-US" w:eastAsia="zh-CN"/>
              </w:rPr>
              <w:t>项目废水主要为生活污水</w:t>
            </w:r>
            <w:r>
              <w:rPr>
                <w:rFonts w:hint="eastAsia" w:cs="Times New Roman" w:eastAsiaTheme="minorEastAsia"/>
                <w:color w:val="auto"/>
                <w:spacing w:val="11"/>
                <w:position w:val="0"/>
                <w:sz w:val="24"/>
                <w:highlight w:val="none"/>
                <w:u w:val="none" w:color="auto"/>
                <w:lang w:val="en-US" w:eastAsia="zh-CN"/>
              </w:rPr>
              <w:t>、医疗废水</w:t>
            </w:r>
            <w:r>
              <w:rPr>
                <w:rFonts w:hint="eastAsia" w:cs="Times New Roman" w:eastAsiaTheme="minorEastAsia"/>
                <w:color w:val="auto"/>
                <w:spacing w:val="11"/>
                <w:position w:val="0"/>
                <w:sz w:val="24"/>
                <w:highlight w:val="none"/>
                <w:u w:val="none" w:color="auto"/>
                <w:lang w:eastAsia="zh-CN"/>
              </w:rPr>
              <w:t>；</w:t>
            </w:r>
          </w:p>
          <w:p w14:paraId="4AE0A72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jc w:val="both"/>
              <w:textAlignment w:val="auto"/>
              <w:rPr>
                <w:rFonts w:hint="default" w:ascii="Times New Roman" w:hAnsi="Times New Roman" w:cs="Times New Roman" w:eastAsiaTheme="minorEastAsia"/>
                <w:color w:val="auto"/>
                <w:spacing w:val="11"/>
                <w:position w:val="0"/>
                <w:sz w:val="24"/>
                <w:highlight w:val="none"/>
                <w:u w:val="none" w:color="auto"/>
                <w:lang w:val="en-US" w:eastAsia="zh-CN"/>
              </w:rPr>
            </w:pPr>
            <w:r>
              <w:rPr>
                <w:rFonts w:hint="default" w:ascii="Times New Roman" w:hAnsi="Times New Roman" w:cs="Times New Roman" w:eastAsiaTheme="minorEastAsia"/>
                <w:color w:val="auto"/>
                <w:spacing w:val="11"/>
                <w:position w:val="0"/>
                <w:sz w:val="24"/>
                <w:highlight w:val="none"/>
                <w:u w:val="none" w:color="auto"/>
              </w:rPr>
              <w:t>（2）废气：</w:t>
            </w:r>
            <w:r>
              <w:rPr>
                <w:rFonts w:hint="default" w:ascii="Times New Roman" w:hAnsi="Times New Roman" w:cs="Times New Roman" w:eastAsiaTheme="minorEastAsia"/>
                <w:color w:val="auto"/>
                <w:spacing w:val="11"/>
                <w:position w:val="0"/>
                <w:sz w:val="24"/>
                <w:highlight w:val="none"/>
                <w:u w:val="none" w:color="auto"/>
                <w:lang w:val="en-US" w:eastAsia="zh-CN"/>
              </w:rPr>
              <w:t>项目废气主要为</w:t>
            </w:r>
            <w:r>
              <w:rPr>
                <w:rFonts w:hint="eastAsia" w:cs="Times New Roman" w:eastAsiaTheme="minorEastAsia"/>
                <w:color w:val="auto"/>
                <w:spacing w:val="11"/>
                <w:position w:val="0"/>
                <w:sz w:val="24"/>
                <w:highlight w:val="none"/>
                <w:u w:val="none" w:color="auto"/>
                <w:lang w:val="en-US" w:eastAsia="zh-CN"/>
              </w:rPr>
              <w:t>污水处理站废气、中药煎药异味、检验科废气、汽车尾气；</w:t>
            </w:r>
          </w:p>
          <w:p w14:paraId="6BBCE523">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jc w:val="both"/>
              <w:textAlignment w:val="auto"/>
              <w:rPr>
                <w:rFonts w:hint="eastAsia" w:ascii="Times New Roman" w:hAnsi="Times New Roman" w:cs="Times New Roman" w:eastAsiaTheme="minorEastAsia"/>
                <w:color w:val="auto"/>
                <w:spacing w:val="11"/>
                <w:position w:val="0"/>
                <w:sz w:val="24"/>
                <w:highlight w:val="none"/>
                <w:u w:val="none" w:color="auto"/>
                <w:lang w:eastAsia="zh-CN"/>
              </w:rPr>
            </w:pPr>
            <w:r>
              <w:rPr>
                <w:rFonts w:hint="default" w:ascii="Times New Roman" w:hAnsi="Times New Roman" w:cs="Times New Roman" w:eastAsiaTheme="minorEastAsia"/>
                <w:color w:val="auto"/>
                <w:spacing w:val="11"/>
                <w:position w:val="0"/>
                <w:sz w:val="24"/>
                <w:highlight w:val="none"/>
                <w:u w:val="none" w:color="auto"/>
              </w:rPr>
              <w:t>（3）噪声：</w:t>
            </w:r>
            <w:r>
              <w:rPr>
                <w:rFonts w:hint="default" w:ascii="Times New Roman" w:hAnsi="Times New Roman" w:cs="Times New Roman" w:eastAsiaTheme="minorEastAsia"/>
                <w:color w:val="auto"/>
                <w:spacing w:val="11"/>
                <w:position w:val="0"/>
                <w:sz w:val="24"/>
                <w:szCs w:val="24"/>
                <w:highlight w:val="none"/>
                <w:u w:val="none" w:color="auto"/>
                <w:lang w:val="en-US" w:eastAsia="zh-CN"/>
              </w:rPr>
              <w:t>项目噪声主要为各类</w:t>
            </w:r>
            <w:r>
              <w:rPr>
                <w:rFonts w:hint="eastAsia" w:cs="Times New Roman" w:eastAsiaTheme="minorEastAsia"/>
                <w:color w:val="auto"/>
                <w:spacing w:val="11"/>
                <w:position w:val="0"/>
                <w:sz w:val="24"/>
                <w:szCs w:val="24"/>
                <w:highlight w:val="none"/>
                <w:u w:val="none" w:color="auto"/>
                <w:lang w:val="en-US" w:eastAsia="zh-CN"/>
              </w:rPr>
              <w:t>医疗</w:t>
            </w:r>
            <w:r>
              <w:rPr>
                <w:rFonts w:hint="default" w:ascii="Times New Roman" w:hAnsi="Times New Roman" w:cs="Times New Roman" w:eastAsiaTheme="minorEastAsia"/>
                <w:color w:val="auto"/>
                <w:spacing w:val="11"/>
                <w:position w:val="0"/>
                <w:sz w:val="24"/>
                <w:szCs w:val="24"/>
                <w:highlight w:val="none"/>
                <w:u w:val="none" w:color="auto"/>
                <w:lang w:val="en-US" w:eastAsia="zh-CN"/>
              </w:rPr>
              <w:t>设备的运行噪声</w:t>
            </w:r>
            <w:r>
              <w:rPr>
                <w:rFonts w:hint="eastAsia" w:cs="Times New Roman" w:eastAsiaTheme="minorEastAsia"/>
                <w:color w:val="auto"/>
                <w:spacing w:val="11"/>
                <w:position w:val="0"/>
                <w:sz w:val="24"/>
                <w:szCs w:val="24"/>
                <w:highlight w:val="none"/>
                <w:u w:val="none" w:color="auto"/>
                <w:lang w:val="en-US" w:eastAsia="zh-CN"/>
              </w:rPr>
              <w:t>以及人群活动产生的噪声</w:t>
            </w:r>
            <w:r>
              <w:rPr>
                <w:rFonts w:hint="eastAsia" w:cs="Times New Roman" w:eastAsiaTheme="minorEastAsia"/>
                <w:color w:val="auto"/>
                <w:spacing w:val="11"/>
                <w:position w:val="0"/>
                <w:sz w:val="24"/>
                <w:szCs w:val="24"/>
                <w:highlight w:val="none"/>
                <w:u w:val="none" w:color="auto"/>
                <w:lang w:eastAsia="zh-CN" w:bidi="ar"/>
              </w:rPr>
              <w:t>；</w:t>
            </w:r>
          </w:p>
          <w:p w14:paraId="5E72B726">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highlight w:val="none"/>
                <w:u w:val="none" w:color="auto"/>
              </w:rPr>
              <w:t>（4）固体废物：</w:t>
            </w:r>
            <w:r>
              <w:rPr>
                <w:rFonts w:hint="default" w:ascii="Times New Roman" w:hAnsi="Times New Roman" w:cs="Times New Roman" w:eastAsiaTheme="minorEastAsia"/>
                <w:color w:val="auto"/>
                <w:spacing w:val="11"/>
                <w:position w:val="0"/>
                <w:sz w:val="24"/>
                <w:szCs w:val="21"/>
                <w:highlight w:val="none"/>
                <w:u w:val="none" w:color="auto"/>
                <w:lang w:val="en-US" w:eastAsia="zh-CN"/>
              </w:rPr>
              <w:t>项目</w:t>
            </w:r>
            <w:r>
              <w:rPr>
                <w:rFonts w:hint="eastAsia" w:cs="Times New Roman" w:eastAsiaTheme="minorEastAsia"/>
                <w:color w:val="auto"/>
                <w:spacing w:val="11"/>
                <w:position w:val="0"/>
                <w:sz w:val="24"/>
                <w:szCs w:val="21"/>
                <w:highlight w:val="none"/>
                <w:u w:val="none" w:color="auto"/>
                <w:lang w:val="en-US" w:eastAsia="zh-CN"/>
              </w:rPr>
              <w:t>产生的</w:t>
            </w:r>
            <w:r>
              <w:rPr>
                <w:rFonts w:hint="default" w:ascii="Times New Roman" w:hAnsi="Times New Roman" w:cs="Times New Roman" w:eastAsiaTheme="minorEastAsia"/>
                <w:color w:val="auto"/>
                <w:spacing w:val="11"/>
                <w:position w:val="0"/>
                <w:sz w:val="24"/>
                <w:szCs w:val="21"/>
                <w:highlight w:val="none"/>
                <w:u w:val="none" w:color="auto"/>
                <w:lang w:val="en-US" w:eastAsia="zh-CN"/>
              </w:rPr>
              <w:t>固废主要为</w:t>
            </w:r>
            <w:r>
              <w:rPr>
                <w:rFonts w:hint="eastAsia" w:cs="Times New Roman" w:eastAsiaTheme="minorEastAsia"/>
                <w:color w:val="auto"/>
                <w:spacing w:val="11"/>
                <w:position w:val="0"/>
                <w:sz w:val="24"/>
                <w:szCs w:val="21"/>
                <w:highlight w:val="none"/>
                <w:u w:val="none" w:color="auto"/>
                <w:lang w:val="en-US" w:eastAsia="zh-CN"/>
              </w:rPr>
              <w:t>生活垃圾、中药药渣、医疗废物、污水处理站污泥</w:t>
            </w:r>
            <w:r>
              <w:rPr>
                <w:rFonts w:hint="eastAsia" w:ascii="Times New Roman" w:hAnsi="Times New Roman" w:cs="Times New Roman" w:eastAsiaTheme="minorEastAsia"/>
                <w:color w:val="auto"/>
                <w:spacing w:val="11"/>
                <w:position w:val="0"/>
                <w:sz w:val="24"/>
                <w:szCs w:val="21"/>
                <w:highlight w:val="none"/>
                <w:u w:val="none" w:color="auto"/>
                <w:lang w:eastAsia="zh-CN"/>
              </w:rPr>
              <w:t>。</w:t>
            </w:r>
            <w:r>
              <w:rPr>
                <w:rFonts w:hint="eastAsia" w:cs="Times New Roman" w:eastAsiaTheme="minorEastAsia"/>
                <w:color w:val="auto"/>
                <w:spacing w:val="11"/>
                <w:position w:val="0"/>
                <w:sz w:val="24"/>
                <w:szCs w:val="21"/>
                <w:highlight w:val="none"/>
                <w:u w:val="none" w:color="auto"/>
                <w:lang w:val="en-US" w:eastAsia="zh-CN"/>
              </w:rPr>
              <w:t xml:space="preserve"> </w:t>
            </w:r>
          </w:p>
        </w:tc>
      </w:tr>
      <w:tr w14:paraId="39B38A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41" w:hRule="atLeast"/>
        </w:trPr>
        <w:tc>
          <w:tcPr>
            <w:tcW w:w="401" w:type="pct"/>
            <w:tcBorders>
              <w:tl2br w:val="nil"/>
              <w:tr2bl w:val="nil"/>
            </w:tcBorders>
            <w:shd w:val="clear" w:color="auto" w:fill="auto"/>
            <w:vAlign w:val="center"/>
          </w:tcPr>
          <w:p w14:paraId="7719F29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eastAsiaTheme="minorEastAsia"/>
                <w:color w:val="auto"/>
                <w:spacing w:val="11"/>
                <w:kern w:val="2"/>
                <w:position w:val="0"/>
                <w:sz w:val="24"/>
                <w:szCs w:val="24"/>
                <w:highlight w:val="none"/>
                <w:u w:val="single" w:color="auto"/>
                <w:vertAlign w:val="baseline"/>
                <w:lang w:val="en-US" w:eastAsia="zh-CN" w:bidi="ar-SA"/>
              </w:rPr>
            </w:pPr>
            <w:r>
              <w:rPr>
                <w:rFonts w:hint="default" w:ascii="Times New Roman" w:hAnsi="Times New Roman" w:cs="Times New Roman" w:eastAsiaTheme="minorEastAsia"/>
                <w:color w:val="auto"/>
                <w:spacing w:val="11"/>
                <w:position w:val="0"/>
                <w:sz w:val="24"/>
                <w:szCs w:val="24"/>
                <w:highlight w:val="none"/>
                <w:u w:val="single" w:color="auto"/>
                <w:vertAlign w:val="baseline"/>
                <w:lang w:val="en-US" w:eastAsia="zh-CN"/>
              </w:rPr>
              <w:t>与项目有关的原有环境污染问题</w:t>
            </w:r>
          </w:p>
        </w:tc>
        <w:tc>
          <w:tcPr>
            <w:tcW w:w="4598" w:type="pct"/>
            <w:tcBorders>
              <w:tl2br w:val="nil"/>
              <w:tr2bl w:val="nil"/>
            </w:tcBorders>
            <w:shd w:val="clear" w:color="auto" w:fill="auto"/>
            <w:vAlign w:val="center"/>
          </w:tcPr>
          <w:p w14:paraId="6785FC8B">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6" w:firstLineChars="200"/>
              <w:jc w:val="both"/>
              <w:textAlignment w:val="auto"/>
              <w:rPr>
                <w:rFonts w:hint="default" w:ascii="Times New Roman" w:hAnsi="Times New Roman" w:cs="Times New Roman" w:eastAsiaTheme="minorEastAsia"/>
                <w:b/>
                <w:bCs/>
                <w:color w:val="auto"/>
                <w:spacing w:val="11"/>
                <w:position w:val="0"/>
                <w:sz w:val="24"/>
                <w:szCs w:val="24"/>
                <w:highlight w:val="none"/>
                <w:u w:val="single" w:color="auto"/>
                <w:lang w:val="en-US" w:eastAsia="zh-CN"/>
              </w:rPr>
            </w:pPr>
            <w:r>
              <w:rPr>
                <w:rFonts w:hint="eastAsia" w:cs="Times New Roman" w:eastAsiaTheme="minorEastAsia"/>
                <w:b/>
                <w:bCs/>
                <w:color w:val="auto"/>
                <w:spacing w:val="11"/>
                <w:position w:val="0"/>
                <w:sz w:val="24"/>
                <w:szCs w:val="24"/>
                <w:highlight w:val="none"/>
                <w:u w:val="single" w:color="auto"/>
                <w:lang w:val="en-US" w:eastAsia="zh-CN"/>
              </w:rPr>
              <w:t>1、</w:t>
            </w:r>
            <w:r>
              <w:rPr>
                <w:rFonts w:hint="default" w:ascii="Times New Roman" w:hAnsi="Times New Roman" w:cs="Times New Roman" w:eastAsiaTheme="minorEastAsia"/>
                <w:b/>
                <w:bCs/>
                <w:color w:val="auto"/>
                <w:spacing w:val="11"/>
                <w:position w:val="0"/>
                <w:sz w:val="24"/>
                <w:szCs w:val="24"/>
                <w:highlight w:val="none"/>
                <w:u w:val="single" w:color="auto"/>
                <w:lang w:val="en-US" w:eastAsia="zh-CN"/>
              </w:rPr>
              <w:t>现有工程概况</w:t>
            </w:r>
          </w:p>
          <w:p w14:paraId="096CAF5F">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新田县中医医院创建于1956年，医院地处新田县县城，用地南临健康路，东临前进路，西侧和北侧为民房。现有医院用地由新田县中医院及原新田县妇幼保健院用地合并组成。院区总用地面积21452.76平方米(32.16亩)，</w:t>
            </w:r>
            <w:r>
              <w:rPr>
                <w:rFonts w:hint="eastAsia" w:cs="Times New Roman" w:eastAsiaTheme="minorEastAsia"/>
                <w:color w:val="auto"/>
                <w:spacing w:val="11"/>
                <w:position w:val="0"/>
                <w:sz w:val="24"/>
                <w:szCs w:val="24"/>
                <w:highlight w:val="none"/>
                <w:u w:val="single" w:color="auto"/>
                <w:lang w:val="en-US" w:eastAsia="zh-CN"/>
              </w:rPr>
              <w:t>设计床位350</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张。共设置门诊部、“120”急救中心、重症监护病房、脑病科、内科、外科、骨伤科、妇产科、儿科、肿瘤科、针灸康复科、肛肠科、眼耳鼻喉科、血透室、泌尿结石微创中心、卒中中心、治未病科、健康管理科等临床、医技科室34个。</w:t>
            </w:r>
          </w:p>
          <w:p w14:paraId="764BA87E">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新田县中医医院于20</w:t>
            </w:r>
            <w:r>
              <w:rPr>
                <w:rFonts w:hint="eastAsia" w:cs="Times New Roman" w:eastAsiaTheme="minorEastAsia"/>
                <w:color w:val="auto"/>
                <w:spacing w:val="11"/>
                <w:position w:val="0"/>
                <w:sz w:val="24"/>
                <w:szCs w:val="24"/>
                <w:highlight w:val="none"/>
                <w:u w:val="single" w:color="auto"/>
                <w:lang w:val="en-US" w:eastAsia="zh-CN"/>
              </w:rPr>
              <w:t>17</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年</w:t>
            </w:r>
            <w:r>
              <w:rPr>
                <w:rFonts w:hint="eastAsia" w:cs="Times New Roman" w:eastAsiaTheme="minorEastAsia"/>
                <w:color w:val="auto"/>
                <w:spacing w:val="11"/>
                <w:position w:val="0"/>
                <w:sz w:val="24"/>
                <w:szCs w:val="24"/>
                <w:highlight w:val="none"/>
                <w:u w:val="single" w:color="auto"/>
                <w:lang w:val="en-US" w:eastAsia="zh-CN"/>
              </w:rPr>
              <w:t>4</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月委托湖南绿鸿环境科技有限责任公司编制《新田县中医医院住院综合楼建设项目环境影响报告表》，20</w:t>
            </w:r>
            <w:r>
              <w:rPr>
                <w:rFonts w:hint="eastAsia" w:cs="Times New Roman" w:eastAsiaTheme="minorEastAsia"/>
                <w:color w:val="auto"/>
                <w:spacing w:val="11"/>
                <w:position w:val="0"/>
                <w:sz w:val="24"/>
                <w:szCs w:val="24"/>
                <w:highlight w:val="none"/>
                <w:u w:val="single" w:color="auto"/>
                <w:lang w:val="en-US" w:eastAsia="zh-CN"/>
              </w:rPr>
              <w:t>17</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年</w:t>
            </w:r>
            <w:r>
              <w:rPr>
                <w:rFonts w:hint="eastAsia" w:cs="Times New Roman" w:eastAsiaTheme="minorEastAsia"/>
                <w:color w:val="auto"/>
                <w:spacing w:val="11"/>
                <w:position w:val="0"/>
                <w:sz w:val="24"/>
                <w:szCs w:val="24"/>
                <w:highlight w:val="none"/>
                <w:u w:val="single" w:color="auto"/>
                <w:lang w:val="en-US" w:eastAsia="zh-CN"/>
              </w:rPr>
              <w:t>8</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月通过原</w:t>
            </w:r>
            <w:r>
              <w:rPr>
                <w:rFonts w:hint="eastAsia" w:cs="Times New Roman" w:eastAsiaTheme="minorEastAsia"/>
                <w:color w:val="auto"/>
                <w:spacing w:val="11"/>
                <w:position w:val="0"/>
                <w:sz w:val="24"/>
                <w:szCs w:val="24"/>
                <w:highlight w:val="none"/>
                <w:u w:val="single" w:color="auto"/>
                <w:lang w:val="en-US" w:eastAsia="zh-CN"/>
              </w:rPr>
              <w:t>永州市环境保护局</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审批</w:t>
            </w:r>
            <w:r>
              <w:rPr>
                <w:rFonts w:hint="eastAsia" w:cs="Times New Roman" w:eastAsiaTheme="minorEastAsia"/>
                <w:color w:val="auto"/>
                <w:spacing w:val="11"/>
                <w:position w:val="0"/>
                <w:sz w:val="24"/>
                <w:szCs w:val="24"/>
                <w:highlight w:val="none"/>
                <w:u w:val="single" w:color="auto"/>
                <w:lang w:val="en-US" w:eastAsia="zh-CN"/>
              </w:rPr>
              <w:t>（永环评[2017]122号）</w:t>
            </w:r>
            <w:r>
              <w:rPr>
                <w:rFonts w:hint="default" w:ascii="Times New Roman" w:hAnsi="Times New Roman" w:cs="Times New Roman" w:eastAsiaTheme="minorEastAsia"/>
                <w:color w:val="auto"/>
                <w:spacing w:val="11"/>
                <w:position w:val="0"/>
                <w:sz w:val="24"/>
                <w:szCs w:val="24"/>
                <w:highlight w:val="none"/>
                <w:u w:val="single" w:color="auto"/>
                <w:lang w:val="en-US" w:eastAsia="zh-CN"/>
              </w:rPr>
              <w:t>，20</w:t>
            </w:r>
            <w:r>
              <w:rPr>
                <w:rFonts w:hint="eastAsia" w:cs="Times New Roman" w:eastAsiaTheme="minorEastAsia"/>
                <w:color w:val="auto"/>
                <w:spacing w:val="11"/>
                <w:position w:val="0"/>
                <w:sz w:val="24"/>
                <w:szCs w:val="24"/>
                <w:highlight w:val="none"/>
                <w:u w:val="single" w:color="auto"/>
                <w:lang w:val="en-US" w:eastAsia="zh-CN"/>
              </w:rPr>
              <w:t>24</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年</w:t>
            </w:r>
            <w:r>
              <w:rPr>
                <w:rFonts w:hint="eastAsia" w:cs="Times New Roman" w:eastAsiaTheme="minorEastAsia"/>
                <w:color w:val="auto"/>
                <w:spacing w:val="11"/>
                <w:position w:val="0"/>
                <w:sz w:val="24"/>
                <w:szCs w:val="24"/>
                <w:highlight w:val="none"/>
                <w:u w:val="single" w:color="auto"/>
                <w:lang w:val="en-US" w:eastAsia="zh-CN"/>
              </w:rPr>
              <w:t>4</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月</w:t>
            </w:r>
            <w:r>
              <w:rPr>
                <w:rFonts w:hint="eastAsia" w:cs="Times New Roman" w:eastAsiaTheme="minorEastAsia"/>
                <w:color w:val="auto"/>
                <w:spacing w:val="11"/>
                <w:position w:val="0"/>
                <w:sz w:val="24"/>
                <w:szCs w:val="24"/>
                <w:highlight w:val="none"/>
                <w:u w:val="single" w:color="auto"/>
                <w:lang w:val="en-US" w:eastAsia="zh-CN"/>
              </w:rPr>
              <w:t>开展项目竣工环境保护自主验收工作，并编制</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《新田县中医医院住院综合楼建设项目竣工环境保护验收报告表》。</w:t>
            </w:r>
          </w:p>
          <w:p w14:paraId="3B80510A">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新田县中医医院于202</w:t>
            </w:r>
            <w:r>
              <w:rPr>
                <w:rFonts w:hint="eastAsia" w:cs="Times New Roman" w:eastAsiaTheme="minorEastAsia"/>
                <w:color w:val="auto"/>
                <w:spacing w:val="11"/>
                <w:position w:val="0"/>
                <w:sz w:val="24"/>
                <w:szCs w:val="24"/>
                <w:highlight w:val="none"/>
                <w:u w:val="single" w:color="auto"/>
                <w:lang w:val="en-US" w:eastAsia="zh-CN"/>
              </w:rPr>
              <w:t>3</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年</w:t>
            </w:r>
            <w:r>
              <w:rPr>
                <w:rFonts w:hint="eastAsia" w:cs="Times New Roman" w:eastAsiaTheme="minorEastAsia"/>
                <w:color w:val="auto"/>
                <w:spacing w:val="11"/>
                <w:position w:val="0"/>
                <w:sz w:val="24"/>
                <w:szCs w:val="24"/>
                <w:highlight w:val="none"/>
                <w:u w:val="single" w:color="auto"/>
                <w:lang w:val="en-US" w:eastAsia="zh-CN"/>
              </w:rPr>
              <w:t>7</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月</w:t>
            </w:r>
            <w:r>
              <w:rPr>
                <w:rFonts w:hint="eastAsia" w:cs="Times New Roman" w:eastAsiaTheme="minorEastAsia"/>
                <w:color w:val="auto"/>
                <w:spacing w:val="11"/>
                <w:position w:val="0"/>
                <w:sz w:val="24"/>
                <w:szCs w:val="24"/>
                <w:highlight w:val="none"/>
                <w:u w:val="single" w:color="auto"/>
                <w:lang w:val="en-US" w:eastAsia="zh-CN"/>
              </w:rPr>
              <w:t>办理排污许可延续业务，并于2023年7月</w:t>
            </w:r>
            <w:r>
              <w:rPr>
                <w:rFonts w:hint="eastAsia" w:ascii="Times New Roman" w:hAnsi="Times New Roman" w:cs="Times New Roman" w:eastAsiaTheme="minorEastAsia"/>
                <w:color w:val="auto"/>
                <w:spacing w:val="11"/>
                <w:position w:val="0"/>
                <w:sz w:val="24"/>
                <w:szCs w:val="24"/>
                <w:highlight w:val="none"/>
                <w:u w:val="single" w:color="auto"/>
                <w:lang w:val="en-US" w:eastAsia="zh-CN"/>
              </w:rPr>
              <w:t>11</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日取得排污许可证（证书编号：124311284480670942001Z），有效期限：自202</w:t>
            </w:r>
            <w:r>
              <w:rPr>
                <w:rFonts w:hint="eastAsia" w:cs="Times New Roman" w:eastAsiaTheme="minorEastAsia"/>
                <w:color w:val="auto"/>
                <w:spacing w:val="11"/>
                <w:position w:val="0"/>
                <w:sz w:val="24"/>
                <w:szCs w:val="24"/>
                <w:highlight w:val="none"/>
                <w:u w:val="single" w:color="auto"/>
                <w:lang w:val="en-US" w:eastAsia="zh-CN"/>
              </w:rPr>
              <w:t>3</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年</w:t>
            </w:r>
            <w:r>
              <w:rPr>
                <w:rFonts w:hint="eastAsia" w:cs="Times New Roman" w:eastAsiaTheme="minorEastAsia"/>
                <w:color w:val="auto"/>
                <w:spacing w:val="11"/>
                <w:position w:val="0"/>
                <w:sz w:val="24"/>
                <w:szCs w:val="24"/>
                <w:highlight w:val="none"/>
                <w:u w:val="single" w:color="auto"/>
                <w:lang w:val="en-US" w:eastAsia="zh-CN"/>
              </w:rPr>
              <w:t>7</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月</w:t>
            </w:r>
            <w:r>
              <w:rPr>
                <w:rFonts w:hint="eastAsia" w:cs="Times New Roman" w:eastAsiaTheme="minorEastAsia"/>
                <w:color w:val="auto"/>
                <w:spacing w:val="11"/>
                <w:position w:val="0"/>
                <w:sz w:val="24"/>
                <w:szCs w:val="24"/>
                <w:highlight w:val="none"/>
                <w:u w:val="single" w:color="auto"/>
                <w:lang w:val="en-US" w:eastAsia="zh-CN"/>
              </w:rPr>
              <w:t>16</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日至202</w:t>
            </w:r>
            <w:r>
              <w:rPr>
                <w:rFonts w:hint="eastAsia" w:cs="Times New Roman" w:eastAsiaTheme="minorEastAsia"/>
                <w:color w:val="auto"/>
                <w:spacing w:val="11"/>
                <w:position w:val="0"/>
                <w:sz w:val="24"/>
                <w:szCs w:val="24"/>
                <w:highlight w:val="none"/>
                <w:u w:val="single" w:color="auto"/>
                <w:lang w:val="en-US" w:eastAsia="zh-CN"/>
              </w:rPr>
              <w:t>8</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年</w:t>
            </w:r>
            <w:r>
              <w:rPr>
                <w:rFonts w:hint="eastAsia" w:cs="Times New Roman" w:eastAsiaTheme="minorEastAsia"/>
                <w:color w:val="auto"/>
                <w:spacing w:val="11"/>
                <w:position w:val="0"/>
                <w:sz w:val="24"/>
                <w:szCs w:val="24"/>
                <w:highlight w:val="none"/>
                <w:u w:val="single" w:color="auto"/>
                <w:lang w:val="en-US" w:eastAsia="zh-CN"/>
              </w:rPr>
              <w:t>7</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月</w:t>
            </w:r>
            <w:r>
              <w:rPr>
                <w:rFonts w:hint="eastAsia" w:cs="Times New Roman" w:eastAsiaTheme="minorEastAsia"/>
                <w:color w:val="auto"/>
                <w:spacing w:val="11"/>
                <w:position w:val="0"/>
                <w:sz w:val="24"/>
                <w:szCs w:val="24"/>
                <w:highlight w:val="none"/>
                <w:u w:val="single" w:color="auto"/>
                <w:lang w:val="en-US" w:eastAsia="zh-CN"/>
              </w:rPr>
              <w:t>15</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日止。</w:t>
            </w:r>
          </w:p>
          <w:p w14:paraId="5EBC331C">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现有工程主要污染物产生情况</w:t>
            </w:r>
            <w:r>
              <w:rPr>
                <w:rFonts w:hint="eastAsia" w:cs="Times New Roman" w:eastAsiaTheme="minorEastAsia"/>
                <w:color w:val="auto"/>
                <w:spacing w:val="11"/>
                <w:position w:val="0"/>
                <w:sz w:val="24"/>
                <w:szCs w:val="24"/>
                <w:highlight w:val="none"/>
                <w:u w:val="single" w:color="auto"/>
                <w:lang w:val="en-US" w:eastAsia="zh-CN"/>
              </w:rPr>
              <w:t>详见下表</w:t>
            </w: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p w14:paraId="1A0D5EFC">
            <w:pPr>
              <w:keepNext w:val="0"/>
              <w:keepLines w:val="0"/>
              <w:pageBreakBefore w:val="0"/>
              <w:widowControl w:val="0"/>
              <w:tabs>
                <w:tab w:val="left" w:pos="683"/>
              </w:tabs>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4"/>
                <w:highlight w:val="none"/>
                <w:u w:val="single" w:color="auto"/>
              </w:rPr>
            </w:pPr>
            <w:r>
              <w:rPr>
                <w:rFonts w:hint="default" w:ascii="Times New Roman" w:hAnsi="Times New Roman" w:cs="Times New Roman" w:eastAsiaTheme="minorEastAsia"/>
                <w:b/>
                <w:bCs w:val="0"/>
                <w:color w:val="auto"/>
                <w:sz w:val="21"/>
                <w:szCs w:val="21"/>
                <w:highlight w:val="none"/>
                <w:u w:val="single" w:color="auto"/>
              </w:rPr>
              <w:t>表2-</w:t>
            </w:r>
            <w:r>
              <w:rPr>
                <w:rFonts w:hint="eastAsia" w:ascii="Times New Roman" w:hAnsi="Times New Roman" w:cs="Times New Roman" w:eastAsiaTheme="minorEastAsia"/>
                <w:b/>
                <w:bCs w:val="0"/>
                <w:color w:val="auto"/>
                <w:sz w:val="21"/>
                <w:szCs w:val="21"/>
                <w:highlight w:val="none"/>
                <w:u w:val="single" w:color="auto"/>
                <w:lang w:val="en-US" w:eastAsia="zh-CN"/>
              </w:rPr>
              <w:t>4</w:t>
            </w:r>
            <w:r>
              <w:rPr>
                <w:rFonts w:hint="default" w:ascii="Times New Roman" w:hAnsi="Times New Roman" w:cs="Times New Roman" w:eastAsiaTheme="minorEastAsia"/>
                <w:b/>
                <w:bCs w:val="0"/>
                <w:color w:val="auto"/>
                <w:sz w:val="21"/>
                <w:szCs w:val="21"/>
                <w:highlight w:val="none"/>
                <w:u w:val="single" w:color="auto"/>
              </w:rPr>
              <w:t xml:space="preserve"> </w:t>
            </w:r>
            <w:r>
              <w:rPr>
                <w:rFonts w:hint="eastAsia" w:ascii="Times New Roman" w:hAnsi="Times New Roman" w:cs="Times New Roman" w:eastAsiaTheme="minorEastAsia"/>
                <w:b/>
                <w:bCs w:val="0"/>
                <w:color w:val="auto"/>
                <w:sz w:val="21"/>
                <w:szCs w:val="21"/>
                <w:highlight w:val="none"/>
                <w:u w:val="single" w:color="auto"/>
                <w:lang w:val="en-US" w:eastAsia="zh-CN"/>
              </w:rPr>
              <w:t xml:space="preserve"> </w:t>
            </w:r>
            <w:r>
              <w:rPr>
                <w:rFonts w:hint="default" w:ascii="Times New Roman" w:hAnsi="Times New Roman" w:cs="Times New Roman" w:eastAsiaTheme="minorEastAsia"/>
                <w:b/>
                <w:bCs w:val="0"/>
                <w:color w:val="auto"/>
                <w:sz w:val="21"/>
                <w:szCs w:val="21"/>
                <w:highlight w:val="none"/>
                <w:u w:val="single" w:color="auto"/>
                <w:lang w:val="en-US" w:eastAsia="zh-CN"/>
              </w:rPr>
              <w:t>现有工程</w:t>
            </w:r>
            <w:r>
              <w:rPr>
                <w:rFonts w:hint="default" w:ascii="Times New Roman" w:hAnsi="Times New Roman" w:cs="Times New Roman" w:eastAsiaTheme="minorEastAsia"/>
                <w:b/>
                <w:bCs w:val="0"/>
                <w:color w:val="auto"/>
                <w:sz w:val="21"/>
                <w:szCs w:val="21"/>
                <w:highlight w:val="none"/>
                <w:u w:val="single" w:color="auto"/>
              </w:rPr>
              <w:t>主要污染源一览表</w:t>
            </w:r>
          </w:p>
          <w:tbl>
            <w:tblPr>
              <w:tblStyle w:val="24"/>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96"/>
              <w:gridCol w:w="2774"/>
              <w:gridCol w:w="3233"/>
            </w:tblGrid>
            <w:tr w14:paraId="70D64C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tcBorders>
                    <w:tl2br w:val="nil"/>
                    <w:tr2bl w:val="nil"/>
                  </w:tcBorders>
                  <w:noWrap w:val="0"/>
                  <w:vAlign w:val="center"/>
                </w:tcPr>
                <w:p w14:paraId="5F3E3319">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r>
                    <w:rPr>
                      <w:rFonts w:ascii="Times New Roman" w:hAnsi="Times New Roman" w:eastAsia="宋体" w:cs="Times New Roman"/>
                      <w:color w:val="auto"/>
                      <w:sz w:val="21"/>
                      <w:szCs w:val="24"/>
                      <w:highlight w:val="none"/>
                      <w:u w:val="single" w:color="auto"/>
                    </w:rPr>
                    <w:t>污染物类型</w:t>
                  </w:r>
                </w:p>
              </w:tc>
              <w:tc>
                <w:tcPr>
                  <w:tcW w:w="1540" w:type="pct"/>
                  <w:tcBorders>
                    <w:tl2br w:val="nil"/>
                    <w:tr2bl w:val="nil"/>
                  </w:tcBorders>
                  <w:noWrap w:val="0"/>
                  <w:vAlign w:val="center"/>
                </w:tcPr>
                <w:p w14:paraId="73E302A4">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r>
                    <w:rPr>
                      <w:rFonts w:ascii="Times New Roman" w:hAnsi="Times New Roman" w:eastAsia="宋体" w:cs="Times New Roman"/>
                      <w:color w:val="auto"/>
                      <w:sz w:val="21"/>
                      <w:szCs w:val="24"/>
                      <w:highlight w:val="none"/>
                      <w:u w:val="single" w:color="auto"/>
                    </w:rPr>
                    <w:t>污染源</w:t>
                  </w:r>
                </w:p>
              </w:tc>
              <w:tc>
                <w:tcPr>
                  <w:tcW w:w="1795" w:type="pct"/>
                  <w:tcBorders>
                    <w:tl2br w:val="nil"/>
                    <w:tr2bl w:val="nil"/>
                  </w:tcBorders>
                  <w:noWrap w:val="0"/>
                  <w:vAlign w:val="center"/>
                </w:tcPr>
                <w:p w14:paraId="74717637">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r>
                    <w:rPr>
                      <w:rFonts w:ascii="Times New Roman" w:hAnsi="Times New Roman" w:eastAsia="宋体" w:cs="Times New Roman"/>
                      <w:color w:val="auto"/>
                      <w:sz w:val="21"/>
                      <w:szCs w:val="24"/>
                      <w:highlight w:val="none"/>
                      <w:u w:val="single" w:color="auto"/>
                    </w:rPr>
                    <w:t>相关污染物</w:t>
                  </w:r>
                </w:p>
              </w:tc>
            </w:tr>
            <w:tr w14:paraId="29DD72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vMerge w:val="restart"/>
                  <w:tcBorders>
                    <w:tl2br w:val="nil"/>
                    <w:tr2bl w:val="nil"/>
                  </w:tcBorders>
                  <w:noWrap w:val="0"/>
                  <w:vAlign w:val="center"/>
                </w:tcPr>
                <w:p w14:paraId="6B1DECE1">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r>
                    <w:rPr>
                      <w:rFonts w:ascii="Times New Roman" w:hAnsi="Times New Roman" w:eastAsia="宋体" w:cs="Times New Roman"/>
                      <w:color w:val="auto"/>
                      <w:sz w:val="21"/>
                      <w:szCs w:val="24"/>
                      <w:highlight w:val="none"/>
                      <w:u w:val="single" w:color="auto"/>
                    </w:rPr>
                    <w:t>大气污染物</w:t>
                  </w:r>
                </w:p>
              </w:tc>
              <w:tc>
                <w:tcPr>
                  <w:tcW w:w="1540" w:type="pct"/>
                  <w:tcBorders>
                    <w:tl2br w:val="nil"/>
                    <w:tr2bl w:val="nil"/>
                  </w:tcBorders>
                  <w:shd w:val="clear" w:color="auto" w:fill="auto"/>
                  <w:noWrap w:val="0"/>
                  <w:vAlign w:val="center"/>
                </w:tcPr>
                <w:p w14:paraId="3EA730D7">
                  <w:pPr>
                    <w:pStyle w:val="63"/>
                    <w:ind w:firstLine="0" w:firstLineChars="0"/>
                    <w:rPr>
                      <w:rFonts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污水处理设施</w:t>
                  </w:r>
                </w:p>
              </w:tc>
              <w:tc>
                <w:tcPr>
                  <w:tcW w:w="1795" w:type="pct"/>
                  <w:tcBorders>
                    <w:tl2br w:val="nil"/>
                    <w:tr2bl w:val="nil"/>
                  </w:tcBorders>
                  <w:shd w:val="clear" w:color="auto" w:fill="auto"/>
                  <w:noWrap w:val="0"/>
                  <w:vAlign w:val="center"/>
                </w:tcPr>
                <w:p w14:paraId="70C7835C">
                  <w:pPr>
                    <w:pStyle w:val="63"/>
                    <w:ind w:firstLine="0" w:firstLineChars="0"/>
                    <w:rPr>
                      <w:rFonts w:hint="default"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恶臭（主要为NH</w:t>
                  </w:r>
                  <w:r>
                    <w:rPr>
                      <w:rFonts w:ascii="Times New Roman" w:hAnsi="Times New Roman"/>
                      <w:color w:val="auto"/>
                      <w:kern w:val="2"/>
                      <w:highlight w:val="none"/>
                      <w:u w:val="single" w:color="auto"/>
                      <w:vertAlign w:val="subscript"/>
                    </w:rPr>
                    <w:t>3</w:t>
                  </w:r>
                  <w:r>
                    <w:rPr>
                      <w:rFonts w:ascii="Times New Roman" w:hAnsi="Times New Roman"/>
                      <w:color w:val="auto"/>
                      <w:kern w:val="2"/>
                      <w:highlight w:val="none"/>
                      <w:u w:val="single" w:color="auto"/>
                    </w:rPr>
                    <w:t>、H</w:t>
                  </w:r>
                  <w:r>
                    <w:rPr>
                      <w:rFonts w:ascii="Times New Roman" w:hAnsi="Times New Roman"/>
                      <w:color w:val="auto"/>
                      <w:kern w:val="2"/>
                      <w:highlight w:val="none"/>
                      <w:u w:val="single" w:color="auto"/>
                      <w:vertAlign w:val="subscript"/>
                    </w:rPr>
                    <w:t>2</w:t>
                  </w:r>
                  <w:r>
                    <w:rPr>
                      <w:rFonts w:ascii="Times New Roman" w:hAnsi="Times New Roman"/>
                      <w:color w:val="auto"/>
                      <w:kern w:val="2"/>
                      <w:highlight w:val="none"/>
                      <w:u w:val="single" w:color="auto"/>
                    </w:rPr>
                    <w:t>S）</w:t>
                  </w:r>
                </w:p>
              </w:tc>
            </w:tr>
            <w:tr w14:paraId="6C002D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vMerge w:val="continue"/>
                  <w:tcBorders>
                    <w:tl2br w:val="nil"/>
                    <w:tr2bl w:val="nil"/>
                  </w:tcBorders>
                  <w:noWrap w:val="0"/>
                  <w:vAlign w:val="center"/>
                </w:tcPr>
                <w:p w14:paraId="42FAD7A1">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p>
              </w:tc>
              <w:tc>
                <w:tcPr>
                  <w:tcW w:w="1540" w:type="pct"/>
                  <w:tcBorders>
                    <w:tl2br w:val="nil"/>
                    <w:tr2bl w:val="nil"/>
                  </w:tcBorders>
                  <w:shd w:val="clear" w:color="auto" w:fill="auto"/>
                  <w:noWrap w:val="0"/>
                  <w:vAlign w:val="center"/>
                </w:tcPr>
                <w:p w14:paraId="5F2AEA72">
                  <w:pPr>
                    <w:pStyle w:val="63"/>
                    <w:ind w:firstLine="0" w:firstLineChars="0"/>
                    <w:rPr>
                      <w:rFonts w:hint="default"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暂存间</w:t>
                  </w:r>
                </w:p>
              </w:tc>
              <w:tc>
                <w:tcPr>
                  <w:tcW w:w="1795" w:type="pct"/>
                  <w:tcBorders>
                    <w:tl2br w:val="nil"/>
                    <w:tr2bl w:val="nil"/>
                  </w:tcBorders>
                  <w:shd w:val="clear" w:color="auto" w:fill="auto"/>
                  <w:noWrap w:val="0"/>
                  <w:vAlign w:val="center"/>
                </w:tcPr>
                <w:p w14:paraId="17700E8A">
                  <w:pPr>
                    <w:pStyle w:val="63"/>
                    <w:ind w:firstLine="0" w:firstLineChars="0"/>
                    <w:rPr>
                      <w:rFonts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医疗垃圾及生活垃圾暂存间臭气</w:t>
                  </w:r>
                </w:p>
              </w:tc>
            </w:tr>
            <w:tr w14:paraId="0B8F86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vMerge w:val="continue"/>
                  <w:tcBorders>
                    <w:tl2br w:val="nil"/>
                    <w:tr2bl w:val="nil"/>
                  </w:tcBorders>
                  <w:noWrap w:val="0"/>
                  <w:vAlign w:val="center"/>
                </w:tcPr>
                <w:p w14:paraId="0C66C98B">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p>
              </w:tc>
              <w:tc>
                <w:tcPr>
                  <w:tcW w:w="1540" w:type="pct"/>
                  <w:tcBorders>
                    <w:tl2br w:val="nil"/>
                    <w:tr2bl w:val="nil"/>
                  </w:tcBorders>
                  <w:shd w:val="clear" w:color="auto" w:fill="auto"/>
                  <w:noWrap w:val="0"/>
                  <w:vAlign w:val="center"/>
                </w:tcPr>
                <w:p w14:paraId="5FE69285">
                  <w:pPr>
                    <w:pStyle w:val="63"/>
                    <w:ind w:firstLine="0" w:firstLineChars="0"/>
                    <w:rPr>
                      <w:rFonts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color w:val="auto"/>
                      <w:kern w:val="2"/>
                      <w:highlight w:val="none"/>
                      <w:u w:val="single" w:color="auto"/>
                    </w:rPr>
                    <w:t>地下停车场</w:t>
                  </w:r>
                </w:p>
              </w:tc>
              <w:tc>
                <w:tcPr>
                  <w:tcW w:w="1795" w:type="pct"/>
                  <w:tcBorders>
                    <w:tl2br w:val="nil"/>
                    <w:tr2bl w:val="nil"/>
                  </w:tcBorders>
                  <w:shd w:val="clear" w:color="auto" w:fill="auto"/>
                  <w:noWrap w:val="0"/>
                  <w:vAlign w:val="center"/>
                </w:tcPr>
                <w:p w14:paraId="2F030863">
                  <w:pPr>
                    <w:pStyle w:val="63"/>
                    <w:ind w:firstLine="0" w:firstLineChars="0"/>
                    <w:rPr>
                      <w:rFonts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汽车尾气</w:t>
                  </w:r>
                </w:p>
              </w:tc>
            </w:tr>
            <w:tr w14:paraId="5E9627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vMerge w:val="continue"/>
                  <w:tcBorders>
                    <w:tl2br w:val="nil"/>
                    <w:tr2bl w:val="nil"/>
                  </w:tcBorders>
                  <w:noWrap w:val="0"/>
                  <w:vAlign w:val="center"/>
                </w:tcPr>
                <w:p w14:paraId="5757E9BA">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p>
              </w:tc>
              <w:tc>
                <w:tcPr>
                  <w:tcW w:w="1540" w:type="pct"/>
                  <w:tcBorders>
                    <w:tl2br w:val="nil"/>
                    <w:tr2bl w:val="nil"/>
                  </w:tcBorders>
                  <w:shd w:val="clear" w:color="auto" w:fill="auto"/>
                  <w:noWrap w:val="0"/>
                  <w:vAlign w:val="center"/>
                </w:tcPr>
                <w:p w14:paraId="2C29A362">
                  <w:pPr>
                    <w:pStyle w:val="63"/>
                    <w:ind w:firstLine="0" w:firstLineChars="0"/>
                    <w:rPr>
                      <w:rFonts w:hint="default"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柴油发电机废气</w:t>
                  </w:r>
                </w:p>
              </w:tc>
              <w:tc>
                <w:tcPr>
                  <w:tcW w:w="1795" w:type="pct"/>
                  <w:tcBorders>
                    <w:tl2br w:val="nil"/>
                    <w:tr2bl w:val="nil"/>
                  </w:tcBorders>
                  <w:shd w:val="clear" w:color="auto" w:fill="auto"/>
                  <w:noWrap w:val="0"/>
                  <w:vAlign w:val="center"/>
                </w:tcPr>
                <w:p w14:paraId="758979DD">
                  <w:pPr>
                    <w:pStyle w:val="63"/>
                    <w:ind w:firstLine="0" w:firstLineChars="0"/>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color w:val="auto"/>
                      <w:kern w:val="2"/>
                      <w:highlight w:val="none"/>
                      <w:u w:val="single" w:color="auto"/>
                    </w:rPr>
                    <w:t>CO、NOx</w:t>
                  </w:r>
                  <w:r>
                    <w:rPr>
                      <w:rFonts w:hint="eastAsia"/>
                      <w:color w:val="auto"/>
                      <w:kern w:val="2"/>
                      <w:highlight w:val="none"/>
                      <w:u w:val="single" w:color="auto"/>
                      <w:lang w:eastAsia="zh-CN"/>
                    </w:rPr>
                    <w:t>、</w:t>
                  </w:r>
                  <w:r>
                    <w:rPr>
                      <w:rFonts w:hint="eastAsia" w:ascii="Times New Roman" w:hAnsi="Times New Roman"/>
                      <w:color w:val="auto"/>
                      <w:kern w:val="2"/>
                      <w:highlight w:val="none"/>
                      <w:u w:val="single" w:color="auto"/>
                    </w:rPr>
                    <w:t>THC</w:t>
                  </w:r>
                </w:p>
              </w:tc>
            </w:tr>
            <w:tr w14:paraId="31EEA4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vMerge w:val="continue"/>
                  <w:tcBorders>
                    <w:tl2br w:val="nil"/>
                    <w:tr2bl w:val="nil"/>
                  </w:tcBorders>
                  <w:noWrap w:val="0"/>
                  <w:vAlign w:val="center"/>
                </w:tcPr>
                <w:p w14:paraId="38946B2C">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p>
              </w:tc>
              <w:tc>
                <w:tcPr>
                  <w:tcW w:w="1540" w:type="pct"/>
                  <w:tcBorders>
                    <w:tl2br w:val="nil"/>
                    <w:tr2bl w:val="nil"/>
                  </w:tcBorders>
                  <w:shd w:val="clear" w:color="auto" w:fill="auto"/>
                  <w:noWrap w:val="0"/>
                  <w:vAlign w:val="center"/>
                </w:tcPr>
                <w:p w14:paraId="7237DE3B">
                  <w:pPr>
                    <w:pStyle w:val="63"/>
                    <w:ind w:firstLine="0" w:firstLineChars="0"/>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color w:val="auto"/>
                      <w:kern w:val="2"/>
                      <w:highlight w:val="none"/>
                      <w:u w:val="single" w:color="auto"/>
                    </w:rPr>
                    <w:t>煎药废气</w:t>
                  </w:r>
                </w:p>
              </w:tc>
              <w:tc>
                <w:tcPr>
                  <w:tcW w:w="1795" w:type="pct"/>
                  <w:tcBorders>
                    <w:tl2br w:val="nil"/>
                    <w:tr2bl w:val="nil"/>
                  </w:tcBorders>
                  <w:shd w:val="clear" w:color="auto" w:fill="auto"/>
                  <w:noWrap w:val="0"/>
                  <w:vAlign w:val="center"/>
                </w:tcPr>
                <w:p w14:paraId="3A4446B7">
                  <w:pPr>
                    <w:pStyle w:val="63"/>
                    <w:ind w:firstLine="0" w:firstLineChars="0"/>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color w:val="auto"/>
                      <w:kern w:val="2"/>
                      <w:highlight w:val="none"/>
                      <w:u w:val="single" w:color="auto"/>
                    </w:rPr>
                    <w:t>中医异味</w:t>
                  </w:r>
                </w:p>
              </w:tc>
            </w:tr>
            <w:tr w14:paraId="2645E8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vMerge w:val="restart"/>
                  <w:tcBorders>
                    <w:tl2br w:val="nil"/>
                    <w:tr2bl w:val="nil"/>
                  </w:tcBorders>
                  <w:noWrap w:val="0"/>
                  <w:vAlign w:val="center"/>
                </w:tcPr>
                <w:p w14:paraId="36677A96">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r>
                    <w:rPr>
                      <w:rFonts w:ascii="Times New Roman" w:hAnsi="Times New Roman" w:eastAsia="宋体" w:cs="Times New Roman"/>
                      <w:color w:val="auto"/>
                      <w:sz w:val="21"/>
                      <w:szCs w:val="24"/>
                      <w:highlight w:val="none"/>
                      <w:u w:val="single" w:color="auto"/>
                    </w:rPr>
                    <w:t>废水</w:t>
                  </w:r>
                </w:p>
              </w:tc>
              <w:tc>
                <w:tcPr>
                  <w:tcW w:w="1540" w:type="pct"/>
                  <w:tcBorders>
                    <w:tl2br w:val="nil"/>
                    <w:tr2bl w:val="nil"/>
                  </w:tcBorders>
                  <w:shd w:val="clear" w:color="auto" w:fill="auto"/>
                  <w:noWrap w:val="0"/>
                  <w:vAlign w:val="center"/>
                </w:tcPr>
                <w:p w14:paraId="51730CC3">
                  <w:pPr>
                    <w:pStyle w:val="63"/>
                    <w:ind w:firstLine="0" w:firstLineChars="0"/>
                    <w:rPr>
                      <w:rFonts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门诊治疗</w:t>
                  </w:r>
                </w:p>
              </w:tc>
              <w:tc>
                <w:tcPr>
                  <w:tcW w:w="1795" w:type="pct"/>
                  <w:vMerge w:val="restart"/>
                  <w:tcBorders>
                    <w:tl2br w:val="nil"/>
                    <w:tr2bl w:val="nil"/>
                  </w:tcBorders>
                  <w:shd w:val="clear" w:color="auto" w:fill="auto"/>
                  <w:noWrap w:val="0"/>
                  <w:vAlign w:val="center"/>
                </w:tcPr>
                <w:p w14:paraId="10FC6996">
                  <w:pPr>
                    <w:pStyle w:val="63"/>
                    <w:ind w:firstLine="0" w:firstLineChars="0"/>
                    <w:rPr>
                      <w:rFonts w:hint="eastAsia"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含病原体、COD废水</w:t>
                  </w:r>
                </w:p>
              </w:tc>
            </w:tr>
            <w:tr w14:paraId="0CD568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vMerge w:val="continue"/>
                  <w:tcBorders>
                    <w:tl2br w:val="nil"/>
                    <w:tr2bl w:val="nil"/>
                  </w:tcBorders>
                  <w:noWrap w:val="0"/>
                  <w:vAlign w:val="center"/>
                </w:tcPr>
                <w:p w14:paraId="73F8C1FE">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p>
              </w:tc>
              <w:tc>
                <w:tcPr>
                  <w:tcW w:w="1540" w:type="pct"/>
                  <w:tcBorders>
                    <w:tl2br w:val="nil"/>
                    <w:tr2bl w:val="nil"/>
                  </w:tcBorders>
                  <w:shd w:val="clear" w:color="auto" w:fill="auto"/>
                  <w:noWrap w:val="0"/>
                  <w:vAlign w:val="center"/>
                </w:tcPr>
                <w:p w14:paraId="6DCE7196">
                  <w:pPr>
                    <w:pStyle w:val="63"/>
                    <w:ind w:firstLine="0" w:firstLineChars="0"/>
                    <w:rPr>
                      <w:rFonts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住院治疗</w:t>
                  </w:r>
                </w:p>
              </w:tc>
              <w:tc>
                <w:tcPr>
                  <w:tcW w:w="1795" w:type="pct"/>
                  <w:vMerge w:val="continue"/>
                  <w:tcBorders>
                    <w:tl2br w:val="nil"/>
                    <w:tr2bl w:val="nil"/>
                  </w:tcBorders>
                  <w:shd w:val="clear" w:color="auto" w:fill="auto"/>
                  <w:noWrap w:val="0"/>
                  <w:vAlign w:val="center"/>
                </w:tcPr>
                <w:p w14:paraId="10C165E1">
                  <w:pPr>
                    <w:pStyle w:val="63"/>
                    <w:ind w:firstLine="0" w:firstLineChars="0"/>
                    <w:rPr>
                      <w:rFonts w:hint="default" w:ascii="Times New Roman" w:hAnsi="Times New Roman" w:eastAsia="宋体" w:cs="Times New Roman"/>
                      <w:color w:val="auto"/>
                      <w:kern w:val="2"/>
                      <w:sz w:val="21"/>
                      <w:szCs w:val="21"/>
                      <w:highlight w:val="none"/>
                      <w:u w:val="single" w:color="auto"/>
                      <w:lang w:val="en-US" w:eastAsia="zh-CN" w:bidi="ar-SA"/>
                    </w:rPr>
                  </w:pPr>
                </w:p>
              </w:tc>
            </w:tr>
            <w:tr w14:paraId="19CF8C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vMerge w:val="continue"/>
                  <w:tcBorders>
                    <w:tl2br w:val="nil"/>
                    <w:tr2bl w:val="nil"/>
                  </w:tcBorders>
                  <w:noWrap w:val="0"/>
                  <w:vAlign w:val="center"/>
                </w:tcPr>
                <w:p w14:paraId="6469A202">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p>
              </w:tc>
              <w:tc>
                <w:tcPr>
                  <w:tcW w:w="1540" w:type="pct"/>
                  <w:tcBorders>
                    <w:tl2br w:val="nil"/>
                    <w:tr2bl w:val="nil"/>
                  </w:tcBorders>
                  <w:shd w:val="clear" w:color="auto" w:fill="auto"/>
                  <w:noWrap w:val="0"/>
                  <w:vAlign w:val="center"/>
                </w:tcPr>
                <w:p w14:paraId="41582120">
                  <w:pPr>
                    <w:pStyle w:val="63"/>
                    <w:ind w:firstLine="0" w:firstLineChars="0"/>
                    <w:rPr>
                      <w:rFonts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办公生活</w:t>
                  </w:r>
                </w:p>
              </w:tc>
              <w:tc>
                <w:tcPr>
                  <w:tcW w:w="1795" w:type="pct"/>
                  <w:tcBorders>
                    <w:tl2br w:val="nil"/>
                    <w:tr2bl w:val="nil"/>
                  </w:tcBorders>
                  <w:shd w:val="clear" w:color="auto" w:fill="auto"/>
                  <w:noWrap w:val="0"/>
                  <w:vAlign w:val="center"/>
                </w:tcPr>
                <w:p w14:paraId="26FB493D">
                  <w:pPr>
                    <w:pStyle w:val="63"/>
                    <w:ind w:firstLine="0" w:firstLineChars="0"/>
                    <w:rPr>
                      <w:rFonts w:hint="eastAsia"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生活污水</w:t>
                  </w:r>
                </w:p>
              </w:tc>
            </w:tr>
            <w:tr w14:paraId="217DAF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vMerge w:val="restart"/>
                  <w:tcBorders>
                    <w:tl2br w:val="nil"/>
                    <w:tr2bl w:val="nil"/>
                  </w:tcBorders>
                  <w:noWrap w:val="0"/>
                  <w:vAlign w:val="center"/>
                </w:tcPr>
                <w:p w14:paraId="6B687609">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r>
                    <w:rPr>
                      <w:rFonts w:ascii="Times New Roman" w:hAnsi="Times New Roman" w:eastAsia="宋体" w:cs="Times New Roman"/>
                      <w:color w:val="auto"/>
                      <w:sz w:val="21"/>
                      <w:szCs w:val="24"/>
                      <w:highlight w:val="none"/>
                      <w:u w:val="single" w:color="auto"/>
                    </w:rPr>
                    <w:t>固体废物</w:t>
                  </w:r>
                </w:p>
              </w:tc>
              <w:tc>
                <w:tcPr>
                  <w:tcW w:w="1540" w:type="pct"/>
                  <w:tcBorders>
                    <w:tl2br w:val="nil"/>
                    <w:tr2bl w:val="nil"/>
                  </w:tcBorders>
                  <w:shd w:val="clear" w:color="auto" w:fill="auto"/>
                  <w:noWrap w:val="0"/>
                  <w:vAlign w:val="center"/>
                </w:tcPr>
                <w:p w14:paraId="147B8947">
                  <w:pPr>
                    <w:pStyle w:val="63"/>
                    <w:ind w:firstLine="0" w:firstLineChars="0"/>
                    <w:rPr>
                      <w:rFonts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门诊、住院治疗</w:t>
                  </w:r>
                </w:p>
              </w:tc>
              <w:tc>
                <w:tcPr>
                  <w:tcW w:w="1795" w:type="pct"/>
                  <w:tcBorders>
                    <w:tl2br w:val="nil"/>
                    <w:tr2bl w:val="nil"/>
                  </w:tcBorders>
                  <w:shd w:val="clear" w:color="auto" w:fill="auto"/>
                  <w:noWrap w:val="0"/>
                  <w:vAlign w:val="center"/>
                </w:tcPr>
                <w:p w14:paraId="6DF5F0E0">
                  <w:pPr>
                    <w:pStyle w:val="63"/>
                    <w:ind w:firstLine="0" w:firstLineChars="0"/>
                    <w:rPr>
                      <w:rFonts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医疗废物</w:t>
                  </w:r>
                </w:p>
              </w:tc>
            </w:tr>
            <w:tr w14:paraId="7710B5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vMerge w:val="continue"/>
                  <w:tcBorders>
                    <w:tl2br w:val="nil"/>
                    <w:tr2bl w:val="nil"/>
                  </w:tcBorders>
                  <w:noWrap w:val="0"/>
                  <w:vAlign w:val="center"/>
                </w:tcPr>
                <w:p w14:paraId="122EBF21">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p>
              </w:tc>
              <w:tc>
                <w:tcPr>
                  <w:tcW w:w="1540" w:type="pct"/>
                  <w:tcBorders>
                    <w:tl2br w:val="nil"/>
                    <w:tr2bl w:val="nil"/>
                  </w:tcBorders>
                  <w:shd w:val="clear" w:color="auto" w:fill="auto"/>
                  <w:noWrap w:val="0"/>
                  <w:vAlign w:val="center"/>
                </w:tcPr>
                <w:p w14:paraId="1942D1CC">
                  <w:pPr>
                    <w:pStyle w:val="63"/>
                    <w:ind w:firstLine="0" w:firstLineChars="0"/>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color w:val="auto"/>
                      <w:kern w:val="2"/>
                      <w:highlight w:val="none"/>
                      <w:u w:val="single" w:color="auto"/>
                    </w:rPr>
                    <w:t>中药药渣</w:t>
                  </w:r>
                </w:p>
              </w:tc>
              <w:tc>
                <w:tcPr>
                  <w:tcW w:w="1795" w:type="pct"/>
                  <w:tcBorders>
                    <w:tl2br w:val="nil"/>
                    <w:tr2bl w:val="nil"/>
                  </w:tcBorders>
                  <w:shd w:val="clear" w:color="auto" w:fill="auto"/>
                  <w:noWrap w:val="0"/>
                  <w:vAlign w:val="center"/>
                </w:tcPr>
                <w:p w14:paraId="2207E03F">
                  <w:pPr>
                    <w:pStyle w:val="63"/>
                    <w:ind w:firstLine="0" w:firstLineChars="0"/>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color w:val="auto"/>
                      <w:kern w:val="2"/>
                      <w:highlight w:val="none"/>
                      <w:u w:val="single" w:color="auto"/>
                    </w:rPr>
                    <w:t>一般固废</w:t>
                  </w:r>
                </w:p>
              </w:tc>
            </w:tr>
            <w:tr w14:paraId="6954CA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vMerge w:val="continue"/>
                  <w:tcBorders>
                    <w:tl2br w:val="nil"/>
                    <w:tr2bl w:val="nil"/>
                  </w:tcBorders>
                  <w:noWrap w:val="0"/>
                  <w:vAlign w:val="center"/>
                </w:tcPr>
                <w:p w14:paraId="5A9CBCA7">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p>
              </w:tc>
              <w:tc>
                <w:tcPr>
                  <w:tcW w:w="1540" w:type="pct"/>
                  <w:tcBorders>
                    <w:tl2br w:val="nil"/>
                    <w:tr2bl w:val="nil"/>
                  </w:tcBorders>
                  <w:shd w:val="clear" w:color="auto" w:fill="auto"/>
                  <w:noWrap w:val="0"/>
                  <w:vAlign w:val="center"/>
                </w:tcPr>
                <w:p w14:paraId="1098736F">
                  <w:pPr>
                    <w:pStyle w:val="63"/>
                    <w:ind w:firstLine="0" w:firstLineChars="0"/>
                    <w:rPr>
                      <w:rFonts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职工办公</w:t>
                  </w:r>
                </w:p>
              </w:tc>
              <w:tc>
                <w:tcPr>
                  <w:tcW w:w="1795" w:type="pct"/>
                  <w:tcBorders>
                    <w:tl2br w:val="nil"/>
                    <w:tr2bl w:val="nil"/>
                  </w:tcBorders>
                  <w:shd w:val="clear" w:color="auto" w:fill="auto"/>
                  <w:noWrap w:val="0"/>
                  <w:vAlign w:val="center"/>
                </w:tcPr>
                <w:p w14:paraId="7F1D0599">
                  <w:pPr>
                    <w:pStyle w:val="63"/>
                    <w:ind w:firstLine="0" w:firstLineChars="0"/>
                    <w:rPr>
                      <w:rFonts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生活垃圾</w:t>
                  </w:r>
                </w:p>
              </w:tc>
            </w:tr>
            <w:tr w14:paraId="3CB8B9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vMerge w:val="continue"/>
                  <w:tcBorders>
                    <w:tl2br w:val="nil"/>
                    <w:tr2bl w:val="nil"/>
                  </w:tcBorders>
                  <w:noWrap w:val="0"/>
                  <w:vAlign w:val="center"/>
                </w:tcPr>
                <w:p w14:paraId="15C63B0E">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p>
              </w:tc>
              <w:tc>
                <w:tcPr>
                  <w:tcW w:w="1540" w:type="pct"/>
                  <w:tcBorders>
                    <w:tl2br w:val="nil"/>
                    <w:tr2bl w:val="nil"/>
                  </w:tcBorders>
                  <w:shd w:val="clear" w:color="auto" w:fill="auto"/>
                  <w:noWrap w:val="0"/>
                  <w:vAlign w:val="center"/>
                </w:tcPr>
                <w:p w14:paraId="7C658A0A">
                  <w:pPr>
                    <w:pStyle w:val="63"/>
                    <w:ind w:firstLine="0" w:firstLineChars="0"/>
                    <w:rPr>
                      <w:rFonts w:hint="eastAsia"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污水处理设施</w:t>
                  </w:r>
                </w:p>
              </w:tc>
              <w:tc>
                <w:tcPr>
                  <w:tcW w:w="1795" w:type="pct"/>
                  <w:tcBorders>
                    <w:tl2br w:val="nil"/>
                    <w:tr2bl w:val="nil"/>
                  </w:tcBorders>
                  <w:shd w:val="clear" w:color="auto" w:fill="auto"/>
                  <w:noWrap w:val="0"/>
                  <w:vAlign w:val="center"/>
                </w:tcPr>
                <w:p w14:paraId="6F86CAFB">
                  <w:pPr>
                    <w:pStyle w:val="63"/>
                    <w:ind w:firstLine="0" w:firstLineChars="0"/>
                    <w:rPr>
                      <w:rFonts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污泥</w:t>
                  </w:r>
                  <w:r>
                    <w:rPr>
                      <w:rFonts w:hint="eastAsia" w:ascii="Times New Roman" w:hAnsi="Times New Roman"/>
                      <w:color w:val="auto"/>
                      <w:kern w:val="2"/>
                      <w:highlight w:val="none"/>
                      <w:u w:val="single" w:color="auto"/>
                    </w:rPr>
                    <w:t>、栅渣</w:t>
                  </w:r>
                </w:p>
              </w:tc>
            </w:tr>
            <w:tr w14:paraId="64EC2D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vMerge w:val="continue"/>
                  <w:tcBorders>
                    <w:tl2br w:val="nil"/>
                    <w:tr2bl w:val="nil"/>
                  </w:tcBorders>
                  <w:noWrap w:val="0"/>
                  <w:vAlign w:val="center"/>
                </w:tcPr>
                <w:p w14:paraId="78AA42CE">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p>
              </w:tc>
              <w:tc>
                <w:tcPr>
                  <w:tcW w:w="1540" w:type="pct"/>
                  <w:tcBorders>
                    <w:tl2br w:val="nil"/>
                    <w:tr2bl w:val="nil"/>
                  </w:tcBorders>
                  <w:shd w:val="clear" w:color="auto" w:fill="auto"/>
                  <w:noWrap w:val="0"/>
                  <w:vAlign w:val="center"/>
                </w:tcPr>
                <w:p w14:paraId="541D77C7">
                  <w:pPr>
                    <w:pStyle w:val="63"/>
                    <w:ind w:firstLine="0" w:firstLineChars="0"/>
                    <w:rPr>
                      <w:rFonts w:hint="default" w:ascii="Times New Roman" w:hAnsi="Times New Roman" w:eastAsia="宋体"/>
                      <w:color w:val="auto"/>
                      <w:kern w:val="2"/>
                      <w:highlight w:val="none"/>
                      <w:u w:val="single" w:color="auto"/>
                      <w:lang w:val="en-US" w:eastAsia="zh-CN"/>
                    </w:rPr>
                  </w:pPr>
                  <w:r>
                    <w:rPr>
                      <w:rFonts w:hint="eastAsia" w:ascii="Times New Roman" w:hAnsi="Times New Roman"/>
                      <w:color w:val="auto"/>
                      <w:kern w:val="2"/>
                      <w:highlight w:val="none"/>
                      <w:u w:val="single" w:color="auto"/>
                      <w:lang w:val="en-US" w:eastAsia="zh-CN"/>
                    </w:rPr>
                    <w:t>活性炭吸附装置</w:t>
                  </w:r>
                </w:p>
              </w:tc>
              <w:tc>
                <w:tcPr>
                  <w:tcW w:w="1795" w:type="pct"/>
                  <w:tcBorders>
                    <w:tl2br w:val="nil"/>
                    <w:tr2bl w:val="nil"/>
                  </w:tcBorders>
                  <w:shd w:val="clear" w:color="auto" w:fill="auto"/>
                  <w:noWrap w:val="0"/>
                  <w:vAlign w:val="center"/>
                </w:tcPr>
                <w:p w14:paraId="13EFCBE1">
                  <w:pPr>
                    <w:pStyle w:val="63"/>
                    <w:ind w:firstLine="0" w:firstLineChars="0"/>
                    <w:rPr>
                      <w:rFonts w:ascii="Times New Roman" w:hAnsi="Times New Roman"/>
                      <w:color w:val="auto"/>
                      <w:kern w:val="2"/>
                      <w:highlight w:val="none"/>
                      <w:u w:val="single" w:color="auto"/>
                    </w:rPr>
                  </w:pPr>
                  <w:r>
                    <w:rPr>
                      <w:rFonts w:ascii="Times New Roman" w:hAnsi="Times New Roman"/>
                      <w:color w:val="auto"/>
                      <w:kern w:val="2"/>
                      <w:highlight w:val="none"/>
                      <w:u w:val="single" w:color="auto"/>
                    </w:rPr>
                    <w:t>废活性炭</w:t>
                  </w:r>
                </w:p>
              </w:tc>
            </w:tr>
            <w:tr w14:paraId="045728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tcBorders>
                    <w:tl2br w:val="nil"/>
                    <w:tr2bl w:val="nil"/>
                  </w:tcBorders>
                  <w:noWrap w:val="0"/>
                  <w:vAlign w:val="center"/>
                </w:tcPr>
                <w:p w14:paraId="037C0200">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r>
                    <w:rPr>
                      <w:rFonts w:ascii="Times New Roman" w:hAnsi="Times New Roman" w:eastAsia="宋体" w:cs="Times New Roman"/>
                      <w:color w:val="auto"/>
                      <w:sz w:val="21"/>
                      <w:szCs w:val="24"/>
                      <w:highlight w:val="none"/>
                      <w:u w:val="single" w:color="auto"/>
                    </w:rPr>
                    <w:t>噪声</w:t>
                  </w:r>
                </w:p>
              </w:tc>
              <w:tc>
                <w:tcPr>
                  <w:tcW w:w="1540" w:type="pct"/>
                  <w:tcBorders>
                    <w:tl2br w:val="nil"/>
                    <w:tr2bl w:val="nil"/>
                  </w:tcBorders>
                  <w:noWrap w:val="0"/>
                  <w:vAlign w:val="center"/>
                </w:tcPr>
                <w:p w14:paraId="461F7A6B">
                  <w:pPr>
                    <w:keepNext w:val="0"/>
                    <w:keepLines w:val="0"/>
                    <w:pageBreakBefore w:val="0"/>
                    <w:widowControl w:val="0"/>
                    <w:kinsoku/>
                    <w:wordWrap/>
                    <w:overflowPunct/>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single" w:color="auto"/>
                      <w:lang w:val="en-US" w:eastAsia="zh-CN" w:bidi="ar-SA"/>
                    </w:rPr>
                  </w:pPr>
                  <w:r>
                    <w:rPr>
                      <w:rFonts w:ascii="Times New Roman" w:hAnsi="Times New Roman" w:eastAsia="宋体" w:cs="Times New Roman"/>
                      <w:color w:val="auto"/>
                      <w:kern w:val="2"/>
                      <w:sz w:val="21"/>
                      <w:szCs w:val="24"/>
                      <w:highlight w:val="none"/>
                      <w:u w:val="single" w:color="auto"/>
                      <w:lang w:val="en-US" w:eastAsia="zh-CN" w:bidi="ar-SA"/>
                    </w:rPr>
                    <w:t>设备噪声</w:t>
                  </w:r>
                  <w:r>
                    <w:rPr>
                      <w:rFonts w:hint="eastAsia" w:ascii="Times New Roman" w:hAnsi="Times New Roman" w:eastAsia="宋体" w:cs="Times New Roman"/>
                      <w:color w:val="auto"/>
                      <w:kern w:val="2"/>
                      <w:sz w:val="21"/>
                      <w:szCs w:val="24"/>
                      <w:highlight w:val="none"/>
                      <w:u w:val="single" w:color="auto"/>
                      <w:lang w:val="en-US" w:eastAsia="zh-CN" w:bidi="ar-SA"/>
                    </w:rPr>
                    <w:t>、交通噪声</w:t>
                  </w:r>
                </w:p>
              </w:tc>
              <w:tc>
                <w:tcPr>
                  <w:tcW w:w="1795" w:type="pct"/>
                  <w:tcBorders>
                    <w:tl2br w:val="nil"/>
                    <w:tr2bl w:val="nil"/>
                  </w:tcBorders>
                  <w:noWrap w:val="0"/>
                  <w:vAlign w:val="center"/>
                </w:tcPr>
                <w:p w14:paraId="778C038A">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kern w:val="2"/>
                      <w:sz w:val="21"/>
                      <w:szCs w:val="24"/>
                      <w:highlight w:val="none"/>
                      <w:u w:val="single" w:color="auto"/>
                      <w:lang w:val="en-US" w:eastAsia="zh-CN" w:bidi="ar-SA"/>
                    </w:rPr>
                  </w:pPr>
                  <w:r>
                    <w:rPr>
                      <w:rFonts w:ascii="Times New Roman" w:hAnsi="Times New Roman" w:eastAsia="宋体" w:cs="Times New Roman"/>
                      <w:color w:val="auto"/>
                      <w:kern w:val="2"/>
                      <w:sz w:val="21"/>
                      <w:szCs w:val="24"/>
                      <w:highlight w:val="none"/>
                      <w:u w:val="single" w:color="auto"/>
                      <w:lang w:val="en-US" w:eastAsia="zh-CN" w:bidi="ar-SA"/>
                    </w:rPr>
                    <w:t>噪声</w:t>
                  </w:r>
                </w:p>
              </w:tc>
            </w:tr>
          </w:tbl>
          <w:p w14:paraId="3E540F96">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6" w:firstLineChars="200"/>
              <w:jc w:val="both"/>
              <w:textAlignment w:val="auto"/>
              <w:rPr>
                <w:rFonts w:hint="default" w:ascii="Times New Roman" w:hAnsi="Times New Roman" w:cs="Times New Roman" w:eastAsiaTheme="minorEastAsia"/>
                <w:b/>
                <w:bCs/>
                <w:color w:val="auto"/>
                <w:spacing w:val="11"/>
                <w:position w:val="0"/>
                <w:sz w:val="24"/>
                <w:szCs w:val="24"/>
                <w:highlight w:val="none"/>
                <w:u w:val="single" w:color="auto"/>
                <w:lang w:val="en-US" w:eastAsia="zh-CN"/>
              </w:rPr>
            </w:pPr>
            <w:r>
              <w:rPr>
                <w:rFonts w:hint="eastAsia" w:cs="Times New Roman" w:eastAsiaTheme="minorEastAsia"/>
                <w:b/>
                <w:bCs/>
                <w:color w:val="auto"/>
                <w:spacing w:val="11"/>
                <w:position w:val="0"/>
                <w:sz w:val="24"/>
                <w:szCs w:val="24"/>
                <w:highlight w:val="none"/>
                <w:u w:val="single" w:color="auto"/>
                <w:lang w:val="en-US" w:eastAsia="zh-CN"/>
              </w:rPr>
              <w:t>2、</w:t>
            </w:r>
            <w:r>
              <w:rPr>
                <w:rFonts w:hint="default" w:ascii="Times New Roman" w:hAnsi="Times New Roman" w:cs="Times New Roman" w:eastAsiaTheme="minorEastAsia"/>
                <w:b/>
                <w:bCs/>
                <w:color w:val="auto"/>
                <w:spacing w:val="11"/>
                <w:position w:val="0"/>
                <w:sz w:val="24"/>
                <w:szCs w:val="24"/>
                <w:highlight w:val="none"/>
                <w:u w:val="single" w:color="auto"/>
                <w:lang w:val="en-US" w:eastAsia="zh-CN"/>
              </w:rPr>
              <w:t>现有</w:t>
            </w:r>
            <w:r>
              <w:rPr>
                <w:rFonts w:hint="eastAsia" w:cs="Times New Roman" w:eastAsiaTheme="minorEastAsia"/>
                <w:b/>
                <w:bCs/>
                <w:color w:val="auto"/>
                <w:spacing w:val="11"/>
                <w:position w:val="0"/>
                <w:sz w:val="24"/>
                <w:szCs w:val="24"/>
                <w:highlight w:val="none"/>
                <w:u w:val="single" w:color="auto"/>
                <w:lang w:val="en-US" w:eastAsia="zh-CN"/>
              </w:rPr>
              <w:t>工程</w:t>
            </w:r>
            <w:r>
              <w:rPr>
                <w:rFonts w:hint="default" w:ascii="Times New Roman" w:hAnsi="Times New Roman" w:cs="Times New Roman" w:eastAsiaTheme="minorEastAsia"/>
                <w:b/>
                <w:bCs/>
                <w:color w:val="auto"/>
                <w:spacing w:val="11"/>
                <w:position w:val="0"/>
                <w:sz w:val="24"/>
                <w:szCs w:val="24"/>
                <w:highlight w:val="none"/>
                <w:u w:val="single" w:color="auto"/>
                <w:lang w:val="en-US" w:eastAsia="zh-CN"/>
              </w:rPr>
              <w:t>污染物排放情况</w:t>
            </w:r>
          </w:p>
          <w:p w14:paraId="7B6329F8">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（1）废水</w:t>
            </w:r>
          </w:p>
          <w:p w14:paraId="3757D08F">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现有</w:t>
            </w:r>
            <w:r>
              <w:rPr>
                <w:rFonts w:hint="eastAsia" w:ascii="Times New Roman" w:hAnsi="Times New Roman" w:cs="Times New Roman" w:eastAsiaTheme="minorEastAsia"/>
                <w:color w:val="auto"/>
                <w:spacing w:val="11"/>
                <w:position w:val="0"/>
                <w:sz w:val="24"/>
                <w:szCs w:val="24"/>
                <w:highlight w:val="none"/>
                <w:u w:val="single" w:color="auto"/>
                <w:lang w:val="en-US" w:eastAsia="zh-CN"/>
              </w:rPr>
              <w:t>工程</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排放的污水主要</w:t>
            </w:r>
            <w:r>
              <w:rPr>
                <w:rFonts w:hint="eastAsia" w:cs="Times New Roman" w:eastAsiaTheme="minorEastAsia"/>
                <w:color w:val="auto"/>
                <w:spacing w:val="11"/>
                <w:position w:val="0"/>
                <w:sz w:val="24"/>
                <w:szCs w:val="24"/>
                <w:highlight w:val="none"/>
                <w:u w:val="single" w:color="auto"/>
                <w:lang w:val="en-US" w:eastAsia="zh-CN"/>
              </w:rPr>
              <w:t>为</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员工的生活污水以及医疗废水。医院病区污水经污水处理设施处理后排放，通过市政污水管道排入新田县污水处理厂深度处理。专业科室废水必须先进行预处理后再进入院内污水处理站处理。保证污水处理能力与污水产生量相匹配。非病区污水经地埋式污水处理设施处理后排放，通过市政污水管道排入新田县污水处理厂深度处理。</w:t>
            </w:r>
          </w:p>
          <w:p w14:paraId="13169F48">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根据现有工程竣工环境保护自主验收报告表，验收监测期间废水设施排放口水质监测结果见表2</w:t>
            </w:r>
            <w:r>
              <w:rPr>
                <w:rFonts w:hint="eastAsia" w:cs="Times New Roman" w:eastAsiaTheme="minorEastAsia"/>
                <w:color w:val="auto"/>
                <w:spacing w:val="11"/>
                <w:position w:val="0"/>
                <w:sz w:val="24"/>
                <w:szCs w:val="24"/>
                <w:highlight w:val="none"/>
                <w:u w:val="single" w:color="auto"/>
                <w:lang w:val="en-US" w:eastAsia="zh-CN"/>
              </w:rPr>
              <w:t>-5</w:t>
            </w:r>
            <w:r>
              <w:rPr>
                <w:rFonts w:hint="default" w:ascii="Times New Roman" w:hAnsi="Times New Roman" w:cs="Times New Roman" w:eastAsiaTheme="minorEastAsia"/>
                <w:color w:val="auto"/>
                <w:spacing w:val="11"/>
                <w:position w:val="0"/>
                <w:sz w:val="24"/>
                <w:szCs w:val="24"/>
                <w:highlight w:val="none"/>
                <w:u w:val="single" w:color="auto"/>
                <w:lang w:val="en-US" w:eastAsia="zh-CN"/>
              </w:rPr>
              <w:t>，现有工程病区污水排放符合《医疗机构水污染物排放标准》（GB18466-2005）表2预处理标准要求</w:t>
            </w:r>
            <w:r>
              <w:rPr>
                <w:rFonts w:hint="eastAsia" w:ascii="Times New Roman" w:hAnsi="Times New Roman" w:cs="Times New Roman" w:eastAsiaTheme="minorEastAsia"/>
                <w:color w:val="auto"/>
                <w:spacing w:val="11"/>
                <w:position w:val="0"/>
                <w:sz w:val="24"/>
                <w:szCs w:val="24"/>
                <w:highlight w:val="none"/>
                <w:u w:val="single" w:color="auto"/>
                <w:lang w:val="en-US" w:eastAsia="zh-CN"/>
              </w:rPr>
              <w:t>，非病区污水排放符合《污水综合排放标准》(GB 8978-1996)表4中三级排放标准</w:t>
            </w: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p w14:paraId="427C3EEC">
            <w:pPr>
              <w:widowControl w:val="0"/>
              <w:numPr>
                <w:ilvl w:val="0"/>
                <w:numId w:val="0"/>
              </w:numPr>
              <w:spacing w:after="0" w:line="240" w:lineRule="auto"/>
              <w:jc w:val="center"/>
              <w:rPr>
                <w:rFonts w:hint="default" w:ascii="Times New Roman" w:hAnsi="Times New Roman" w:eastAsia="宋体" w:cs="Times New Roman"/>
                <w:b/>
                <w:bCs/>
                <w:color w:val="auto"/>
                <w:kern w:val="2"/>
                <w:sz w:val="21"/>
                <w:szCs w:val="21"/>
                <w:highlight w:val="none"/>
                <w:u w:val="single" w:color="auto"/>
                <w:lang w:val="en-US" w:eastAsia="zh-CN" w:bidi="ar-SA"/>
              </w:rPr>
            </w:pPr>
            <w:r>
              <w:rPr>
                <w:rFonts w:hint="default" w:ascii="Times New Roman" w:hAnsi="Times New Roman" w:eastAsia="宋体" w:cs="Times New Roman"/>
                <w:b/>
                <w:bCs/>
                <w:color w:val="auto"/>
                <w:kern w:val="2"/>
                <w:sz w:val="21"/>
                <w:szCs w:val="21"/>
                <w:highlight w:val="none"/>
                <w:u w:val="single" w:color="auto"/>
                <w:lang w:val="en-US" w:eastAsia="zh-CN" w:bidi="ar-SA"/>
              </w:rPr>
              <w:t>表</w:t>
            </w:r>
            <w:r>
              <w:rPr>
                <w:rFonts w:hint="eastAsia" w:ascii="Times New Roman" w:hAnsi="Times New Roman" w:eastAsia="宋体" w:cs="Times New Roman"/>
                <w:b/>
                <w:bCs/>
                <w:color w:val="auto"/>
                <w:kern w:val="2"/>
                <w:sz w:val="21"/>
                <w:szCs w:val="21"/>
                <w:highlight w:val="none"/>
                <w:u w:val="single" w:color="auto"/>
                <w:lang w:val="en-US" w:eastAsia="zh-CN" w:bidi="ar-SA"/>
              </w:rPr>
              <w:t>2-5</w:t>
            </w:r>
            <w:r>
              <w:rPr>
                <w:rFonts w:hint="default" w:ascii="Times New Roman" w:hAnsi="Times New Roman" w:eastAsia="宋体" w:cs="Times New Roman"/>
                <w:b/>
                <w:bCs/>
                <w:color w:val="auto"/>
                <w:kern w:val="2"/>
                <w:sz w:val="21"/>
                <w:szCs w:val="21"/>
                <w:highlight w:val="none"/>
                <w:u w:val="single" w:color="auto"/>
                <w:lang w:val="en-US" w:eastAsia="zh-CN" w:bidi="ar-SA"/>
              </w:rPr>
              <w:t xml:space="preserve">  现有工程废水检测结果</w:t>
            </w:r>
          </w:p>
          <w:tbl>
            <w:tblPr>
              <w:tblStyle w:val="69"/>
              <w:tblW w:w="4998" w:type="pct"/>
              <w:tblInd w:w="1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92"/>
              <w:gridCol w:w="1198"/>
              <w:gridCol w:w="1988"/>
              <w:gridCol w:w="904"/>
              <w:gridCol w:w="904"/>
              <w:gridCol w:w="904"/>
              <w:gridCol w:w="953"/>
              <w:gridCol w:w="861"/>
            </w:tblGrid>
            <w:tr w14:paraId="7B5A41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18" w:type="pct"/>
                  <w:vMerge w:val="restart"/>
                  <w:tcBorders>
                    <w:tl2br w:val="nil"/>
                    <w:tr2bl w:val="nil"/>
                  </w:tcBorders>
                  <w:vAlign w:val="center"/>
                </w:tcPr>
                <w:p w14:paraId="06FCD739">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7"/>
                      <w:sz w:val="21"/>
                      <w:szCs w:val="21"/>
                      <w:u w:val="single" w:color="auto"/>
                    </w:rPr>
                    <w:t>采样点位</w:t>
                  </w:r>
                </w:p>
              </w:tc>
              <w:tc>
                <w:tcPr>
                  <w:tcW w:w="665" w:type="pct"/>
                  <w:vMerge w:val="restart"/>
                  <w:tcBorders>
                    <w:tl2br w:val="nil"/>
                    <w:tr2bl w:val="nil"/>
                  </w:tcBorders>
                  <w:vAlign w:val="center"/>
                </w:tcPr>
                <w:p w14:paraId="062B4BB6">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7"/>
                      <w:sz w:val="21"/>
                      <w:szCs w:val="21"/>
                      <w:u w:val="single" w:color="auto"/>
                    </w:rPr>
                    <w:t>采样时间</w:t>
                  </w:r>
                </w:p>
              </w:tc>
              <w:tc>
                <w:tcPr>
                  <w:tcW w:w="1104" w:type="pct"/>
                  <w:vMerge w:val="restart"/>
                  <w:tcBorders>
                    <w:tl2br w:val="nil"/>
                    <w:tr2bl w:val="nil"/>
                  </w:tcBorders>
                  <w:vAlign w:val="center"/>
                </w:tcPr>
                <w:p w14:paraId="3E58AC0D">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7"/>
                      <w:sz w:val="21"/>
                      <w:szCs w:val="21"/>
                      <w:u w:val="single" w:color="auto"/>
                    </w:rPr>
                    <w:t>检测项目</w:t>
                  </w:r>
                </w:p>
              </w:tc>
              <w:tc>
                <w:tcPr>
                  <w:tcW w:w="2035" w:type="pct"/>
                  <w:gridSpan w:val="4"/>
                  <w:tcBorders>
                    <w:tl2br w:val="nil"/>
                    <w:tr2bl w:val="nil"/>
                  </w:tcBorders>
                  <w:vAlign w:val="center"/>
                </w:tcPr>
                <w:p w14:paraId="363B8B66">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7"/>
                      <w:sz w:val="21"/>
                      <w:szCs w:val="21"/>
                      <w:u w:val="single" w:color="auto"/>
                    </w:rPr>
                    <w:t>检测结果（</w:t>
                  </w:r>
                  <w:r>
                    <w:rPr>
                      <w:rFonts w:hint="default" w:ascii="Times New Roman" w:hAnsi="Times New Roman" w:eastAsia="宋体" w:cs="Times New Roman"/>
                      <w:color w:val="auto"/>
                      <w:sz w:val="21"/>
                      <w:szCs w:val="21"/>
                      <w:u w:val="single" w:color="auto"/>
                    </w:rPr>
                    <w:t>mg</w:t>
                  </w:r>
                  <w:r>
                    <w:rPr>
                      <w:rFonts w:hint="default" w:ascii="Times New Roman" w:hAnsi="Times New Roman" w:eastAsia="宋体" w:cs="Times New Roman"/>
                      <w:color w:val="auto"/>
                      <w:spacing w:val="7"/>
                      <w:sz w:val="21"/>
                      <w:szCs w:val="21"/>
                      <w:u w:val="single" w:color="auto"/>
                    </w:rPr>
                    <w:t>/L）</w:t>
                  </w:r>
                </w:p>
              </w:tc>
              <w:tc>
                <w:tcPr>
                  <w:tcW w:w="475" w:type="pct"/>
                  <w:vMerge w:val="restart"/>
                  <w:tcBorders>
                    <w:tl2br w:val="nil"/>
                    <w:tr2bl w:val="nil"/>
                  </w:tcBorders>
                  <w:vAlign w:val="center"/>
                </w:tcPr>
                <w:p w14:paraId="65D5B2FB">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标准</w:t>
                  </w:r>
                </w:p>
                <w:p w14:paraId="126A28A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color w:val="auto"/>
                      <w:sz w:val="21"/>
                      <w:szCs w:val="21"/>
                      <w:u w:val="single" w:color="auto"/>
                    </w:rPr>
                    <w:t>限值</w:t>
                  </w:r>
                </w:p>
              </w:tc>
            </w:tr>
            <w:tr w14:paraId="07A2B4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718" w:type="pct"/>
                  <w:vMerge w:val="continue"/>
                  <w:tcBorders>
                    <w:tl2br w:val="nil"/>
                    <w:tr2bl w:val="nil"/>
                  </w:tcBorders>
                  <w:vAlign w:val="center"/>
                </w:tcPr>
                <w:p w14:paraId="2793ABC9">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14:paraId="2ADEFD4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vMerge w:val="continue"/>
                  <w:tcBorders>
                    <w:tl2br w:val="nil"/>
                    <w:tr2bl w:val="nil"/>
                  </w:tcBorders>
                  <w:vAlign w:val="center"/>
                </w:tcPr>
                <w:p w14:paraId="62341EDF">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502" w:type="pct"/>
                  <w:tcBorders>
                    <w:tl2br w:val="nil"/>
                    <w:tr2bl w:val="nil"/>
                  </w:tcBorders>
                  <w:vAlign w:val="center"/>
                </w:tcPr>
                <w:p w14:paraId="1686EF82">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Ⅰ</w:t>
                  </w:r>
                </w:p>
              </w:tc>
              <w:tc>
                <w:tcPr>
                  <w:tcW w:w="502" w:type="pct"/>
                  <w:tcBorders>
                    <w:tl2br w:val="nil"/>
                    <w:tr2bl w:val="nil"/>
                  </w:tcBorders>
                  <w:vAlign w:val="center"/>
                </w:tcPr>
                <w:p w14:paraId="38258CC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Ⅱ</w:t>
                  </w:r>
                </w:p>
              </w:tc>
              <w:tc>
                <w:tcPr>
                  <w:tcW w:w="502" w:type="pct"/>
                  <w:tcBorders>
                    <w:tl2br w:val="nil"/>
                    <w:tr2bl w:val="nil"/>
                  </w:tcBorders>
                  <w:vAlign w:val="center"/>
                </w:tcPr>
                <w:p w14:paraId="15B26F54">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3"/>
                      <w:sz w:val="21"/>
                      <w:szCs w:val="21"/>
                      <w:u w:val="single" w:color="auto"/>
                    </w:rPr>
                    <w:t>Ⅲ</w:t>
                  </w:r>
                </w:p>
              </w:tc>
              <w:tc>
                <w:tcPr>
                  <w:tcW w:w="526" w:type="pct"/>
                  <w:tcBorders>
                    <w:tl2br w:val="nil"/>
                    <w:tr2bl w:val="nil"/>
                  </w:tcBorders>
                  <w:vAlign w:val="center"/>
                </w:tcPr>
                <w:p w14:paraId="297569EF">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4"/>
                      <w:sz w:val="21"/>
                      <w:szCs w:val="21"/>
                      <w:u w:val="single" w:color="auto"/>
                    </w:rPr>
                    <w:t>Ⅳ</w:t>
                  </w:r>
                </w:p>
              </w:tc>
              <w:tc>
                <w:tcPr>
                  <w:tcW w:w="475" w:type="pct"/>
                  <w:vMerge w:val="continue"/>
                  <w:tcBorders>
                    <w:tl2br w:val="nil"/>
                    <w:tr2bl w:val="nil"/>
                  </w:tcBorders>
                  <w:vAlign w:val="center"/>
                </w:tcPr>
                <w:p w14:paraId="4110EC3A">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r>
            <w:tr w14:paraId="69998F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restart"/>
                  <w:tcBorders>
                    <w:tl2br w:val="nil"/>
                    <w:tr2bl w:val="nil"/>
                  </w:tcBorders>
                  <w:vAlign w:val="center"/>
                </w:tcPr>
                <w:p w14:paraId="2942D91D">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7"/>
                      <w:sz w:val="21"/>
                      <w:szCs w:val="21"/>
                      <w:u w:val="single" w:color="auto"/>
                    </w:rPr>
                    <w:t>污水处理站</w:t>
                  </w:r>
                  <w:r>
                    <w:rPr>
                      <w:rFonts w:hint="default" w:ascii="Times New Roman" w:hAnsi="Times New Roman" w:eastAsia="宋体" w:cs="Times New Roman"/>
                      <w:color w:val="auto"/>
                      <w:spacing w:val="3"/>
                      <w:sz w:val="21"/>
                      <w:szCs w:val="21"/>
                      <w:u w:val="single" w:color="auto"/>
                    </w:rPr>
                    <w:t xml:space="preserve"> </w:t>
                  </w:r>
                  <w:r>
                    <w:rPr>
                      <w:rFonts w:hint="default" w:ascii="Times New Roman" w:hAnsi="Times New Roman" w:eastAsia="宋体" w:cs="Times New Roman"/>
                      <w:color w:val="auto"/>
                      <w:sz w:val="21"/>
                      <w:szCs w:val="21"/>
                      <w:u w:val="single" w:color="auto"/>
                    </w:rPr>
                    <w:t>出水口</w:t>
                  </w:r>
                </w:p>
              </w:tc>
              <w:tc>
                <w:tcPr>
                  <w:tcW w:w="665" w:type="pct"/>
                  <w:vMerge w:val="restart"/>
                  <w:tcBorders>
                    <w:tl2br w:val="nil"/>
                    <w:tr2bl w:val="nil"/>
                  </w:tcBorders>
                  <w:vAlign w:val="center"/>
                </w:tcPr>
                <w:p w14:paraId="6281C53B">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4"/>
                      <w:sz w:val="21"/>
                      <w:szCs w:val="21"/>
                      <w:u w:val="single" w:color="auto"/>
                    </w:rPr>
                    <w:t>2024.03.28</w:t>
                  </w:r>
                </w:p>
              </w:tc>
              <w:tc>
                <w:tcPr>
                  <w:tcW w:w="1104" w:type="pct"/>
                  <w:tcBorders>
                    <w:tl2br w:val="nil"/>
                    <w:tr2bl w:val="nil"/>
                  </w:tcBorders>
                  <w:vAlign w:val="center"/>
                </w:tcPr>
                <w:p w14:paraId="090F734A">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1"/>
                      <w:sz w:val="21"/>
                      <w:szCs w:val="21"/>
                      <w:u w:val="single" w:color="auto"/>
                    </w:rPr>
                    <w:t>粪大肠菌群（</w:t>
                  </w:r>
                  <w:r>
                    <w:rPr>
                      <w:rFonts w:hint="default" w:ascii="Times New Roman" w:hAnsi="Times New Roman" w:eastAsia="宋体" w:cs="Times New Roman"/>
                      <w:color w:val="auto"/>
                      <w:sz w:val="21"/>
                      <w:szCs w:val="21"/>
                      <w:u w:val="single" w:color="auto"/>
                    </w:rPr>
                    <w:t>MPN</w:t>
                  </w:r>
                  <w:r>
                    <w:rPr>
                      <w:rFonts w:hint="default" w:ascii="Times New Roman" w:hAnsi="Times New Roman" w:eastAsia="宋体" w:cs="Times New Roman"/>
                      <w:color w:val="auto"/>
                      <w:spacing w:val="1"/>
                      <w:sz w:val="21"/>
                      <w:szCs w:val="21"/>
                      <w:u w:val="single" w:color="auto"/>
                    </w:rPr>
                    <w:t>/L）</w:t>
                  </w:r>
                </w:p>
              </w:tc>
              <w:tc>
                <w:tcPr>
                  <w:tcW w:w="502" w:type="pct"/>
                  <w:tcBorders>
                    <w:tl2br w:val="nil"/>
                    <w:tr2bl w:val="nil"/>
                  </w:tcBorders>
                  <w:vAlign w:val="center"/>
                </w:tcPr>
                <w:p w14:paraId="359DAD9A">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1.5×10</w:t>
                  </w:r>
                  <w:r>
                    <w:rPr>
                      <w:rFonts w:hint="eastAsia" w:ascii="Times New Roman" w:hAnsi="Times New Roman" w:cs="Times New Roman"/>
                      <w:color w:val="auto"/>
                      <w:sz w:val="21"/>
                      <w:szCs w:val="21"/>
                      <w:u w:val="single" w:color="auto"/>
                      <w:vertAlign w:val="superscript"/>
                      <w:lang w:val="en-US" w:eastAsia="zh-CN"/>
                    </w:rPr>
                    <w:t>3</w:t>
                  </w:r>
                </w:p>
              </w:tc>
              <w:tc>
                <w:tcPr>
                  <w:tcW w:w="502" w:type="pct"/>
                  <w:tcBorders>
                    <w:tl2br w:val="nil"/>
                    <w:tr2bl w:val="nil"/>
                  </w:tcBorders>
                  <w:vAlign w:val="center"/>
                </w:tcPr>
                <w:p w14:paraId="3645772B">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1.7×10</w:t>
                  </w:r>
                  <w:r>
                    <w:rPr>
                      <w:rFonts w:hint="eastAsia" w:ascii="Times New Roman" w:hAnsi="Times New Roman" w:cs="Times New Roman"/>
                      <w:color w:val="auto"/>
                      <w:sz w:val="21"/>
                      <w:szCs w:val="21"/>
                      <w:u w:val="single" w:color="auto"/>
                      <w:vertAlign w:val="superscript"/>
                      <w:lang w:val="en-US" w:eastAsia="zh-CN"/>
                    </w:rPr>
                    <w:t>3</w:t>
                  </w:r>
                </w:p>
              </w:tc>
              <w:tc>
                <w:tcPr>
                  <w:tcW w:w="502" w:type="pct"/>
                  <w:tcBorders>
                    <w:tl2br w:val="nil"/>
                    <w:tr2bl w:val="nil"/>
                  </w:tcBorders>
                  <w:vAlign w:val="center"/>
                </w:tcPr>
                <w:p w14:paraId="68F37533">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1.4×10</w:t>
                  </w:r>
                  <w:r>
                    <w:rPr>
                      <w:rFonts w:hint="eastAsia" w:ascii="Times New Roman" w:hAnsi="Times New Roman" w:cs="Times New Roman"/>
                      <w:color w:val="auto"/>
                      <w:sz w:val="21"/>
                      <w:szCs w:val="21"/>
                      <w:u w:val="single" w:color="auto"/>
                      <w:vertAlign w:val="superscript"/>
                      <w:lang w:val="en-US" w:eastAsia="zh-CN"/>
                    </w:rPr>
                    <w:t>3</w:t>
                  </w:r>
                </w:p>
              </w:tc>
              <w:tc>
                <w:tcPr>
                  <w:tcW w:w="526" w:type="pct"/>
                  <w:tcBorders>
                    <w:tl2br w:val="nil"/>
                    <w:tr2bl w:val="nil"/>
                  </w:tcBorders>
                  <w:vAlign w:val="center"/>
                </w:tcPr>
                <w:p w14:paraId="7EF92303">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1.6×10</w:t>
                  </w:r>
                  <w:r>
                    <w:rPr>
                      <w:rFonts w:hint="eastAsia" w:ascii="Times New Roman" w:hAnsi="Times New Roman" w:cs="Times New Roman"/>
                      <w:color w:val="auto"/>
                      <w:sz w:val="21"/>
                      <w:szCs w:val="21"/>
                      <w:u w:val="single" w:color="auto"/>
                      <w:vertAlign w:val="superscript"/>
                      <w:lang w:val="en-US" w:eastAsia="zh-CN"/>
                    </w:rPr>
                    <w:t>3</w:t>
                  </w:r>
                </w:p>
              </w:tc>
              <w:tc>
                <w:tcPr>
                  <w:tcW w:w="475" w:type="pct"/>
                  <w:tcBorders>
                    <w:tl2br w:val="nil"/>
                    <w:tr2bl w:val="nil"/>
                  </w:tcBorders>
                  <w:vAlign w:val="center"/>
                </w:tcPr>
                <w:p w14:paraId="5A53550B">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5000</w:t>
                  </w:r>
                </w:p>
              </w:tc>
            </w:tr>
            <w:tr w14:paraId="3F2701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continue"/>
                  <w:tcBorders>
                    <w:tl2br w:val="nil"/>
                    <w:tr2bl w:val="nil"/>
                  </w:tcBorders>
                  <w:vAlign w:val="center"/>
                </w:tcPr>
                <w:p w14:paraId="1F5A316C">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14:paraId="4B35E93B">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14:paraId="63D1A6CD">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pH</w:t>
                  </w:r>
                  <w:r>
                    <w:rPr>
                      <w:rFonts w:hint="default" w:ascii="Times New Roman" w:hAnsi="Times New Roman" w:eastAsia="宋体" w:cs="Times New Roman"/>
                      <w:color w:val="auto"/>
                      <w:spacing w:val="9"/>
                      <w:sz w:val="21"/>
                      <w:szCs w:val="21"/>
                      <w:u w:val="single" w:color="auto"/>
                    </w:rPr>
                    <w:t>值（无量纲）</w:t>
                  </w:r>
                </w:p>
              </w:tc>
              <w:tc>
                <w:tcPr>
                  <w:tcW w:w="502" w:type="pct"/>
                  <w:tcBorders>
                    <w:tl2br w:val="nil"/>
                    <w:tr2bl w:val="nil"/>
                  </w:tcBorders>
                  <w:vAlign w:val="center"/>
                </w:tcPr>
                <w:p w14:paraId="2D1B7712">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7.1</w:t>
                  </w:r>
                </w:p>
              </w:tc>
              <w:tc>
                <w:tcPr>
                  <w:tcW w:w="502" w:type="pct"/>
                  <w:tcBorders>
                    <w:tl2br w:val="nil"/>
                    <w:tr2bl w:val="nil"/>
                  </w:tcBorders>
                  <w:vAlign w:val="center"/>
                </w:tcPr>
                <w:p w14:paraId="4F7D350F">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7.3</w:t>
                  </w:r>
                </w:p>
              </w:tc>
              <w:tc>
                <w:tcPr>
                  <w:tcW w:w="502" w:type="pct"/>
                  <w:tcBorders>
                    <w:tl2br w:val="nil"/>
                    <w:tr2bl w:val="nil"/>
                  </w:tcBorders>
                  <w:vAlign w:val="center"/>
                </w:tcPr>
                <w:p w14:paraId="5AAEA03C">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7.2</w:t>
                  </w:r>
                </w:p>
              </w:tc>
              <w:tc>
                <w:tcPr>
                  <w:tcW w:w="526" w:type="pct"/>
                  <w:tcBorders>
                    <w:tl2br w:val="nil"/>
                    <w:tr2bl w:val="nil"/>
                  </w:tcBorders>
                  <w:vAlign w:val="center"/>
                </w:tcPr>
                <w:p w14:paraId="5F417CA7">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7.2</w:t>
                  </w:r>
                </w:p>
              </w:tc>
              <w:tc>
                <w:tcPr>
                  <w:tcW w:w="475" w:type="pct"/>
                  <w:tcBorders>
                    <w:tl2br w:val="nil"/>
                    <w:tr2bl w:val="nil"/>
                  </w:tcBorders>
                  <w:vAlign w:val="center"/>
                </w:tcPr>
                <w:p w14:paraId="3E263E0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1"/>
                      <w:sz w:val="21"/>
                      <w:szCs w:val="21"/>
                      <w:u w:val="single" w:color="auto"/>
                    </w:rPr>
                    <w:t>6-9</w:t>
                  </w:r>
                </w:p>
              </w:tc>
            </w:tr>
            <w:tr w14:paraId="253EE6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continue"/>
                  <w:tcBorders>
                    <w:tl2br w:val="nil"/>
                    <w:tr2bl w:val="nil"/>
                  </w:tcBorders>
                  <w:vAlign w:val="center"/>
                </w:tcPr>
                <w:p w14:paraId="55A8327C">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14:paraId="7B6531E2">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14:paraId="036612C4">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7"/>
                      <w:sz w:val="21"/>
                      <w:szCs w:val="21"/>
                      <w:u w:val="single" w:color="auto"/>
                    </w:rPr>
                    <w:t>化学需氧量</w:t>
                  </w:r>
                </w:p>
              </w:tc>
              <w:tc>
                <w:tcPr>
                  <w:tcW w:w="502" w:type="pct"/>
                  <w:tcBorders>
                    <w:tl2br w:val="nil"/>
                    <w:tr2bl w:val="nil"/>
                  </w:tcBorders>
                  <w:vAlign w:val="center"/>
                </w:tcPr>
                <w:p w14:paraId="401B6010">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194</w:t>
                  </w:r>
                </w:p>
              </w:tc>
              <w:tc>
                <w:tcPr>
                  <w:tcW w:w="502" w:type="pct"/>
                  <w:tcBorders>
                    <w:tl2br w:val="nil"/>
                    <w:tr2bl w:val="nil"/>
                  </w:tcBorders>
                  <w:vAlign w:val="center"/>
                </w:tcPr>
                <w:p w14:paraId="7E4FDEA6">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172</w:t>
                  </w:r>
                </w:p>
              </w:tc>
              <w:tc>
                <w:tcPr>
                  <w:tcW w:w="502" w:type="pct"/>
                  <w:tcBorders>
                    <w:tl2br w:val="nil"/>
                    <w:tr2bl w:val="nil"/>
                  </w:tcBorders>
                  <w:vAlign w:val="center"/>
                </w:tcPr>
                <w:p w14:paraId="31B01E4E">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193</w:t>
                  </w:r>
                </w:p>
              </w:tc>
              <w:tc>
                <w:tcPr>
                  <w:tcW w:w="526" w:type="pct"/>
                  <w:tcBorders>
                    <w:tl2br w:val="nil"/>
                    <w:tr2bl w:val="nil"/>
                  </w:tcBorders>
                  <w:vAlign w:val="center"/>
                </w:tcPr>
                <w:p w14:paraId="2EA2E0BD">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185</w:t>
                  </w:r>
                </w:p>
              </w:tc>
              <w:tc>
                <w:tcPr>
                  <w:tcW w:w="475" w:type="pct"/>
                  <w:tcBorders>
                    <w:tl2br w:val="nil"/>
                    <w:tr2bl w:val="nil"/>
                  </w:tcBorders>
                  <w:vAlign w:val="center"/>
                </w:tcPr>
                <w:p w14:paraId="5A98A993">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250</w:t>
                  </w:r>
                </w:p>
              </w:tc>
            </w:tr>
            <w:tr w14:paraId="4890C6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continue"/>
                  <w:tcBorders>
                    <w:tl2br w:val="nil"/>
                    <w:tr2bl w:val="nil"/>
                  </w:tcBorders>
                  <w:vAlign w:val="center"/>
                </w:tcPr>
                <w:p w14:paraId="606690AD">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14:paraId="0162F8E0">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14:paraId="3AA2B9BD">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8"/>
                      <w:sz w:val="21"/>
                      <w:szCs w:val="21"/>
                      <w:u w:val="single" w:color="auto"/>
                    </w:rPr>
                    <w:t>五日生化需氧量</w:t>
                  </w:r>
                </w:p>
              </w:tc>
              <w:tc>
                <w:tcPr>
                  <w:tcW w:w="502" w:type="pct"/>
                  <w:tcBorders>
                    <w:tl2br w:val="nil"/>
                    <w:tr2bl w:val="nil"/>
                  </w:tcBorders>
                  <w:vAlign w:val="center"/>
                </w:tcPr>
                <w:p w14:paraId="2A643FF5">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58.5</w:t>
                  </w:r>
                </w:p>
              </w:tc>
              <w:tc>
                <w:tcPr>
                  <w:tcW w:w="502" w:type="pct"/>
                  <w:tcBorders>
                    <w:tl2br w:val="nil"/>
                    <w:tr2bl w:val="nil"/>
                  </w:tcBorders>
                  <w:vAlign w:val="center"/>
                </w:tcPr>
                <w:p w14:paraId="7F0C29A8">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54.1</w:t>
                  </w:r>
                </w:p>
              </w:tc>
              <w:tc>
                <w:tcPr>
                  <w:tcW w:w="502" w:type="pct"/>
                  <w:tcBorders>
                    <w:tl2br w:val="nil"/>
                    <w:tr2bl w:val="nil"/>
                  </w:tcBorders>
                  <w:vAlign w:val="center"/>
                </w:tcPr>
                <w:p w14:paraId="3F95F69D">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58.1</w:t>
                  </w:r>
                </w:p>
              </w:tc>
              <w:tc>
                <w:tcPr>
                  <w:tcW w:w="526" w:type="pct"/>
                  <w:tcBorders>
                    <w:tl2br w:val="nil"/>
                    <w:tr2bl w:val="nil"/>
                  </w:tcBorders>
                  <w:vAlign w:val="center"/>
                </w:tcPr>
                <w:p w14:paraId="4E3EB548">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56.2</w:t>
                  </w:r>
                </w:p>
              </w:tc>
              <w:tc>
                <w:tcPr>
                  <w:tcW w:w="475" w:type="pct"/>
                  <w:tcBorders>
                    <w:tl2br w:val="nil"/>
                    <w:tr2bl w:val="nil"/>
                  </w:tcBorders>
                  <w:vAlign w:val="center"/>
                </w:tcPr>
                <w:p w14:paraId="51ADBE5B">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z w:val="21"/>
                      <w:szCs w:val="21"/>
                      <w:u w:val="single" w:color="auto"/>
                    </w:rPr>
                    <w:t>100</w:t>
                  </w:r>
                </w:p>
              </w:tc>
            </w:tr>
            <w:tr w14:paraId="4361E6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continue"/>
                  <w:tcBorders>
                    <w:tl2br w:val="nil"/>
                    <w:tr2bl w:val="nil"/>
                  </w:tcBorders>
                  <w:vAlign w:val="center"/>
                </w:tcPr>
                <w:p w14:paraId="7BEAA04B">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14:paraId="1C1709DD">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14:paraId="288AC576">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2"/>
                      <w:sz w:val="21"/>
                      <w:szCs w:val="21"/>
                      <w:u w:val="single" w:color="auto"/>
                    </w:rPr>
                    <w:t>悬浮物</w:t>
                  </w:r>
                </w:p>
              </w:tc>
              <w:tc>
                <w:tcPr>
                  <w:tcW w:w="502" w:type="pct"/>
                  <w:tcBorders>
                    <w:tl2br w:val="nil"/>
                    <w:tr2bl w:val="nil"/>
                  </w:tcBorders>
                  <w:vAlign w:val="center"/>
                </w:tcPr>
                <w:p w14:paraId="7C453956">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21</w:t>
                  </w:r>
                </w:p>
              </w:tc>
              <w:tc>
                <w:tcPr>
                  <w:tcW w:w="502" w:type="pct"/>
                  <w:tcBorders>
                    <w:tl2br w:val="nil"/>
                    <w:tr2bl w:val="nil"/>
                  </w:tcBorders>
                  <w:vAlign w:val="center"/>
                </w:tcPr>
                <w:p w14:paraId="62FB1820">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24</w:t>
                  </w:r>
                </w:p>
              </w:tc>
              <w:tc>
                <w:tcPr>
                  <w:tcW w:w="502" w:type="pct"/>
                  <w:tcBorders>
                    <w:tl2br w:val="nil"/>
                    <w:tr2bl w:val="nil"/>
                  </w:tcBorders>
                  <w:vAlign w:val="center"/>
                </w:tcPr>
                <w:p w14:paraId="6BA252A9">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23</w:t>
                  </w:r>
                </w:p>
              </w:tc>
              <w:tc>
                <w:tcPr>
                  <w:tcW w:w="526" w:type="pct"/>
                  <w:tcBorders>
                    <w:tl2br w:val="nil"/>
                    <w:tr2bl w:val="nil"/>
                  </w:tcBorders>
                  <w:vAlign w:val="center"/>
                </w:tcPr>
                <w:p w14:paraId="3D640E9A">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25</w:t>
                  </w:r>
                </w:p>
              </w:tc>
              <w:tc>
                <w:tcPr>
                  <w:tcW w:w="475" w:type="pct"/>
                  <w:tcBorders>
                    <w:tl2br w:val="nil"/>
                    <w:tr2bl w:val="nil"/>
                  </w:tcBorders>
                  <w:vAlign w:val="center"/>
                </w:tcPr>
                <w:p w14:paraId="70CB9FB5">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1"/>
                      <w:sz w:val="21"/>
                      <w:szCs w:val="21"/>
                      <w:u w:val="single" w:color="auto"/>
                    </w:rPr>
                    <w:t>60</w:t>
                  </w:r>
                </w:p>
              </w:tc>
            </w:tr>
            <w:tr w14:paraId="6F5D6F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10" w:hRule="atLeast"/>
              </w:trPr>
              <w:tc>
                <w:tcPr>
                  <w:tcW w:w="718" w:type="pct"/>
                  <w:vMerge w:val="continue"/>
                  <w:tcBorders>
                    <w:tl2br w:val="nil"/>
                    <w:tr2bl w:val="nil"/>
                  </w:tcBorders>
                  <w:vAlign w:val="center"/>
                </w:tcPr>
                <w:p w14:paraId="3BB26CA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14:paraId="28EC3A1A">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14:paraId="075C3359">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4"/>
                      <w:sz w:val="21"/>
                      <w:szCs w:val="21"/>
                      <w:u w:val="single" w:color="auto"/>
                    </w:rPr>
                    <w:t>氨氮</w:t>
                  </w:r>
                </w:p>
              </w:tc>
              <w:tc>
                <w:tcPr>
                  <w:tcW w:w="502" w:type="pct"/>
                  <w:tcBorders>
                    <w:tl2br w:val="nil"/>
                    <w:tr2bl w:val="nil"/>
                  </w:tcBorders>
                  <w:vAlign w:val="center"/>
                </w:tcPr>
                <w:p w14:paraId="3AE8376B">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29.3</w:t>
                  </w:r>
                </w:p>
              </w:tc>
              <w:tc>
                <w:tcPr>
                  <w:tcW w:w="502" w:type="pct"/>
                  <w:tcBorders>
                    <w:tl2br w:val="nil"/>
                    <w:tr2bl w:val="nil"/>
                  </w:tcBorders>
                  <w:vAlign w:val="center"/>
                </w:tcPr>
                <w:p w14:paraId="2321D60F">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29.2</w:t>
                  </w:r>
                </w:p>
              </w:tc>
              <w:tc>
                <w:tcPr>
                  <w:tcW w:w="502" w:type="pct"/>
                  <w:tcBorders>
                    <w:tl2br w:val="nil"/>
                    <w:tr2bl w:val="nil"/>
                  </w:tcBorders>
                  <w:vAlign w:val="center"/>
                </w:tcPr>
                <w:p w14:paraId="448CDBD5">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29.3</w:t>
                  </w:r>
                </w:p>
              </w:tc>
              <w:tc>
                <w:tcPr>
                  <w:tcW w:w="526" w:type="pct"/>
                  <w:tcBorders>
                    <w:tl2br w:val="nil"/>
                    <w:tr2bl w:val="nil"/>
                  </w:tcBorders>
                  <w:vAlign w:val="center"/>
                </w:tcPr>
                <w:p w14:paraId="29A5D833">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29.1</w:t>
                  </w:r>
                </w:p>
              </w:tc>
              <w:tc>
                <w:tcPr>
                  <w:tcW w:w="475" w:type="pct"/>
                  <w:tcBorders>
                    <w:tl2br w:val="nil"/>
                    <w:tr2bl w:val="nil"/>
                  </w:tcBorders>
                  <w:vAlign w:val="center"/>
                </w:tcPr>
                <w:p w14:paraId="71539621">
                  <w:pPr>
                    <w:keepNext w:val="0"/>
                    <w:keepLines w:val="0"/>
                    <w:pageBreakBefore w:val="0"/>
                    <w:tabs>
                      <w:tab w:val="left" w:pos="515"/>
                    </w:tabs>
                    <w:wordWrap/>
                    <w:overflowPunct/>
                    <w:topLinePunct w:val="0"/>
                    <w:bidi w:val="0"/>
                    <w:adjustRightInd w:val="0"/>
                    <w:snapToGrid w:val="0"/>
                    <w:spacing w:line="240" w:lineRule="auto"/>
                    <w:ind w:left="0" w:right="0" w:firstLine="0" w:firstLineChars="0"/>
                    <w:jc w:val="center"/>
                    <w:rPr>
                      <w:rFonts w:hint="eastAsia"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w:t>
                  </w:r>
                </w:p>
              </w:tc>
            </w:tr>
            <w:tr w14:paraId="789000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continue"/>
                  <w:tcBorders>
                    <w:tl2br w:val="nil"/>
                    <w:tr2bl w:val="nil"/>
                  </w:tcBorders>
                  <w:vAlign w:val="center"/>
                </w:tcPr>
                <w:p w14:paraId="2A33BBD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14:paraId="55EA6C93">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14:paraId="4B8D276C">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7"/>
                      <w:sz w:val="21"/>
                      <w:szCs w:val="21"/>
                      <w:u w:val="single" w:color="auto"/>
                    </w:rPr>
                    <w:t>动植物油</w:t>
                  </w:r>
                </w:p>
              </w:tc>
              <w:tc>
                <w:tcPr>
                  <w:tcW w:w="502" w:type="pct"/>
                  <w:tcBorders>
                    <w:tl2br w:val="nil"/>
                    <w:tr2bl w:val="nil"/>
                  </w:tcBorders>
                  <w:vAlign w:val="center"/>
                </w:tcPr>
                <w:p w14:paraId="09E88A5F">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1.28</w:t>
                  </w:r>
                </w:p>
              </w:tc>
              <w:tc>
                <w:tcPr>
                  <w:tcW w:w="502" w:type="pct"/>
                  <w:tcBorders>
                    <w:tl2br w:val="nil"/>
                    <w:tr2bl w:val="nil"/>
                  </w:tcBorders>
                  <w:vAlign w:val="center"/>
                </w:tcPr>
                <w:p w14:paraId="15FFCB2A">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1.28</w:t>
                  </w:r>
                </w:p>
              </w:tc>
              <w:tc>
                <w:tcPr>
                  <w:tcW w:w="502" w:type="pct"/>
                  <w:tcBorders>
                    <w:tl2br w:val="nil"/>
                    <w:tr2bl w:val="nil"/>
                  </w:tcBorders>
                  <w:vAlign w:val="center"/>
                </w:tcPr>
                <w:p w14:paraId="26F5BBEB">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1.26</w:t>
                  </w:r>
                </w:p>
              </w:tc>
              <w:tc>
                <w:tcPr>
                  <w:tcW w:w="526" w:type="pct"/>
                  <w:tcBorders>
                    <w:tl2br w:val="nil"/>
                    <w:tr2bl w:val="nil"/>
                  </w:tcBorders>
                  <w:vAlign w:val="center"/>
                </w:tcPr>
                <w:p w14:paraId="2B8E0552">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1.28</w:t>
                  </w:r>
                </w:p>
              </w:tc>
              <w:tc>
                <w:tcPr>
                  <w:tcW w:w="475" w:type="pct"/>
                  <w:tcBorders>
                    <w:tl2br w:val="nil"/>
                    <w:tr2bl w:val="nil"/>
                  </w:tcBorders>
                  <w:vAlign w:val="center"/>
                </w:tcPr>
                <w:p w14:paraId="2026D69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20</w:t>
                  </w:r>
                </w:p>
              </w:tc>
            </w:tr>
            <w:tr w14:paraId="788E78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continue"/>
                  <w:tcBorders>
                    <w:tl2br w:val="nil"/>
                    <w:tr2bl w:val="nil"/>
                  </w:tcBorders>
                  <w:vAlign w:val="center"/>
                </w:tcPr>
                <w:p w14:paraId="4E16F5C2">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14:paraId="22D8A89D">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14:paraId="5A94A846">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2"/>
                      <w:sz w:val="21"/>
                      <w:szCs w:val="21"/>
                      <w:u w:val="single" w:color="auto"/>
                    </w:rPr>
                    <w:t>石油类</w:t>
                  </w:r>
                </w:p>
              </w:tc>
              <w:tc>
                <w:tcPr>
                  <w:tcW w:w="502" w:type="pct"/>
                  <w:tcBorders>
                    <w:tl2br w:val="nil"/>
                    <w:tr2bl w:val="nil"/>
                  </w:tcBorders>
                  <w:vAlign w:val="center"/>
                </w:tcPr>
                <w:p w14:paraId="4075B11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0.83</w:t>
                  </w:r>
                </w:p>
              </w:tc>
              <w:tc>
                <w:tcPr>
                  <w:tcW w:w="502" w:type="pct"/>
                  <w:tcBorders>
                    <w:tl2br w:val="nil"/>
                    <w:tr2bl w:val="nil"/>
                  </w:tcBorders>
                  <w:vAlign w:val="center"/>
                </w:tcPr>
                <w:p w14:paraId="01FB149C">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0.80</w:t>
                  </w:r>
                </w:p>
              </w:tc>
              <w:tc>
                <w:tcPr>
                  <w:tcW w:w="502" w:type="pct"/>
                  <w:tcBorders>
                    <w:tl2br w:val="nil"/>
                    <w:tr2bl w:val="nil"/>
                  </w:tcBorders>
                  <w:vAlign w:val="center"/>
                </w:tcPr>
                <w:p w14:paraId="3F1D4565">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0.79</w:t>
                  </w:r>
                </w:p>
              </w:tc>
              <w:tc>
                <w:tcPr>
                  <w:tcW w:w="526" w:type="pct"/>
                  <w:tcBorders>
                    <w:tl2br w:val="nil"/>
                    <w:tr2bl w:val="nil"/>
                  </w:tcBorders>
                  <w:vAlign w:val="center"/>
                </w:tcPr>
                <w:p w14:paraId="659F07AC">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0.77</w:t>
                  </w:r>
                </w:p>
              </w:tc>
              <w:tc>
                <w:tcPr>
                  <w:tcW w:w="475" w:type="pct"/>
                  <w:tcBorders>
                    <w:tl2br w:val="nil"/>
                    <w:tr2bl w:val="nil"/>
                  </w:tcBorders>
                  <w:vAlign w:val="center"/>
                </w:tcPr>
                <w:p w14:paraId="4B6025DC">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20</w:t>
                  </w:r>
                </w:p>
              </w:tc>
            </w:tr>
            <w:tr w14:paraId="09868D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continue"/>
                  <w:tcBorders>
                    <w:tl2br w:val="nil"/>
                    <w:tr2bl w:val="nil"/>
                  </w:tcBorders>
                  <w:vAlign w:val="center"/>
                </w:tcPr>
                <w:p w14:paraId="79590786">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14:paraId="3EFA69D5">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14:paraId="2229F0E9">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4"/>
                      <w:sz w:val="21"/>
                      <w:szCs w:val="21"/>
                      <w:u w:val="single" w:color="auto"/>
                    </w:rPr>
                    <w:t>阴离子表面活性剂</w:t>
                  </w:r>
                </w:p>
              </w:tc>
              <w:tc>
                <w:tcPr>
                  <w:tcW w:w="502" w:type="pct"/>
                  <w:tcBorders>
                    <w:tl2br w:val="nil"/>
                    <w:tr2bl w:val="nil"/>
                  </w:tcBorders>
                  <w:vAlign w:val="center"/>
                </w:tcPr>
                <w:p w14:paraId="64FB0FBD">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0.05L</w:t>
                  </w:r>
                </w:p>
              </w:tc>
              <w:tc>
                <w:tcPr>
                  <w:tcW w:w="502" w:type="pct"/>
                  <w:tcBorders>
                    <w:tl2br w:val="nil"/>
                    <w:tr2bl w:val="nil"/>
                  </w:tcBorders>
                  <w:vAlign w:val="center"/>
                </w:tcPr>
                <w:p w14:paraId="128FA231">
                  <w:pPr>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u w:val="single" w:color="auto"/>
                    </w:rPr>
                  </w:pPr>
                  <w:r>
                    <w:rPr>
                      <w:rFonts w:hint="eastAsia" w:ascii="Times New Roman" w:hAnsi="Times New Roman" w:cs="Times New Roman"/>
                      <w:color w:val="auto"/>
                      <w:sz w:val="21"/>
                      <w:szCs w:val="21"/>
                      <w:u w:val="single" w:color="auto"/>
                      <w:lang w:val="en-US" w:eastAsia="zh-CN"/>
                    </w:rPr>
                    <w:t>0.05L</w:t>
                  </w:r>
                </w:p>
              </w:tc>
              <w:tc>
                <w:tcPr>
                  <w:tcW w:w="502" w:type="pct"/>
                  <w:tcBorders>
                    <w:tl2br w:val="nil"/>
                    <w:tr2bl w:val="nil"/>
                  </w:tcBorders>
                  <w:vAlign w:val="center"/>
                </w:tcPr>
                <w:p w14:paraId="750E4521">
                  <w:pPr>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u w:val="single" w:color="auto"/>
                    </w:rPr>
                  </w:pPr>
                  <w:r>
                    <w:rPr>
                      <w:rFonts w:hint="eastAsia" w:ascii="Times New Roman" w:hAnsi="Times New Roman" w:cs="Times New Roman"/>
                      <w:color w:val="auto"/>
                      <w:sz w:val="21"/>
                      <w:szCs w:val="21"/>
                      <w:u w:val="single" w:color="auto"/>
                      <w:lang w:val="en-US" w:eastAsia="zh-CN"/>
                    </w:rPr>
                    <w:t>0.05L</w:t>
                  </w:r>
                </w:p>
              </w:tc>
              <w:tc>
                <w:tcPr>
                  <w:tcW w:w="526" w:type="pct"/>
                  <w:tcBorders>
                    <w:tl2br w:val="nil"/>
                    <w:tr2bl w:val="nil"/>
                  </w:tcBorders>
                  <w:vAlign w:val="center"/>
                </w:tcPr>
                <w:p w14:paraId="7900FE4F">
                  <w:pPr>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u w:val="single" w:color="auto"/>
                    </w:rPr>
                  </w:pPr>
                  <w:r>
                    <w:rPr>
                      <w:rFonts w:hint="eastAsia" w:ascii="Times New Roman" w:hAnsi="Times New Roman" w:cs="Times New Roman"/>
                      <w:color w:val="auto"/>
                      <w:sz w:val="21"/>
                      <w:szCs w:val="21"/>
                      <w:u w:val="single" w:color="auto"/>
                      <w:lang w:val="en-US" w:eastAsia="zh-CN"/>
                    </w:rPr>
                    <w:t>0.05L</w:t>
                  </w:r>
                </w:p>
              </w:tc>
              <w:tc>
                <w:tcPr>
                  <w:tcW w:w="475" w:type="pct"/>
                  <w:tcBorders>
                    <w:tl2br w:val="nil"/>
                    <w:tr2bl w:val="nil"/>
                  </w:tcBorders>
                  <w:vAlign w:val="center"/>
                </w:tcPr>
                <w:p w14:paraId="44468734">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10</w:t>
                  </w:r>
                </w:p>
              </w:tc>
            </w:tr>
            <w:tr w14:paraId="4CB404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continue"/>
                  <w:tcBorders>
                    <w:tl2br w:val="nil"/>
                    <w:tr2bl w:val="nil"/>
                  </w:tcBorders>
                  <w:vAlign w:val="center"/>
                </w:tcPr>
                <w:p w14:paraId="7C14B9D7">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14:paraId="72C32E0E">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14:paraId="19786350">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5"/>
                      <w:sz w:val="21"/>
                      <w:szCs w:val="21"/>
                      <w:u w:val="single" w:color="auto"/>
                    </w:rPr>
                    <w:t>总余氯</w:t>
                  </w:r>
                </w:p>
              </w:tc>
              <w:tc>
                <w:tcPr>
                  <w:tcW w:w="502" w:type="pct"/>
                  <w:tcBorders>
                    <w:tl2br w:val="nil"/>
                    <w:tr2bl w:val="nil"/>
                  </w:tcBorders>
                  <w:vAlign w:val="center"/>
                </w:tcPr>
                <w:p w14:paraId="2B7D63E8">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0.88</w:t>
                  </w:r>
                </w:p>
              </w:tc>
              <w:tc>
                <w:tcPr>
                  <w:tcW w:w="502" w:type="pct"/>
                  <w:tcBorders>
                    <w:tl2br w:val="nil"/>
                    <w:tr2bl w:val="nil"/>
                  </w:tcBorders>
                  <w:vAlign w:val="center"/>
                </w:tcPr>
                <w:p w14:paraId="7AEE582B">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0.87</w:t>
                  </w:r>
                </w:p>
              </w:tc>
              <w:tc>
                <w:tcPr>
                  <w:tcW w:w="502" w:type="pct"/>
                  <w:tcBorders>
                    <w:tl2br w:val="nil"/>
                    <w:tr2bl w:val="nil"/>
                  </w:tcBorders>
                  <w:vAlign w:val="center"/>
                </w:tcPr>
                <w:p w14:paraId="2DE17166">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0.85</w:t>
                  </w:r>
                </w:p>
              </w:tc>
              <w:tc>
                <w:tcPr>
                  <w:tcW w:w="526" w:type="pct"/>
                  <w:tcBorders>
                    <w:tl2br w:val="nil"/>
                    <w:tr2bl w:val="nil"/>
                  </w:tcBorders>
                  <w:vAlign w:val="center"/>
                </w:tcPr>
                <w:p w14:paraId="35BDA28E">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0.83</w:t>
                  </w:r>
                </w:p>
              </w:tc>
              <w:tc>
                <w:tcPr>
                  <w:tcW w:w="475" w:type="pct"/>
                  <w:tcBorders>
                    <w:tl2br w:val="nil"/>
                    <w:tr2bl w:val="nil"/>
                  </w:tcBorders>
                  <w:vAlign w:val="center"/>
                </w:tcPr>
                <w:p w14:paraId="0EF879BB">
                  <w:pPr>
                    <w:keepNext w:val="0"/>
                    <w:keepLines w:val="0"/>
                    <w:pageBreakBefore w:val="0"/>
                    <w:tabs>
                      <w:tab w:val="left" w:pos="515"/>
                    </w:tabs>
                    <w:wordWrap/>
                    <w:overflowPunct/>
                    <w:topLinePunct w:val="0"/>
                    <w:bidi w:val="0"/>
                    <w:adjustRightInd w:val="0"/>
                    <w:snapToGrid w:val="0"/>
                    <w:spacing w:line="240" w:lineRule="auto"/>
                    <w:ind w:left="0" w:right="0" w:firstLine="0" w:firstLineChars="0"/>
                    <w:jc w:val="center"/>
                    <w:rPr>
                      <w:rFonts w:hint="eastAsia"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w:t>
                  </w:r>
                </w:p>
              </w:tc>
            </w:tr>
            <w:tr w14:paraId="3816E1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restart"/>
                  <w:tcBorders>
                    <w:tl2br w:val="nil"/>
                    <w:tr2bl w:val="nil"/>
                  </w:tcBorders>
                  <w:vAlign w:val="center"/>
                </w:tcPr>
                <w:p w14:paraId="14589167">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7"/>
                      <w:sz w:val="21"/>
                      <w:szCs w:val="21"/>
                      <w:u w:val="single" w:color="auto"/>
                    </w:rPr>
                    <w:t>污水处理站</w:t>
                  </w:r>
                  <w:r>
                    <w:rPr>
                      <w:rFonts w:hint="default" w:ascii="Times New Roman" w:hAnsi="Times New Roman" w:eastAsia="宋体" w:cs="Times New Roman"/>
                      <w:color w:val="auto"/>
                      <w:spacing w:val="3"/>
                      <w:sz w:val="21"/>
                      <w:szCs w:val="21"/>
                      <w:u w:val="single" w:color="auto"/>
                    </w:rPr>
                    <w:t xml:space="preserve"> </w:t>
                  </w:r>
                  <w:r>
                    <w:rPr>
                      <w:rFonts w:hint="default" w:ascii="Times New Roman" w:hAnsi="Times New Roman" w:eastAsia="宋体" w:cs="Times New Roman"/>
                      <w:color w:val="auto"/>
                      <w:sz w:val="21"/>
                      <w:szCs w:val="21"/>
                      <w:u w:val="single" w:color="auto"/>
                    </w:rPr>
                    <w:t>出水口</w:t>
                  </w:r>
                </w:p>
              </w:tc>
              <w:tc>
                <w:tcPr>
                  <w:tcW w:w="665" w:type="pct"/>
                  <w:vMerge w:val="restart"/>
                  <w:tcBorders>
                    <w:tl2br w:val="nil"/>
                    <w:tr2bl w:val="nil"/>
                  </w:tcBorders>
                  <w:vAlign w:val="center"/>
                </w:tcPr>
                <w:p w14:paraId="632B2A92">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4"/>
                      <w:sz w:val="21"/>
                      <w:szCs w:val="21"/>
                      <w:u w:val="single" w:color="auto"/>
                    </w:rPr>
                    <w:t>2024.03.29</w:t>
                  </w:r>
                </w:p>
              </w:tc>
              <w:tc>
                <w:tcPr>
                  <w:tcW w:w="1104" w:type="pct"/>
                  <w:tcBorders>
                    <w:tl2br w:val="nil"/>
                    <w:tr2bl w:val="nil"/>
                  </w:tcBorders>
                  <w:vAlign w:val="center"/>
                </w:tcPr>
                <w:p w14:paraId="47FF1C66">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1"/>
                      <w:sz w:val="21"/>
                      <w:szCs w:val="21"/>
                      <w:u w:val="single" w:color="auto"/>
                    </w:rPr>
                    <w:t>粪大肠菌群（</w:t>
                  </w:r>
                  <w:r>
                    <w:rPr>
                      <w:rFonts w:hint="default" w:ascii="Times New Roman" w:hAnsi="Times New Roman" w:eastAsia="宋体" w:cs="Times New Roman"/>
                      <w:color w:val="auto"/>
                      <w:sz w:val="21"/>
                      <w:szCs w:val="21"/>
                      <w:u w:val="single" w:color="auto"/>
                    </w:rPr>
                    <w:t>MPN</w:t>
                  </w:r>
                  <w:r>
                    <w:rPr>
                      <w:rFonts w:hint="default" w:ascii="Times New Roman" w:hAnsi="Times New Roman" w:eastAsia="宋体" w:cs="Times New Roman"/>
                      <w:color w:val="auto"/>
                      <w:spacing w:val="1"/>
                      <w:sz w:val="21"/>
                      <w:szCs w:val="21"/>
                      <w:u w:val="single" w:color="auto"/>
                    </w:rPr>
                    <w:t>/L）</w:t>
                  </w:r>
                </w:p>
              </w:tc>
              <w:tc>
                <w:tcPr>
                  <w:tcW w:w="502" w:type="pct"/>
                  <w:tcBorders>
                    <w:tl2br w:val="nil"/>
                    <w:tr2bl w:val="nil"/>
                  </w:tcBorders>
                  <w:vAlign w:val="center"/>
                </w:tcPr>
                <w:p w14:paraId="79A65BA5">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1.8×10</w:t>
                  </w:r>
                  <w:r>
                    <w:rPr>
                      <w:rFonts w:hint="eastAsia" w:ascii="Times New Roman" w:hAnsi="Times New Roman" w:cs="Times New Roman"/>
                      <w:color w:val="auto"/>
                      <w:sz w:val="21"/>
                      <w:szCs w:val="21"/>
                      <w:u w:val="single" w:color="auto"/>
                      <w:vertAlign w:val="superscript"/>
                      <w:lang w:val="en-US" w:eastAsia="zh-CN"/>
                    </w:rPr>
                    <w:t>3</w:t>
                  </w:r>
                </w:p>
              </w:tc>
              <w:tc>
                <w:tcPr>
                  <w:tcW w:w="502" w:type="pct"/>
                  <w:tcBorders>
                    <w:tl2br w:val="nil"/>
                    <w:tr2bl w:val="nil"/>
                  </w:tcBorders>
                  <w:vAlign w:val="center"/>
                </w:tcPr>
                <w:p w14:paraId="40FD7783">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1.5×10</w:t>
                  </w:r>
                  <w:r>
                    <w:rPr>
                      <w:rFonts w:hint="eastAsia" w:ascii="Times New Roman" w:hAnsi="Times New Roman" w:cs="Times New Roman"/>
                      <w:color w:val="auto"/>
                      <w:sz w:val="21"/>
                      <w:szCs w:val="21"/>
                      <w:u w:val="single" w:color="auto"/>
                      <w:vertAlign w:val="superscript"/>
                      <w:lang w:val="en-US" w:eastAsia="zh-CN"/>
                    </w:rPr>
                    <w:t>3</w:t>
                  </w:r>
                </w:p>
              </w:tc>
              <w:tc>
                <w:tcPr>
                  <w:tcW w:w="502" w:type="pct"/>
                  <w:tcBorders>
                    <w:tl2br w:val="nil"/>
                    <w:tr2bl w:val="nil"/>
                  </w:tcBorders>
                  <w:vAlign w:val="center"/>
                </w:tcPr>
                <w:p w14:paraId="67462E69">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1.4×10</w:t>
                  </w:r>
                  <w:r>
                    <w:rPr>
                      <w:rFonts w:hint="eastAsia" w:ascii="Times New Roman" w:hAnsi="Times New Roman" w:cs="Times New Roman"/>
                      <w:color w:val="auto"/>
                      <w:sz w:val="21"/>
                      <w:szCs w:val="21"/>
                      <w:u w:val="single" w:color="auto"/>
                      <w:vertAlign w:val="superscript"/>
                      <w:lang w:val="en-US" w:eastAsia="zh-CN"/>
                    </w:rPr>
                    <w:t>3</w:t>
                  </w:r>
                </w:p>
              </w:tc>
              <w:tc>
                <w:tcPr>
                  <w:tcW w:w="526" w:type="pct"/>
                  <w:tcBorders>
                    <w:tl2br w:val="nil"/>
                    <w:tr2bl w:val="nil"/>
                  </w:tcBorders>
                  <w:vAlign w:val="center"/>
                </w:tcPr>
                <w:p w14:paraId="0271482B">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1.7×10</w:t>
                  </w:r>
                  <w:r>
                    <w:rPr>
                      <w:rFonts w:hint="eastAsia" w:ascii="Times New Roman" w:hAnsi="Times New Roman" w:cs="Times New Roman"/>
                      <w:color w:val="auto"/>
                      <w:sz w:val="21"/>
                      <w:szCs w:val="21"/>
                      <w:u w:val="single" w:color="auto"/>
                      <w:vertAlign w:val="superscript"/>
                      <w:lang w:val="en-US" w:eastAsia="zh-CN"/>
                    </w:rPr>
                    <w:t>3</w:t>
                  </w:r>
                </w:p>
              </w:tc>
              <w:tc>
                <w:tcPr>
                  <w:tcW w:w="475" w:type="pct"/>
                  <w:tcBorders>
                    <w:tl2br w:val="nil"/>
                    <w:tr2bl w:val="nil"/>
                  </w:tcBorders>
                  <w:vAlign w:val="center"/>
                </w:tcPr>
                <w:p w14:paraId="341E82FB">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5000</w:t>
                  </w:r>
                </w:p>
              </w:tc>
            </w:tr>
            <w:tr w14:paraId="4F3461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continue"/>
                  <w:tcBorders>
                    <w:tl2br w:val="nil"/>
                    <w:tr2bl w:val="nil"/>
                  </w:tcBorders>
                  <w:vAlign w:val="center"/>
                </w:tcPr>
                <w:p w14:paraId="5B2430A0">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14:paraId="7BA66760">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14:paraId="32836B7D">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pH</w:t>
                  </w:r>
                  <w:r>
                    <w:rPr>
                      <w:rFonts w:hint="default" w:ascii="Times New Roman" w:hAnsi="Times New Roman" w:eastAsia="宋体" w:cs="Times New Roman"/>
                      <w:color w:val="auto"/>
                      <w:spacing w:val="9"/>
                      <w:sz w:val="21"/>
                      <w:szCs w:val="21"/>
                      <w:u w:val="single" w:color="auto"/>
                    </w:rPr>
                    <w:t>值（无量纲）</w:t>
                  </w:r>
                </w:p>
              </w:tc>
              <w:tc>
                <w:tcPr>
                  <w:tcW w:w="502" w:type="pct"/>
                  <w:tcBorders>
                    <w:tl2br w:val="nil"/>
                    <w:tr2bl w:val="nil"/>
                  </w:tcBorders>
                  <w:vAlign w:val="center"/>
                </w:tcPr>
                <w:p w14:paraId="53B7844B">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7.2</w:t>
                  </w:r>
                </w:p>
              </w:tc>
              <w:tc>
                <w:tcPr>
                  <w:tcW w:w="502" w:type="pct"/>
                  <w:tcBorders>
                    <w:tl2br w:val="nil"/>
                    <w:tr2bl w:val="nil"/>
                  </w:tcBorders>
                  <w:vAlign w:val="center"/>
                </w:tcPr>
                <w:p w14:paraId="0EC1568D">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7.2</w:t>
                  </w:r>
                </w:p>
              </w:tc>
              <w:tc>
                <w:tcPr>
                  <w:tcW w:w="502" w:type="pct"/>
                  <w:tcBorders>
                    <w:tl2br w:val="nil"/>
                    <w:tr2bl w:val="nil"/>
                  </w:tcBorders>
                  <w:vAlign w:val="center"/>
                </w:tcPr>
                <w:p w14:paraId="5771792C">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7.1</w:t>
                  </w:r>
                </w:p>
              </w:tc>
              <w:tc>
                <w:tcPr>
                  <w:tcW w:w="526" w:type="pct"/>
                  <w:tcBorders>
                    <w:tl2br w:val="nil"/>
                    <w:tr2bl w:val="nil"/>
                  </w:tcBorders>
                  <w:vAlign w:val="center"/>
                </w:tcPr>
                <w:p w14:paraId="48DB12F4">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7.2</w:t>
                  </w:r>
                </w:p>
              </w:tc>
              <w:tc>
                <w:tcPr>
                  <w:tcW w:w="475" w:type="pct"/>
                  <w:tcBorders>
                    <w:tl2br w:val="nil"/>
                    <w:tr2bl w:val="nil"/>
                  </w:tcBorders>
                  <w:vAlign w:val="center"/>
                </w:tcPr>
                <w:p w14:paraId="7EB3C4A5">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1"/>
                      <w:sz w:val="21"/>
                      <w:szCs w:val="21"/>
                      <w:u w:val="single" w:color="auto"/>
                    </w:rPr>
                    <w:t>6-9</w:t>
                  </w:r>
                </w:p>
              </w:tc>
            </w:tr>
            <w:tr w14:paraId="5C6F5F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continue"/>
                  <w:tcBorders>
                    <w:tl2br w:val="nil"/>
                    <w:tr2bl w:val="nil"/>
                  </w:tcBorders>
                  <w:vAlign w:val="center"/>
                </w:tcPr>
                <w:p w14:paraId="6C85433D">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14:paraId="665A7718">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14:paraId="4E7BCD0D">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7"/>
                      <w:sz w:val="21"/>
                      <w:szCs w:val="21"/>
                      <w:u w:val="single" w:color="auto"/>
                    </w:rPr>
                    <w:t>化学需氧量</w:t>
                  </w:r>
                </w:p>
              </w:tc>
              <w:tc>
                <w:tcPr>
                  <w:tcW w:w="502" w:type="pct"/>
                  <w:tcBorders>
                    <w:tl2br w:val="nil"/>
                    <w:tr2bl w:val="nil"/>
                  </w:tcBorders>
                  <w:vAlign w:val="center"/>
                </w:tcPr>
                <w:p w14:paraId="72754265">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190</w:t>
                  </w:r>
                </w:p>
              </w:tc>
              <w:tc>
                <w:tcPr>
                  <w:tcW w:w="502" w:type="pct"/>
                  <w:tcBorders>
                    <w:tl2br w:val="nil"/>
                    <w:tr2bl w:val="nil"/>
                  </w:tcBorders>
                  <w:vAlign w:val="center"/>
                </w:tcPr>
                <w:p w14:paraId="553B023A">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182</w:t>
                  </w:r>
                </w:p>
              </w:tc>
              <w:tc>
                <w:tcPr>
                  <w:tcW w:w="502" w:type="pct"/>
                  <w:tcBorders>
                    <w:tl2br w:val="nil"/>
                    <w:tr2bl w:val="nil"/>
                  </w:tcBorders>
                  <w:vAlign w:val="center"/>
                </w:tcPr>
                <w:p w14:paraId="635203F2">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187</w:t>
                  </w:r>
                </w:p>
              </w:tc>
              <w:tc>
                <w:tcPr>
                  <w:tcW w:w="526" w:type="pct"/>
                  <w:tcBorders>
                    <w:tl2br w:val="nil"/>
                    <w:tr2bl w:val="nil"/>
                  </w:tcBorders>
                  <w:vAlign w:val="center"/>
                </w:tcPr>
                <w:p w14:paraId="214AC49B">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191</w:t>
                  </w:r>
                </w:p>
              </w:tc>
              <w:tc>
                <w:tcPr>
                  <w:tcW w:w="475" w:type="pct"/>
                  <w:tcBorders>
                    <w:tl2br w:val="nil"/>
                    <w:tr2bl w:val="nil"/>
                  </w:tcBorders>
                  <w:vAlign w:val="center"/>
                </w:tcPr>
                <w:p w14:paraId="7B691DB5">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250</w:t>
                  </w:r>
                </w:p>
              </w:tc>
            </w:tr>
            <w:tr w14:paraId="6C17A9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continue"/>
                  <w:tcBorders>
                    <w:tl2br w:val="nil"/>
                    <w:tr2bl w:val="nil"/>
                  </w:tcBorders>
                  <w:vAlign w:val="center"/>
                </w:tcPr>
                <w:p w14:paraId="7F668AD7">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14:paraId="707E7A48">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14:paraId="61BB6E5D">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8"/>
                      <w:sz w:val="21"/>
                      <w:szCs w:val="21"/>
                      <w:u w:val="single" w:color="auto"/>
                    </w:rPr>
                    <w:t>五日生化需氧量</w:t>
                  </w:r>
                </w:p>
              </w:tc>
              <w:tc>
                <w:tcPr>
                  <w:tcW w:w="502" w:type="pct"/>
                  <w:tcBorders>
                    <w:tl2br w:val="nil"/>
                    <w:tr2bl w:val="nil"/>
                  </w:tcBorders>
                  <w:vAlign w:val="center"/>
                </w:tcPr>
                <w:p w14:paraId="63F5A7B5">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57.9</w:t>
                  </w:r>
                </w:p>
              </w:tc>
              <w:tc>
                <w:tcPr>
                  <w:tcW w:w="502" w:type="pct"/>
                  <w:tcBorders>
                    <w:tl2br w:val="nil"/>
                    <w:tr2bl w:val="nil"/>
                  </w:tcBorders>
                  <w:vAlign w:val="center"/>
                </w:tcPr>
                <w:p w14:paraId="1755EB7B">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56.8</w:t>
                  </w:r>
                </w:p>
              </w:tc>
              <w:tc>
                <w:tcPr>
                  <w:tcW w:w="502" w:type="pct"/>
                  <w:tcBorders>
                    <w:tl2br w:val="nil"/>
                    <w:tr2bl w:val="nil"/>
                  </w:tcBorders>
                  <w:vAlign w:val="center"/>
                </w:tcPr>
                <w:p w14:paraId="1CDD9180">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56.9</w:t>
                  </w:r>
                </w:p>
              </w:tc>
              <w:tc>
                <w:tcPr>
                  <w:tcW w:w="526" w:type="pct"/>
                  <w:tcBorders>
                    <w:tl2br w:val="nil"/>
                    <w:tr2bl w:val="nil"/>
                  </w:tcBorders>
                  <w:vAlign w:val="center"/>
                </w:tcPr>
                <w:p w14:paraId="1914C6E9">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57.9</w:t>
                  </w:r>
                </w:p>
              </w:tc>
              <w:tc>
                <w:tcPr>
                  <w:tcW w:w="475" w:type="pct"/>
                  <w:tcBorders>
                    <w:tl2br w:val="nil"/>
                    <w:tr2bl w:val="nil"/>
                  </w:tcBorders>
                  <w:vAlign w:val="center"/>
                </w:tcPr>
                <w:p w14:paraId="5F2DCF86">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z w:val="21"/>
                      <w:szCs w:val="21"/>
                      <w:u w:val="single" w:color="auto"/>
                    </w:rPr>
                    <w:t>100</w:t>
                  </w:r>
                </w:p>
              </w:tc>
            </w:tr>
            <w:tr w14:paraId="4727D8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continue"/>
                  <w:tcBorders>
                    <w:tl2br w:val="nil"/>
                    <w:tr2bl w:val="nil"/>
                  </w:tcBorders>
                  <w:vAlign w:val="center"/>
                </w:tcPr>
                <w:p w14:paraId="24E78A38">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14:paraId="1F1C768E">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14:paraId="4C05DF63">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2"/>
                      <w:sz w:val="21"/>
                      <w:szCs w:val="21"/>
                      <w:u w:val="single" w:color="auto"/>
                    </w:rPr>
                    <w:t>悬浮物</w:t>
                  </w:r>
                </w:p>
              </w:tc>
              <w:tc>
                <w:tcPr>
                  <w:tcW w:w="502" w:type="pct"/>
                  <w:tcBorders>
                    <w:tl2br w:val="nil"/>
                    <w:tr2bl w:val="nil"/>
                  </w:tcBorders>
                  <w:vAlign w:val="center"/>
                </w:tcPr>
                <w:p w14:paraId="69EDE9AE">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25</w:t>
                  </w:r>
                </w:p>
              </w:tc>
              <w:tc>
                <w:tcPr>
                  <w:tcW w:w="502" w:type="pct"/>
                  <w:tcBorders>
                    <w:tl2br w:val="nil"/>
                    <w:tr2bl w:val="nil"/>
                  </w:tcBorders>
                  <w:vAlign w:val="center"/>
                </w:tcPr>
                <w:p w14:paraId="3FE93DD7">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26</w:t>
                  </w:r>
                </w:p>
              </w:tc>
              <w:tc>
                <w:tcPr>
                  <w:tcW w:w="502" w:type="pct"/>
                  <w:tcBorders>
                    <w:tl2br w:val="nil"/>
                    <w:tr2bl w:val="nil"/>
                  </w:tcBorders>
                  <w:vAlign w:val="center"/>
                </w:tcPr>
                <w:p w14:paraId="1CD9EF1B">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24</w:t>
                  </w:r>
                </w:p>
              </w:tc>
              <w:tc>
                <w:tcPr>
                  <w:tcW w:w="526" w:type="pct"/>
                  <w:tcBorders>
                    <w:tl2br w:val="nil"/>
                    <w:tr2bl w:val="nil"/>
                  </w:tcBorders>
                  <w:vAlign w:val="center"/>
                </w:tcPr>
                <w:p w14:paraId="1D0514F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23</w:t>
                  </w:r>
                </w:p>
              </w:tc>
              <w:tc>
                <w:tcPr>
                  <w:tcW w:w="475" w:type="pct"/>
                  <w:tcBorders>
                    <w:tl2br w:val="nil"/>
                    <w:tr2bl w:val="nil"/>
                  </w:tcBorders>
                  <w:vAlign w:val="center"/>
                </w:tcPr>
                <w:p w14:paraId="493FCAF4">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1"/>
                      <w:sz w:val="21"/>
                      <w:szCs w:val="21"/>
                      <w:u w:val="single" w:color="auto"/>
                    </w:rPr>
                    <w:t>60</w:t>
                  </w:r>
                </w:p>
              </w:tc>
            </w:tr>
            <w:tr w14:paraId="5F1214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continue"/>
                  <w:tcBorders>
                    <w:tl2br w:val="nil"/>
                    <w:tr2bl w:val="nil"/>
                  </w:tcBorders>
                  <w:vAlign w:val="center"/>
                </w:tcPr>
                <w:p w14:paraId="594171F5">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14:paraId="336A3CD7">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14:paraId="7ED75576">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4"/>
                      <w:sz w:val="21"/>
                      <w:szCs w:val="21"/>
                      <w:u w:val="single" w:color="auto"/>
                    </w:rPr>
                    <w:t>氨氮</w:t>
                  </w:r>
                </w:p>
              </w:tc>
              <w:tc>
                <w:tcPr>
                  <w:tcW w:w="502" w:type="pct"/>
                  <w:tcBorders>
                    <w:tl2br w:val="nil"/>
                    <w:tr2bl w:val="nil"/>
                  </w:tcBorders>
                  <w:vAlign w:val="center"/>
                </w:tcPr>
                <w:p w14:paraId="663C7E48">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29.2</w:t>
                  </w:r>
                </w:p>
              </w:tc>
              <w:tc>
                <w:tcPr>
                  <w:tcW w:w="502" w:type="pct"/>
                  <w:tcBorders>
                    <w:tl2br w:val="nil"/>
                    <w:tr2bl w:val="nil"/>
                  </w:tcBorders>
                  <w:vAlign w:val="center"/>
                </w:tcPr>
                <w:p w14:paraId="026B4E0E">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29.4</w:t>
                  </w:r>
                </w:p>
              </w:tc>
              <w:tc>
                <w:tcPr>
                  <w:tcW w:w="502" w:type="pct"/>
                  <w:tcBorders>
                    <w:tl2br w:val="nil"/>
                    <w:tr2bl w:val="nil"/>
                  </w:tcBorders>
                  <w:vAlign w:val="center"/>
                </w:tcPr>
                <w:p w14:paraId="21FFB8B8">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29.3</w:t>
                  </w:r>
                </w:p>
              </w:tc>
              <w:tc>
                <w:tcPr>
                  <w:tcW w:w="526" w:type="pct"/>
                  <w:tcBorders>
                    <w:tl2br w:val="nil"/>
                    <w:tr2bl w:val="nil"/>
                  </w:tcBorders>
                  <w:vAlign w:val="center"/>
                </w:tcPr>
                <w:p w14:paraId="022FF65A">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29.2</w:t>
                  </w:r>
                </w:p>
              </w:tc>
              <w:tc>
                <w:tcPr>
                  <w:tcW w:w="475" w:type="pct"/>
                  <w:tcBorders>
                    <w:tl2br w:val="nil"/>
                    <w:tr2bl w:val="nil"/>
                  </w:tcBorders>
                  <w:vAlign w:val="center"/>
                </w:tcPr>
                <w:p w14:paraId="6060FF43">
                  <w:pPr>
                    <w:keepNext w:val="0"/>
                    <w:keepLines w:val="0"/>
                    <w:pageBreakBefore w:val="0"/>
                    <w:tabs>
                      <w:tab w:val="left" w:pos="515"/>
                    </w:tabs>
                    <w:wordWrap/>
                    <w:overflowPunct/>
                    <w:topLinePunct w:val="0"/>
                    <w:bidi w:val="0"/>
                    <w:adjustRightInd w:val="0"/>
                    <w:snapToGrid w:val="0"/>
                    <w:spacing w:line="240" w:lineRule="auto"/>
                    <w:ind w:left="0" w:right="0" w:firstLine="0" w:firstLineChars="0"/>
                    <w:jc w:val="center"/>
                    <w:rPr>
                      <w:rFonts w:hint="eastAsia"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w:t>
                  </w:r>
                </w:p>
              </w:tc>
            </w:tr>
            <w:tr w14:paraId="1BC5F8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continue"/>
                  <w:tcBorders>
                    <w:tl2br w:val="nil"/>
                    <w:tr2bl w:val="nil"/>
                  </w:tcBorders>
                  <w:vAlign w:val="center"/>
                </w:tcPr>
                <w:p w14:paraId="2240111A">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14:paraId="581465D7">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14:paraId="1A931344">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7"/>
                      <w:sz w:val="21"/>
                      <w:szCs w:val="21"/>
                      <w:u w:val="single" w:color="auto"/>
                    </w:rPr>
                    <w:t>动植物油</w:t>
                  </w:r>
                </w:p>
              </w:tc>
              <w:tc>
                <w:tcPr>
                  <w:tcW w:w="502" w:type="pct"/>
                  <w:tcBorders>
                    <w:tl2br w:val="nil"/>
                    <w:tr2bl w:val="nil"/>
                  </w:tcBorders>
                  <w:vAlign w:val="center"/>
                </w:tcPr>
                <w:p w14:paraId="325FEBDB">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1.27</w:t>
                  </w:r>
                </w:p>
              </w:tc>
              <w:tc>
                <w:tcPr>
                  <w:tcW w:w="502" w:type="pct"/>
                  <w:tcBorders>
                    <w:tl2br w:val="nil"/>
                    <w:tr2bl w:val="nil"/>
                  </w:tcBorders>
                  <w:vAlign w:val="center"/>
                </w:tcPr>
                <w:p w14:paraId="16F0D23E">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1.30</w:t>
                  </w:r>
                </w:p>
              </w:tc>
              <w:tc>
                <w:tcPr>
                  <w:tcW w:w="502" w:type="pct"/>
                  <w:tcBorders>
                    <w:tl2br w:val="nil"/>
                    <w:tr2bl w:val="nil"/>
                  </w:tcBorders>
                  <w:vAlign w:val="center"/>
                </w:tcPr>
                <w:p w14:paraId="50345576">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1.30</w:t>
                  </w:r>
                </w:p>
              </w:tc>
              <w:tc>
                <w:tcPr>
                  <w:tcW w:w="526" w:type="pct"/>
                  <w:tcBorders>
                    <w:tl2br w:val="nil"/>
                    <w:tr2bl w:val="nil"/>
                  </w:tcBorders>
                  <w:vAlign w:val="center"/>
                </w:tcPr>
                <w:p w14:paraId="669DAF65">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1.31</w:t>
                  </w:r>
                </w:p>
              </w:tc>
              <w:tc>
                <w:tcPr>
                  <w:tcW w:w="475" w:type="pct"/>
                  <w:tcBorders>
                    <w:tl2br w:val="nil"/>
                    <w:tr2bl w:val="nil"/>
                  </w:tcBorders>
                  <w:vAlign w:val="center"/>
                </w:tcPr>
                <w:p w14:paraId="0086F663">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20</w:t>
                  </w:r>
                </w:p>
              </w:tc>
            </w:tr>
            <w:tr w14:paraId="5182FA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continue"/>
                  <w:tcBorders>
                    <w:tl2br w:val="nil"/>
                    <w:tr2bl w:val="nil"/>
                  </w:tcBorders>
                  <w:vAlign w:val="center"/>
                </w:tcPr>
                <w:p w14:paraId="2ACE0B04">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14:paraId="68FACA85">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14:paraId="3FED1E32">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2"/>
                      <w:sz w:val="21"/>
                      <w:szCs w:val="21"/>
                      <w:u w:val="single" w:color="auto"/>
                    </w:rPr>
                    <w:t>石油类</w:t>
                  </w:r>
                </w:p>
              </w:tc>
              <w:tc>
                <w:tcPr>
                  <w:tcW w:w="502" w:type="pct"/>
                  <w:tcBorders>
                    <w:tl2br w:val="nil"/>
                    <w:tr2bl w:val="nil"/>
                  </w:tcBorders>
                  <w:vAlign w:val="center"/>
                </w:tcPr>
                <w:p w14:paraId="2A1492A2">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0.78</w:t>
                  </w:r>
                </w:p>
              </w:tc>
              <w:tc>
                <w:tcPr>
                  <w:tcW w:w="502" w:type="pct"/>
                  <w:tcBorders>
                    <w:tl2br w:val="nil"/>
                    <w:tr2bl w:val="nil"/>
                  </w:tcBorders>
                  <w:vAlign w:val="center"/>
                </w:tcPr>
                <w:p w14:paraId="2645A08D">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0.77</w:t>
                  </w:r>
                </w:p>
              </w:tc>
              <w:tc>
                <w:tcPr>
                  <w:tcW w:w="502" w:type="pct"/>
                  <w:tcBorders>
                    <w:tl2br w:val="nil"/>
                    <w:tr2bl w:val="nil"/>
                  </w:tcBorders>
                  <w:vAlign w:val="center"/>
                </w:tcPr>
                <w:p w14:paraId="015B6F14">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0.78</w:t>
                  </w:r>
                </w:p>
              </w:tc>
              <w:tc>
                <w:tcPr>
                  <w:tcW w:w="526" w:type="pct"/>
                  <w:tcBorders>
                    <w:tl2br w:val="nil"/>
                    <w:tr2bl w:val="nil"/>
                  </w:tcBorders>
                  <w:vAlign w:val="center"/>
                </w:tcPr>
                <w:p w14:paraId="77B2DE8C">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0.78</w:t>
                  </w:r>
                </w:p>
              </w:tc>
              <w:tc>
                <w:tcPr>
                  <w:tcW w:w="475" w:type="pct"/>
                  <w:tcBorders>
                    <w:tl2br w:val="nil"/>
                    <w:tr2bl w:val="nil"/>
                  </w:tcBorders>
                  <w:vAlign w:val="center"/>
                </w:tcPr>
                <w:p w14:paraId="5BBBEB78">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20</w:t>
                  </w:r>
                </w:p>
              </w:tc>
            </w:tr>
            <w:tr w14:paraId="5544D9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continue"/>
                  <w:tcBorders>
                    <w:tl2br w:val="nil"/>
                    <w:tr2bl w:val="nil"/>
                  </w:tcBorders>
                  <w:vAlign w:val="center"/>
                </w:tcPr>
                <w:p w14:paraId="75A57A43">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14:paraId="6ABE8DF3">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14:paraId="428E9E8D">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4"/>
                      <w:sz w:val="21"/>
                      <w:szCs w:val="21"/>
                      <w:u w:val="single" w:color="auto"/>
                    </w:rPr>
                    <w:t>阴离子表面活性剂</w:t>
                  </w:r>
                </w:p>
              </w:tc>
              <w:tc>
                <w:tcPr>
                  <w:tcW w:w="502" w:type="pct"/>
                  <w:tcBorders>
                    <w:tl2br w:val="nil"/>
                    <w:tr2bl w:val="nil"/>
                  </w:tcBorders>
                  <w:vAlign w:val="center"/>
                </w:tcPr>
                <w:p w14:paraId="0B9560DA">
                  <w:pPr>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u w:val="single" w:color="auto"/>
                    </w:rPr>
                  </w:pPr>
                  <w:r>
                    <w:rPr>
                      <w:rFonts w:hint="eastAsia" w:ascii="Times New Roman" w:hAnsi="Times New Roman" w:cs="Times New Roman"/>
                      <w:color w:val="auto"/>
                      <w:sz w:val="21"/>
                      <w:szCs w:val="21"/>
                      <w:u w:val="single" w:color="auto"/>
                      <w:lang w:val="en-US" w:eastAsia="zh-CN"/>
                    </w:rPr>
                    <w:t>0.05L</w:t>
                  </w:r>
                </w:p>
              </w:tc>
              <w:tc>
                <w:tcPr>
                  <w:tcW w:w="502" w:type="pct"/>
                  <w:tcBorders>
                    <w:tl2br w:val="nil"/>
                    <w:tr2bl w:val="nil"/>
                  </w:tcBorders>
                  <w:vAlign w:val="center"/>
                </w:tcPr>
                <w:p w14:paraId="649F5A47">
                  <w:pPr>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u w:val="single" w:color="auto"/>
                    </w:rPr>
                  </w:pPr>
                  <w:r>
                    <w:rPr>
                      <w:rFonts w:hint="eastAsia" w:ascii="Times New Roman" w:hAnsi="Times New Roman" w:cs="Times New Roman"/>
                      <w:color w:val="auto"/>
                      <w:sz w:val="21"/>
                      <w:szCs w:val="21"/>
                      <w:u w:val="single" w:color="auto"/>
                      <w:lang w:val="en-US" w:eastAsia="zh-CN"/>
                    </w:rPr>
                    <w:t>0.05L</w:t>
                  </w:r>
                </w:p>
              </w:tc>
              <w:tc>
                <w:tcPr>
                  <w:tcW w:w="502" w:type="pct"/>
                  <w:tcBorders>
                    <w:tl2br w:val="nil"/>
                    <w:tr2bl w:val="nil"/>
                  </w:tcBorders>
                  <w:vAlign w:val="center"/>
                </w:tcPr>
                <w:p w14:paraId="23C37EBB">
                  <w:pPr>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u w:val="single" w:color="auto"/>
                    </w:rPr>
                  </w:pPr>
                  <w:r>
                    <w:rPr>
                      <w:rFonts w:hint="eastAsia" w:ascii="Times New Roman" w:hAnsi="Times New Roman" w:cs="Times New Roman"/>
                      <w:color w:val="auto"/>
                      <w:sz w:val="21"/>
                      <w:szCs w:val="21"/>
                      <w:u w:val="single" w:color="auto"/>
                      <w:lang w:val="en-US" w:eastAsia="zh-CN"/>
                    </w:rPr>
                    <w:t>0.05L</w:t>
                  </w:r>
                </w:p>
              </w:tc>
              <w:tc>
                <w:tcPr>
                  <w:tcW w:w="526" w:type="pct"/>
                  <w:tcBorders>
                    <w:tl2br w:val="nil"/>
                    <w:tr2bl w:val="nil"/>
                  </w:tcBorders>
                  <w:vAlign w:val="center"/>
                </w:tcPr>
                <w:p w14:paraId="7F47D2F8">
                  <w:pPr>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u w:val="single" w:color="auto"/>
                    </w:rPr>
                  </w:pPr>
                  <w:r>
                    <w:rPr>
                      <w:rFonts w:hint="eastAsia" w:ascii="Times New Roman" w:hAnsi="Times New Roman" w:cs="Times New Roman"/>
                      <w:color w:val="auto"/>
                      <w:sz w:val="21"/>
                      <w:szCs w:val="21"/>
                      <w:u w:val="single" w:color="auto"/>
                      <w:lang w:val="en-US" w:eastAsia="zh-CN"/>
                    </w:rPr>
                    <w:t>0.05L</w:t>
                  </w:r>
                </w:p>
              </w:tc>
              <w:tc>
                <w:tcPr>
                  <w:tcW w:w="475" w:type="pct"/>
                  <w:tcBorders>
                    <w:tl2br w:val="nil"/>
                    <w:tr2bl w:val="nil"/>
                  </w:tcBorders>
                  <w:vAlign w:val="center"/>
                </w:tcPr>
                <w:p w14:paraId="1BA7C0CA">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10</w:t>
                  </w:r>
                </w:p>
              </w:tc>
            </w:tr>
            <w:tr w14:paraId="711421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continue"/>
                  <w:tcBorders>
                    <w:tl2br w:val="nil"/>
                    <w:tr2bl w:val="nil"/>
                  </w:tcBorders>
                  <w:vAlign w:val="center"/>
                </w:tcPr>
                <w:p w14:paraId="3F0BCA5C">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14:paraId="6AEB3C29">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14:paraId="69DC5D3F">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5"/>
                      <w:sz w:val="21"/>
                      <w:szCs w:val="21"/>
                      <w:u w:val="single" w:color="auto"/>
                    </w:rPr>
                    <w:t>总余氯</w:t>
                  </w:r>
                </w:p>
              </w:tc>
              <w:tc>
                <w:tcPr>
                  <w:tcW w:w="502" w:type="pct"/>
                  <w:tcBorders>
                    <w:tl2br w:val="nil"/>
                    <w:tr2bl w:val="nil"/>
                  </w:tcBorders>
                  <w:vAlign w:val="center"/>
                </w:tcPr>
                <w:p w14:paraId="054D4B8E">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0.84</w:t>
                  </w:r>
                </w:p>
              </w:tc>
              <w:tc>
                <w:tcPr>
                  <w:tcW w:w="502" w:type="pct"/>
                  <w:tcBorders>
                    <w:tl2br w:val="nil"/>
                    <w:tr2bl w:val="nil"/>
                  </w:tcBorders>
                  <w:vAlign w:val="center"/>
                </w:tcPr>
                <w:p w14:paraId="783784EF">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0.86</w:t>
                  </w:r>
                </w:p>
              </w:tc>
              <w:tc>
                <w:tcPr>
                  <w:tcW w:w="502" w:type="pct"/>
                  <w:tcBorders>
                    <w:tl2br w:val="nil"/>
                    <w:tr2bl w:val="nil"/>
                  </w:tcBorders>
                  <w:vAlign w:val="center"/>
                </w:tcPr>
                <w:p w14:paraId="414C391C">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0.87</w:t>
                  </w:r>
                </w:p>
              </w:tc>
              <w:tc>
                <w:tcPr>
                  <w:tcW w:w="526" w:type="pct"/>
                  <w:tcBorders>
                    <w:tl2br w:val="nil"/>
                    <w:tr2bl w:val="nil"/>
                  </w:tcBorders>
                  <w:vAlign w:val="center"/>
                </w:tcPr>
                <w:p w14:paraId="1B7CEFC6">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0.89</w:t>
                  </w:r>
                </w:p>
              </w:tc>
              <w:tc>
                <w:tcPr>
                  <w:tcW w:w="475" w:type="pct"/>
                  <w:tcBorders>
                    <w:tl2br w:val="nil"/>
                    <w:tr2bl w:val="nil"/>
                  </w:tcBorders>
                  <w:vAlign w:val="center"/>
                </w:tcPr>
                <w:p w14:paraId="3120EFF7">
                  <w:pPr>
                    <w:keepNext w:val="0"/>
                    <w:keepLines w:val="0"/>
                    <w:pageBreakBefore w:val="0"/>
                    <w:tabs>
                      <w:tab w:val="left" w:pos="515"/>
                    </w:tabs>
                    <w:wordWrap/>
                    <w:overflowPunct/>
                    <w:topLinePunct w:val="0"/>
                    <w:bidi w:val="0"/>
                    <w:adjustRightInd w:val="0"/>
                    <w:snapToGrid w:val="0"/>
                    <w:spacing w:line="240" w:lineRule="auto"/>
                    <w:ind w:left="0" w:right="0" w:firstLine="0" w:firstLineChars="0"/>
                    <w:jc w:val="center"/>
                    <w:rPr>
                      <w:rFonts w:hint="eastAsia"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w:t>
                  </w:r>
                </w:p>
              </w:tc>
            </w:tr>
            <w:tr w14:paraId="7E8DCB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5000" w:type="pct"/>
                  <w:gridSpan w:val="8"/>
                  <w:tcBorders>
                    <w:tl2br w:val="nil"/>
                    <w:tr2bl w:val="nil"/>
                  </w:tcBorders>
                  <w:vAlign w:val="center"/>
                </w:tcPr>
                <w:p w14:paraId="28D37AD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snapToGrid w:val="0"/>
                      <w:color w:val="auto"/>
                      <w:kern w:val="0"/>
                      <w:sz w:val="21"/>
                      <w:szCs w:val="21"/>
                      <w:u w:val="single" w:color="auto"/>
                      <w:lang w:eastAsia="en-US"/>
                    </w:rPr>
                  </w:pPr>
                  <w:r>
                    <w:rPr>
                      <w:rFonts w:hint="default" w:ascii="Times New Roman" w:hAnsi="Times New Roman" w:eastAsia="宋体" w:cs="Times New Roman"/>
                      <w:snapToGrid w:val="0"/>
                      <w:color w:val="auto"/>
                      <w:spacing w:val="7"/>
                      <w:kern w:val="0"/>
                      <w:sz w:val="21"/>
                      <w:szCs w:val="21"/>
                      <w:u w:val="single" w:color="auto"/>
                      <w:lang w:eastAsia="en-US"/>
                    </w:rPr>
                    <w:t>备注</w:t>
                  </w:r>
                  <w:r>
                    <w:rPr>
                      <w:rFonts w:hint="eastAsia" w:ascii="Times New Roman" w:hAnsi="Times New Roman" w:cs="Times New Roman"/>
                      <w:snapToGrid w:val="0"/>
                      <w:color w:val="auto"/>
                      <w:spacing w:val="7"/>
                      <w:kern w:val="0"/>
                      <w:sz w:val="21"/>
                      <w:szCs w:val="21"/>
                      <w:u w:val="single" w:color="auto"/>
                      <w:lang w:eastAsia="zh-CN"/>
                    </w:rPr>
                    <w:t>：</w:t>
                  </w:r>
                  <w:r>
                    <w:rPr>
                      <w:rFonts w:hint="default" w:ascii="Times New Roman" w:hAnsi="Times New Roman" w:eastAsia="宋体" w:cs="Times New Roman"/>
                      <w:snapToGrid w:val="0"/>
                      <w:color w:val="auto"/>
                      <w:spacing w:val="7"/>
                      <w:kern w:val="0"/>
                      <w:sz w:val="21"/>
                      <w:szCs w:val="21"/>
                      <w:u w:val="single" w:color="auto"/>
                      <w:lang w:eastAsia="en-US"/>
                    </w:rPr>
                    <w:t>1、</w:t>
                  </w:r>
                  <w:r>
                    <w:rPr>
                      <w:rFonts w:hint="eastAsia" w:ascii="Times New Roman" w:hAnsi="Times New Roman" w:cs="Times New Roman"/>
                      <w:snapToGrid w:val="0"/>
                      <w:color w:val="auto"/>
                      <w:spacing w:val="7"/>
                      <w:kern w:val="0"/>
                      <w:sz w:val="21"/>
                      <w:szCs w:val="21"/>
                      <w:u w:val="single" w:color="auto"/>
                      <w:lang w:eastAsia="zh-CN"/>
                    </w:rPr>
                    <w:t>“</w:t>
                  </w:r>
                  <w:r>
                    <w:rPr>
                      <w:rFonts w:hint="default" w:ascii="Times New Roman" w:hAnsi="Times New Roman" w:eastAsia="宋体" w:cs="Times New Roman"/>
                      <w:snapToGrid w:val="0"/>
                      <w:color w:val="auto"/>
                      <w:spacing w:val="7"/>
                      <w:kern w:val="0"/>
                      <w:sz w:val="21"/>
                      <w:szCs w:val="21"/>
                      <w:u w:val="single" w:color="auto"/>
                      <w:lang w:eastAsia="en-US"/>
                    </w:rPr>
                    <w:t>检出限+L</w:t>
                  </w:r>
                  <w:r>
                    <w:rPr>
                      <w:rFonts w:hint="eastAsia" w:ascii="Times New Roman" w:hAnsi="Times New Roman" w:cs="Times New Roman"/>
                      <w:snapToGrid w:val="0"/>
                      <w:color w:val="auto"/>
                      <w:spacing w:val="7"/>
                      <w:kern w:val="0"/>
                      <w:sz w:val="21"/>
                      <w:szCs w:val="21"/>
                      <w:u w:val="single" w:color="auto"/>
                      <w:lang w:eastAsia="zh-CN"/>
                    </w:rPr>
                    <w:t>”</w:t>
                  </w:r>
                  <w:r>
                    <w:rPr>
                      <w:rFonts w:hint="default" w:ascii="Times New Roman" w:hAnsi="Times New Roman" w:eastAsia="宋体" w:cs="Times New Roman"/>
                      <w:snapToGrid w:val="0"/>
                      <w:color w:val="auto"/>
                      <w:spacing w:val="7"/>
                      <w:kern w:val="0"/>
                      <w:sz w:val="21"/>
                      <w:szCs w:val="21"/>
                      <w:u w:val="single" w:color="auto"/>
                      <w:lang w:eastAsia="en-US"/>
                    </w:rPr>
                    <w:t>表示检测结果低于本方法检出限，未检出；</w:t>
                  </w:r>
                </w:p>
                <w:p w14:paraId="4EBCAFC0">
                  <w:pPr>
                    <w:keepNext w:val="0"/>
                    <w:keepLines w:val="0"/>
                    <w:pageBreakBefore w:val="0"/>
                    <w:tabs>
                      <w:tab w:val="left" w:pos="515"/>
                    </w:tabs>
                    <w:wordWrap/>
                    <w:overflowPunct/>
                    <w:topLinePunct w:val="0"/>
                    <w:bidi w:val="0"/>
                    <w:adjustRightInd w:val="0"/>
                    <w:snapToGrid w:val="0"/>
                    <w:spacing w:line="240" w:lineRule="auto"/>
                    <w:ind w:right="0" w:rightChars="0" w:firstLine="618" w:firstLineChars="300"/>
                    <w:jc w:val="both"/>
                    <w:rPr>
                      <w:rFonts w:hint="eastAsia"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snapToGrid w:val="0"/>
                      <w:color w:val="auto"/>
                      <w:spacing w:val="-2"/>
                      <w:kern w:val="0"/>
                      <w:sz w:val="21"/>
                      <w:szCs w:val="21"/>
                      <w:u w:val="single" w:color="auto"/>
                      <w:lang w:eastAsia="en-US"/>
                    </w:rPr>
                    <w:t>2、执行《医疗机构水污染物排放标准》(GB</w:t>
                  </w:r>
                  <w:r>
                    <w:rPr>
                      <w:rFonts w:hint="default" w:ascii="Times New Roman" w:hAnsi="Times New Roman" w:eastAsia="宋体" w:cs="Times New Roman"/>
                      <w:snapToGrid w:val="0"/>
                      <w:color w:val="auto"/>
                      <w:spacing w:val="13"/>
                      <w:w w:val="101"/>
                      <w:kern w:val="0"/>
                      <w:sz w:val="21"/>
                      <w:szCs w:val="21"/>
                      <w:u w:val="single" w:color="auto"/>
                      <w:lang w:eastAsia="en-US"/>
                    </w:rPr>
                    <w:t xml:space="preserve"> </w:t>
                  </w:r>
                  <w:r>
                    <w:rPr>
                      <w:rFonts w:hint="default" w:ascii="Times New Roman" w:hAnsi="Times New Roman" w:eastAsia="宋体" w:cs="Times New Roman"/>
                      <w:snapToGrid w:val="0"/>
                      <w:color w:val="auto"/>
                      <w:spacing w:val="-2"/>
                      <w:kern w:val="0"/>
                      <w:sz w:val="21"/>
                      <w:szCs w:val="21"/>
                      <w:u w:val="single" w:color="auto"/>
                      <w:lang w:eastAsia="en-US"/>
                    </w:rPr>
                    <w:t>18</w:t>
                  </w:r>
                  <w:r>
                    <w:rPr>
                      <w:rFonts w:hint="default" w:ascii="Times New Roman" w:hAnsi="Times New Roman" w:eastAsia="宋体" w:cs="Times New Roman"/>
                      <w:snapToGrid w:val="0"/>
                      <w:color w:val="auto"/>
                      <w:spacing w:val="-3"/>
                      <w:kern w:val="0"/>
                      <w:sz w:val="21"/>
                      <w:szCs w:val="21"/>
                      <w:u w:val="single" w:color="auto"/>
                      <w:lang w:eastAsia="en-US"/>
                    </w:rPr>
                    <w:t>466-2005)表2中预处理标准。</w:t>
                  </w:r>
                </w:p>
              </w:tc>
            </w:tr>
            <w:tr w14:paraId="7C5471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8" w:type="pct"/>
                  <w:vMerge w:val="restart"/>
                  <w:tcBorders>
                    <w:tl2br w:val="nil"/>
                    <w:tr2bl w:val="nil"/>
                  </w:tcBorders>
                  <w:vAlign w:val="center"/>
                </w:tcPr>
                <w:p w14:paraId="58AA2753">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化粪池出水口</w:t>
                  </w:r>
                </w:p>
              </w:tc>
              <w:tc>
                <w:tcPr>
                  <w:tcW w:w="665" w:type="pct"/>
                  <w:vMerge w:val="restart"/>
                  <w:tcBorders>
                    <w:tl2br w:val="nil"/>
                    <w:tr2bl w:val="nil"/>
                  </w:tcBorders>
                  <w:vAlign w:val="center"/>
                </w:tcPr>
                <w:p w14:paraId="3E0FA7E0">
                  <w:pPr>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4"/>
                      <w:sz w:val="21"/>
                      <w:szCs w:val="21"/>
                      <w:u w:val="single" w:color="auto"/>
                    </w:rPr>
                    <w:t>2024.03.28</w:t>
                  </w:r>
                </w:p>
              </w:tc>
              <w:tc>
                <w:tcPr>
                  <w:tcW w:w="1104" w:type="pct"/>
                  <w:tcBorders>
                    <w:tl2br w:val="nil"/>
                    <w:tr2bl w:val="nil"/>
                  </w:tcBorders>
                  <w:vAlign w:val="center"/>
                </w:tcPr>
                <w:p w14:paraId="5ED095E8">
                  <w:pPr>
                    <w:pStyle w:val="76"/>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color="auto"/>
                      <w:lang w:val="en-US" w:eastAsia="en-US" w:bidi="ar-SA"/>
                    </w:rPr>
                  </w:pPr>
                  <w:r>
                    <w:rPr>
                      <w:rFonts w:hint="default" w:ascii="Times New Roman" w:hAnsi="Times New Roman" w:eastAsia="宋体" w:cs="Times New Roman"/>
                      <w:color w:val="auto"/>
                      <w:sz w:val="21"/>
                      <w:szCs w:val="21"/>
                      <w:u w:val="single" w:color="auto"/>
                    </w:rPr>
                    <w:t>pH</w:t>
                  </w:r>
                  <w:r>
                    <w:rPr>
                      <w:rFonts w:hint="default" w:ascii="Times New Roman" w:hAnsi="Times New Roman" w:eastAsia="宋体" w:cs="Times New Roman"/>
                      <w:color w:val="auto"/>
                      <w:spacing w:val="9"/>
                      <w:sz w:val="21"/>
                      <w:szCs w:val="21"/>
                      <w:u w:val="single" w:color="auto"/>
                    </w:rPr>
                    <w:t>值（无量纲）</w:t>
                  </w:r>
                </w:p>
              </w:tc>
              <w:tc>
                <w:tcPr>
                  <w:tcW w:w="502" w:type="pct"/>
                  <w:tcBorders>
                    <w:tl2br w:val="nil"/>
                    <w:tr2bl w:val="nil"/>
                  </w:tcBorders>
                  <w:vAlign w:val="center"/>
                </w:tcPr>
                <w:p w14:paraId="0BC76675">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7.1</w:t>
                  </w:r>
                </w:p>
              </w:tc>
              <w:tc>
                <w:tcPr>
                  <w:tcW w:w="502" w:type="pct"/>
                  <w:tcBorders>
                    <w:tl2br w:val="nil"/>
                    <w:tr2bl w:val="nil"/>
                  </w:tcBorders>
                  <w:vAlign w:val="center"/>
                </w:tcPr>
                <w:p w14:paraId="3CE87372">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7.2</w:t>
                  </w:r>
                </w:p>
              </w:tc>
              <w:tc>
                <w:tcPr>
                  <w:tcW w:w="502" w:type="pct"/>
                  <w:tcBorders>
                    <w:tl2br w:val="nil"/>
                    <w:tr2bl w:val="nil"/>
                  </w:tcBorders>
                  <w:vAlign w:val="center"/>
                </w:tcPr>
                <w:p w14:paraId="7295D85F">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7.3</w:t>
                  </w:r>
                </w:p>
              </w:tc>
              <w:tc>
                <w:tcPr>
                  <w:tcW w:w="526" w:type="pct"/>
                  <w:tcBorders>
                    <w:tl2br w:val="nil"/>
                    <w:tr2bl w:val="nil"/>
                  </w:tcBorders>
                  <w:vAlign w:val="center"/>
                </w:tcPr>
                <w:p w14:paraId="6F3256DD">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7.1</w:t>
                  </w:r>
                </w:p>
              </w:tc>
              <w:tc>
                <w:tcPr>
                  <w:tcW w:w="475" w:type="pct"/>
                  <w:tcBorders>
                    <w:tl2br w:val="nil"/>
                    <w:tr2bl w:val="nil"/>
                  </w:tcBorders>
                  <w:vAlign w:val="center"/>
                </w:tcPr>
                <w:p w14:paraId="19A3FE64">
                  <w:pPr>
                    <w:keepNext w:val="0"/>
                    <w:keepLines w:val="0"/>
                    <w:pageBreakBefore w:val="0"/>
                    <w:tabs>
                      <w:tab w:val="left" w:pos="515"/>
                    </w:tabs>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6-9</w:t>
                  </w:r>
                </w:p>
              </w:tc>
            </w:tr>
            <w:tr w14:paraId="3235A2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8" w:type="pct"/>
                  <w:vMerge w:val="continue"/>
                  <w:tcBorders>
                    <w:tl2br w:val="nil"/>
                    <w:tr2bl w:val="nil"/>
                  </w:tcBorders>
                  <w:vAlign w:val="center"/>
                </w:tcPr>
                <w:p w14:paraId="07C13EBB">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14:paraId="0393DE3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14:paraId="65140F5F">
                  <w:pPr>
                    <w:pStyle w:val="76"/>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color="auto"/>
                      <w:lang w:val="en-US" w:eastAsia="en-US" w:bidi="ar-SA"/>
                    </w:rPr>
                  </w:pPr>
                  <w:r>
                    <w:rPr>
                      <w:rFonts w:hint="default" w:ascii="Times New Roman" w:hAnsi="Times New Roman" w:eastAsia="宋体" w:cs="Times New Roman"/>
                      <w:color w:val="auto"/>
                      <w:spacing w:val="7"/>
                      <w:sz w:val="21"/>
                      <w:szCs w:val="21"/>
                      <w:u w:val="single" w:color="auto"/>
                    </w:rPr>
                    <w:t>化学需氧量</w:t>
                  </w:r>
                </w:p>
              </w:tc>
              <w:tc>
                <w:tcPr>
                  <w:tcW w:w="502" w:type="pct"/>
                  <w:tcBorders>
                    <w:tl2br w:val="nil"/>
                    <w:tr2bl w:val="nil"/>
                  </w:tcBorders>
                  <w:vAlign w:val="center"/>
                </w:tcPr>
                <w:p w14:paraId="3D035E02">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322</w:t>
                  </w:r>
                </w:p>
              </w:tc>
              <w:tc>
                <w:tcPr>
                  <w:tcW w:w="502" w:type="pct"/>
                  <w:tcBorders>
                    <w:tl2br w:val="nil"/>
                    <w:tr2bl w:val="nil"/>
                  </w:tcBorders>
                  <w:vAlign w:val="center"/>
                </w:tcPr>
                <w:p w14:paraId="2F7631D5">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314</w:t>
                  </w:r>
                </w:p>
              </w:tc>
              <w:tc>
                <w:tcPr>
                  <w:tcW w:w="502" w:type="pct"/>
                  <w:tcBorders>
                    <w:tl2br w:val="nil"/>
                    <w:tr2bl w:val="nil"/>
                  </w:tcBorders>
                  <w:vAlign w:val="center"/>
                </w:tcPr>
                <w:p w14:paraId="4D70B53A">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327</w:t>
                  </w:r>
                </w:p>
              </w:tc>
              <w:tc>
                <w:tcPr>
                  <w:tcW w:w="526" w:type="pct"/>
                  <w:tcBorders>
                    <w:tl2br w:val="nil"/>
                    <w:tr2bl w:val="nil"/>
                  </w:tcBorders>
                  <w:vAlign w:val="center"/>
                </w:tcPr>
                <w:p w14:paraId="728ED558">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326</w:t>
                  </w:r>
                </w:p>
              </w:tc>
              <w:tc>
                <w:tcPr>
                  <w:tcW w:w="475" w:type="pct"/>
                  <w:tcBorders>
                    <w:tl2br w:val="nil"/>
                    <w:tr2bl w:val="nil"/>
                  </w:tcBorders>
                  <w:vAlign w:val="center"/>
                </w:tcPr>
                <w:p w14:paraId="57A206CC">
                  <w:pPr>
                    <w:keepNext w:val="0"/>
                    <w:keepLines w:val="0"/>
                    <w:pageBreakBefore w:val="0"/>
                    <w:tabs>
                      <w:tab w:val="left" w:pos="515"/>
                    </w:tabs>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500</w:t>
                  </w:r>
                </w:p>
              </w:tc>
            </w:tr>
            <w:tr w14:paraId="6E0FD0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8" w:type="pct"/>
                  <w:vMerge w:val="continue"/>
                  <w:tcBorders>
                    <w:tl2br w:val="nil"/>
                    <w:tr2bl w:val="nil"/>
                  </w:tcBorders>
                  <w:vAlign w:val="center"/>
                </w:tcPr>
                <w:p w14:paraId="0B04575B">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14:paraId="5DB22A20">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14:paraId="159FEFE9">
                  <w:pPr>
                    <w:pStyle w:val="76"/>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color="auto"/>
                      <w:lang w:val="en-US" w:eastAsia="en-US" w:bidi="ar-SA"/>
                    </w:rPr>
                  </w:pPr>
                  <w:r>
                    <w:rPr>
                      <w:rFonts w:hint="default" w:ascii="Times New Roman" w:hAnsi="Times New Roman" w:eastAsia="宋体" w:cs="Times New Roman"/>
                      <w:color w:val="auto"/>
                      <w:spacing w:val="8"/>
                      <w:sz w:val="21"/>
                      <w:szCs w:val="21"/>
                      <w:u w:val="single" w:color="auto"/>
                    </w:rPr>
                    <w:t>五日生化需氧量</w:t>
                  </w:r>
                </w:p>
              </w:tc>
              <w:tc>
                <w:tcPr>
                  <w:tcW w:w="502" w:type="pct"/>
                  <w:tcBorders>
                    <w:tl2br w:val="nil"/>
                    <w:tr2bl w:val="nil"/>
                  </w:tcBorders>
                  <w:vAlign w:val="center"/>
                </w:tcPr>
                <w:p w14:paraId="2787411C">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107</w:t>
                  </w:r>
                </w:p>
              </w:tc>
              <w:tc>
                <w:tcPr>
                  <w:tcW w:w="502" w:type="pct"/>
                  <w:tcBorders>
                    <w:tl2br w:val="nil"/>
                    <w:tr2bl w:val="nil"/>
                  </w:tcBorders>
                  <w:vAlign w:val="center"/>
                </w:tcPr>
                <w:p w14:paraId="2B357EB4">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104</w:t>
                  </w:r>
                </w:p>
              </w:tc>
              <w:tc>
                <w:tcPr>
                  <w:tcW w:w="502" w:type="pct"/>
                  <w:tcBorders>
                    <w:tl2br w:val="nil"/>
                    <w:tr2bl w:val="nil"/>
                  </w:tcBorders>
                  <w:vAlign w:val="center"/>
                </w:tcPr>
                <w:p w14:paraId="30AC8619">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113</w:t>
                  </w:r>
                </w:p>
              </w:tc>
              <w:tc>
                <w:tcPr>
                  <w:tcW w:w="526" w:type="pct"/>
                  <w:tcBorders>
                    <w:tl2br w:val="nil"/>
                    <w:tr2bl w:val="nil"/>
                  </w:tcBorders>
                  <w:vAlign w:val="center"/>
                </w:tcPr>
                <w:p w14:paraId="46806E62">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111</w:t>
                  </w:r>
                </w:p>
              </w:tc>
              <w:tc>
                <w:tcPr>
                  <w:tcW w:w="475" w:type="pct"/>
                  <w:tcBorders>
                    <w:tl2br w:val="nil"/>
                    <w:tr2bl w:val="nil"/>
                  </w:tcBorders>
                  <w:vAlign w:val="center"/>
                </w:tcPr>
                <w:p w14:paraId="7AFAB536">
                  <w:pPr>
                    <w:keepNext w:val="0"/>
                    <w:keepLines w:val="0"/>
                    <w:pageBreakBefore w:val="0"/>
                    <w:tabs>
                      <w:tab w:val="left" w:pos="515"/>
                    </w:tabs>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300</w:t>
                  </w:r>
                </w:p>
              </w:tc>
            </w:tr>
            <w:tr w14:paraId="3AFFD8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8" w:type="pct"/>
                  <w:vMerge w:val="continue"/>
                  <w:tcBorders>
                    <w:tl2br w:val="nil"/>
                    <w:tr2bl w:val="nil"/>
                  </w:tcBorders>
                  <w:vAlign w:val="center"/>
                </w:tcPr>
                <w:p w14:paraId="484812EA">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14:paraId="34B3C976">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14:paraId="6FD2E4D0">
                  <w:pPr>
                    <w:pStyle w:val="76"/>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color="auto"/>
                      <w:lang w:val="en-US" w:eastAsia="en-US" w:bidi="ar-SA"/>
                    </w:rPr>
                  </w:pPr>
                  <w:r>
                    <w:rPr>
                      <w:rFonts w:hint="default" w:ascii="Times New Roman" w:hAnsi="Times New Roman" w:eastAsia="宋体" w:cs="Times New Roman"/>
                      <w:color w:val="auto"/>
                      <w:spacing w:val="-2"/>
                      <w:sz w:val="21"/>
                      <w:szCs w:val="21"/>
                      <w:u w:val="single" w:color="auto"/>
                    </w:rPr>
                    <w:t>悬浮物</w:t>
                  </w:r>
                </w:p>
              </w:tc>
              <w:tc>
                <w:tcPr>
                  <w:tcW w:w="502" w:type="pct"/>
                  <w:tcBorders>
                    <w:tl2br w:val="nil"/>
                    <w:tr2bl w:val="nil"/>
                  </w:tcBorders>
                  <w:vAlign w:val="center"/>
                </w:tcPr>
                <w:p w14:paraId="23A7830F">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18</w:t>
                  </w:r>
                </w:p>
              </w:tc>
              <w:tc>
                <w:tcPr>
                  <w:tcW w:w="502" w:type="pct"/>
                  <w:tcBorders>
                    <w:tl2br w:val="nil"/>
                    <w:tr2bl w:val="nil"/>
                  </w:tcBorders>
                  <w:vAlign w:val="center"/>
                </w:tcPr>
                <w:p w14:paraId="5A788367">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20</w:t>
                  </w:r>
                </w:p>
              </w:tc>
              <w:tc>
                <w:tcPr>
                  <w:tcW w:w="502" w:type="pct"/>
                  <w:tcBorders>
                    <w:tl2br w:val="nil"/>
                    <w:tr2bl w:val="nil"/>
                  </w:tcBorders>
                  <w:vAlign w:val="center"/>
                </w:tcPr>
                <w:p w14:paraId="4D86C28B">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19</w:t>
                  </w:r>
                </w:p>
              </w:tc>
              <w:tc>
                <w:tcPr>
                  <w:tcW w:w="526" w:type="pct"/>
                  <w:tcBorders>
                    <w:tl2br w:val="nil"/>
                    <w:tr2bl w:val="nil"/>
                  </w:tcBorders>
                  <w:vAlign w:val="center"/>
                </w:tcPr>
                <w:p w14:paraId="68DCA04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17</w:t>
                  </w:r>
                </w:p>
              </w:tc>
              <w:tc>
                <w:tcPr>
                  <w:tcW w:w="475" w:type="pct"/>
                  <w:tcBorders>
                    <w:tl2br w:val="nil"/>
                    <w:tr2bl w:val="nil"/>
                  </w:tcBorders>
                  <w:vAlign w:val="center"/>
                </w:tcPr>
                <w:p w14:paraId="5EFC2FAC">
                  <w:pPr>
                    <w:keepNext w:val="0"/>
                    <w:keepLines w:val="0"/>
                    <w:pageBreakBefore w:val="0"/>
                    <w:tabs>
                      <w:tab w:val="left" w:pos="515"/>
                    </w:tabs>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400</w:t>
                  </w:r>
                </w:p>
              </w:tc>
            </w:tr>
            <w:tr w14:paraId="486518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8" w:type="pct"/>
                  <w:vMerge w:val="continue"/>
                  <w:tcBorders>
                    <w:tl2br w:val="nil"/>
                    <w:tr2bl w:val="nil"/>
                  </w:tcBorders>
                  <w:vAlign w:val="center"/>
                </w:tcPr>
                <w:p w14:paraId="085C329B">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14:paraId="39CBAFE3">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14:paraId="3E3C4B2E">
                  <w:pPr>
                    <w:pStyle w:val="76"/>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color="auto"/>
                      <w:lang w:val="en-US" w:eastAsia="en-US" w:bidi="ar-SA"/>
                    </w:rPr>
                  </w:pPr>
                  <w:r>
                    <w:rPr>
                      <w:rFonts w:hint="default" w:ascii="Times New Roman" w:hAnsi="Times New Roman" w:eastAsia="宋体" w:cs="Times New Roman"/>
                      <w:color w:val="auto"/>
                      <w:spacing w:val="4"/>
                      <w:sz w:val="21"/>
                      <w:szCs w:val="21"/>
                      <w:u w:val="single" w:color="auto"/>
                    </w:rPr>
                    <w:t>氨氮</w:t>
                  </w:r>
                </w:p>
              </w:tc>
              <w:tc>
                <w:tcPr>
                  <w:tcW w:w="502" w:type="pct"/>
                  <w:tcBorders>
                    <w:tl2br w:val="nil"/>
                    <w:tr2bl w:val="nil"/>
                  </w:tcBorders>
                  <w:vAlign w:val="center"/>
                </w:tcPr>
                <w:p w14:paraId="1A151E84">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65.9</w:t>
                  </w:r>
                </w:p>
              </w:tc>
              <w:tc>
                <w:tcPr>
                  <w:tcW w:w="502" w:type="pct"/>
                  <w:tcBorders>
                    <w:tl2br w:val="nil"/>
                    <w:tr2bl w:val="nil"/>
                  </w:tcBorders>
                  <w:vAlign w:val="center"/>
                </w:tcPr>
                <w:p w14:paraId="348A6A79">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66.3</w:t>
                  </w:r>
                </w:p>
              </w:tc>
              <w:tc>
                <w:tcPr>
                  <w:tcW w:w="502" w:type="pct"/>
                  <w:tcBorders>
                    <w:tl2br w:val="nil"/>
                    <w:tr2bl w:val="nil"/>
                  </w:tcBorders>
                  <w:vAlign w:val="center"/>
                </w:tcPr>
                <w:p w14:paraId="458C0BE8">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65.2</w:t>
                  </w:r>
                </w:p>
              </w:tc>
              <w:tc>
                <w:tcPr>
                  <w:tcW w:w="526" w:type="pct"/>
                  <w:tcBorders>
                    <w:tl2br w:val="nil"/>
                    <w:tr2bl w:val="nil"/>
                  </w:tcBorders>
                  <w:vAlign w:val="center"/>
                </w:tcPr>
                <w:p w14:paraId="492ABF0A">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65.1</w:t>
                  </w:r>
                </w:p>
              </w:tc>
              <w:tc>
                <w:tcPr>
                  <w:tcW w:w="475" w:type="pct"/>
                  <w:tcBorders>
                    <w:tl2br w:val="nil"/>
                    <w:tr2bl w:val="nil"/>
                  </w:tcBorders>
                  <w:vAlign w:val="center"/>
                </w:tcPr>
                <w:p w14:paraId="5305D0CC">
                  <w:pPr>
                    <w:keepNext w:val="0"/>
                    <w:keepLines w:val="0"/>
                    <w:pageBreakBefore w:val="0"/>
                    <w:tabs>
                      <w:tab w:val="left" w:pos="515"/>
                    </w:tabs>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w:t>
                  </w:r>
                </w:p>
              </w:tc>
            </w:tr>
            <w:tr w14:paraId="1F082D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8" w:type="pct"/>
                  <w:vMerge w:val="continue"/>
                  <w:tcBorders>
                    <w:tl2br w:val="nil"/>
                    <w:tr2bl w:val="nil"/>
                  </w:tcBorders>
                  <w:vAlign w:val="center"/>
                </w:tcPr>
                <w:p w14:paraId="275D8A15">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14:paraId="722E510B">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14:paraId="14869DB1">
                  <w:pPr>
                    <w:pStyle w:val="76"/>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color="auto"/>
                      <w:lang w:val="en-US" w:eastAsia="en-US" w:bidi="ar-SA"/>
                    </w:rPr>
                  </w:pPr>
                  <w:r>
                    <w:rPr>
                      <w:rFonts w:hint="default" w:ascii="Times New Roman" w:hAnsi="Times New Roman" w:eastAsia="宋体" w:cs="Times New Roman"/>
                      <w:color w:val="auto"/>
                      <w:spacing w:val="7"/>
                      <w:sz w:val="21"/>
                      <w:szCs w:val="21"/>
                      <w:u w:val="single" w:color="auto"/>
                    </w:rPr>
                    <w:t>动植物油</w:t>
                  </w:r>
                </w:p>
              </w:tc>
              <w:tc>
                <w:tcPr>
                  <w:tcW w:w="502" w:type="pct"/>
                  <w:tcBorders>
                    <w:tl2br w:val="nil"/>
                    <w:tr2bl w:val="nil"/>
                  </w:tcBorders>
                  <w:vAlign w:val="center"/>
                </w:tcPr>
                <w:p w14:paraId="789DFE63">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0.18</w:t>
                  </w:r>
                </w:p>
              </w:tc>
              <w:tc>
                <w:tcPr>
                  <w:tcW w:w="502" w:type="pct"/>
                  <w:tcBorders>
                    <w:tl2br w:val="nil"/>
                    <w:tr2bl w:val="nil"/>
                  </w:tcBorders>
                  <w:vAlign w:val="center"/>
                </w:tcPr>
                <w:p w14:paraId="624D0629">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0.19</w:t>
                  </w:r>
                </w:p>
              </w:tc>
              <w:tc>
                <w:tcPr>
                  <w:tcW w:w="502" w:type="pct"/>
                  <w:tcBorders>
                    <w:tl2br w:val="nil"/>
                    <w:tr2bl w:val="nil"/>
                  </w:tcBorders>
                  <w:vAlign w:val="center"/>
                </w:tcPr>
                <w:p w14:paraId="3EDB6F16">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0.12</w:t>
                  </w:r>
                </w:p>
              </w:tc>
              <w:tc>
                <w:tcPr>
                  <w:tcW w:w="526" w:type="pct"/>
                  <w:tcBorders>
                    <w:tl2br w:val="nil"/>
                    <w:tr2bl w:val="nil"/>
                  </w:tcBorders>
                  <w:vAlign w:val="center"/>
                </w:tcPr>
                <w:p w14:paraId="6D1DFBE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0.19</w:t>
                  </w:r>
                </w:p>
              </w:tc>
              <w:tc>
                <w:tcPr>
                  <w:tcW w:w="475" w:type="pct"/>
                  <w:tcBorders>
                    <w:tl2br w:val="nil"/>
                    <w:tr2bl w:val="nil"/>
                  </w:tcBorders>
                  <w:vAlign w:val="center"/>
                </w:tcPr>
                <w:p w14:paraId="2046FD4E">
                  <w:pPr>
                    <w:keepNext w:val="0"/>
                    <w:keepLines w:val="0"/>
                    <w:pageBreakBefore w:val="0"/>
                    <w:tabs>
                      <w:tab w:val="left" w:pos="515"/>
                    </w:tabs>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100</w:t>
                  </w:r>
                </w:p>
              </w:tc>
            </w:tr>
            <w:tr w14:paraId="597829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8" w:type="pct"/>
                  <w:vMerge w:val="continue"/>
                  <w:tcBorders>
                    <w:tl2br w:val="nil"/>
                    <w:tr2bl w:val="nil"/>
                  </w:tcBorders>
                  <w:vAlign w:val="center"/>
                </w:tcPr>
                <w:p w14:paraId="2D26B134">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restart"/>
                  <w:tcBorders>
                    <w:tl2br w:val="nil"/>
                    <w:tr2bl w:val="nil"/>
                  </w:tcBorders>
                  <w:vAlign w:val="center"/>
                </w:tcPr>
                <w:p w14:paraId="0480CFEE">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4"/>
                      <w:sz w:val="21"/>
                      <w:szCs w:val="21"/>
                      <w:u w:val="single" w:color="auto"/>
                    </w:rPr>
                    <w:t>2024.03.29</w:t>
                  </w:r>
                </w:p>
              </w:tc>
              <w:tc>
                <w:tcPr>
                  <w:tcW w:w="1104" w:type="pct"/>
                  <w:tcBorders>
                    <w:tl2br w:val="nil"/>
                    <w:tr2bl w:val="nil"/>
                  </w:tcBorders>
                  <w:vAlign w:val="center"/>
                </w:tcPr>
                <w:p w14:paraId="363B88C6">
                  <w:pPr>
                    <w:pStyle w:val="76"/>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color="auto"/>
                      <w:lang w:val="en-US" w:eastAsia="en-US" w:bidi="ar-SA"/>
                    </w:rPr>
                  </w:pPr>
                  <w:r>
                    <w:rPr>
                      <w:rFonts w:hint="default" w:ascii="Times New Roman" w:hAnsi="Times New Roman" w:eastAsia="宋体" w:cs="Times New Roman"/>
                      <w:color w:val="auto"/>
                      <w:sz w:val="21"/>
                      <w:szCs w:val="21"/>
                      <w:u w:val="single" w:color="auto"/>
                    </w:rPr>
                    <w:t>pH</w:t>
                  </w:r>
                  <w:r>
                    <w:rPr>
                      <w:rFonts w:hint="default" w:ascii="Times New Roman" w:hAnsi="Times New Roman" w:eastAsia="宋体" w:cs="Times New Roman"/>
                      <w:color w:val="auto"/>
                      <w:spacing w:val="9"/>
                      <w:sz w:val="21"/>
                      <w:szCs w:val="21"/>
                      <w:u w:val="single" w:color="auto"/>
                    </w:rPr>
                    <w:t>值（无量纲）</w:t>
                  </w:r>
                </w:p>
              </w:tc>
              <w:tc>
                <w:tcPr>
                  <w:tcW w:w="502" w:type="pct"/>
                  <w:tcBorders>
                    <w:tl2br w:val="nil"/>
                    <w:tr2bl w:val="nil"/>
                  </w:tcBorders>
                  <w:vAlign w:val="center"/>
                </w:tcPr>
                <w:p w14:paraId="3D2CC86F">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7.3</w:t>
                  </w:r>
                </w:p>
              </w:tc>
              <w:tc>
                <w:tcPr>
                  <w:tcW w:w="502" w:type="pct"/>
                  <w:tcBorders>
                    <w:tl2br w:val="nil"/>
                    <w:tr2bl w:val="nil"/>
                  </w:tcBorders>
                  <w:vAlign w:val="center"/>
                </w:tcPr>
                <w:p w14:paraId="445FEDBA">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7.3</w:t>
                  </w:r>
                </w:p>
              </w:tc>
              <w:tc>
                <w:tcPr>
                  <w:tcW w:w="502" w:type="pct"/>
                  <w:tcBorders>
                    <w:tl2br w:val="nil"/>
                    <w:tr2bl w:val="nil"/>
                  </w:tcBorders>
                  <w:vAlign w:val="center"/>
                </w:tcPr>
                <w:p w14:paraId="727969AD">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7.1</w:t>
                  </w:r>
                </w:p>
              </w:tc>
              <w:tc>
                <w:tcPr>
                  <w:tcW w:w="526" w:type="pct"/>
                  <w:tcBorders>
                    <w:tl2br w:val="nil"/>
                    <w:tr2bl w:val="nil"/>
                  </w:tcBorders>
                  <w:vAlign w:val="center"/>
                </w:tcPr>
                <w:p w14:paraId="54A7D683">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7.1</w:t>
                  </w:r>
                </w:p>
              </w:tc>
              <w:tc>
                <w:tcPr>
                  <w:tcW w:w="475" w:type="pct"/>
                  <w:tcBorders>
                    <w:tl2br w:val="nil"/>
                    <w:tr2bl w:val="nil"/>
                  </w:tcBorders>
                  <w:vAlign w:val="center"/>
                </w:tcPr>
                <w:p w14:paraId="3B1A83DC">
                  <w:pPr>
                    <w:keepNext w:val="0"/>
                    <w:keepLines w:val="0"/>
                    <w:pageBreakBefore w:val="0"/>
                    <w:tabs>
                      <w:tab w:val="left" w:pos="515"/>
                    </w:tabs>
                    <w:wordWrap/>
                    <w:overflowPunct/>
                    <w:topLinePunct w:val="0"/>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cs="Times New Roman"/>
                      <w:color w:val="auto"/>
                      <w:sz w:val="21"/>
                      <w:szCs w:val="21"/>
                      <w:u w:val="single" w:color="auto"/>
                      <w:lang w:val="en-US" w:eastAsia="zh-CN"/>
                    </w:rPr>
                    <w:t>6-9</w:t>
                  </w:r>
                </w:p>
              </w:tc>
            </w:tr>
            <w:tr w14:paraId="6E98A5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8" w:type="pct"/>
                  <w:vMerge w:val="continue"/>
                  <w:tcBorders>
                    <w:tl2br w:val="nil"/>
                    <w:tr2bl w:val="nil"/>
                  </w:tcBorders>
                  <w:vAlign w:val="center"/>
                </w:tcPr>
                <w:p w14:paraId="02D060B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14:paraId="3BE55494">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14:paraId="0F4C026F">
                  <w:pPr>
                    <w:pStyle w:val="76"/>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color="auto"/>
                      <w:lang w:val="en-US" w:eastAsia="en-US" w:bidi="ar-SA"/>
                    </w:rPr>
                  </w:pPr>
                  <w:r>
                    <w:rPr>
                      <w:rFonts w:hint="default" w:ascii="Times New Roman" w:hAnsi="Times New Roman" w:eastAsia="宋体" w:cs="Times New Roman"/>
                      <w:color w:val="auto"/>
                      <w:spacing w:val="7"/>
                      <w:sz w:val="21"/>
                      <w:szCs w:val="21"/>
                      <w:u w:val="single" w:color="auto"/>
                    </w:rPr>
                    <w:t>化学需氧量</w:t>
                  </w:r>
                </w:p>
              </w:tc>
              <w:tc>
                <w:tcPr>
                  <w:tcW w:w="502" w:type="pct"/>
                  <w:tcBorders>
                    <w:tl2br w:val="nil"/>
                    <w:tr2bl w:val="nil"/>
                  </w:tcBorders>
                  <w:vAlign w:val="center"/>
                </w:tcPr>
                <w:p w14:paraId="524A836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323</w:t>
                  </w:r>
                </w:p>
              </w:tc>
              <w:tc>
                <w:tcPr>
                  <w:tcW w:w="502" w:type="pct"/>
                  <w:tcBorders>
                    <w:tl2br w:val="nil"/>
                    <w:tr2bl w:val="nil"/>
                  </w:tcBorders>
                  <w:vAlign w:val="center"/>
                </w:tcPr>
                <w:p w14:paraId="60538FB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318</w:t>
                  </w:r>
                </w:p>
              </w:tc>
              <w:tc>
                <w:tcPr>
                  <w:tcW w:w="502" w:type="pct"/>
                  <w:tcBorders>
                    <w:tl2br w:val="nil"/>
                    <w:tr2bl w:val="nil"/>
                  </w:tcBorders>
                  <w:vAlign w:val="center"/>
                </w:tcPr>
                <w:p w14:paraId="1997252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320</w:t>
                  </w:r>
                </w:p>
              </w:tc>
              <w:tc>
                <w:tcPr>
                  <w:tcW w:w="526" w:type="pct"/>
                  <w:tcBorders>
                    <w:tl2br w:val="nil"/>
                    <w:tr2bl w:val="nil"/>
                  </w:tcBorders>
                  <w:vAlign w:val="center"/>
                </w:tcPr>
                <w:p w14:paraId="489B419C">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319</w:t>
                  </w:r>
                </w:p>
              </w:tc>
              <w:tc>
                <w:tcPr>
                  <w:tcW w:w="475" w:type="pct"/>
                  <w:tcBorders>
                    <w:tl2br w:val="nil"/>
                    <w:tr2bl w:val="nil"/>
                  </w:tcBorders>
                  <w:vAlign w:val="center"/>
                </w:tcPr>
                <w:p w14:paraId="57D308FE">
                  <w:pPr>
                    <w:keepNext w:val="0"/>
                    <w:keepLines w:val="0"/>
                    <w:pageBreakBefore w:val="0"/>
                    <w:tabs>
                      <w:tab w:val="left" w:pos="515"/>
                    </w:tabs>
                    <w:wordWrap/>
                    <w:overflowPunct/>
                    <w:topLinePunct w:val="0"/>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cs="Times New Roman"/>
                      <w:color w:val="auto"/>
                      <w:sz w:val="21"/>
                      <w:szCs w:val="21"/>
                      <w:u w:val="single" w:color="auto"/>
                      <w:lang w:val="en-US" w:eastAsia="zh-CN"/>
                    </w:rPr>
                    <w:t>500</w:t>
                  </w:r>
                </w:p>
              </w:tc>
            </w:tr>
            <w:tr w14:paraId="33A3FC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8" w:type="pct"/>
                  <w:vMerge w:val="continue"/>
                  <w:tcBorders>
                    <w:tl2br w:val="nil"/>
                    <w:tr2bl w:val="nil"/>
                  </w:tcBorders>
                  <w:vAlign w:val="center"/>
                </w:tcPr>
                <w:p w14:paraId="5D490BBD">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14:paraId="1D7AD4EE">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14:paraId="72720ACF">
                  <w:pPr>
                    <w:pStyle w:val="76"/>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color="auto"/>
                      <w:lang w:val="en-US" w:eastAsia="en-US" w:bidi="ar-SA"/>
                    </w:rPr>
                  </w:pPr>
                  <w:r>
                    <w:rPr>
                      <w:rFonts w:hint="default" w:ascii="Times New Roman" w:hAnsi="Times New Roman" w:eastAsia="宋体" w:cs="Times New Roman"/>
                      <w:color w:val="auto"/>
                      <w:spacing w:val="8"/>
                      <w:sz w:val="21"/>
                      <w:szCs w:val="21"/>
                      <w:u w:val="single" w:color="auto"/>
                    </w:rPr>
                    <w:t>五日生化需氧量</w:t>
                  </w:r>
                </w:p>
              </w:tc>
              <w:tc>
                <w:tcPr>
                  <w:tcW w:w="502" w:type="pct"/>
                  <w:tcBorders>
                    <w:tl2br w:val="nil"/>
                    <w:tr2bl w:val="nil"/>
                  </w:tcBorders>
                  <w:vAlign w:val="center"/>
                </w:tcPr>
                <w:p w14:paraId="4653D300">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109</w:t>
                  </w:r>
                </w:p>
              </w:tc>
              <w:tc>
                <w:tcPr>
                  <w:tcW w:w="502" w:type="pct"/>
                  <w:tcBorders>
                    <w:tl2br w:val="nil"/>
                    <w:tr2bl w:val="nil"/>
                  </w:tcBorders>
                  <w:vAlign w:val="center"/>
                </w:tcPr>
                <w:p w14:paraId="7B871EC8">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104</w:t>
                  </w:r>
                </w:p>
              </w:tc>
              <w:tc>
                <w:tcPr>
                  <w:tcW w:w="502" w:type="pct"/>
                  <w:tcBorders>
                    <w:tl2br w:val="nil"/>
                    <w:tr2bl w:val="nil"/>
                  </w:tcBorders>
                  <w:vAlign w:val="center"/>
                </w:tcPr>
                <w:p w14:paraId="55DC6EC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105</w:t>
                  </w:r>
                </w:p>
              </w:tc>
              <w:tc>
                <w:tcPr>
                  <w:tcW w:w="526" w:type="pct"/>
                  <w:tcBorders>
                    <w:tl2br w:val="nil"/>
                    <w:tr2bl w:val="nil"/>
                  </w:tcBorders>
                  <w:vAlign w:val="center"/>
                </w:tcPr>
                <w:p w14:paraId="029D5502">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105</w:t>
                  </w:r>
                </w:p>
              </w:tc>
              <w:tc>
                <w:tcPr>
                  <w:tcW w:w="475" w:type="pct"/>
                  <w:tcBorders>
                    <w:tl2br w:val="nil"/>
                    <w:tr2bl w:val="nil"/>
                  </w:tcBorders>
                  <w:vAlign w:val="center"/>
                </w:tcPr>
                <w:p w14:paraId="245E574A">
                  <w:pPr>
                    <w:keepNext w:val="0"/>
                    <w:keepLines w:val="0"/>
                    <w:pageBreakBefore w:val="0"/>
                    <w:tabs>
                      <w:tab w:val="left" w:pos="515"/>
                    </w:tabs>
                    <w:wordWrap/>
                    <w:overflowPunct/>
                    <w:topLinePunct w:val="0"/>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cs="Times New Roman"/>
                      <w:color w:val="auto"/>
                      <w:sz w:val="21"/>
                      <w:szCs w:val="21"/>
                      <w:u w:val="single" w:color="auto"/>
                      <w:lang w:val="en-US" w:eastAsia="zh-CN"/>
                    </w:rPr>
                    <w:t>300</w:t>
                  </w:r>
                </w:p>
              </w:tc>
            </w:tr>
            <w:tr w14:paraId="104CC7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8" w:type="pct"/>
                  <w:vMerge w:val="continue"/>
                  <w:tcBorders>
                    <w:tl2br w:val="nil"/>
                    <w:tr2bl w:val="nil"/>
                  </w:tcBorders>
                  <w:vAlign w:val="center"/>
                </w:tcPr>
                <w:p w14:paraId="3C1D6A3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14:paraId="1BD5F8C7">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14:paraId="1AE308F4">
                  <w:pPr>
                    <w:pStyle w:val="76"/>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color="auto"/>
                      <w:lang w:val="en-US" w:eastAsia="en-US" w:bidi="ar-SA"/>
                    </w:rPr>
                  </w:pPr>
                  <w:r>
                    <w:rPr>
                      <w:rFonts w:hint="default" w:ascii="Times New Roman" w:hAnsi="Times New Roman" w:eastAsia="宋体" w:cs="Times New Roman"/>
                      <w:color w:val="auto"/>
                      <w:spacing w:val="-2"/>
                      <w:sz w:val="21"/>
                      <w:szCs w:val="21"/>
                      <w:u w:val="single" w:color="auto"/>
                    </w:rPr>
                    <w:t>悬浮物</w:t>
                  </w:r>
                </w:p>
              </w:tc>
              <w:tc>
                <w:tcPr>
                  <w:tcW w:w="502" w:type="pct"/>
                  <w:tcBorders>
                    <w:tl2br w:val="nil"/>
                    <w:tr2bl w:val="nil"/>
                  </w:tcBorders>
                  <w:vAlign w:val="center"/>
                </w:tcPr>
                <w:p w14:paraId="1EC86DEE">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20</w:t>
                  </w:r>
                </w:p>
              </w:tc>
              <w:tc>
                <w:tcPr>
                  <w:tcW w:w="502" w:type="pct"/>
                  <w:tcBorders>
                    <w:tl2br w:val="nil"/>
                    <w:tr2bl w:val="nil"/>
                  </w:tcBorders>
                  <w:vAlign w:val="center"/>
                </w:tcPr>
                <w:p w14:paraId="14C53508">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19</w:t>
                  </w:r>
                </w:p>
              </w:tc>
              <w:tc>
                <w:tcPr>
                  <w:tcW w:w="502" w:type="pct"/>
                  <w:tcBorders>
                    <w:tl2br w:val="nil"/>
                    <w:tr2bl w:val="nil"/>
                  </w:tcBorders>
                  <w:vAlign w:val="center"/>
                </w:tcPr>
                <w:p w14:paraId="04AB14C9">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18</w:t>
                  </w:r>
                </w:p>
              </w:tc>
              <w:tc>
                <w:tcPr>
                  <w:tcW w:w="526" w:type="pct"/>
                  <w:tcBorders>
                    <w:tl2br w:val="nil"/>
                    <w:tr2bl w:val="nil"/>
                  </w:tcBorders>
                  <w:vAlign w:val="center"/>
                </w:tcPr>
                <w:p w14:paraId="6269512F">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19</w:t>
                  </w:r>
                </w:p>
              </w:tc>
              <w:tc>
                <w:tcPr>
                  <w:tcW w:w="475" w:type="pct"/>
                  <w:tcBorders>
                    <w:tl2br w:val="nil"/>
                    <w:tr2bl w:val="nil"/>
                  </w:tcBorders>
                  <w:vAlign w:val="center"/>
                </w:tcPr>
                <w:p w14:paraId="430D4582">
                  <w:pPr>
                    <w:keepNext w:val="0"/>
                    <w:keepLines w:val="0"/>
                    <w:pageBreakBefore w:val="0"/>
                    <w:tabs>
                      <w:tab w:val="left" w:pos="515"/>
                    </w:tabs>
                    <w:wordWrap/>
                    <w:overflowPunct/>
                    <w:topLinePunct w:val="0"/>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cs="Times New Roman"/>
                      <w:color w:val="auto"/>
                      <w:sz w:val="21"/>
                      <w:szCs w:val="21"/>
                      <w:u w:val="single" w:color="auto"/>
                      <w:lang w:val="en-US" w:eastAsia="zh-CN"/>
                    </w:rPr>
                    <w:t>400</w:t>
                  </w:r>
                </w:p>
              </w:tc>
            </w:tr>
            <w:tr w14:paraId="66AAC3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8" w:type="pct"/>
                  <w:vMerge w:val="continue"/>
                  <w:tcBorders>
                    <w:tl2br w:val="nil"/>
                    <w:tr2bl w:val="nil"/>
                  </w:tcBorders>
                  <w:vAlign w:val="center"/>
                </w:tcPr>
                <w:p w14:paraId="1008D40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14:paraId="63409427">
                  <w:pPr>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color="auto"/>
                      <w:lang w:val="en-US" w:eastAsia="zh-CN" w:bidi="ar-SA"/>
                    </w:rPr>
                  </w:pPr>
                </w:p>
              </w:tc>
              <w:tc>
                <w:tcPr>
                  <w:tcW w:w="1104" w:type="pct"/>
                  <w:tcBorders>
                    <w:tl2br w:val="nil"/>
                    <w:tr2bl w:val="nil"/>
                  </w:tcBorders>
                  <w:vAlign w:val="center"/>
                </w:tcPr>
                <w:p w14:paraId="2EBEC5FD">
                  <w:pPr>
                    <w:pStyle w:val="76"/>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color="auto"/>
                      <w:lang w:val="en-US" w:eastAsia="en-US" w:bidi="ar-SA"/>
                    </w:rPr>
                  </w:pPr>
                  <w:r>
                    <w:rPr>
                      <w:rFonts w:hint="default" w:ascii="Times New Roman" w:hAnsi="Times New Roman" w:eastAsia="宋体" w:cs="Times New Roman"/>
                      <w:color w:val="auto"/>
                      <w:spacing w:val="4"/>
                      <w:sz w:val="21"/>
                      <w:szCs w:val="21"/>
                      <w:u w:val="single" w:color="auto"/>
                    </w:rPr>
                    <w:t>氨氮</w:t>
                  </w:r>
                </w:p>
              </w:tc>
              <w:tc>
                <w:tcPr>
                  <w:tcW w:w="502" w:type="pct"/>
                  <w:tcBorders>
                    <w:tl2br w:val="nil"/>
                    <w:tr2bl w:val="nil"/>
                  </w:tcBorders>
                  <w:vAlign w:val="center"/>
                </w:tcPr>
                <w:p w14:paraId="56B401F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65.5</w:t>
                  </w:r>
                </w:p>
              </w:tc>
              <w:tc>
                <w:tcPr>
                  <w:tcW w:w="502" w:type="pct"/>
                  <w:tcBorders>
                    <w:tl2br w:val="nil"/>
                    <w:tr2bl w:val="nil"/>
                  </w:tcBorders>
                  <w:vAlign w:val="center"/>
                </w:tcPr>
                <w:p w14:paraId="2476FD0C">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65.3</w:t>
                  </w:r>
                </w:p>
              </w:tc>
              <w:tc>
                <w:tcPr>
                  <w:tcW w:w="502" w:type="pct"/>
                  <w:tcBorders>
                    <w:tl2br w:val="nil"/>
                    <w:tr2bl w:val="nil"/>
                  </w:tcBorders>
                  <w:vAlign w:val="center"/>
                </w:tcPr>
                <w:p w14:paraId="65ACF13E">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66.0</w:t>
                  </w:r>
                </w:p>
              </w:tc>
              <w:tc>
                <w:tcPr>
                  <w:tcW w:w="526" w:type="pct"/>
                  <w:tcBorders>
                    <w:tl2br w:val="nil"/>
                    <w:tr2bl w:val="nil"/>
                  </w:tcBorders>
                  <w:vAlign w:val="center"/>
                </w:tcPr>
                <w:p w14:paraId="6F94845A">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65.2</w:t>
                  </w:r>
                </w:p>
              </w:tc>
              <w:tc>
                <w:tcPr>
                  <w:tcW w:w="475" w:type="pct"/>
                  <w:tcBorders>
                    <w:tl2br w:val="nil"/>
                    <w:tr2bl w:val="nil"/>
                  </w:tcBorders>
                  <w:vAlign w:val="center"/>
                </w:tcPr>
                <w:p w14:paraId="61013623">
                  <w:pPr>
                    <w:keepNext w:val="0"/>
                    <w:keepLines w:val="0"/>
                    <w:pageBreakBefore w:val="0"/>
                    <w:tabs>
                      <w:tab w:val="left" w:pos="515"/>
                    </w:tabs>
                    <w:wordWrap/>
                    <w:overflowPunct/>
                    <w:topLinePunct w:val="0"/>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cs="Times New Roman"/>
                      <w:color w:val="auto"/>
                      <w:sz w:val="21"/>
                      <w:szCs w:val="21"/>
                      <w:u w:val="single" w:color="auto"/>
                      <w:lang w:val="en-US" w:eastAsia="zh-CN"/>
                    </w:rPr>
                    <w:t>/</w:t>
                  </w:r>
                </w:p>
              </w:tc>
            </w:tr>
            <w:tr w14:paraId="265692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8" w:type="pct"/>
                  <w:vMerge w:val="continue"/>
                  <w:tcBorders>
                    <w:tl2br w:val="nil"/>
                    <w:tr2bl w:val="nil"/>
                  </w:tcBorders>
                  <w:vAlign w:val="center"/>
                </w:tcPr>
                <w:p w14:paraId="6258DCF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14:paraId="13288AA1">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14:paraId="57B444B5">
                  <w:pPr>
                    <w:pStyle w:val="76"/>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color="auto"/>
                      <w:lang w:val="en-US" w:eastAsia="en-US" w:bidi="ar-SA"/>
                    </w:rPr>
                  </w:pPr>
                  <w:r>
                    <w:rPr>
                      <w:rFonts w:hint="default" w:ascii="Times New Roman" w:hAnsi="Times New Roman" w:eastAsia="宋体" w:cs="Times New Roman"/>
                      <w:color w:val="auto"/>
                      <w:spacing w:val="7"/>
                      <w:sz w:val="21"/>
                      <w:szCs w:val="21"/>
                      <w:u w:val="single" w:color="auto"/>
                    </w:rPr>
                    <w:t>动植物油</w:t>
                  </w:r>
                </w:p>
              </w:tc>
              <w:tc>
                <w:tcPr>
                  <w:tcW w:w="502" w:type="pct"/>
                  <w:tcBorders>
                    <w:tl2br w:val="nil"/>
                    <w:tr2bl w:val="nil"/>
                  </w:tcBorders>
                  <w:vAlign w:val="center"/>
                </w:tcPr>
                <w:p w14:paraId="29BB3A2E">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0.22</w:t>
                  </w:r>
                </w:p>
              </w:tc>
              <w:tc>
                <w:tcPr>
                  <w:tcW w:w="502" w:type="pct"/>
                  <w:tcBorders>
                    <w:tl2br w:val="nil"/>
                    <w:tr2bl w:val="nil"/>
                  </w:tcBorders>
                  <w:vAlign w:val="center"/>
                </w:tcPr>
                <w:p w14:paraId="6923B0BC">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0.24</w:t>
                  </w:r>
                </w:p>
              </w:tc>
              <w:tc>
                <w:tcPr>
                  <w:tcW w:w="502" w:type="pct"/>
                  <w:tcBorders>
                    <w:tl2br w:val="nil"/>
                    <w:tr2bl w:val="nil"/>
                  </w:tcBorders>
                  <w:vAlign w:val="center"/>
                </w:tcPr>
                <w:p w14:paraId="02504FF0">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0.25</w:t>
                  </w:r>
                </w:p>
              </w:tc>
              <w:tc>
                <w:tcPr>
                  <w:tcW w:w="526" w:type="pct"/>
                  <w:tcBorders>
                    <w:tl2br w:val="nil"/>
                    <w:tr2bl w:val="nil"/>
                  </w:tcBorders>
                  <w:vAlign w:val="center"/>
                </w:tcPr>
                <w:p w14:paraId="61DB281E">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0.22</w:t>
                  </w:r>
                </w:p>
              </w:tc>
              <w:tc>
                <w:tcPr>
                  <w:tcW w:w="475" w:type="pct"/>
                  <w:tcBorders>
                    <w:tl2br w:val="nil"/>
                    <w:tr2bl w:val="nil"/>
                  </w:tcBorders>
                  <w:vAlign w:val="center"/>
                </w:tcPr>
                <w:p w14:paraId="4A6E2379">
                  <w:pPr>
                    <w:keepNext w:val="0"/>
                    <w:keepLines w:val="0"/>
                    <w:pageBreakBefore w:val="0"/>
                    <w:tabs>
                      <w:tab w:val="left" w:pos="515"/>
                    </w:tabs>
                    <w:wordWrap/>
                    <w:overflowPunct/>
                    <w:topLinePunct w:val="0"/>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cs="Times New Roman"/>
                      <w:color w:val="auto"/>
                      <w:sz w:val="21"/>
                      <w:szCs w:val="21"/>
                      <w:u w:val="single" w:color="auto"/>
                      <w:lang w:val="en-US" w:eastAsia="zh-CN"/>
                    </w:rPr>
                    <w:t>100</w:t>
                  </w:r>
                </w:p>
              </w:tc>
            </w:tr>
            <w:tr w14:paraId="5FAEA7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5000" w:type="pct"/>
                  <w:gridSpan w:val="8"/>
                  <w:tcBorders>
                    <w:tl2br w:val="nil"/>
                    <w:tr2bl w:val="nil"/>
                  </w:tcBorders>
                  <w:vAlign w:val="center"/>
                </w:tcPr>
                <w:p w14:paraId="1AB6D41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snapToGrid w:val="0"/>
                      <w:color w:val="auto"/>
                      <w:kern w:val="0"/>
                      <w:sz w:val="21"/>
                      <w:szCs w:val="21"/>
                      <w:u w:val="single" w:color="auto"/>
                      <w:lang w:eastAsia="en-US"/>
                    </w:rPr>
                  </w:pPr>
                  <w:r>
                    <w:rPr>
                      <w:rFonts w:hint="default" w:ascii="Times New Roman" w:hAnsi="Times New Roman" w:eastAsia="宋体" w:cs="Times New Roman"/>
                      <w:snapToGrid w:val="0"/>
                      <w:color w:val="auto"/>
                      <w:spacing w:val="7"/>
                      <w:kern w:val="0"/>
                      <w:sz w:val="21"/>
                      <w:szCs w:val="21"/>
                      <w:u w:val="single" w:color="auto"/>
                      <w:lang w:eastAsia="en-US"/>
                    </w:rPr>
                    <w:t>备注</w:t>
                  </w:r>
                  <w:r>
                    <w:rPr>
                      <w:rFonts w:hint="eastAsia" w:ascii="Times New Roman" w:hAnsi="Times New Roman" w:cs="Times New Roman"/>
                      <w:snapToGrid w:val="0"/>
                      <w:color w:val="auto"/>
                      <w:spacing w:val="7"/>
                      <w:kern w:val="0"/>
                      <w:sz w:val="21"/>
                      <w:szCs w:val="21"/>
                      <w:u w:val="single" w:color="auto"/>
                      <w:lang w:eastAsia="zh-CN"/>
                    </w:rPr>
                    <w:t>：</w:t>
                  </w:r>
                  <w:r>
                    <w:rPr>
                      <w:rFonts w:hint="default" w:ascii="Times New Roman" w:hAnsi="Times New Roman" w:eastAsia="宋体" w:cs="Times New Roman"/>
                      <w:snapToGrid w:val="0"/>
                      <w:color w:val="auto"/>
                      <w:spacing w:val="7"/>
                      <w:kern w:val="0"/>
                      <w:sz w:val="21"/>
                      <w:szCs w:val="21"/>
                      <w:u w:val="single" w:color="auto"/>
                      <w:lang w:eastAsia="en-US"/>
                    </w:rPr>
                    <w:t>1、</w:t>
                  </w:r>
                  <w:r>
                    <w:rPr>
                      <w:rFonts w:hint="eastAsia" w:ascii="Times New Roman" w:hAnsi="Times New Roman" w:cs="Times New Roman"/>
                      <w:snapToGrid w:val="0"/>
                      <w:color w:val="auto"/>
                      <w:spacing w:val="7"/>
                      <w:kern w:val="0"/>
                      <w:sz w:val="21"/>
                      <w:szCs w:val="21"/>
                      <w:u w:val="single" w:color="auto"/>
                      <w:lang w:eastAsia="zh-CN"/>
                    </w:rPr>
                    <w:t>“</w:t>
                  </w:r>
                  <w:r>
                    <w:rPr>
                      <w:rFonts w:hint="default" w:ascii="Times New Roman" w:hAnsi="Times New Roman" w:eastAsia="宋体" w:cs="Times New Roman"/>
                      <w:snapToGrid w:val="0"/>
                      <w:color w:val="auto"/>
                      <w:spacing w:val="7"/>
                      <w:kern w:val="0"/>
                      <w:sz w:val="21"/>
                      <w:szCs w:val="21"/>
                      <w:u w:val="single" w:color="auto"/>
                      <w:lang w:eastAsia="en-US"/>
                    </w:rPr>
                    <w:t>检出限+L</w:t>
                  </w:r>
                  <w:r>
                    <w:rPr>
                      <w:rFonts w:hint="eastAsia" w:ascii="Times New Roman" w:hAnsi="Times New Roman" w:cs="Times New Roman"/>
                      <w:snapToGrid w:val="0"/>
                      <w:color w:val="auto"/>
                      <w:spacing w:val="7"/>
                      <w:kern w:val="0"/>
                      <w:sz w:val="21"/>
                      <w:szCs w:val="21"/>
                      <w:u w:val="single" w:color="auto"/>
                      <w:lang w:eastAsia="zh-CN"/>
                    </w:rPr>
                    <w:t>”</w:t>
                  </w:r>
                  <w:r>
                    <w:rPr>
                      <w:rFonts w:hint="default" w:ascii="Times New Roman" w:hAnsi="Times New Roman" w:eastAsia="宋体" w:cs="Times New Roman"/>
                      <w:snapToGrid w:val="0"/>
                      <w:color w:val="auto"/>
                      <w:spacing w:val="7"/>
                      <w:kern w:val="0"/>
                      <w:sz w:val="21"/>
                      <w:szCs w:val="21"/>
                      <w:u w:val="single" w:color="auto"/>
                      <w:lang w:eastAsia="en-US"/>
                    </w:rPr>
                    <w:t>表示检测结果低于本方法检出限，未检出；</w:t>
                  </w:r>
                </w:p>
                <w:p w14:paraId="064C6F1F">
                  <w:pPr>
                    <w:keepNext w:val="0"/>
                    <w:keepLines w:val="0"/>
                    <w:pageBreakBefore w:val="0"/>
                    <w:tabs>
                      <w:tab w:val="left" w:pos="515"/>
                    </w:tabs>
                    <w:wordWrap/>
                    <w:overflowPunct/>
                    <w:topLinePunct w:val="0"/>
                    <w:bidi w:val="0"/>
                    <w:adjustRightInd w:val="0"/>
                    <w:snapToGrid w:val="0"/>
                    <w:spacing w:line="240" w:lineRule="auto"/>
                    <w:ind w:right="0" w:firstLine="618" w:firstLineChars="300"/>
                    <w:jc w:val="both"/>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snapToGrid w:val="0"/>
                      <w:color w:val="auto"/>
                      <w:spacing w:val="-2"/>
                      <w:kern w:val="0"/>
                      <w:sz w:val="21"/>
                      <w:szCs w:val="21"/>
                      <w:u w:val="single" w:color="auto"/>
                      <w:lang w:eastAsia="en-US"/>
                    </w:rPr>
                    <w:t>2、执行《</w:t>
                  </w:r>
                  <w:r>
                    <w:rPr>
                      <w:rFonts w:hint="eastAsia" w:ascii="Times New Roman" w:hAnsi="Times New Roman" w:cs="Times New Roman"/>
                      <w:snapToGrid w:val="0"/>
                      <w:color w:val="auto"/>
                      <w:spacing w:val="-2"/>
                      <w:kern w:val="0"/>
                      <w:sz w:val="21"/>
                      <w:szCs w:val="21"/>
                      <w:u w:val="single" w:color="auto"/>
                      <w:lang w:val="en-US" w:eastAsia="zh-CN"/>
                    </w:rPr>
                    <w:t>污水综合</w:t>
                  </w:r>
                  <w:r>
                    <w:rPr>
                      <w:rFonts w:hint="default" w:ascii="Times New Roman" w:hAnsi="Times New Roman" w:eastAsia="宋体" w:cs="Times New Roman"/>
                      <w:snapToGrid w:val="0"/>
                      <w:color w:val="auto"/>
                      <w:spacing w:val="-2"/>
                      <w:kern w:val="0"/>
                      <w:sz w:val="21"/>
                      <w:szCs w:val="21"/>
                      <w:u w:val="single" w:color="auto"/>
                      <w:lang w:eastAsia="en-US"/>
                    </w:rPr>
                    <w:t>排放标准》(GB</w:t>
                  </w:r>
                  <w:r>
                    <w:rPr>
                      <w:rFonts w:hint="default" w:ascii="Times New Roman" w:hAnsi="Times New Roman" w:eastAsia="宋体" w:cs="Times New Roman"/>
                      <w:snapToGrid w:val="0"/>
                      <w:color w:val="auto"/>
                      <w:spacing w:val="13"/>
                      <w:w w:val="101"/>
                      <w:kern w:val="0"/>
                      <w:sz w:val="21"/>
                      <w:szCs w:val="21"/>
                      <w:u w:val="single" w:color="auto"/>
                      <w:lang w:eastAsia="en-US"/>
                    </w:rPr>
                    <w:t xml:space="preserve"> </w:t>
                  </w:r>
                  <w:r>
                    <w:rPr>
                      <w:rFonts w:hint="eastAsia" w:ascii="Times New Roman" w:hAnsi="Times New Roman" w:cs="Times New Roman"/>
                      <w:snapToGrid w:val="0"/>
                      <w:color w:val="auto"/>
                      <w:spacing w:val="-2"/>
                      <w:kern w:val="0"/>
                      <w:sz w:val="21"/>
                      <w:szCs w:val="21"/>
                      <w:u w:val="single" w:color="auto"/>
                      <w:lang w:val="en-US" w:eastAsia="zh-CN"/>
                    </w:rPr>
                    <w:t>8978-1996</w:t>
                  </w:r>
                  <w:r>
                    <w:rPr>
                      <w:rFonts w:hint="default" w:ascii="Times New Roman" w:hAnsi="Times New Roman" w:eastAsia="宋体" w:cs="Times New Roman"/>
                      <w:snapToGrid w:val="0"/>
                      <w:color w:val="auto"/>
                      <w:spacing w:val="-3"/>
                      <w:kern w:val="0"/>
                      <w:sz w:val="21"/>
                      <w:szCs w:val="21"/>
                      <w:u w:val="single" w:color="auto"/>
                      <w:lang w:eastAsia="en-US"/>
                    </w:rPr>
                    <w:t>)表</w:t>
                  </w:r>
                  <w:r>
                    <w:rPr>
                      <w:rFonts w:hint="eastAsia" w:ascii="Times New Roman" w:hAnsi="Times New Roman" w:cs="Times New Roman"/>
                      <w:snapToGrid w:val="0"/>
                      <w:color w:val="auto"/>
                      <w:spacing w:val="-3"/>
                      <w:kern w:val="0"/>
                      <w:sz w:val="21"/>
                      <w:szCs w:val="21"/>
                      <w:u w:val="single" w:color="auto"/>
                      <w:lang w:val="en-US" w:eastAsia="zh-CN"/>
                    </w:rPr>
                    <w:t>4</w:t>
                  </w:r>
                  <w:r>
                    <w:rPr>
                      <w:rFonts w:hint="default" w:ascii="Times New Roman" w:hAnsi="Times New Roman" w:eastAsia="宋体" w:cs="Times New Roman"/>
                      <w:snapToGrid w:val="0"/>
                      <w:color w:val="auto"/>
                      <w:spacing w:val="-3"/>
                      <w:kern w:val="0"/>
                      <w:sz w:val="21"/>
                      <w:szCs w:val="21"/>
                      <w:u w:val="single" w:color="auto"/>
                      <w:lang w:eastAsia="en-US"/>
                    </w:rPr>
                    <w:t>中</w:t>
                  </w:r>
                  <w:r>
                    <w:rPr>
                      <w:rFonts w:hint="eastAsia" w:ascii="Times New Roman" w:hAnsi="Times New Roman" w:cs="Times New Roman"/>
                      <w:snapToGrid w:val="0"/>
                      <w:color w:val="auto"/>
                      <w:spacing w:val="-3"/>
                      <w:kern w:val="0"/>
                      <w:sz w:val="21"/>
                      <w:szCs w:val="21"/>
                      <w:u w:val="single" w:color="auto"/>
                      <w:lang w:val="en-US" w:eastAsia="zh-CN"/>
                    </w:rPr>
                    <w:t>三级排放</w:t>
                  </w:r>
                  <w:r>
                    <w:rPr>
                      <w:rFonts w:hint="default" w:ascii="Times New Roman" w:hAnsi="Times New Roman" w:eastAsia="宋体" w:cs="Times New Roman"/>
                      <w:snapToGrid w:val="0"/>
                      <w:color w:val="auto"/>
                      <w:spacing w:val="-3"/>
                      <w:kern w:val="0"/>
                      <w:sz w:val="21"/>
                      <w:szCs w:val="21"/>
                      <w:u w:val="single" w:color="auto"/>
                      <w:lang w:eastAsia="en-US"/>
                    </w:rPr>
                    <w:t>标准。</w:t>
                  </w:r>
                </w:p>
              </w:tc>
            </w:tr>
          </w:tbl>
          <w:p w14:paraId="5F12F42D">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（2）</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废</w:t>
            </w:r>
            <w:r>
              <w:rPr>
                <w:rFonts w:hint="eastAsia" w:cs="Times New Roman" w:eastAsiaTheme="minorEastAsia"/>
                <w:color w:val="auto"/>
                <w:spacing w:val="11"/>
                <w:position w:val="0"/>
                <w:sz w:val="24"/>
                <w:szCs w:val="24"/>
                <w:highlight w:val="none"/>
                <w:u w:val="single" w:color="auto"/>
                <w:lang w:val="en-US" w:eastAsia="zh-CN"/>
              </w:rPr>
              <w:t>气</w:t>
            </w:r>
          </w:p>
          <w:p w14:paraId="43122E51">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现有</w:t>
            </w:r>
            <w:r>
              <w:rPr>
                <w:rFonts w:hint="eastAsia" w:cs="Times New Roman" w:eastAsiaTheme="minorEastAsia"/>
                <w:color w:val="auto"/>
                <w:spacing w:val="11"/>
                <w:position w:val="0"/>
                <w:sz w:val="24"/>
                <w:szCs w:val="24"/>
                <w:highlight w:val="none"/>
                <w:u w:val="single" w:color="auto"/>
                <w:lang w:val="en-US" w:eastAsia="zh-CN"/>
              </w:rPr>
              <w:t>项目</w:t>
            </w:r>
            <w:r>
              <w:rPr>
                <w:rFonts w:hint="default" w:ascii="Times New Roman" w:hAnsi="Times New Roman" w:cs="Times New Roman" w:eastAsiaTheme="minorEastAsia"/>
                <w:color w:val="auto"/>
                <w:spacing w:val="11"/>
                <w:position w:val="0"/>
                <w:sz w:val="24"/>
                <w:szCs w:val="24"/>
                <w:highlight w:val="none"/>
                <w:u w:val="single" w:color="auto"/>
                <w:lang w:val="en-US" w:eastAsia="zh-CN"/>
              </w:rPr>
              <w:t>营运期产生的废气主要为污水处理设施臭气、煎药室煎药期间的异味、汽车尾气、食堂油烟以及备用柴油发电机组废气。污水站产臭单元产生的恶臭气体用管道引入活性炭吸附系统进行除臭后排放，废气通过15m高排气筒排放；在煎药室屋顶上方设置抽风口，煎药废气通过引风机引入专用管道引至所在楼顶经活性炭吸附装置吸附处理后由15m高排气筒排放；食堂油烟经净化除油烟设施处理；备用柴油发电机废气经排烟风机通过专用排气烟道引至屋顶排放；院内设置绿化带</w:t>
            </w:r>
            <w:r>
              <w:rPr>
                <w:rFonts w:hint="eastAsia" w:cs="Times New Roman" w:eastAsiaTheme="minorEastAsia"/>
                <w:color w:val="auto"/>
                <w:spacing w:val="11"/>
                <w:position w:val="0"/>
                <w:sz w:val="24"/>
                <w:szCs w:val="24"/>
                <w:highlight w:val="none"/>
                <w:u w:val="single" w:color="auto"/>
                <w:lang w:val="en-US" w:eastAsia="zh-CN"/>
              </w:rPr>
              <w:t>。</w:t>
            </w:r>
          </w:p>
          <w:p w14:paraId="1173877A">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根据现有工程竣工环境保护自主验收报告表，验收监测期间废</w:t>
            </w:r>
            <w:r>
              <w:rPr>
                <w:rFonts w:hint="eastAsia" w:cs="Times New Roman" w:eastAsiaTheme="minorEastAsia"/>
                <w:color w:val="auto"/>
                <w:spacing w:val="11"/>
                <w:position w:val="0"/>
                <w:sz w:val="24"/>
                <w:szCs w:val="24"/>
                <w:highlight w:val="none"/>
                <w:u w:val="single" w:color="auto"/>
                <w:lang w:val="en-US" w:eastAsia="zh-CN"/>
              </w:rPr>
              <w:t>气</w:t>
            </w:r>
            <w:r>
              <w:rPr>
                <w:rFonts w:hint="default" w:ascii="Times New Roman" w:hAnsi="Times New Roman" w:cs="Times New Roman" w:eastAsiaTheme="minorEastAsia"/>
                <w:color w:val="auto"/>
                <w:spacing w:val="11"/>
                <w:position w:val="0"/>
                <w:sz w:val="24"/>
                <w:szCs w:val="24"/>
                <w:highlight w:val="none"/>
                <w:u w:val="single" w:color="auto"/>
                <w:lang w:val="en-US" w:eastAsia="zh-CN"/>
              </w:rPr>
              <w:t>监测结果见表2-</w:t>
            </w:r>
            <w:r>
              <w:rPr>
                <w:rFonts w:hint="eastAsia" w:cs="Times New Roman" w:eastAsiaTheme="minorEastAsia"/>
                <w:color w:val="auto"/>
                <w:spacing w:val="11"/>
                <w:position w:val="0"/>
                <w:sz w:val="24"/>
                <w:szCs w:val="24"/>
                <w:highlight w:val="none"/>
                <w:u w:val="single" w:color="auto"/>
                <w:lang w:val="en-US" w:eastAsia="zh-CN"/>
              </w:rPr>
              <w:t>6、表2-7，</w:t>
            </w:r>
            <w:r>
              <w:rPr>
                <w:rFonts w:hint="default" w:ascii="Times New Roman" w:hAnsi="Times New Roman" w:cs="Times New Roman" w:eastAsiaTheme="minorEastAsia"/>
                <w:color w:val="auto"/>
                <w:spacing w:val="11"/>
                <w:position w:val="0"/>
                <w:sz w:val="24"/>
                <w:szCs w:val="24"/>
                <w:highlight w:val="none"/>
                <w:u w:val="single" w:color="auto"/>
                <w:lang w:val="en-US" w:eastAsia="zh-CN"/>
              </w:rPr>
              <w:t>现有工程污水处理站恶臭</w:t>
            </w:r>
            <w:r>
              <w:rPr>
                <w:rFonts w:hint="eastAsia" w:cs="Times New Roman" w:eastAsiaTheme="minorEastAsia"/>
                <w:color w:val="auto"/>
                <w:spacing w:val="11"/>
                <w:position w:val="0"/>
                <w:sz w:val="24"/>
                <w:szCs w:val="24"/>
                <w:highlight w:val="none"/>
                <w:u w:val="single" w:color="auto"/>
                <w:lang w:val="en-US" w:eastAsia="zh-CN"/>
              </w:rPr>
              <w:t>气体无组织</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排放可满足《医疗机构水污染物排放标准》</w:t>
            </w:r>
            <w:r>
              <w:rPr>
                <w:rFonts w:hint="eastAsia" w:cs="Times New Roman" w:eastAsiaTheme="minorEastAsia"/>
                <w:color w:val="auto"/>
                <w:spacing w:val="11"/>
                <w:position w:val="0"/>
                <w:sz w:val="24"/>
                <w:szCs w:val="24"/>
                <w:highlight w:val="none"/>
                <w:u w:val="single" w:color="auto"/>
                <w:lang w:val="en-US" w:eastAsia="zh-CN"/>
              </w:rPr>
              <w:t>（</w:t>
            </w:r>
            <w:r>
              <w:rPr>
                <w:rFonts w:hint="default" w:ascii="Times New Roman" w:hAnsi="Times New Roman" w:cs="Times New Roman" w:eastAsiaTheme="minorEastAsia"/>
                <w:color w:val="auto"/>
                <w:spacing w:val="11"/>
                <w:position w:val="0"/>
                <w:sz w:val="24"/>
                <w:szCs w:val="24"/>
                <w:highlight w:val="none"/>
                <w:u w:val="single" w:color="auto"/>
                <w:lang w:val="en-US" w:eastAsia="zh-CN"/>
              </w:rPr>
              <w:t>GB18466-2005</w:t>
            </w:r>
            <w:r>
              <w:rPr>
                <w:rFonts w:hint="eastAsia" w:cs="Times New Roman" w:eastAsiaTheme="minorEastAsia"/>
                <w:color w:val="auto"/>
                <w:spacing w:val="11"/>
                <w:position w:val="0"/>
                <w:sz w:val="24"/>
                <w:szCs w:val="24"/>
                <w:highlight w:val="none"/>
                <w:u w:val="single" w:color="auto"/>
                <w:lang w:val="en-US" w:eastAsia="zh-CN"/>
              </w:rPr>
              <w:t>）</w:t>
            </w:r>
            <w:r>
              <w:rPr>
                <w:rFonts w:hint="default" w:ascii="Times New Roman" w:hAnsi="Times New Roman" w:cs="Times New Roman" w:eastAsiaTheme="minorEastAsia"/>
                <w:color w:val="auto"/>
                <w:spacing w:val="11"/>
                <w:position w:val="0"/>
                <w:sz w:val="24"/>
                <w:szCs w:val="24"/>
                <w:highlight w:val="none"/>
                <w:u w:val="single" w:color="auto"/>
                <w:lang w:val="en-US" w:eastAsia="zh-CN"/>
              </w:rPr>
              <w:t>表3污水处理站周边大气污染物最高允许浓度标准；食堂油烟排放满足《饮食业油烟排放标准（试行）》（GB18483-2001）中最高允许排放浓度（2.0mg/m</w:t>
            </w:r>
            <w:r>
              <w:rPr>
                <w:rFonts w:hint="default" w:ascii="Times New Roman" w:hAnsi="Times New Roman" w:cs="Times New Roman" w:eastAsiaTheme="minorEastAsia"/>
                <w:color w:val="auto"/>
                <w:spacing w:val="11"/>
                <w:position w:val="0"/>
                <w:sz w:val="24"/>
                <w:szCs w:val="24"/>
                <w:highlight w:val="none"/>
                <w:u w:val="single" w:color="auto"/>
                <w:vertAlign w:val="superscript"/>
                <w:lang w:val="en-US" w:eastAsia="zh-CN"/>
              </w:rPr>
              <w:t>3</w:t>
            </w: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p w14:paraId="4213F17F">
            <w:pPr>
              <w:widowControl w:val="0"/>
              <w:bidi w:val="0"/>
              <w:adjustRightInd w:val="0"/>
              <w:snapToGrid w:val="0"/>
              <w:spacing w:line="240" w:lineRule="auto"/>
              <w:ind w:firstLine="0" w:firstLineChars="0"/>
              <w:jc w:val="center"/>
              <w:rPr>
                <w:rFonts w:hint="default" w:ascii="Times New Roman" w:hAnsi="Times New Roman" w:eastAsia="宋体" w:cstheme="minorBidi"/>
                <w:b/>
                <w:bCs/>
                <w:color w:val="auto"/>
                <w:kern w:val="2"/>
                <w:sz w:val="21"/>
                <w:szCs w:val="21"/>
                <w:highlight w:val="none"/>
                <w:u w:val="single" w:color="auto"/>
                <w:lang w:val="en-US" w:eastAsia="zh-CN" w:bidi="ar-SA"/>
              </w:rPr>
            </w:pPr>
            <w:r>
              <w:rPr>
                <w:rFonts w:hint="default" w:ascii="Times New Roman" w:hAnsi="Times New Roman" w:eastAsia="宋体" w:cstheme="minorBidi"/>
                <w:b/>
                <w:bCs/>
                <w:color w:val="auto"/>
                <w:kern w:val="2"/>
                <w:sz w:val="21"/>
                <w:szCs w:val="21"/>
                <w:highlight w:val="none"/>
                <w:u w:val="single" w:color="auto"/>
                <w:lang w:val="en-US" w:eastAsia="zh-CN" w:bidi="ar-SA"/>
              </w:rPr>
              <w:t>表</w:t>
            </w:r>
            <w:r>
              <w:rPr>
                <w:rFonts w:hint="eastAsia" w:ascii="Times New Roman" w:hAnsi="Times New Roman" w:cstheme="minorBidi"/>
                <w:b/>
                <w:bCs/>
                <w:color w:val="auto"/>
                <w:kern w:val="2"/>
                <w:sz w:val="21"/>
                <w:szCs w:val="21"/>
                <w:highlight w:val="none"/>
                <w:u w:val="single" w:color="auto"/>
                <w:lang w:val="en-US" w:eastAsia="zh-CN" w:bidi="ar-SA"/>
              </w:rPr>
              <w:t xml:space="preserve">2-6 </w:t>
            </w:r>
            <w:r>
              <w:rPr>
                <w:rFonts w:hint="eastAsia" w:ascii="Times New Roman" w:hAnsi="Times New Roman" w:eastAsia="宋体" w:cstheme="minorBidi"/>
                <w:b/>
                <w:bCs/>
                <w:color w:val="auto"/>
                <w:kern w:val="2"/>
                <w:sz w:val="21"/>
                <w:szCs w:val="21"/>
                <w:highlight w:val="none"/>
                <w:u w:val="single" w:color="auto"/>
                <w:lang w:val="en-US" w:eastAsia="zh-CN" w:bidi="ar-SA"/>
              </w:rPr>
              <w:t xml:space="preserve"> 现有工程无组织废气</w:t>
            </w:r>
            <w:r>
              <w:rPr>
                <w:rFonts w:hint="default" w:ascii="Times New Roman" w:hAnsi="Times New Roman" w:eastAsia="宋体" w:cstheme="minorBidi"/>
                <w:b/>
                <w:bCs/>
                <w:color w:val="auto"/>
                <w:kern w:val="2"/>
                <w:sz w:val="21"/>
                <w:szCs w:val="21"/>
                <w:highlight w:val="none"/>
                <w:u w:val="single" w:color="auto"/>
                <w:lang w:val="en-US" w:eastAsia="zh-CN" w:bidi="ar-SA"/>
              </w:rPr>
              <w:t>检测结果</w:t>
            </w:r>
          </w:p>
          <w:tbl>
            <w:tblPr>
              <w:tblStyle w:val="69"/>
              <w:tblW w:w="5011" w:type="pct"/>
              <w:tblInd w:w="1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04"/>
              <w:gridCol w:w="1179"/>
              <w:gridCol w:w="1305"/>
              <w:gridCol w:w="724"/>
              <w:gridCol w:w="784"/>
              <w:gridCol w:w="784"/>
              <w:gridCol w:w="784"/>
              <w:gridCol w:w="784"/>
              <w:gridCol w:w="787"/>
              <w:gridCol w:w="793"/>
            </w:tblGrid>
            <w:tr w14:paraId="76C081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612" w:type="pct"/>
                  <w:vMerge w:val="restart"/>
                  <w:tcBorders>
                    <w:tl2br w:val="nil"/>
                    <w:tr2bl w:val="nil"/>
                  </w:tcBorders>
                  <w:vAlign w:val="center"/>
                </w:tcPr>
                <w:p w14:paraId="1EC8FB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采样时间</w:t>
                  </w:r>
                </w:p>
              </w:tc>
              <w:tc>
                <w:tcPr>
                  <w:tcW w:w="653" w:type="pct"/>
                  <w:vMerge w:val="restart"/>
                  <w:tcBorders>
                    <w:tl2br w:val="nil"/>
                    <w:tr2bl w:val="nil"/>
                  </w:tcBorders>
                  <w:vAlign w:val="center"/>
                </w:tcPr>
                <w:p w14:paraId="7D1B93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采样点位</w:t>
                  </w:r>
                </w:p>
              </w:tc>
              <w:tc>
                <w:tcPr>
                  <w:tcW w:w="723" w:type="pct"/>
                  <w:vMerge w:val="restart"/>
                  <w:tcBorders>
                    <w:tl2br w:val="nil"/>
                    <w:tr2bl w:val="nil"/>
                  </w:tcBorders>
                  <w:vAlign w:val="center"/>
                </w:tcPr>
                <w:p w14:paraId="6C9A04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检测项目</w:t>
                  </w:r>
                </w:p>
              </w:tc>
              <w:tc>
                <w:tcPr>
                  <w:tcW w:w="401" w:type="pct"/>
                  <w:vMerge w:val="restart"/>
                  <w:tcBorders>
                    <w:tl2br w:val="nil"/>
                    <w:tr2bl w:val="nil"/>
                  </w:tcBorders>
                  <w:vAlign w:val="center"/>
                </w:tcPr>
                <w:p w14:paraId="0C4EFF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计量</w:t>
                  </w:r>
                </w:p>
                <w:p w14:paraId="423080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单位</w:t>
                  </w:r>
                </w:p>
              </w:tc>
              <w:tc>
                <w:tcPr>
                  <w:tcW w:w="2172" w:type="pct"/>
                  <w:gridSpan w:val="5"/>
                  <w:tcBorders>
                    <w:tl2br w:val="nil"/>
                    <w:tr2bl w:val="nil"/>
                  </w:tcBorders>
                  <w:vAlign w:val="center"/>
                </w:tcPr>
                <w:p w14:paraId="5DACB3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检测结果</w:t>
                  </w:r>
                </w:p>
              </w:tc>
              <w:tc>
                <w:tcPr>
                  <w:tcW w:w="438" w:type="pct"/>
                  <w:vMerge w:val="restart"/>
                  <w:tcBorders>
                    <w:tl2br w:val="nil"/>
                    <w:tr2bl w:val="nil"/>
                  </w:tcBorders>
                  <w:vAlign w:val="center"/>
                </w:tcPr>
                <w:p w14:paraId="68E86A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浓度限值</w:t>
                  </w:r>
                </w:p>
              </w:tc>
            </w:tr>
            <w:tr w14:paraId="0DFD1D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612" w:type="pct"/>
                  <w:vMerge w:val="continue"/>
                  <w:tcBorders>
                    <w:tl2br w:val="nil"/>
                    <w:tr2bl w:val="nil"/>
                  </w:tcBorders>
                  <w:vAlign w:val="center"/>
                </w:tcPr>
                <w:p w14:paraId="2D3AEE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14:paraId="3D3B8A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vMerge w:val="continue"/>
                  <w:tcBorders>
                    <w:tl2br w:val="nil"/>
                    <w:tr2bl w:val="nil"/>
                  </w:tcBorders>
                  <w:vAlign w:val="center"/>
                </w:tcPr>
                <w:p w14:paraId="358EC4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401" w:type="pct"/>
                  <w:vMerge w:val="continue"/>
                  <w:tcBorders>
                    <w:tl2br w:val="nil"/>
                    <w:tr2bl w:val="nil"/>
                  </w:tcBorders>
                  <w:vAlign w:val="center"/>
                </w:tcPr>
                <w:p w14:paraId="439341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434" w:type="pct"/>
                  <w:tcBorders>
                    <w:tl2br w:val="nil"/>
                    <w:tr2bl w:val="nil"/>
                  </w:tcBorders>
                  <w:vAlign w:val="center"/>
                </w:tcPr>
                <w:p w14:paraId="77849C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Ⅰ</w:t>
                  </w:r>
                </w:p>
              </w:tc>
              <w:tc>
                <w:tcPr>
                  <w:tcW w:w="434" w:type="pct"/>
                  <w:tcBorders>
                    <w:tl2br w:val="nil"/>
                    <w:tr2bl w:val="nil"/>
                  </w:tcBorders>
                  <w:vAlign w:val="center"/>
                </w:tcPr>
                <w:p w14:paraId="52F7F8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Ⅱ</w:t>
                  </w:r>
                </w:p>
              </w:tc>
              <w:tc>
                <w:tcPr>
                  <w:tcW w:w="434" w:type="pct"/>
                  <w:tcBorders>
                    <w:tl2br w:val="nil"/>
                    <w:tr2bl w:val="nil"/>
                  </w:tcBorders>
                  <w:vAlign w:val="center"/>
                </w:tcPr>
                <w:p w14:paraId="621FBF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Ⅲ</w:t>
                  </w:r>
                </w:p>
              </w:tc>
              <w:tc>
                <w:tcPr>
                  <w:tcW w:w="434" w:type="pct"/>
                  <w:tcBorders>
                    <w:tl2br w:val="nil"/>
                    <w:tr2bl w:val="nil"/>
                  </w:tcBorders>
                  <w:vAlign w:val="center"/>
                </w:tcPr>
                <w:p w14:paraId="2A21F6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IV</w:t>
                  </w:r>
                </w:p>
              </w:tc>
              <w:tc>
                <w:tcPr>
                  <w:tcW w:w="434" w:type="pct"/>
                  <w:tcBorders>
                    <w:tl2br w:val="nil"/>
                    <w:tr2bl w:val="nil"/>
                  </w:tcBorders>
                  <w:vAlign w:val="center"/>
                </w:tcPr>
                <w:p w14:paraId="38ED87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最大值</w:t>
                  </w:r>
                </w:p>
              </w:tc>
              <w:tc>
                <w:tcPr>
                  <w:tcW w:w="438" w:type="pct"/>
                  <w:vMerge w:val="continue"/>
                  <w:tcBorders>
                    <w:tl2br w:val="nil"/>
                    <w:tr2bl w:val="nil"/>
                  </w:tcBorders>
                  <w:vAlign w:val="center"/>
                </w:tcPr>
                <w:p w14:paraId="686896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r>
            <w:tr w14:paraId="304923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612" w:type="pct"/>
                  <w:vMerge w:val="restart"/>
                  <w:tcBorders>
                    <w:tl2br w:val="nil"/>
                    <w:tr2bl w:val="nil"/>
                  </w:tcBorders>
                  <w:vAlign w:val="center"/>
                </w:tcPr>
                <w:p w14:paraId="60643F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2024.03.28</w:t>
                  </w:r>
                </w:p>
              </w:tc>
              <w:tc>
                <w:tcPr>
                  <w:tcW w:w="653" w:type="pct"/>
                  <w:vMerge w:val="restart"/>
                  <w:tcBorders>
                    <w:tl2br w:val="nil"/>
                    <w:tr2bl w:val="nil"/>
                  </w:tcBorders>
                  <w:vAlign w:val="center"/>
                </w:tcPr>
                <w:p w14:paraId="16832A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污水处理站上风向</w:t>
                  </w:r>
                </w:p>
              </w:tc>
              <w:tc>
                <w:tcPr>
                  <w:tcW w:w="723" w:type="pct"/>
                  <w:tcBorders>
                    <w:tl2br w:val="nil"/>
                    <w:tr2bl w:val="nil"/>
                  </w:tcBorders>
                  <w:vAlign w:val="center"/>
                </w:tcPr>
                <w:p w14:paraId="46033A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氨</w:t>
                  </w:r>
                </w:p>
              </w:tc>
              <w:tc>
                <w:tcPr>
                  <w:tcW w:w="401" w:type="pct"/>
                  <w:tcBorders>
                    <w:tl2br w:val="nil"/>
                    <w:tr2bl w:val="nil"/>
                  </w:tcBorders>
                  <w:vAlign w:val="center"/>
                </w:tcPr>
                <w:p w14:paraId="1652A0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4" w:type="pct"/>
                  <w:tcBorders>
                    <w:tl2br w:val="nil"/>
                    <w:tr2bl w:val="nil"/>
                  </w:tcBorders>
                  <w:vAlign w:val="center"/>
                </w:tcPr>
                <w:p w14:paraId="2A9102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0.23</w:t>
                  </w:r>
                </w:p>
              </w:tc>
              <w:tc>
                <w:tcPr>
                  <w:tcW w:w="434" w:type="pct"/>
                  <w:tcBorders>
                    <w:tl2br w:val="nil"/>
                    <w:tr2bl w:val="nil"/>
                  </w:tcBorders>
                  <w:vAlign w:val="center"/>
                </w:tcPr>
                <w:p w14:paraId="784B2A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0.25</w:t>
                  </w:r>
                </w:p>
              </w:tc>
              <w:tc>
                <w:tcPr>
                  <w:tcW w:w="434" w:type="pct"/>
                  <w:tcBorders>
                    <w:tl2br w:val="nil"/>
                    <w:tr2bl w:val="nil"/>
                  </w:tcBorders>
                  <w:vAlign w:val="center"/>
                </w:tcPr>
                <w:p w14:paraId="008EE5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0.25</w:t>
                  </w:r>
                </w:p>
              </w:tc>
              <w:tc>
                <w:tcPr>
                  <w:tcW w:w="434" w:type="pct"/>
                  <w:tcBorders>
                    <w:tl2br w:val="nil"/>
                    <w:tr2bl w:val="nil"/>
                  </w:tcBorders>
                  <w:vAlign w:val="center"/>
                </w:tcPr>
                <w:p w14:paraId="4C8D83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0.21</w:t>
                  </w:r>
                </w:p>
              </w:tc>
              <w:tc>
                <w:tcPr>
                  <w:tcW w:w="434" w:type="pct"/>
                  <w:tcBorders>
                    <w:tl2br w:val="nil"/>
                    <w:tr2bl w:val="nil"/>
                  </w:tcBorders>
                  <w:vAlign w:val="center"/>
                </w:tcPr>
                <w:p w14:paraId="43A7D1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0.25</w:t>
                  </w:r>
                </w:p>
              </w:tc>
              <w:tc>
                <w:tcPr>
                  <w:tcW w:w="438" w:type="pct"/>
                  <w:tcBorders>
                    <w:tl2br w:val="nil"/>
                    <w:tr2bl w:val="nil"/>
                  </w:tcBorders>
                  <w:vAlign w:val="center"/>
                </w:tcPr>
                <w:p w14:paraId="48EC8A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14:paraId="0F920B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612" w:type="pct"/>
                  <w:vMerge w:val="continue"/>
                  <w:tcBorders>
                    <w:tl2br w:val="nil"/>
                    <w:tr2bl w:val="nil"/>
                  </w:tcBorders>
                  <w:vAlign w:val="center"/>
                </w:tcPr>
                <w:p w14:paraId="7C266F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14:paraId="0D6C3A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14:paraId="27F521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硫化氢</w:t>
                  </w:r>
                </w:p>
              </w:tc>
              <w:tc>
                <w:tcPr>
                  <w:tcW w:w="401" w:type="pct"/>
                  <w:tcBorders>
                    <w:tl2br w:val="nil"/>
                    <w:tr2bl w:val="nil"/>
                  </w:tcBorders>
                  <w:vAlign w:val="center"/>
                </w:tcPr>
                <w:p w14:paraId="3A367E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4" w:type="pct"/>
                  <w:tcBorders>
                    <w:tl2br w:val="nil"/>
                    <w:tr2bl w:val="nil"/>
                  </w:tcBorders>
                  <w:vAlign w:val="center"/>
                </w:tcPr>
                <w:p w14:paraId="6FB6B1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0.003</w:t>
                  </w:r>
                </w:p>
              </w:tc>
              <w:tc>
                <w:tcPr>
                  <w:tcW w:w="434" w:type="pct"/>
                  <w:tcBorders>
                    <w:tl2br w:val="nil"/>
                    <w:tr2bl w:val="nil"/>
                  </w:tcBorders>
                  <w:vAlign w:val="center"/>
                </w:tcPr>
                <w:p w14:paraId="443153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0.004</w:t>
                  </w:r>
                </w:p>
              </w:tc>
              <w:tc>
                <w:tcPr>
                  <w:tcW w:w="434" w:type="pct"/>
                  <w:tcBorders>
                    <w:tl2br w:val="nil"/>
                    <w:tr2bl w:val="nil"/>
                  </w:tcBorders>
                  <w:vAlign w:val="center"/>
                </w:tcPr>
                <w:p w14:paraId="62E47E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0.003</w:t>
                  </w:r>
                </w:p>
              </w:tc>
              <w:tc>
                <w:tcPr>
                  <w:tcW w:w="434" w:type="pct"/>
                  <w:tcBorders>
                    <w:tl2br w:val="nil"/>
                    <w:tr2bl w:val="nil"/>
                  </w:tcBorders>
                  <w:vAlign w:val="center"/>
                </w:tcPr>
                <w:p w14:paraId="59A4E6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0.002</w:t>
                  </w:r>
                </w:p>
              </w:tc>
              <w:tc>
                <w:tcPr>
                  <w:tcW w:w="434" w:type="pct"/>
                  <w:tcBorders>
                    <w:tl2br w:val="nil"/>
                    <w:tr2bl w:val="nil"/>
                  </w:tcBorders>
                  <w:vAlign w:val="center"/>
                </w:tcPr>
                <w:p w14:paraId="4BC951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0.004</w:t>
                  </w:r>
                </w:p>
              </w:tc>
              <w:tc>
                <w:tcPr>
                  <w:tcW w:w="438" w:type="pct"/>
                  <w:tcBorders>
                    <w:tl2br w:val="nil"/>
                    <w:tr2bl w:val="nil"/>
                  </w:tcBorders>
                  <w:vAlign w:val="center"/>
                </w:tcPr>
                <w:p w14:paraId="716197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w:t>
                  </w:r>
                </w:p>
              </w:tc>
            </w:tr>
            <w:tr w14:paraId="373ED2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612" w:type="pct"/>
                  <w:vMerge w:val="continue"/>
                  <w:tcBorders>
                    <w:tl2br w:val="nil"/>
                    <w:tr2bl w:val="nil"/>
                  </w:tcBorders>
                  <w:vAlign w:val="center"/>
                </w:tcPr>
                <w:p w14:paraId="6C165E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14:paraId="37D169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14:paraId="2BA2AB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氯气</w:t>
                  </w:r>
                </w:p>
              </w:tc>
              <w:tc>
                <w:tcPr>
                  <w:tcW w:w="401" w:type="pct"/>
                  <w:tcBorders>
                    <w:tl2br w:val="nil"/>
                    <w:tr2bl w:val="nil"/>
                  </w:tcBorders>
                  <w:vAlign w:val="center"/>
                </w:tcPr>
                <w:p w14:paraId="023CE2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4" w:type="pct"/>
                  <w:tcBorders>
                    <w:tl2br w:val="nil"/>
                    <w:tr2bl w:val="nil"/>
                  </w:tcBorders>
                  <w:vAlign w:val="center"/>
                </w:tcPr>
                <w:p w14:paraId="7791A5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4" w:type="pct"/>
                  <w:tcBorders>
                    <w:tl2br w:val="nil"/>
                    <w:tr2bl w:val="nil"/>
                  </w:tcBorders>
                  <w:vAlign w:val="center"/>
                </w:tcPr>
                <w:p w14:paraId="2FE076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4" w:type="pct"/>
                  <w:tcBorders>
                    <w:tl2br w:val="nil"/>
                    <w:tr2bl w:val="nil"/>
                  </w:tcBorders>
                  <w:vAlign w:val="center"/>
                </w:tcPr>
                <w:p w14:paraId="366F2B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4" w:type="pct"/>
                  <w:tcBorders>
                    <w:tl2br w:val="nil"/>
                    <w:tr2bl w:val="nil"/>
                  </w:tcBorders>
                  <w:vAlign w:val="center"/>
                </w:tcPr>
                <w:p w14:paraId="2A5D9B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4" w:type="pct"/>
                  <w:tcBorders>
                    <w:tl2br w:val="nil"/>
                    <w:tr2bl w:val="nil"/>
                  </w:tcBorders>
                  <w:vAlign w:val="center"/>
                </w:tcPr>
                <w:p w14:paraId="77AC5B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8" w:type="pct"/>
                  <w:tcBorders>
                    <w:tl2br w:val="nil"/>
                    <w:tr2bl w:val="nil"/>
                  </w:tcBorders>
                  <w:vAlign w:val="center"/>
                </w:tcPr>
                <w:p w14:paraId="1AC70B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0.1</w:t>
                  </w:r>
                </w:p>
              </w:tc>
            </w:tr>
            <w:tr w14:paraId="3E4B3E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612" w:type="pct"/>
                  <w:vMerge w:val="continue"/>
                  <w:tcBorders>
                    <w:tl2br w:val="nil"/>
                    <w:tr2bl w:val="nil"/>
                  </w:tcBorders>
                  <w:vAlign w:val="center"/>
                </w:tcPr>
                <w:p w14:paraId="68DD92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restart"/>
                  <w:tcBorders>
                    <w:tl2br w:val="nil"/>
                    <w:tr2bl w:val="nil"/>
                  </w:tcBorders>
                  <w:vAlign w:val="center"/>
                </w:tcPr>
                <w:p w14:paraId="7F1DED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污水处理站下风向1</w:t>
                  </w:r>
                </w:p>
              </w:tc>
              <w:tc>
                <w:tcPr>
                  <w:tcW w:w="723" w:type="pct"/>
                  <w:tcBorders>
                    <w:tl2br w:val="nil"/>
                    <w:tr2bl w:val="nil"/>
                  </w:tcBorders>
                  <w:vAlign w:val="center"/>
                </w:tcPr>
                <w:p w14:paraId="548138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氨</w:t>
                  </w:r>
                </w:p>
              </w:tc>
              <w:tc>
                <w:tcPr>
                  <w:tcW w:w="401" w:type="pct"/>
                  <w:tcBorders>
                    <w:tl2br w:val="nil"/>
                    <w:tr2bl w:val="nil"/>
                  </w:tcBorders>
                  <w:vAlign w:val="center"/>
                </w:tcPr>
                <w:p w14:paraId="27E26E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4" w:type="pct"/>
                  <w:tcBorders>
                    <w:tl2br w:val="nil"/>
                    <w:tr2bl w:val="nil"/>
                  </w:tcBorders>
                  <w:vAlign w:val="center"/>
                </w:tcPr>
                <w:p w14:paraId="22FE89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0.39</w:t>
                  </w:r>
                </w:p>
              </w:tc>
              <w:tc>
                <w:tcPr>
                  <w:tcW w:w="434" w:type="pct"/>
                  <w:tcBorders>
                    <w:tl2br w:val="nil"/>
                    <w:tr2bl w:val="nil"/>
                  </w:tcBorders>
                  <w:vAlign w:val="center"/>
                </w:tcPr>
                <w:p w14:paraId="254946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0.38</w:t>
                  </w:r>
                </w:p>
              </w:tc>
              <w:tc>
                <w:tcPr>
                  <w:tcW w:w="434" w:type="pct"/>
                  <w:tcBorders>
                    <w:tl2br w:val="nil"/>
                    <w:tr2bl w:val="nil"/>
                  </w:tcBorders>
                  <w:vAlign w:val="center"/>
                </w:tcPr>
                <w:p w14:paraId="1C31E1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0.36</w:t>
                  </w:r>
                </w:p>
              </w:tc>
              <w:tc>
                <w:tcPr>
                  <w:tcW w:w="434" w:type="pct"/>
                  <w:tcBorders>
                    <w:tl2br w:val="nil"/>
                    <w:tr2bl w:val="nil"/>
                  </w:tcBorders>
                  <w:vAlign w:val="center"/>
                </w:tcPr>
                <w:p w14:paraId="0643A6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0.41</w:t>
                  </w:r>
                </w:p>
              </w:tc>
              <w:tc>
                <w:tcPr>
                  <w:tcW w:w="434" w:type="pct"/>
                  <w:tcBorders>
                    <w:tl2br w:val="nil"/>
                    <w:tr2bl w:val="nil"/>
                  </w:tcBorders>
                  <w:vAlign w:val="center"/>
                </w:tcPr>
                <w:p w14:paraId="2DE4D3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0.41</w:t>
                  </w:r>
                </w:p>
              </w:tc>
              <w:tc>
                <w:tcPr>
                  <w:tcW w:w="438" w:type="pct"/>
                  <w:tcBorders>
                    <w:tl2br w:val="nil"/>
                    <w:tr2bl w:val="nil"/>
                  </w:tcBorders>
                  <w:vAlign w:val="center"/>
                </w:tcPr>
                <w:p w14:paraId="09B8BA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14:paraId="7640A2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612" w:type="pct"/>
                  <w:vMerge w:val="continue"/>
                  <w:tcBorders>
                    <w:tl2br w:val="nil"/>
                    <w:tr2bl w:val="nil"/>
                  </w:tcBorders>
                  <w:vAlign w:val="center"/>
                </w:tcPr>
                <w:p w14:paraId="523A63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14:paraId="658D7F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14:paraId="09BCDC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硫化氢</w:t>
                  </w:r>
                </w:p>
              </w:tc>
              <w:tc>
                <w:tcPr>
                  <w:tcW w:w="401" w:type="pct"/>
                  <w:tcBorders>
                    <w:tl2br w:val="nil"/>
                    <w:tr2bl w:val="nil"/>
                  </w:tcBorders>
                  <w:vAlign w:val="center"/>
                </w:tcPr>
                <w:p w14:paraId="494882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4" w:type="pct"/>
                  <w:tcBorders>
                    <w:tl2br w:val="nil"/>
                    <w:tr2bl w:val="nil"/>
                  </w:tcBorders>
                  <w:vAlign w:val="center"/>
                </w:tcPr>
                <w:p w14:paraId="73FBE9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0.012</w:t>
                  </w:r>
                </w:p>
              </w:tc>
              <w:tc>
                <w:tcPr>
                  <w:tcW w:w="434" w:type="pct"/>
                  <w:tcBorders>
                    <w:tl2br w:val="nil"/>
                    <w:tr2bl w:val="nil"/>
                  </w:tcBorders>
                  <w:vAlign w:val="center"/>
                </w:tcPr>
                <w:p w14:paraId="7E9712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0.010</w:t>
                  </w:r>
                </w:p>
              </w:tc>
              <w:tc>
                <w:tcPr>
                  <w:tcW w:w="434" w:type="pct"/>
                  <w:tcBorders>
                    <w:tl2br w:val="nil"/>
                    <w:tr2bl w:val="nil"/>
                  </w:tcBorders>
                  <w:vAlign w:val="center"/>
                </w:tcPr>
                <w:p w14:paraId="1D371E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0.009</w:t>
                  </w:r>
                </w:p>
              </w:tc>
              <w:tc>
                <w:tcPr>
                  <w:tcW w:w="434" w:type="pct"/>
                  <w:tcBorders>
                    <w:tl2br w:val="nil"/>
                    <w:tr2bl w:val="nil"/>
                  </w:tcBorders>
                  <w:vAlign w:val="center"/>
                </w:tcPr>
                <w:p w14:paraId="30E8B6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0.011</w:t>
                  </w:r>
                </w:p>
              </w:tc>
              <w:tc>
                <w:tcPr>
                  <w:tcW w:w="434" w:type="pct"/>
                  <w:tcBorders>
                    <w:tl2br w:val="nil"/>
                    <w:tr2bl w:val="nil"/>
                  </w:tcBorders>
                  <w:vAlign w:val="center"/>
                </w:tcPr>
                <w:p w14:paraId="627288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0.012</w:t>
                  </w:r>
                </w:p>
              </w:tc>
              <w:tc>
                <w:tcPr>
                  <w:tcW w:w="438" w:type="pct"/>
                  <w:tcBorders>
                    <w:tl2br w:val="nil"/>
                    <w:tr2bl w:val="nil"/>
                  </w:tcBorders>
                  <w:vAlign w:val="center"/>
                </w:tcPr>
                <w:p w14:paraId="1D3918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w:t>
                  </w:r>
                </w:p>
              </w:tc>
            </w:tr>
            <w:tr w14:paraId="20076C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612" w:type="pct"/>
                  <w:vMerge w:val="continue"/>
                  <w:tcBorders>
                    <w:tl2br w:val="nil"/>
                    <w:tr2bl w:val="nil"/>
                  </w:tcBorders>
                  <w:vAlign w:val="center"/>
                </w:tcPr>
                <w:p w14:paraId="0C286F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14:paraId="7E9D2E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14:paraId="5D2CBD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氯气</w:t>
                  </w:r>
                </w:p>
              </w:tc>
              <w:tc>
                <w:tcPr>
                  <w:tcW w:w="401" w:type="pct"/>
                  <w:tcBorders>
                    <w:tl2br w:val="nil"/>
                    <w:tr2bl w:val="nil"/>
                  </w:tcBorders>
                  <w:vAlign w:val="center"/>
                </w:tcPr>
                <w:p w14:paraId="34ECBD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4" w:type="pct"/>
                  <w:tcBorders>
                    <w:tl2br w:val="nil"/>
                    <w:tr2bl w:val="nil"/>
                  </w:tcBorders>
                  <w:vAlign w:val="center"/>
                </w:tcPr>
                <w:p w14:paraId="217012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4" w:type="pct"/>
                  <w:tcBorders>
                    <w:tl2br w:val="nil"/>
                    <w:tr2bl w:val="nil"/>
                  </w:tcBorders>
                  <w:vAlign w:val="center"/>
                </w:tcPr>
                <w:p w14:paraId="1E484D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4" w:type="pct"/>
                  <w:tcBorders>
                    <w:tl2br w:val="nil"/>
                    <w:tr2bl w:val="nil"/>
                  </w:tcBorders>
                  <w:vAlign w:val="center"/>
                </w:tcPr>
                <w:p w14:paraId="531D97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4" w:type="pct"/>
                  <w:tcBorders>
                    <w:tl2br w:val="nil"/>
                    <w:tr2bl w:val="nil"/>
                  </w:tcBorders>
                  <w:vAlign w:val="center"/>
                </w:tcPr>
                <w:p w14:paraId="332CDA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4" w:type="pct"/>
                  <w:tcBorders>
                    <w:tl2br w:val="nil"/>
                    <w:tr2bl w:val="nil"/>
                  </w:tcBorders>
                  <w:vAlign w:val="center"/>
                </w:tcPr>
                <w:p w14:paraId="42A2D7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8" w:type="pct"/>
                  <w:tcBorders>
                    <w:tl2br w:val="nil"/>
                    <w:tr2bl w:val="nil"/>
                  </w:tcBorders>
                  <w:vAlign w:val="center"/>
                </w:tcPr>
                <w:p w14:paraId="1EFA37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0.1</w:t>
                  </w:r>
                </w:p>
              </w:tc>
            </w:tr>
            <w:tr w14:paraId="585DC5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612" w:type="pct"/>
                  <w:vMerge w:val="continue"/>
                  <w:tcBorders>
                    <w:tl2br w:val="nil"/>
                    <w:tr2bl w:val="nil"/>
                  </w:tcBorders>
                  <w:vAlign w:val="center"/>
                </w:tcPr>
                <w:p w14:paraId="75D185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14:paraId="5765C2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14:paraId="46BA82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甲烷</w:t>
                  </w:r>
                </w:p>
              </w:tc>
              <w:tc>
                <w:tcPr>
                  <w:tcW w:w="401" w:type="pct"/>
                  <w:tcBorders>
                    <w:tl2br w:val="nil"/>
                    <w:tr2bl w:val="nil"/>
                  </w:tcBorders>
                  <w:vAlign w:val="center"/>
                </w:tcPr>
                <w:p w14:paraId="5702A1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w:t>
                  </w:r>
                </w:p>
              </w:tc>
              <w:tc>
                <w:tcPr>
                  <w:tcW w:w="434" w:type="pct"/>
                  <w:tcBorders>
                    <w:tl2br w:val="nil"/>
                    <w:tr2bl w:val="nil"/>
                  </w:tcBorders>
                  <w:vAlign w:val="center"/>
                </w:tcPr>
                <w:p w14:paraId="7F9DFE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0.00012</w:t>
                  </w:r>
                </w:p>
              </w:tc>
              <w:tc>
                <w:tcPr>
                  <w:tcW w:w="434" w:type="pct"/>
                  <w:tcBorders>
                    <w:tl2br w:val="nil"/>
                    <w:tr2bl w:val="nil"/>
                  </w:tcBorders>
                  <w:vAlign w:val="center"/>
                </w:tcPr>
                <w:p w14:paraId="07AB0F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0.00011</w:t>
                  </w:r>
                </w:p>
              </w:tc>
              <w:tc>
                <w:tcPr>
                  <w:tcW w:w="434" w:type="pct"/>
                  <w:tcBorders>
                    <w:tl2br w:val="nil"/>
                    <w:tr2bl w:val="nil"/>
                  </w:tcBorders>
                  <w:vAlign w:val="center"/>
                </w:tcPr>
                <w:p w14:paraId="136601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0.00010</w:t>
                  </w:r>
                </w:p>
              </w:tc>
              <w:tc>
                <w:tcPr>
                  <w:tcW w:w="434" w:type="pct"/>
                  <w:tcBorders>
                    <w:tl2br w:val="nil"/>
                    <w:tr2bl w:val="nil"/>
                  </w:tcBorders>
                  <w:vAlign w:val="center"/>
                </w:tcPr>
                <w:p w14:paraId="1C3EF8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0.00012</w:t>
                  </w:r>
                </w:p>
              </w:tc>
              <w:tc>
                <w:tcPr>
                  <w:tcW w:w="434" w:type="pct"/>
                  <w:tcBorders>
                    <w:tl2br w:val="nil"/>
                    <w:tr2bl w:val="nil"/>
                  </w:tcBorders>
                  <w:vAlign w:val="center"/>
                </w:tcPr>
                <w:p w14:paraId="63F693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0.00012</w:t>
                  </w:r>
                </w:p>
              </w:tc>
              <w:tc>
                <w:tcPr>
                  <w:tcW w:w="438" w:type="pct"/>
                  <w:tcBorders>
                    <w:tl2br w:val="nil"/>
                    <w:tr2bl w:val="nil"/>
                  </w:tcBorders>
                  <w:vAlign w:val="center"/>
                </w:tcPr>
                <w:p w14:paraId="42F154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w:t>
                  </w:r>
                </w:p>
              </w:tc>
            </w:tr>
            <w:tr w14:paraId="16936D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612" w:type="pct"/>
                  <w:vMerge w:val="continue"/>
                  <w:tcBorders>
                    <w:tl2br w:val="nil"/>
                    <w:tr2bl w:val="nil"/>
                  </w:tcBorders>
                  <w:vAlign w:val="center"/>
                </w:tcPr>
                <w:p w14:paraId="6C95C3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14:paraId="6CD347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14:paraId="7B7D66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臭气浓度</w:t>
                  </w:r>
                </w:p>
              </w:tc>
              <w:tc>
                <w:tcPr>
                  <w:tcW w:w="401" w:type="pct"/>
                  <w:tcBorders>
                    <w:tl2br w:val="nil"/>
                    <w:tr2bl w:val="nil"/>
                  </w:tcBorders>
                  <w:vAlign w:val="center"/>
                </w:tcPr>
                <w:p w14:paraId="4EF7C9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无量纲</w:t>
                  </w:r>
                </w:p>
              </w:tc>
              <w:tc>
                <w:tcPr>
                  <w:tcW w:w="434" w:type="pct"/>
                  <w:tcBorders>
                    <w:tl2br w:val="nil"/>
                    <w:tr2bl w:val="nil"/>
                  </w:tcBorders>
                  <w:vAlign w:val="center"/>
                </w:tcPr>
                <w:p w14:paraId="7CF30F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4" w:type="pct"/>
                  <w:tcBorders>
                    <w:tl2br w:val="nil"/>
                    <w:tr2bl w:val="nil"/>
                  </w:tcBorders>
                  <w:vAlign w:val="center"/>
                </w:tcPr>
                <w:p w14:paraId="4F964B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4" w:type="pct"/>
                  <w:tcBorders>
                    <w:tl2br w:val="nil"/>
                    <w:tr2bl w:val="nil"/>
                  </w:tcBorders>
                  <w:vAlign w:val="center"/>
                </w:tcPr>
                <w:p w14:paraId="47C724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4" w:type="pct"/>
                  <w:tcBorders>
                    <w:tl2br w:val="nil"/>
                    <w:tr2bl w:val="nil"/>
                  </w:tcBorders>
                  <w:vAlign w:val="center"/>
                </w:tcPr>
                <w:p w14:paraId="72FBCE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4" w:type="pct"/>
                  <w:tcBorders>
                    <w:tl2br w:val="nil"/>
                    <w:tr2bl w:val="nil"/>
                  </w:tcBorders>
                  <w:vAlign w:val="center"/>
                </w:tcPr>
                <w:p w14:paraId="289C7D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8" w:type="pct"/>
                  <w:tcBorders>
                    <w:tl2br w:val="nil"/>
                    <w:tr2bl w:val="nil"/>
                  </w:tcBorders>
                  <w:vAlign w:val="center"/>
                </w:tcPr>
                <w:p w14:paraId="648DE2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14:paraId="490FE4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612" w:type="pct"/>
                  <w:vMerge w:val="continue"/>
                  <w:tcBorders>
                    <w:tl2br w:val="nil"/>
                    <w:tr2bl w:val="nil"/>
                  </w:tcBorders>
                  <w:vAlign w:val="center"/>
                </w:tcPr>
                <w:p w14:paraId="68116C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restart"/>
                  <w:tcBorders>
                    <w:tl2br w:val="nil"/>
                    <w:tr2bl w:val="nil"/>
                  </w:tcBorders>
                  <w:vAlign w:val="center"/>
                </w:tcPr>
                <w:p w14:paraId="44DD91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污水处理站下风向2</w:t>
                  </w:r>
                </w:p>
              </w:tc>
              <w:tc>
                <w:tcPr>
                  <w:tcW w:w="723" w:type="pct"/>
                  <w:tcBorders>
                    <w:tl2br w:val="nil"/>
                    <w:tr2bl w:val="nil"/>
                  </w:tcBorders>
                  <w:vAlign w:val="center"/>
                </w:tcPr>
                <w:p w14:paraId="70364A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氨</w:t>
                  </w:r>
                </w:p>
              </w:tc>
              <w:tc>
                <w:tcPr>
                  <w:tcW w:w="401" w:type="pct"/>
                  <w:tcBorders>
                    <w:tl2br w:val="nil"/>
                    <w:tr2bl w:val="nil"/>
                  </w:tcBorders>
                  <w:vAlign w:val="center"/>
                </w:tcPr>
                <w:p w14:paraId="62C924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4" w:type="pct"/>
                  <w:tcBorders>
                    <w:tl2br w:val="nil"/>
                    <w:tr2bl w:val="nil"/>
                  </w:tcBorders>
                  <w:vAlign w:val="center"/>
                </w:tcPr>
                <w:p w14:paraId="2F3900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0.35</w:t>
                  </w:r>
                </w:p>
              </w:tc>
              <w:tc>
                <w:tcPr>
                  <w:tcW w:w="434" w:type="pct"/>
                  <w:tcBorders>
                    <w:tl2br w:val="nil"/>
                    <w:tr2bl w:val="nil"/>
                  </w:tcBorders>
                  <w:vAlign w:val="center"/>
                </w:tcPr>
                <w:p w14:paraId="19B119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0.33</w:t>
                  </w:r>
                </w:p>
              </w:tc>
              <w:tc>
                <w:tcPr>
                  <w:tcW w:w="434" w:type="pct"/>
                  <w:tcBorders>
                    <w:tl2br w:val="nil"/>
                    <w:tr2bl w:val="nil"/>
                  </w:tcBorders>
                  <w:vAlign w:val="center"/>
                </w:tcPr>
                <w:p w14:paraId="2FD108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0.36</w:t>
                  </w:r>
                </w:p>
              </w:tc>
              <w:tc>
                <w:tcPr>
                  <w:tcW w:w="434" w:type="pct"/>
                  <w:tcBorders>
                    <w:tl2br w:val="nil"/>
                    <w:tr2bl w:val="nil"/>
                  </w:tcBorders>
                  <w:vAlign w:val="center"/>
                </w:tcPr>
                <w:p w14:paraId="3FB128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0.36</w:t>
                  </w:r>
                </w:p>
              </w:tc>
              <w:tc>
                <w:tcPr>
                  <w:tcW w:w="434" w:type="pct"/>
                  <w:tcBorders>
                    <w:tl2br w:val="nil"/>
                    <w:tr2bl w:val="nil"/>
                  </w:tcBorders>
                  <w:vAlign w:val="center"/>
                </w:tcPr>
                <w:p w14:paraId="7D137F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0.36</w:t>
                  </w:r>
                </w:p>
              </w:tc>
              <w:tc>
                <w:tcPr>
                  <w:tcW w:w="438" w:type="pct"/>
                  <w:tcBorders>
                    <w:tl2br w:val="nil"/>
                    <w:tr2bl w:val="nil"/>
                  </w:tcBorders>
                  <w:vAlign w:val="center"/>
                </w:tcPr>
                <w:p w14:paraId="1C03E5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14:paraId="05F91C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612" w:type="pct"/>
                  <w:vMerge w:val="continue"/>
                  <w:tcBorders>
                    <w:tl2br w:val="nil"/>
                    <w:tr2bl w:val="nil"/>
                  </w:tcBorders>
                  <w:vAlign w:val="center"/>
                </w:tcPr>
                <w:p w14:paraId="259303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14:paraId="5BF2BF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14:paraId="5FCFA1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硫化氢</w:t>
                  </w:r>
                </w:p>
              </w:tc>
              <w:tc>
                <w:tcPr>
                  <w:tcW w:w="401" w:type="pct"/>
                  <w:tcBorders>
                    <w:tl2br w:val="nil"/>
                    <w:tr2bl w:val="nil"/>
                  </w:tcBorders>
                  <w:vAlign w:val="center"/>
                </w:tcPr>
                <w:p w14:paraId="7BEB87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4" w:type="pct"/>
                  <w:tcBorders>
                    <w:tl2br w:val="nil"/>
                    <w:tr2bl w:val="nil"/>
                  </w:tcBorders>
                  <w:vAlign w:val="center"/>
                </w:tcPr>
                <w:p w14:paraId="511B54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0.013</w:t>
                  </w:r>
                </w:p>
              </w:tc>
              <w:tc>
                <w:tcPr>
                  <w:tcW w:w="434" w:type="pct"/>
                  <w:tcBorders>
                    <w:tl2br w:val="nil"/>
                    <w:tr2bl w:val="nil"/>
                  </w:tcBorders>
                  <w:vAlign w:val="center"/>
                </w:tcPr>
                <w:p w14:paraId="11F317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0.010</w:t>
                  </w:r>
                </w:p>
              </w:tc>
              <w:tc>
                <w:tcPr>
                  <w:tcW w:w="434" w:type="pct"/>
                  <w:tcBorders>
                    <w:tl2br w:val="nil"/>
                    <w:tr2bl w:val="nil"/>
                  </w:tcBorders>
                  <w:vAlign w:val="center"/>
                </w:tcPr>
                <w:p w14:paraId="332562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0.008</w:t>
                  </w:r>
                </w:p>
              </w:tc>
              <w:tc>
                <w:tcPr>
                  <w:tcW w:w="434" w:type="pct"/>
                  <w:tcBorders>
                    <w:tl2br w:val="nil"/>
                    <w:tr2bl w:val="nil"/>
                  </w:tcBorders>
                  <w:vAlign w:val="center"/>
                </w:tcPr>
                <w:p w14:paraId="29ED40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0.012</w:t>
                  </w:r>
                </w:p>
              </w:tc>
              <w:tc>
                <w:tcPr>
                  <w:tcW w:w="434" w:type="pct"/>
                  <w:tcBorders>
                    <w:tl2br w:val="nil"/>
                    <w:tr2bl w:val="nil"/>
                  </w:tcBorders>
                  <w:vAlign w:val="center"/>
                </w:tcPr>
                <w:p w14:paraId="67B791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0.013</w:t>
                  </w:r>
                </w:p>
              </w:tc>
              <w:tc>
                <w:tcPr>
                  <w:tcW w:w="438" w:type="pct"/>
                  <w:tcBorders>
                    <w:tl2br w:val="nil"/>
                    <w:tr2bl w:val="nil"/>
                  </w:tcBorders>
                  <w:vAlign w:val="center"/>
                </w:tcPr>
                <w:p w14:paraId="30C597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w:t>
                  </w:r>
                </w:p>
              </w:tc>
            </w:tr>
            <w:tr w14:paraId="27CE42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612" w:type="pct"/>
                  <w:vMerge w:val="continue"/>
                  <w:tcBorders>
                    <w:tl2br w:val="nil"/>
                    <w:tr2bl w:val="nil"/>
                  </w:tcBorders>
                  <w:vAlign w:val="center"/>
                </w:tcPr>
                <w:p w14:paraId="7C97E6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14:paraId="056529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14:paraId="06A305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氯气</w:t>
                  </w:r>
                </w:p>
              </w:tc>
              <w:tc>
                <w:tcPr>
                  <w:tcW w:w="401" w:type="pct"/>
                  <w:tcBorders>
                    <w:tl2br w:val="nil"/>
                    <w:tr2bl w:val="nil"/>
                  </w:tcBorders>
                  <w:vAlign w:val="center"/>
                </w:tcPr>
                <w:p w14:paraId="549B24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792" w:type="dxa"/>
                  <w:tcBorders>
                    <w:tl2br w:val="nil"/>
                    <w:tr2bl w:val="nil"/>
                  </w:tcBorders>
                  <w:vAlign w:val="center"/>
                </w:tcPr>
                <w:p w14:paraId="09C6C4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792" w:type="dxa"/>
                  <w:tcBorders>
                    <w:tl2br w:val="nil"/>
                    <w:tr2bl w:val="nil"/>
                  </w:tcBorders>
                  <w:vAlign w:val="center"/>
                </w:tcPr>
                <w:p w14:paraId="71C734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792" w:type="dxa"/>
                  <w:tcBorders>
                    <w:tl2br w:val="nil"/>
                    <w:tr2bl w:val="nil"/>
                  </w:tcBorders>
                  <w:vAlign w:val="center"/>
                </w:tcPr>
                <w:p w14:paraId="1C9CEB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792" w:type="dxa"/>
                  <w:tcBorders>
                    <w:tl2br w:val="nil"/>
                    <w:tr2bl w:val="nil"/>
                  </w:tcBorders>
                  <w:vAlign w:val="center"/>
                </w:tcPr>
                <w:p w14:paraId="19DDDB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795" w:type="dxa"/>
                  <w:tcBorders>
                    <w:tl2br w:val="nil"/>
                    <w:tr2bl w:val="nil"/>
                  </w:tcBorders>
                  <w:vAlign w:val="center"/>
                </w:tcPr>
                <w:p w14:paraId="78714A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8" w:type="pct"/>
                  <w:tcBorders>
                    <w:tl2br w:val="nil"/>
                    <w:tr2bl w:val="nil"/>
                  </w:tcBorders>
                  <w:vAlign w:val="center"/>
                </w:tcPr>
                <w:p w14:paraId="133ED7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0.1</w:t>
                  </w:r>
                </w:p>
              </w:tc>
            </w:tr>
            <w:tr w14:paraId="3855DD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612" w:type="pct"/>
                  <w:vMerge w:val="continue"/>
                  <w:tcBorders>
                    <w:tl2br w:val="nil"/>
                    <w:tr2bl w:val="nil"/>
                  </w:tcBorders>
                  <w:vAlign w:val="center"/>
                </w:tcPr>
                <w:p w14:paraId="58D4EE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14:paraId="0C1630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14:paraId="1E5FEE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甲烷</w:t>
                  </w:r>
                </w:p>
              </w:tc>
              <w:tc>
                <w:tcPr>
                  <w:tcW w:w="401" w:type="pct"/>
                  <w:tcBorders>
                    <w:tl2br w:val="nil"/>
                    <w:tr2bl w:val="nil"/>
                  </w:tcBorders>
                  <w:vAlign w:val="center"/>
                </w:tcPr>
                <w:p w14:paraId="6AD649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w:t>
                  </w:r>
                </w:p>
              </w:tc>
              <w:tc>
                <w:tcPr>
                  <w:tcW w:w="434" w:type="pct"/>
                  <w:tcBorders>
                    <w:tl2br w:val="nil"/>
                    <w:tr2bl w:val="nil"/>
                  </w:tcBorders>
                  <w:vAlign w:val="center"/>
                </w:tcPr>
                <w:p w14:paraId="0CDA9F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0.00012</w:t>
                  </w:r>
                </w:p>
              </w:tc>
              <w:tc>
                <w:tcPr>
                  <w:tcW w:w="434" w:type="pct"/>
                  <w:tcBorders>
                    <w:tl2br w:val="nil"/>
                    <w:tr2bl w:val="nil"/>
                  </w:tcBorders>
                  <w:vAlign w:val="center"/>
                </w:tcPr>
                <w:p w14:paraId="5945D5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0.00012</w:t>
                  </w:r>
                </w:p>
              </w:tc>
              <w:tc>
                <w:tcPr>
                  <w:tcW w:w="434" w:type="pct"/>
                  <w:tcBorders>
                    <w:tl2br w:val="nil"/>
                    <w:tr2bl w:val="nil"/>
                  </w:tcBorders>
                  <w:vAlign w:val="center"/>
                </w:tcPr>
                <w:p w14:paraId="5BC390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0.00012</w:t>
                  </w:r>
                </w:p>
              </w:tc>
              <w:tc>
                <w:tcPr>
                  <w:tcW w:w="434" w:type="pct"/>
                  <w:tcBorders>
                    <w:tl2br w:val="nil"/>
                    <w:tr2bl w:val="nil"/>
                  </w:tcBorders>
                  <w:vAlign w:val="center"/>
                </w:tcPr>
                <w:p w14:paraId="1CD28F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0.00010</w:t>
                  </w:r>
                </w:p>
              </w:tc>
              <w:tc>
                <w:tcPr>
                  <w:tcW w:w="434" w:type="pct"/>
                  <w:tcBorders>
                    <w:tl2br w:val="nil"/>
                    <w:tr2bl w:val="nil"/>
                  </w:tcBorders>
                  <w:vAlign w:val="center"/>
                </w:tcPr>
                <w:p w14:paraId="4C060E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0.00012</w:t>
                  </w:r>
                </w:p>
              </w:tc>
              <w:tc>
                <w:tcPr>
                  <w:tcW w:w="438" w:type="pct"/>
                  <w:tcBorders>
                    <w:tl2br w:val="nil"/>
                    <w:tr2bl w:val="nil"/>
                  </w:tcBorders>
                  <w:vAlign w:val="center"/>
                </w:tcPr>
                <w:p w14:paraId="525D2E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w:t>
                  </w:r>
                </w:p>
              </w:tc>
            </w:tr>
            <w:tr w14:paraId="323BC5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5" w:hRule="atLeast"/>
              </w:trPr>
              <w:tc>
                <w:tcPr>
                  <w:tcW w:w="612" w:type="pct"/>
                  <w:vMerge w:val="continue"/>
                  <w:tcBorders>
                    <w:tl2br w:val="nil"/>
                    <w:tr2bl w:val="nil"/>
                  </w:tcBorders>
                  <w:vAlign w:val="center"/>
                </w:tcPr>
                <w:p w14:paraId="46D574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14:paraId="48B8C3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14:paraId="764A3E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臭气浓度</w:t>
                  </w:r>
                </w:p>
              </w:tc>
              <w:tc>
                <w:tcPr>
                  <w:tcW w:w="401" w:type="pct"/>
                  <w:tcBorders>
                    <w:tl2br w:val="nil"/>
                    <w:tr2bl w:val="nil"/>
                  </w:tcBorders>
                  <w:vAlign w:val="center"/>
                </w:tcPr>
                <w:p w14:paraId="703D36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无量纲</w:t>
                  </w:r>
                </w:p>
              </w:tc>
              <w:tc>
                <w:tcPr>
                  <w:tcW w:w="792" w:type="dxa"/>
                  <w:tcBorders>
                    <w:tl2br w:val="nil"/>
                    <w:tr2bl w:val="nil"/>
                  </w:tcBorders>
                  <w:vAlign w:val="center"/>
                </w:tcPr>
                <w:p w14:paraId="67DD05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792" w:type="dxa"/>
                  <w:tcBorders>
                    <w:tl2br w:val="nil"/>
                    <w:tr2bl w:val="nil"/>
                  </w:tcBorders>
                  <w:vAlign w:val="center"/>
                </w:tcPr>
                <w:p w14:paraId="726228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792" w:type="dxa"/>
                  <w:tcBorders>
                    <w:tl2br w:val="nil"/>
                    <w:tr2bl w:val="nil"/>
                  </w:tcBorders>
                  <w:vAlign w:val="center"/>
                </w:tcPr>
                <w:p w14:paraId="743BB4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792" w:type="dxa"/>
                  <w:tcBorders>
                    <w:tl2br w:val="nil"/>
                    <w:tr2bl w:val="nil"/>
                  </w:tcBorders>
                  <w:vAlign w:val="center"/>
                </w:tcPr>
                <w:p w14:paraId="703A2B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795" w:type="dxa"/>
                  <w:tcBorders>
                    <w:tl2br w:val="nil"/>
                    <w:tr2bl w:val="nil"/>
                  </w:tcBorders>
                  <w:vAlign w:val="center"/>
                </w:tcPr>
                <w:p w14:paraId="33D746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8" w:type="pct"/>
                  <w:tcBorders>
                    <w:tl2br w:val="nil"/>
                    <w:tr2bl w:val="nil"/>
                  </w:tcBorders>
                  <w:vAlign w:val="center"/>
                </w:tcPr>
                <w:p w14:paraId="5543C9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14:paraId="710981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612" w:type="pct"/>
                  <w:vMerge w:val="restart"/>
                  <w:tcBorders>
                    <w:tl2br w:val="nil"/>
                    <w:tr2bl w:val="nil"/>
                  </w:tcBorders>
                  <w:vAlign w:val="center"/>
                </w:tcPr>
                <w:p w14:paraId="494F0B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2024.03.29</w:t>
                  </w:r>
                </w:p>
              </w:tc>
              <w:tc>
                <w:tcPr>
                  <w:tcW w:w="653" w:type="pct"/>
                  <w:vMerge w:val="restart"/>
                  <w:tcBorders>
                    <w:tl2br w:val="nil"/>
                    <w:tr2bl w:val="nil"/>
                  </w:tcBorders>
                  <w:vAlign w:val="center"/>
                </w:tcPr>
                <w:p w14:paraId="53F05E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bidi="ar-SA"/>
                    </w:rPr>
                  </w:pPr>
                  <w:r>
                    <w:rPr>
                      <w:rFonts w:hint="default" w:ascii="Times New Roman" w:hAnsi="Times New Roman" w:eastAsia="宋体" w:cs="Times New Roman"/>
                      <w:bCs/>
                      <w:color w:val="auto"/>
                      <w:kern w:val="0"/>
                      <w:sz w:val="21"/>
                      <w:szCs w:val="21"/>
                      <w:highlight w:val="none"/>
                      <w:u w:val="single" w:color="auto"/>
                      <w:lang w:val="en-US" w:eastAsia="zh-CN"/>
                    </w:rPr>
                    <w:t>污水处理站上风向</w:t>
                  </w:r>
                </w:p>
                <w:p w14:paraId="7BBC71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14:paraId="495007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氨</w:t>
                  </w:r>
                </w:p>
              </w:tc>
              <w:tc>
                <w:tcPr>
                  <w:tcW w:w="401" w:type="pct"/>
                  <w:tcBorders>
                    <w:tl2br w:val="nil"/>
                    <w:tr2bl w:val="nil"/>
                  </w:tcBorders>
                  <w:vAlign w:val="center"/>
                </w:tcPr>
                <w:p w14:paraId="058632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4" w:type="pct"/>
                  <w:tcBorders>
                    <w:tl2br w:val="nil"/>
                    <w:tr2bl w:val="nil"/>
                  </w:tcBorders>
                  <w:vAlign w:val="center"/>
                </w:tcPr>
                <w:p w14:paraId="1195DC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0.24</w:t>
                  </w:r>
                </w:p>
              </w:tc>
              <w:tc>
                <w:tcPr>
                  <w:tcW w:w="434" w:type="pct"/>
                  <w:tcBorders>
                    <w:tl2br w:val="nil"/>
                    <w:tr2bl w:val="nil"/>
                  </w:tcBorders>
                  <w:vAlign w:val="center"/>
                </w:tcPr>
                <w:p w14:paraId="0A6AAC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0.23</w:t>
                  </w:r>
                </w:p>
              </w:tc>
              <w:tc>
                <w:tcPr>
                  <w:tcW w:w="434" w:type="pct"/>
                  <w:tcBorders>
                    <w:tl2br w:val="nil"/>
                    <w:tr2bl w:val="nil"/>
                  </w:tcBorders>
                  <w:vAlign w:val="center"/>
                </w:tcPr>
                <w:p w14:paraId="55077D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0.22</w:t>
                  </w:r>
                </w:p>
              </w:tc>
              <w:tc>
                <w:tcPr>
                  <w:tcW w:w="434" w:type="pct"/>
                  <w:tcBorders>
                    <w:tl2br w:val="nil"/>
                    <w:tr2bl w:val="nil"/>
                  </w:tcBorders>
                  <w:vAlign w:val="center"/>
                </w:tcPr>
                <w:p w14:paraId="500EFE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0.22</w:t>
                  </w:r>
                </w:p>
              </w:tc>
              <w:tc>
                <w:tcPr>
                  <w:tcW w:w="434" w:type="pct"/>
                  <w:tcBorders>
                    <w:tl2br w:val="nil"/>
                    <w:tr2bl w:val="nil"/>
                  </w:tcBorders>
                  <w:vAlign w:val="center"/>
                </w:tcPr>
                <w:p w14:paraId="1D7B9F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0.24</w:t>
                  </w:r>
                </w:p>
              </w:tc>
              <w:tc>
                <w:tcPr>
                  <w:tcW w:w="438" w:type="pct"/>
                  <w:tcBorders>
                    <w:tl2br w:val="nil"/>
                    <w:tr2bl w:val="nil"/>
                  </w:tcBorders>
                  <w:vAlign w:val="center"/>
                </w:tcPr>
                <w:p w14:paraId="67F5D2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14:paraId="3A8CE0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612" w:type="pct"/>
                  <w:vMerge w:val="continue"/>
                  <w:tcBorders>
                    <w:tl2br w:val="nil"/>
                    <w:tr2bl w:val="nil"/>
                  </w:tcBorders>
                  <w:vAlign w:val="center"/>
                </w:tcPr>
                <w:p w14:paraId="36A434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14:paraId="2AF6AC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14:paraId="0043AE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硫化氢</w:t>
                  </w:r>
                </w:p>
              </w:tc>
              <w:tc>
                <w:tcPr>
                  <w:tcW w:w="401" w:type="pct"/>
                  <w:tcBorders>
                    <w:tl2br w:val="nil"/>
                    <w:tr2bl w:val="nil"/>
                  </w:tcBorders>
                  <w:vAlign w:val="center"/>
                </w:tcPr>
                <w:p w14:paraId="3AD7E5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4" w:type="pct"/>
                  <w:tcBorders>
                    <w:tl2br w:val="nil"/>
                    <w:tr2bl w:val="nil"/>
                  </w:tcBorders>
                  <w:vAlign w:val="center"/>
                </w:tcPr>
                <w:p w14:paraId="386A17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0.002</w:t>
                  </w:r>
                </w:p>
              </w:tc>
              <w:tc>
                <w:tcPr>
                  <w:tcW w:w="434" w:type="pct"/>
                  <w:tcBorders>
                    <w:tl2br w:val="nil"/>
                    <w:tr2bl w:val="nil"/>
                  </w:tcBorders>
                  <w:vAlign w:val="center"/>
                </w:tcPr>
                <w:p w14:paraId="7E9EA5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0.003</w:t>
                  </w:r>
                </w:p>
              </w:tc>
              <w:tc>
                <w:tcPr>
                  <w:tcW w:w="434" w:type="pct"/>
                  <w:tcBorders>
                    <w:tl2br w:val="nil"/>
                    <w:tr2bl w:val="nil"/>
                  </w:tcBorders>
                  <w:vAlign w:val="center"/>
                </w:tcPr>
                <w:p w14:paraId="004432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0.005</w:t>
                  </w:r>
                </w:p>
              </w:tc>
              <w:tc>
                <w:tcPr>
                  <w:tcW w:w="434" w:type="pct"/>
                  <w:tcBorders>
                    <w:tl2br w:val="nil"/>
                    <w:tr2bl w:val="nil"/>
                  </w:tcBorders>
                  <w:vAlign w:val="center"/>
                </w:tcPr>
                <w:p w14:paraId="50D519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0.003</w:t>
                  </w:r>
                </w:p>
              </w:tc>
              <w:tc>
                <w:tcPr>
                  <w:tcW w:w="434" w:type="pct"/>
                  <w:tcBorders>
                    <w:tl2br w:val="nil"/>
                    <w:tr2bl w:val="nil"/>
                  </w:tcBorders>
                  <w:vAlign w:val="center"/>
                </w:tcPr>
                <w:p w14:paraId="65EC3D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0.005</w:t>
                  </w:r>
                </w:p>
              </w:tc>
              <w:tc>
                <w:tcPr>
                  <w:tcW w:w="438" w:type="pct"/>
                  <w:tcBorders>
                    <w:tl2br w:val="nil"/>
                    <w:tr2bl w:val="nil"/>
                  </w:tcBorders>
                  <w:vAlign w:val="center"/>
                </w:tcPr>
                <w:p w14:paraId="78C3C5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w:t>
                  </w:r>
                </w:p>
              </w:tc>
            </w:tr>
            <w:tr w14:paraId="566D76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612" w:type="pct"/>
                  <w:vMerge w:val="continue"/>
                  <w:tcBorders>
                    <w:tl2br w:val="nil"/>
                    <w:tr2bl w:val="nil"/>
                  </w:tcBorders>
                  <w:vAlign w:val="center"/>
                </w:tcPr>
                <w:p w14:paraId="18A85B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14:paraId="002450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14:paraId="23373A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氯气</w:t>
                  </w:r>
                </w:p>
              </w:tc>
              <w:tc>
                <w:tcPr>
                  <w:tcW w:w="401" w:type="pct"/>
                  <w:tcBorders>
                    <w:tl2br w:val="nil"/>
                    <w:tr2bl w:val="nil"/>
                  </w:tcBorders>
                  <w:vAlign w:val="center"/>
                </w:tcPr>
                <w:p w14:paraId="2AA41A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792" w:type="dxa"/>
                  <w:tcBorders>
                    <w:tl2br w:val="nil"/>
                    <w:tr2bl w:val="nil"/>
                  </w:tcBorders>
                  <w:vAlign w:val="center"/>
                </w:tcPr>
                <w:p w14:paraId="068A4E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792" w:type="dxa"/>
                  <w:tcBorders>
                    <w:tl2br w:val="nil"/>
                    <w:tr2bl w:val="nil"/>
                  </w:tcBorders>
                  <w:vAlign w:val="center"/>
                </w:tcPr>
                <w:p w14:paraId="0F7D69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792" w:type="dxa"/>
                  <w:tcBorders>
                    <w:tl2br w:val="nil"/>
                    <w:tr2bl w:val="nil"/>
                  </w:tcBorders>
                  <w:vAlign w:val="center"/>
                </w:tcPr>
                <w:p w14:paraId="18D03C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792" w:type="dxa"/>
                  <w:tcBorders>
                    <w:tl2br w:val="nil"/>
                    <w:tr2bl w:val="nil"/>
                  </w:tcBorders>
                  <w:vAlign w:val="center"/>
                </w:tcPr>
                <w:p w14:paraId="198263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795" w:type="dxa"/>
                  <w:tcBorders>
                    <w:tl2br w:val="nil"/>
                    <w:tr2bl w:val="nil"/>
                  </w:tcBorders>
                  <w:vAlign w:val="center"/>
                </w:tcPr>
                <w:p w14:paraId="1E5696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8" w:type="pct"/>
                  <w:tcBorders>
                    <w:tl2br w:val="nil"/>
                    <w:tr2bl w:val="nil"/>
                  </w:tcBorders>
                  <w:vAlign w:val="center"/>
                </w:tcPr>
                <w:p w14:paraId="1CC2A2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0.1</w:t>
                  </w:r>
                </w:p>
              </w:tc>
            </w:tr>
            <w:tr w14:paraId="5C5066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612" w:type="pct"/>
                  <w:vMerge w:val="continue"/>
                  <w:tcBorders>
                    <w:tl2br w:val="nil"/>
                    <w:tr2bl w:val="nil"/>
                  </w:tcBorders>
                  <w:vAlign w:val="center"/>
                </w:tcPr>
                <w:p w14:paraId="58813C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restart"/>
                  <w:tcBorders>
                    <w:tl2br w:val="nil"/>
                    <w:tr2bl w:val="nil"/>
                  </w:tcBorders>
                  <w:vAlign w:val="center"/>
                </w:tcPr>
                <w:p w14:paraId="0A7C1C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bidi="ar-SA"/>
                    </w:rPr>
                  </w:pPr>
                  <w:r>
                    <w:rPr>
                      <w:rFonts w:hint="default" w:ascii="Times New Roman" w:hAnsi="Times New Roman" w:eastAsia="宋体" w:cs="Times New Roman"/>
                      <w:bCs/>
                      <w:color w:val="auto"/>
                      <w:kern w:val="0"/>
                      <w:sz w:val="21"/>
                      <w:szCs w:val="21"/>
                      <w:highlight w:val="none"/>
                      <w:u w:val="single" w:color="auto"/>
                      <w:lang w:val="en-US" w:eastAsia="zh-CN"/>
                    </w:rPr>
                    <w:t>污水处理站下风向1</w:t>
                  </w:r>
                </w:p>
                <w:p w14:paraId="119235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14:paraId="6E5842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氨</w:t>
                  </w:r>
                </w:p>
              </w:tc>
              <w:tc>
                <w:tcPr>
                  <w:tcW w:w="401" w:type="pct"/>
                  <w:tcBorders>
                    <w:tl2br w:val="nil"/>
                    <w:tr2bl w:val="nil"/>
                  </w:tcBorders>
                  <w:vAlign w:val="center"/>
                </w:tcPr>
                <w:p w14:paraId="5C42B8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4" w:type="pct"/>
                  <w:tcBorders>
                    <w:tl2br w:val="nil"/>
                    <w:tr2bl w:val="nil"/>
                  </w:tcBorders>
                  <w:vAlign w:val="center"/>
                </w:tcPr>
                <w:p w14:paraId="72BC93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0.38</w:t>
                  </w:r>
                </w:p>
              </w:tc>
              <w:tc>
                <w:tcPr>
                  <w:tcW w:w="434" w:type="pct"/>
                  <w:tcBorders>
                    <w:tl2br w:val="nil"/>
                    <w:tr2bl w:val="nil"/>
                  </w:tcBorders>
                  <w:vAlign w:val="center"/>
                </w:tcPr>
                <w:p w14:paraId="2CE3D7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0.38</w:t>
                  </w:r>
                </w:p>
              </w:tc>
              <w:tc>
                <w:tcPr>
                  <w:tcW w:w="434" w:type="pct"/>
                  <w:tcBorders>
                    <w:tl2br w:val="nil"/>
                    <w:tr2bl w:val="nil"/>
                  </w:tcBorders>
                  <w:vAlign w:val="center"/>
                </w:tcPr>
                <w:p w14:paraId="33B71C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0.39</w:t>
                  </w:r>
                </w:p>
              </w:tc>
              <w:tc>
                <w:tcPr>
                  <w:tcW w:w="434" w:type="pct"/>
                  <w:tcBorders>
                    <w:tl2br w:val="nil"/>
                    <w:tr2bl w:val="nil"/>
                  </w:tcBorders>
                  <w:vAlign w:val="center"/>
                </w:tcPr>
                <w:p w14:paraId="7EC445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0.10</w:t>
                  </w:r>
                </w:p>
              </w:tc>
              <w:tc>
                <w:tcPr>
                  <w:tcW w:w="434" w:type="pct"/>
                  <w:tcBorders>
                    <w:tl2br w:val="nil"/>
                    <w:tr2bl w:val="nil"/>
                  </w:tcBorders>
                  <w:vAlign w:val="center"/>
                </w:tcPr>
                <w:p w14:paraId="04DA7B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0.40</w:t>
                  </w:r>
                </w:p>
              </w:tc>
              <w:tc>
                <w:tcPr>
                  <w:tcW w:w="438" w:type="pct"/>
                  <w:tcBorders>
                    <w:tl2br w:val="nil"/>
                    <w:tr2bl w:val="nil"/>
                  </w:tcBorders>
                  <w:vAlign w:val="center"/>
                </w:tcPr>
                <w:p w14:paraId="736AE7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14:paraId="2C5617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612" w:type="pct"/>
                  <w:vMerge w:val="continue"/>
                  <w:tcBorders>
                    <w:tl2br w:val="nil"/>
                    <w:tr2bl w:val="nil"/>
                  </w:tcBorders>
                  <w:vAlign w:val="center"/>
                </w:tcPr>
                <w:p w14:paraId="658D95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14:paraId="6B1D06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14:paraId="1D35B4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硫化氢</w:t>
                  </w:r>
                </w:p>
              </w:tc>
              <w:tc>
                <w:tcPr>
                  <w:tcW w:w="401" w:type="pct"/>
                  <w:tcBorders>
                    <w:tl2br w:val="nil"/>
                    <w:tr2bl w:val="nil"/>
                  </w:tcBorders>
                  <w:vAlign w:val="center"/>
                </w:tcPr>
                <w:p w14:paraId="48AFC8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4" w:type="pct"/>
                  <w:tcBorders>
                    <w:tl2br w:val="nil"/>
                    <w:tr2bl w:val="nil"/>
                  </w:tcBorders>
                  <w:vAlign w:val="center"/>
                </w:tcPr>
                <w:p w14:paraId="014D32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0.010</w:t>
                  </w:r>
                </w:p>
              </w:tc>
              <w:tc>
                <w:tcPr>
                  <w:tcW w:w="434" w:type="pct"/>
                  <w:tcBorders>
                    <w:tl2br w:val="nil"/>
                    <w:tr2bl w:val="nil"/>
                  </w:tcBorders>
                  <w:vAlign w:val="center"/>
                </w:tcPr>
                <w:p w14:paraId="7490CB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0.011</w:t>
                  </w:r>
                </w:p>
              </w:tc>
              <w:tc>
                <w:tcPr>
                  <w:tcW w:w="434" w:type="pct"/>
                  <w:tcBorders>
                    <w:tl2br w:val="nil"/>
                    <w:tr2bl w:val="nil"/>
                  </w:tcBorders>
                  <w:vAlign w:val="center"/>
                </w:tcPr>
                <w:p w14:paraId="125B24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0.009</w:t>
                  </w:r>
                </w:p>
              </w:tc>
              <w:tc>
                <w:tcPr>
                  <w:tcW w:w="434" w:type="pct"/>
                  <w:tcBorders>
                    <w:tl2br w:val="nil"/>
                    <w:tr2bl w:val="nil"/>
                  </w:tcBorders>
                  <w:vAlign w:val="center"/>
                </w:tcPr>
                <w:p w14:paraId="5EA892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0.012</w:t>
                  </w:r>
                </w:p>
              </w:tc>
              <w:tc>
                <w:tcPr>
                  <w:tcW w:w="434" w:type="pct"/>
                  <w:tcBorders>
                    <w:tl2br w:val="nil"/>
                    <w:tr2bl w:val="nil"/>
                  </w:tcBorders>
                  <w:vAlign w:val="center"/>
                </w:tcPr>
                <w:p w14:paraId="6888BF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0.012</w:t>
                  </w:r>
                </w:p>
              </w:tc>
              <w:tc>
                <w:tcPr>
                  <w:tcW w:w="438" w:type="pct"/>
                  <w:tcBorders>
                    <w:tl2br w:val="nil"/>
                    <w:tr2bl w:val="nil"/>
                  </w:tcBorders>
                  <w:vAlign w:val="center"/>
                </w:tcPr>
                <w:p w14:paraId="4D78A2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w:t>
                  </w:r>
                </w:p>
              </w:tc>
            </w:tr>
            <w:tr w14:paraId="3EE829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612" w:type="pct"/>
                  <w:vMerge w:val="continue"/>
                  <w:tcBorders>
                    <w:tl2br w:val="nil"/>
                    <w:tr2bl w:val="nil"/>
                  </w:tcBorders>
                  <w:vAlign w:val="center"/>
                </w:tcPr>
                <w:p w14:paraId="0EDDFE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14:paraId="1ECA26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14:paraId="0E994C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氯气</w:t>
                  </w:r>
                </w:p>
              </w:tc>
              <w:tc>
                <w:tcPr>
                  <w:tcW w:w="401" w:type="pct"/>
                  <w:tcBorders>
                    <w:tl2br w:val="nil"/>
                    <w:tr2bl w:val="nil"/>
                  </w:tcBorders>
                  <w:vAlign w:val="center"/>
                </w:tcPr>
                <w:p w14:paraId="18D6FC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792" w:type="dxa"/>
                  <w:tcBorders>
                    <w:tl2br w:val="nil"/>
                    <w:tr2bl w:val="nil"/>
                  </w:tcBorders>
                  <w:vAlign w:val="center"/>
                </w:tcPr>
                <w:p w14:paraId="2CDB51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792" w:type="dxa"/>
                  <w:tcBorders>
                    <w:tl2br w:val="nil"/>
                    <w:tr2bl w:val="nil"/>
                  </w:tcBorders>
                  <w:vAlign w:val="center"/>
                </w:tcPr>
                <w:p w14:paraId="3A36DB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792" w:type="dxa"/>
                  <w:tcBorders>
                    <w:tl2br w:val="nil"/>
                    <w:tr2bl w:val="nil"/>
                  </w:tcBorders>
                  <w:vAlign w:val="center"/>
                </w:tcPr>
                <w:p w14:paraId="6536C4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792" w:type="dxa"/>
                  <w:tcBorders>
                    <w:tl2br w:val="nil"/>
                    <w:tr2bl w:val="nil"/>
                  </w:tcBorders>
                  <w:vAlign w:val="center"/>
                </w:tcPr>
                <w:p w14:paraId="307171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795" w:type="dxa"/>
                  <w:tcBorders>
                    <w:tl2br w:val="nil"/>
                    <w:tr2bl w:val="nil"/>
                  </w:tcBorders>
                  <w:vAlign w:val="center"/>
                </w:tcPr>
                <w:p w14:paraId="10F92C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8" w:type="pct"/>
                  <w:tcBorders>
                    <w:tl2br w:val="nil"/>
                    <w:tr2bl w:val="nil"/>
                  </w:tcBorders>
                  <w:vAlign w:val="center"/>
                </w:tcPr>
                <w:p w14:paraId="147EC9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0.1</w:t>
                  </w:r>
                </w:p>
              </w:tc>
            </w:tr>
            <w:tr w14:paraId="323F11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612" w:type="pct"/>
                  <w:vMerge w:val="continue"/>
                  <w:tcBorders>
                    <w:tl2br w:val="nil"/>
                    <w:tr2bl w:val="nil"/>
                  </w:tcBorders>
                  <w:vAlign w:val="center"/>
                </w:tcPr>
                <w:p w14:paraId="6430BF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14:paraId="4BE10D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14:paraId="52FB52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甲烷</w:t>
                  </w:r>
                </w:p>
              </w:tc>
              <w:tc>
                <w:tcPr>
                  <w:tcW w:w="401" w:type="pct"/>
                  <w:tcBorders>
                    <w:tl2br w:val="nil"/>
                    <w:tr2bl w:val="nil"/>
                  </w:tcBorders>
                  <w:vAlign w:val="center"/>
                </w:tcPr>
                <w:p w14:paraId="1E1DF2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w:t>
                  </w:r>
                </w:p>
              </w:tc>
              <w:tc>
                <w:tcPr>
                  <w:tcW w:w="434" w:type="pct"/>
                  <w:tcBorders>
                    <w:tl2br w:val="nil"/>
                    <w:tr2bl w:val="nil"/>
                  </w:tcBorders>
                  <w:vAlign w:val="center"/>
                </w:tcPr>
                <w:p w14:paraId="71D89A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0.00013</w:t>
                  </w:r>
                </w:p>
              </w:tc>
              <w:tc>
                <w:tcPr>
                  <w:tcW w:w="434" w:type="pct"/>
                  <w:tcBorders>
                    <w:tl2br w:val="nil"/>
                    <w:tr2bl w:val="nil"/>
                  </w:tcBorders>
                  <w:vAlign w:val="center"/>
                </w:tcPr>
                <w:p w14:paraId="634A72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0.00012</w:t>
                  </w:r>
                </w:p>
              </w:tc>
              <w:tc>
                <w:tcPr>
                  <w:tcW w:w="434" w:type="pct"/>
                  <w:tcBorders>
                    <w:tl2br w:val="nil"/>
                    <w:tr2bl w:val="nil"/>
                  </w:tcBorders>
                  <w:vAlign w:val="center"/>
                </w:tcPr>
                <w:p w14:paraId="3D8D4B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0.00013</w:t>
                  </w:r>
                </w:p>
              </w:tc>
              <w:tc>
                <w:tcPr>
                  <w:tcW w:w="434" w:type="pct"/>
                  <w:tcBorders>
                    <w:tl2br w:val="nil"/>
                    <w:tr2bl w:val="nil"/>
                  </w:tcBorders>
                  <w:vAlign w:val="center"/>
                </w:tcPr>
                <w:p w14:paraId="5F583E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0.00013</w:t>
                  </w:r>
                </w:p>
              </w:tc>
              <w:tc>
                <w:tcPr>
                  <w:tcW w:w="434" w:type="pct"/>
                  <w:tcBorders>
                    <w:tl2br w:val="nil"/>
                    <w:tr2bl w:val="nil"/>
                  </w:tcBorders>
                  <w:vAlign w:val="center"/>
                </w:tcPr>
                <w:p w14:paraId="7F7FDF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0.00013</w:t>
                  </w:r>
                </w:p>
              </w:tc>
              <w:tc>
                <w:tcPr>
                  <w:tcW w:w="438" w:type="pct"/>
                  <w:tcBorders>
                    <w:tl2br w:val="nil"/>
                    <w:tr2bl w:val="nil"/>
                  </w:tcBorders>
                  <w:vAlign w:val="center"/>
                </w:tcPr>
                <w:p w14:paraId="4B7DC2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w:t>
                  </w:r>
                </w:p>
              </w:tc>
            </w:tr>
            <w:tr w14:paraId="37DFAE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612" w:type="pct"/>
                  <w:vMerge w:val="continue"/>
                  <w:tcBorders>
                    <w:tl2br w:val="nil"/>
                    <w:tr2bl w:val="nil"/>
                  </w:tcBorders>
                  <w:vAlign w:val="center"/>
                </w:tcPr>
                <w:p w14:paraId="1FF233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14:paraId="4FCAF4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14:paraId="67D615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臭气浓度</w:t>
                  </w:r>
                </w:p>
              </w:tc>
              <w:tc>
                <w:tcPr>
                  <w:tcW w:w="401" w:type="pct"/>
                  <w:tcBorders>
                    <w:tl2br w:val="nil"/>
                    <w:tr2bl w:val="nil"/>
                  </w:tcBorders>
                  <w:vAlign w:val="center"/>
                </w:tcPr>
                <w:p w14:paraId="176C7C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无量纲</w:t>
                  </w:r>
                </w:p>
              </w:tc>
              <w:tc>
                <w:tcPr>
                  <w:tcW w:w="792" w:type="dxa"/>
                  <w:tcBorders>
                    <w:tl2br w:val="nil"/>
                    <w:tr2bl w:val="nil"/>
                  </w:tcBorders>
                  <w:vAlign w:val="center"/>
                </w:tcPr>
                <w:p w14:paraId="070252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792" w:type="dxa"/>
                  <w:tcBorders>
                    <w:tl2br w:val="nil"/>
                    <w:tr2bl w:val="nil"/>
                  </w:tcBorders>
                  <w:vAlign w:val="center"/>
                </w:tcPr>
                <w:p w14:paraId="7A8B3A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792" w:type="dxa"/>
                  <w:tcBorders>
                    <w:tl2br w:val="nil"/>
                    <w:tr2bl w:val="nil"/>
                  </w:tcBorders>
                  <w:vAlign w:val="center"/>
                </w:tcPr>
                <w:p w14:paraId="153456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792" w:type="dxa"/>
                  <w:tcBorders>
                    <w:tl2br w:val="nil"/>
                    <w:tr2bl w:val="nil"/>
                  </w:tcBorders>
                  <w:vAlign w:val="center"/>
                </w:tcPr>
                <w:p w14:paraId="1BBA86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795" w:type="dxa"/>
                  <w:tcBorders>
                    <w:tl2br w:val="nil"/>
                    <w:tr2bl w:val="nil"/>
                  </w:tcBorders>
                  <w:vAlign w:val="center"/>
                </w:tcPr>
                <w:p w14:paraId="262146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8" w:type="pct"/>
                  <w:tcBorders>
                    <w:tl2br w:val="nil"/>
                    <w:tr2bl w:val="nil"/>
                  </w:tcBorders>
                  <w:vAlign w:val="center"/>
                </w:tcPr>
                <w:p w14:paraId="1F240B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14:paraId="06EF08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612" w:type="pct"/>
                  <w:vMerge w:val="continue"/>
                  <w:tcBorders>
                    <w:tl2br w:val="nil"/>
                    <w:tr2bl w:val="nil"/>
                  </w:tcBorders>
                  <w:vAlign w:val="center"/>
                </w:tcPr>
                <w:p w14:paraId="377244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restart"/>
                  <w:tcBorders>
                    <w:tl2br w:val="nil"/>
                    <w:tr2bl w:val="nil"/>
                  </w:tcBorders>
                  <w:vAlign w:val="center"/>
                </w:tcPr>
                <w:p w14:paraId="7F58AC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bidi="ar-SA"/>
                    </w:rPr>
                  </w:pPr>
                  <w:r>
                    <w:rPr>
                      <w:rFonts w:hint="default" w:ascii="Times New Roman" w:hAnsi="Times New Roman" w:eastAsia="宋体" w:cs="Times New Roman"/>
                      <w:bCs/>
                      <w:color w:val="auto"/>
                      <w:kern w:val="0"/>
                      <w:sz w:val="21"/>
                      <w:szCs w:val="21"/>
                      <w:highlight w:val="none"/>
                      <w:u w:val="single" w:color="auto"/>
                      <w:lang w:val="en-US" w:eastAsia="zh-CN"/>
                    </w:rPr>
                    <w:t>污水处理站下风向2</w:t>
                  </w:r>
                </w:p>
              </w:tc>
              <w:tc>
                <w:tcPr>
                  <w:tcW w:w="723" w:type="pct"/>
                  <w:tcBorders>
                    <w:tl2br w:val="nil"/>
                    <w:tr2bl w:val="nil"/>
                  </w:tcBorders>
                  <w:vAlign w:val="center"/>
                </w:tcPr>
                <w:p w14:paraId="1202D4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氨</w:t>
                  </w:r>
                </w:p>
              </w:tc>
              <w:tc>
                <w:tcPr>
                  <w:tcW w:w="401" w:type="pct"/>
                  <w:tcBorders>
                    <w:tl2br w:val="nil"/>
                    <w:tr2bl w:val="nil"/>
                  </w:tcBorders>
                  <w:vAlign w:val="center"/>
                </w:tcPr>
                <w:p w14:paraId="0D01AA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4" w:type="pct"/>
                  <w:tcBorders>
                    <w:tl2br w:val="nil"/>
                    <w:tr2bl w:val="nil"/>
                  </w:tcBorders>
                  <w:vAlign w:val="center"/>
                </w:tcPr>
                <w:p w14:paraId="33BE46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0.33</w:t>
                  </w:r>
                </w:p>
              </w:tc>
              <w:tc>
                <w:tcPr>
                  <w:tcW w:w="434" w:type="pct"/>
                  <w:tcBorders>
                    <w:tl2br w:val="nil"/>
                    <w:tr2bl w:val="nil"/>
                  </w:tcBorders>
                  <w:vAlign w:val="center"/>
                </w:tcPr>
                <w:p w14:paraId="531215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0.31</w:t>
                  </w:r>
                </w:p>
              </w:tc>
              <w:tc>
                <w:tcPr>
                  <w:tcW w:w="434" w:type="pct"/>
                  <w:tcBorders>
                    <w:tl2br w:val="nil"/>
                    <w:tr2bl w:val="nil"/>
                  </w:tcBorders>
                  <w:vAlign w:val="center"/>
                </w:tcPr>
                <w:p w14:paraId="778052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0.36</w:t>
                  </w:r>
                </w:p>
              </w:tc>
              <w:tc>
                <w:tcPr>
                  <w:tcW w:w="434" w:type="pct"/>
                  <w:tcBorders>
                    <w:tl2br w:val="nil"/>
                    <w:tr2bl w:val="nil"/>
                  </w:tcBorders>
                  <w:vAlign w:val="center"/>
                </w:tcPr>
                <w:p w14:paraId="497136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0.34</w:t>
                  </w:r>
                </w:p>
              </w:tc>
              <w:tc>
                <w:tcPr>
                  <w:tcW w:w="434" w:type="pct"/>
                  <w:tcBorders>
                    <w:tl2br w:val="nil"/>
                    <w:tr2bl w:val="nil"/>
                  </w:tcBorders>
                  <w:vAlign w:val="center"/>
                </w:tcPr>
                <w:p w14:paraId="5BA480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0.36</w:t>
                  </w:r>
                </w:p>
              </w:tc>
              <w:tc>
                <w:tcPr>
                  <w:tcW w:w="438" w:type="pct"/>
                  <w:tcBorders>
                    <w:tl2br w:val="nil"/>
                    <w:tr2bl w:val="nil"/>
                  </w:tcBorders>
                  <w:vAlign w:val="center"/>
                </w:tcPr>
                <w:p w14:paraId="1452FF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14:paraId="4545DB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612" w:type="pct"/>
                  <w:vMerge w:val="continue"/>
                  <w:tcBorders>
                    <w:tl2br w:val="nil"/>
                    <w:tr2bl w:val="nil"/>
                  </w:tcBorders>
                  <w:vAlign w:val="center"/>
                </w:tcPr>
                <w:p w14:paraId="0DE417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14:paraId="1B9470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14:paraId="21B4F2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硫化氢</w:t>
                  </w:r>
                </w:p>
              </w:tc>
              <w:tc>
                <w:tcPr>
                  <w:tcW w:w="401" w:type="pct"/>
                  <w:tcBorders>
                    <w:tl2br w:val="nil"/>
                    <w:tr2bl w:val="nil"/>
                  </w:tcBorders>
                  <w:vAlign w:val="center"/>
                </w:tcPr>
                <w:p w14:paraId="00BC37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4" w:type="pct"/>
                  <w:tcBorders>
                    <w:tl2br w:val="nil"/>
                    <w:tr2bl w:val="nil"/>
                  </w:tcBorders>
                  <w:vAlign w:val="center"/>
                </w:tcPr>
                <w:p w14:paraId="32AE0C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0.011</w:t>
                  </w:r>
                </w:p>
              </w:tc>
              <w:tc>
                <w:tcPr>
                  <w:tcW w:w="434" w:type="pct"/>
                  <w:tcBorders>
                    <w:tl2br w:val="nil"/>
                    <w:tr2bl w:val="nil"/>
                  </w:tcBorders>
                  <w:vAlign w:val="center"/>
                </w:tcPr>
                <w:p w14:paraId="6ED148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0.013</w:t>
                  </w:r>
                </w:p>
              </w:tc>
              <w:tc>
                <w:tcPr>
                  <w:tcW w:w="434" w:type="pct"/>
                  <w:tcBorders>
                    <w:tl2br w:val="nil"/>
                    <w:tr2bl w:val="nil"/>
                  </w:tcBorders>
                  <w:vAlign w:val="center"/>
                </w:tcPr>
                <w:p w14:paraId="28B09D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0.010</w:t>
                  </w:r>
                </w:p>
              </w:tc>
              <w:tc>
                <w:tcPr>
                  <w:tcW w:w="434" w:type="pct"/>
                  <w:tcBorders>
                    <w:tl2br w:val="nil"/>
                    <w:tr2bl w:val="nil"/>
                  </w:tcBorders>
                  <w:vAlign w:val="center"/>
                </w:tcPr>
                <w:p w14:paraId="084504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0.009</w:t>
                  </w:r>
                </w:p>
              </w:tc>
              <w:tc>
                <w:tcPr>
                  <w:tcW w:w="434" w:type="pct"/>
                  <w:tcBorders>
                    <w:tl2br w:val="nil"/>
                    <w:tr2bl w:val="nil"/>
                  </w:tcBorders>
                  <w:vAlign w:val="center"/>
                </w:tcPr>
                <w:p w14:paraId="22B9FF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0.013</w:t>
                  </w:r>
                </w:p>
              </w:tc>
              <w:tc>
                <w:tcPr>
                  <w:tcW w:w="438" w:type="pct"/>
                  <w:tcBorders>
                    <w:tl2br w:val="nil"/>
                    <w:tr2bl w:val="nil"/>
                  </w:tcBorders>
                  <w:vAlign w:val="center"/>
                </w:tcPr>
                <w:p w14:paraId="3453AE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w:t>
                  </w:r>
                </w:p>
              </w:tc>
            </w:tr>
            <w:tr w14:paraId="5D2F3C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612" w:type="pct"/>
                  <w:vMerge w:val="continue"/>
                  <w:tcBorders>
                    <w:tl2br w:val="nil"/>
                    <w:tr2bl w:val="nil"/>
                  </w:tcBorders>
                  <w:vAlign w:val="center"/>
                </w:tcPr>
                <w:p w14:paraId="460970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14:paraId="4B1D08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14:paraId="0E5143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氯气</w:t>
                  </w:r>
                </w:p>
              </w:tc>
              <w:tc>
                <w:tcPr>
                  <w:tcW w:w="401" w:type="pct"/>
                  <w:tcBorders>
                    <w:tl2br w:val="nil"/>
                    <w:tr2bl w:val="nil"/>
                  </w:tcBorders>
                  <w:vAlign w:val="center"/>
                </w:tcPr>
                <w:p w14:paraId="09DE12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792" w:type="dxa"/>
                  <w:tcBorders>
                    <w:tl2br w:val="nil"/>
                    <w:tr2bl w:val="nil"/>
                  </w:tcBorders>
                  <w:vAlign w:val="center"/>
                </w:tcPr>
                <w:p w14:paraId="31FADD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792" w:type="dxa"/>
                  <w:tcBorders>
                    <w:tl2br w:val="nil"/>
                    <w:tr2bl w:val="nil"/>
                  </w:tcBorders>
                  <w:vAlign w:val="center"/>
                </w:tcPr>
                <w:p w14:paraId="53BE60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792" w:type="dxa"/>
                  <w:tcBorders>
                    <w:tl2br w:val="nil"/>
                    <w:tr2bl w:val="nil"/>
                  </w:tcBorders>
                  <w:vAlign w:val="center"/>
                </w:tcPr>
                <w:p w14:paraId="1DD3CF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792" w:type="dxa"/>
                  <w:tcBorders>
                    <w:tl2br w:val="nil"/>
                    <w:tr2bl w:val="nil"/>
                  </w:tcBorders>
                  <w:vAlign w:val="center"/>
                </w:tcPr>
                <w:p w14:paraId="26B18A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795" w:type="dxa"/>
                  <w:tcBorders>
                    <w:tl2br w:val="nil"/>
                    <w:tr2bl w:val="nil"/>
                  </w:tcBorders>
                  <w:vAlign w:val="center"/>
                </w:tcPr>
                <w:p w14:paraId="5A9D20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8" w:type="pct"/>
                  <w:tcBorders>
                    <w:tl2br w:val="nil"/>
                    <w:tr2bl w:val="nil"/>
                  </w:tcBorders>
                  <w:vAlign w:val="center"/>
                </w:tcPr>
                <w:p w14:paraId="44B8D7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0.1</w:t>
                  </w:r>
                </w:p>
              </w:tc>
            </w:tr>
            <w:tr w14:paraId="167854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612" w:type="pct"/>
                  <w:vMerge w:val="continue"/>
                  <w:tcBorders>
                    <w:tl2br w:val="nil"/>
                    <w:tr2bl w:val="nil"/>
                  </w:tcBorders>
                  <w:vAlign w:val="center"/>
                </w:tcPr>
                <w:p w14:paraId="43E28E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14:paraId="1DCBB2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14:paraId="7B03EE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甲烷</w:t>
                  </w:r>
                </w:p>
              </w:tc>
              <w:tc>
                <w:tcPr>
                  <w:tcW w:w="401" w:type="pct"/>
                  <w:tcBorders>
                    <w:tl2br w:val="nil"/>
                    <w:tr2bl w:val="nil"/>
                  </w:tcBorders>
                  <w:vAlign w:val="center"/>
                </w:tcPr>
                <w:p w14:paraId="147E63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w:t>
                  </w:r>
                </w:p>
              </w:tc>
              <w:tc>
                <w:tcPr>
                  <w:tcW w:w="434" w:type="pct"/>
                  <w:tcBorders>
                    <w:tl2br w:val="nil"/>
                    <w:tr2bl w:val="nil"/>
                  </w:tcBorders>
                  <w:vAlign w:val="center"/>
                </w:tcPr>
                <w:p w14:paraId="57473D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0.00013</w:t>
                  </w:r>
                </w:p>
              </w:tc>
              <w:tc>
                <w:tcPr>
                  <w:tcW w:w="434" w:type="pct"/>
                  <w:tcBorders>
                    <w:tl2br w:val="nil"/>
                    <w:tr2bl w:val="nil"/>
                  </w:tcBorders>
                  <w:vAlign w:val="center"/>
                </w:tcPr>
                <w:p w14:paraId="691007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0.00012</w:t>
                  </w:r>
                </w:p>
              </w:tc>
              <w:tc>
                <w:tcPr>
                  <w:tcW w:w="434" w:type="pct"/>
                  <w:tcBorders>
                    <w:tl2br w:val="nil"/>
                    <w:tr2bl w:val="nil"/>
                  </w:tcBorders>
                  <w:vAlign w:val="center"/>
                </w:tcPr>
                <w:p w14:paraId="053284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0.00012</w:t>
                  </w:r>
                </w:p>
              </w:tc>
              <w:tc>
                <w:tcPr>
                  <w:tcW w:w="434" w:type="pct"/>
                  <w:tcBorders>
                    <w:tl2br w:val="nil"/>
                    <w:tr2bl w:val="nil"/>
                  </w:tcBorders>
                  <w:vAlign w:val="center"/>
                </w:tcPr>
                <w:p w14:paraId="6490C1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0.00011</w:t>
                  </w:r>
                </w:p>
              </w:tc>
              <w:tc>
                <w:tcPr>
                  <w:tcW w:w="434" w:type="pct"/>
                  <w:tcBorders>
                    <w:tl2br w:val="nil"/>
                    <w:tr2bl w:val="nil"/>
                  </w:tcBorders>
                  <w:vAlign w:val="center"/>
                </w:tcPr>
                <w:p w14:paraId="46B00F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0.00013</w:t>
                  </w:r>
                </w:p>
              </w:tc>
              <w:tc>
                <w:tcPr>
                  <w:tcW w:w="438" w:type="pct"/>
                  <w:tcBorders>
                    <w:tl2br w:val="nil"/>
                    <w:tr2bl w:val="nil"/>
                  </w:tcBorders>
                  <w:vAlign w:val="center"/>
                </w:tcPr>
                <w:p w14:paraId="06B741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w:t>
                  </w:r>
                </w:p>
              </w:tc>
            </w:tr>
            <w:tr w14:paraId="003341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612" w:type="pct"/>
                  <w:vMerge w:val="continue"/>
                  <w:tcBorders>
                    <w:tl2br w:val="nil"/>
                    <w:tr2bl w:val="nil"/>
                  </w:tcBorders>
                  <w:vAlign w:val="center"/>
                </w:tcPr>
                <w:p w14:paraId="191C6C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14:paraId="1A7BFF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14:paraId="2F6DD0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臭气浓度</w:t>
                  </w:r>
                </w:p>
              </w:tc>
              <w:tc>
                <w:tcPr>
                  <w:tcW w:w="401" w:type="pct"/>
                  <w:tcBorders>
                    <w:tl2br w:val="nil"/>
                    <w:tr2bl w:val="nil"/>
                  </w:tcBorders>
                  <w:vAlign w:val="center"/>
                </w:tcPr>
                <w:p w14:paraId="3E1ADE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无量纲</w:t>
                  </w:r>
                </w:p>
              </w:tc>
              <w:tc>
                <w:tcPr>
                  <w:tcW w:w="792" w:type="dxa"/>
                  <w:tcBorders>
                    <w:tl2br w:val="nil"/>
                    <w:tr2bl w:val="nil"/>
                  </w:tcBorders>
                  <w:vAlign w:val="center"/>
                </w:tcPr>
                <w:p w14:paraId="600008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792" w:type="dxa"/>
                  <w:tcBorders>
                    <w:tl2br w:val="nil"/>
                    <w:tr2bl w:val="nil"/>
                  </w:tcBorders>
                  <w:vAlign w:val="center"/>
                </w:tcPr>
                <w:p w14:paraId="1E45F3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792" w:type="dxa"/>
                  <w:tcBorders>
                    <w:tl2br w:val="nil"/>
                    <w:tr2bl w:val="nil"/>
                  </w:tcBorders>
                  <w:vAlign w:val="center"/>
                </w:tcPr>
                <w:p w14:paraId="6770D5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792" w:type="dxa"/>
                  <w:tcBorders>
                    <w:tl2br w:val="nil"/>
                    <w:tr2bl w:val="nil"/>
                  </w:tcBorders>
                  <w:vAlign w:val="center"/>
                </w:tcPr>
                <w:p w14:paraId="74F7A2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795" w:type="dxa"/>
                  <w:tcBorders>
                    <w:tl2br w:val="nil"/>
                    <w:tr2bl w:val="nil"/>
                  </w:tcBorders>
                  <w:vAlign w:val="center"/>
                </w:tcPr>
                <w:p w14:paraId="524389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8" w:type="pct"/>
                  <w:tcBorders>
                    <w:tl2br w:val="nil"/>
                    <w:tr2bl w:val="nil"/>
                  </w:tcBorders>
                  <w:vAlign w:val="center"/>
                </w:tcPr>
                <w:p w14:paraId="3D43D3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14:paraId="2C1B3F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5000" w:type="pct"/>
                  <w:gridSpan w:val="10"/>
                  <w:tcBorders>
                    <w:tl2br w:val="nil"/>
                    <w:tr2bl w:val="nil"/>
                  </w:tcBorders>
                  <w:vAlign w:val="center"/>
                </w:tcPr>
                <w:p w14:paraId="47F812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0"/>
                      <w:sz w:val="21"/>
                      <w:szCs w:val="21"/>
                      <w:highlight w:val="none"/>
                      <w:u w:val="single" w:color="auto"/>
                      <w:lang w:val="en-US" w:eastAsia="en-US"/>
                    </w:rPr>
                  </w:pPr>
                  <w:r>
                    <w:rPr>
                      <w:rFonts w:hint="default" w:ascii="Times New Roman" w:hAnsi="Times New Roman" w:eastAsia="宋体" w:cs="Times New Roman"/>
                      <w:bCs/>
                      <w:color w:val="auto"/>
                      <w:kern w:val="0"/>
                      <w:sz w:val="21"/>
                      <w:szCs w:val="21"/>
                      <w:highlight w:val="none"/>
                      <w:u w:val="single" w:color="auto"/>
                      <w:lang w:val="en-US" w:eastAsia="en-US"/>
                    </w:rPr>
                    <w:t>备注：1、“检出限+L ”表示检测结果低于本方法检出限，未检出；</w:t>
                  </w:r>
                </w:p>
                <w:p w14:paraId="36CA6E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en-US"/>
                    </w:rPr>
                    <w:t>2、执行《医疗机构水污染物排放标准》（GB 18466-2005）表3最高允许排放浓度。</w:t>
                  </w:r>
                </w:p>
              </w:tc>
            </w:tr>
          </w:tbl>
          <w:p w14:paraId="1E6D0A3F">
            <w:pPr>
              <w:widowControl w:val="0"/>
              <w:bidi w:val="0"/>
              <w:adjustRightInd w:val="0"/>
              <w:snapToGrid w:val="0"/>
              <w:spacing w:line="240" w:lineRule="auto"/>
              <w:ind w:firstLine="0" w:firstLineChars="0"/>
              <w:jc w:val="center"/>
              <w:rPr>
                <w:rFonts w:hint="default" w:ascii="Times New Roman" w:hAnsi="Times New Roman" w:eastAsia="宋体" w:cstheme="minorBidi"/>
                <w:b/>
                <w:bCs/>
                <w:color w:val="auto"/>
                <w:kern w:val="2"/>
                <w:sz w:val="21"/>
                <w:szCs w:val="21"/>
                <w:highlight w:val="none"/>
                <w:u w:val="single" w:color="auto"/>
                <w:lang w:val="en-US" w:eastAsia="zh-CN" w:bidi="ar-SA"/>
              </w:rPr>
            </w:pPr>
          </w:p>
          <w:p w14:paraId="59FCC9FD">
            <w:pPr>
              <w:widowControl w:val="0"/>
              <w:bidi w:val="0"/>
              <w:adjustRightInd w:val="0"/>
              <w:snapToGrid w:val="0"/>
              <w:spacing w:line="240" w:lineRule="auto"/>
              <w:ind w:firstLine="0" w:firstLineChars="0"/>
              <w:jc w:val="center"/>
              <w:rPr>
                <w:rFonts w:hint="default" w:ascii="Times New Roman" w:hAnsi="Times New Roman" w:eastAsia="宋体" w:cstheme="minorBidi"/>
                <w:b/>
                <w:bCs/>
                <w:color w:val="auto"/>
                <w:kern w:val="2"/>
                <w:sz w:val="21"/>
                <w:szCs w:val="21"/>
                <w:highlight w:val="none"/>
                <w:u w:val="single" w:color="auto"/>
                <w:lang w:val="en-US" w:eastAsia="zh-CN" w:bidi="ar-SA"/>
              </w:rPr>
            </w:pPr>
            <w:r>
              <w:rPr>
                <w:rFonts w:hint="default" w:ascii="Times New Roman" w:hAnsi="Times New Roman" w:eastAsia="宋体" w:cstheme="minorBidi"/>
                <w:b/>
                <w:bCs/>
                <w:color w:val="auto"/>
                <w:kern w:val="2"/>
                <w:sz w:val="21"/>
                <w:szCs w:val="21"/>
                <w:highlight w:val="none"/>
                <w:u w:val="single" w:color="auto"/>
                <w:lang w:val="en-US" w:eastAsia="zh-CN" w:bidi="ar-SA"/>
              </w:rPr>
              <w:t>表</w:t>
            </w:r>
            <w:r>
              <w:rPr>
                <w:rFonts w:hint="eastAsia" w:ascii="Times New Roman" w:hAnsi="Times New Roman" w:cstheme="minorBidi"/>
                <w:b/>
                <w:bCs/>
                <w:color w:val="auto"/>
                <w:kern w:val="2"/>
                <w:sz w:val="21"/>
                <w:szCs w:val="21"/>
                <w:highlight w:val="none"/>
                <w:u w:val="single" w:color="auto"/>
                <w:lang w:val="en-US" w:eastAsia="zh-CN" w:bidi="ar-SA"/>
              </w:rPr>
              <w:t xml:space="preserve">2-7 </w:t>
            </w:r>
            <w:r>
              <w:rPr>
                <w:rFonts w:hint="eastAsia" w:ascii="Times New Roman" w:hAnsi="Times New Roman" w:eastAsia="宋体" w:cstheme="minorBidi"/>
                <w:b/>
                <w:bCs/>
                <w:color w:val="auto"/>
                <w:kern w:val="2"/>
                <w:sz w:val="21"/>
                <w:szCs w:val="21"/>
                <w:highlight w:val="none"/>
                <w:u w:val="single" w:color="auto"/>
                <w:lang w:val="en-US" w:eastAsia="zh-CN" w:bidi="ar-SA"/>
              </w:rPr>
              <w:t xml:space="preserve"> 现有工程油烟废气检测结果</w:t>
            </w:r>
            <w:r>
              <w:rPr>
                <w:rFonts w:hint="default" w:ascii="Times New Roman" w:hAnsi="Times New Roman" w:eastAsia="宋体" w:cstheme="minorBidi"/>
                <w:b/>
                <w:bCs/>
                <w:color w:val="auto"/>
                <w:kern w:val="2"/>
                <w:sz w:val="21"/>
                <w:szCs w:val="21"/>
                <w:highlight w:val="none"/>
                <w:u w:val="single" w:color="auto"/>
                <w:lang w:val="en-US" w:eastAsia="zh-CN" w:bidi="ar-SA"/>
              </w:rPr>
              <w:t>表</w:t>
            </w:r>
          </w:p>
          <w:tbl>
            <w:tblPr>
              <w:tblStyle w:val="69"/>
              <w:tblW w:w="9008" w:type="dxa"/>
              <w:tblInd w:w="1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13"/>
              <w:gridCol w:w="1277"/>
              <w:gridCol w:w="1140"/>
              <w:gridCol w:w="1061"/>
              <w:gridCol w:w="1492"/>
              <w:gridCol w:w="1312"/>
              <w:gridCol w:w="1413"/>
            </w:tblGrid>
            <w:tr w14:paraId="4D7ECE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438" w:type="pct"/>
                  <w:gridSpan w:val="2"/>
                  <w:tcBorders>
                    <w:tl2br w:val="nil"/>
                    <w:tr2bl w:val="nil"/>
                  </w:tcBorders>
                  <w:vAlign w:val="center"/>
                </w:tcPr>
                <w:p w14:paraId="63EE5B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工作灶头数</w:t>
                  </w:r>
                </w:p>
              </w:tc>
              <w:tc>
                <w:tcPr>
                  <w:tcW w:w="3561" w:type="pct"/>
                  <w:gridSpan w:val="5"/>
                  <w:tcBorders>
                    <w:tl2br w:val="nil"/>
                    <w:tr2bl w:val="nil"/>
                  </w:tcBorders>
                  <w:vAlign w:val="center"/>
                </w:tcPr>
                <w:p w14:paraId="701921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1</w:t>
                  </w:r>
                  <w:r>
                    <w:rPr>
                      <w:rFonts w:hint="default" w:ascii="Times New Roman" w:hAnsi="Times New Roman" w:eastAsia="宋体" w:cs="Times New Roman"/>
                      <w:bCs/>
                      <w:color w:val="auto"/>
                      <w:kern w:val="0"/>
                      <w:sz w:val="21"/>
                      <w:szCs w:val="21"/>
                      <w:highlight w:val="none"/>
                      <w:u w:val="single" w:color="auto"/>
                      <w:lang w:val="en-US" w:eastAsia="zh-CN"/>
                    </w:rPr>
                    <w:t>个</w:t>
                  </w:r>
                </w:p>
              </w:tc>
            </w:tr>
            <w:tr w14:paraId="5275F1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438" w:type="pct"/>
                  <w:gridSpan w:val="2"/>
                  <w:tcBorders>
                    <w:tl2br w:val="nil"/>
                    <w:tr2bl w:val="nil"/>
                  </w:tcBorders>
                  <w:vAlign w:val="center"/>
                </w:tcPr>
                <w:p w14:paraId="0C03F1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采样现场状况描述</w:t>
                  </w:r>
                </w:p>
              </w:tc>
              <w:tc>
                <w:tcPr>
                  <w:tcW w:w="3561" w:type="pct"/>
                  <w:gridSpan w:val="5"/>
                  <w:tcBorders>
                    <w:tl2br w:val="nil"/>
                    <w:tr2bl w:val="nil"/>
                  </w:tcBorders>
                  <w:vAlign w:val="center"/>
                </w:tcPr>
                <w:p w14:paraId="7F8B38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1个蒸锅在运行，现场无油渍，较整洁</w:t>
                  </w:r>
                </w:p>
              </w:tc>
            </w:tr>
            <w:tr w14:paraId="257E0A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29" w:type="pct"/>
                  <w:tcBorders>
                    <w:tl2br w:val="nil"/>
                    <w:tr2bl w:val="nil"/>
                  </w:tcBorders>
                  <w:vAlign w:val="center"/>
                </w:tcPr>
                <w:p w14:paraId="667C32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检测项目</w:t>
                  </w:r>
                </w:p>
              </w:tc>
              <w:tc>
                <w:tcPr>
                  <w:tcW w:w="708" w:type="pct"/>
                  <w:tcBorders>
                    <w:tl2br w:val="nil"/>
                    <w:tr2bl w:val="nil"/>
                  </w:tcBorders>
                  <w:vAlign w:val="center"/>
                </w:tcPr>
                <w:p w14:paraId="459E81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检测点位</w:t>
                  </w:r>
                </w:p>
              </w:tc>
              <w:tc>
                <w:tcPr>
                  <w:tcW w:w="1222" w:type="pct"/>
                  <w:gridSpan w:val="2"/>
                  <w:tcBorders>
                    <w:tl2br w:val="nil"/>
                    <w:tr2bl w:val="nil"/>
                  </w:tcBorders>
                  <w:vAlign w:val="center"/>
                </w:tcPr>
                <w:p w14:paraId="2B937D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检测时间</w:t>
                  </w:r>
                </w:p>
              </w:tc>
              <w:tc>
                <w:tcPr>
                  <w:tcW w:w="827" w:type="pct"/>
                  <w:tcBorders>
                    <w:tl2br w:val="nil"/>
                    <w:tr2bl w:val="nil"/>
                  </w:tcBorders>
                  <w:vAlign w:val="center"/>
                </w:tcPr>
                <w:p w14:paraId="6FF6A6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标干流量</w:t>
                  </w:r>
                </w:p>
                <w:p w14:paraId="275A98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r>
                    <w:rPr>
                      <w:rFonts w:hint="default" w:ascii="Times New Roman" w:hAnsi="Times New Roman" w:eastAsia="宋体" w:cs="Times New Roman"/>
                      <w:bCs/>
                      <w:color w:val="auto"/>
                      <w:kern w:val="0"/>
                      <w:sz w:val="21"/>
                      <w:szCs w:val="21"/>
                      <w:highlight w:val="none"/>
                      <w:u w:val="single" w:color="auto"/>
                      <w:lang w:val="en-US" w:eastAsia="zh-CN"/>
                    </w:rPr>
                    <w:t>/h）</w:t>
                  </w:r>
                </w:p>
              </w:tc>
              <w:tc>
                <w:tcPr>
                  <w:tcW w:w="728" w:type="pct"/>
                  <w:tcBorders>
                    <w:tl2br w:val="nil"/>
                    <w:tr2bl w:val="nil"/>
                  </w:tcBorders>
                  <w:vAlign w:val="center"/>
                </w:tcPr>
                <w:p w14:paraId="487389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C</w:t>
                  </w:r>
                  <w:r>
                    <w:rPr>
                      <w:rFonts w:hint="default" w:ascii="Times New Roman" w:hAnsi="Times New Roman" w:eastAsia="宋体" w:cs="Times New Roman"/>
                      <w:bCs/>
                      <w:color w:val="auto"/>
                      <w:kern w:val="0"/>
                      <w:sz w:val="21"/>
                      <w:szCs w:val="21"/>
                      <w:highlight w:val="none"/>
                      <w:u w:val="single" w:color="auto"/>
                      <w:vertAlign w:val="subscript"/>
                      <w:lang w:val="en-US" w:eastAsia="zh-CN"/>
                    </w:rPr>
                    <w:t>基</w:t>
                  </w:r>
                </w:p>
                <w:p w14:paraId="5613E4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r>
                    <w:rPr>
                      <w:rFonts w:hint="default" w:ascii="Times New Roman" w:hAnsi="Times New Roman" w:eastAsia="宋体" w:cs="Times New Roman"/>
                      <w:bCs/>
                      <w:color w:val="auto"/>
                      <w:kern w:val="0"/>
                      <w:sz w:val="21"/>
                      <w:szCs w:val="21"/>
                      <w:highlight w:val="none"/>
                      <w:u w:val="single" w:color="auto"/>
                      <w:lang w:val="en-US" w:eastAsia="zh-CN"/>
                    </w:rPr>
                    <w:t>）</w:t>
                  </w:r>
                </w:p>
              </w:tc>
              <w:tc>
                <w:tcPr>
                  <w:tcW w:w="783" w:type="pct"/>
                  <w:tcBorders>
                    <w:tl2br w:val="nil"/>
                    <w:tr2bl w:val="nil"/>
                  </w:tcBorders>
                  <w:vAlign w:val="center"/>
                </w:tcPr>
                <w:p w14:paraId="17A9E3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C</w:t>
                  </w:r>
                  <w:r>
                    <w:rPr>
                      <w:rFonts w:hint="default" w:ascii="Times New Roman" w:hAnsi="Times New Roman" w:eastAsia="宋体" w:cs="Times New Roman"/>
                      <w:bCs/>
                      <w:color w:val="auto"/>
                      <w:kern w:val="0"/>
                      <w:sz w:val="21"/>
                      <w:szCs w:val="21"/>
                      <w:highlight w:val="none"/>
                      <w:u w:val="single" w:color="auto"/>
                      <w:vertAlign w:val="subscript"/>
                      <w:lang w:val="en-US" w:eastAsia="zh-CN"/>
                    </w:rPr>
                    <w:t>基</w:t>
                  </w:r>
                  <w:r>
                    <w:rPr>
                      <w:rFonts w:hint="default" w:ascii="Times New Roman" w:hAnsi="Times New Roman" w:eastAsia="宋体" w:cs="Times New Roman"/>
                      <w:bCs/>
                      <w:color w:val="auto"/>
                      <w:kern w:val="0"/>
                      <w:sz w:val="21"/>
                      <w:szCs w:val="21"/>
                      <w:highlight w:val="none"/>
                      <w:u w:val="single" w:color="auto"/>
                      <w:lang w:val="en-US" w:eastAsia="zh-CN"/>
                    </w:rPr>
                    <w:t>平均（mg/m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r>
                    <w:rPr>
                      <w:rFonts w:hint="default" w:ascii="Times New Roman" w:hAnsi="Times New Roman" w:eastAsia="宋体" w:cs="Times New Roman"/>
                      <w:bCs/>
                      <w:color w:val="auto"/>
                      <w:kern w:val="0"/>
                      <w:sz w:val="21"/>
                      <w:szCs w:val="21"/>
                      <w:highlight w:val="none"/>
                      <w:u w:val="single" w:color="auto"/>
                      <w:lang w:val="en-US" w:eastAsia="zh-CN"/>
                    </w:rPr>
                    <w:t>）</w:t>
                  </w:r>
                </w:p>
              </w:tc>
            </w:tr>
            <w:tr w14:paraId="2174E9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29" w:type="pct"/>
                  <w:vMerge w:val="restart"/>
                  <w:tcBorders>
                    <w:tl2br w:val="nil"/>
                    <w:tr2bl w:val="nil"/>
                  </w:tcBorders>
                  <w:vAlign w:val="center"/>
                </w:tcPr>
                <w:p w14:paraId="1C95CF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油烟</w:t>
                  </w:r>
                </w:p>
              </w:tc>
              <w:tc>
                <w:tcPr>
                  <w:tcW w:w="708" w:type="pct"/>
                  <w:vMerge w:val="restart"/>
                  <w:tcBorders>
                    <w:tl2br w:val="nil"/>
                    <w:tr2bl w:val="nil"/>
                  </w:tcBorders>
                  <w:vAlign w:val="center"/>
                </w:tcPr>
                <w:p w14:paraId="535552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油烟净化器排气筒</w:t>
                  </w:r>
                </w:p>
              </w:tc>
              <w:tc>
                <w:tcPr>
                  <w:tcW w:w="633" w:type="pct"/>
                  <w:vMerge w:val="restart"/>
                  <w:tcBorders>
                    <w:tl2br w:val="nil"/>
                    <w:tr2bl w:val="nil"/>
                  </w:tcBorders>
                  <w:vAlign w:val="center"/>
                </w:tcPr>
                <w:p w14:paraId="68B464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2024.03.28</w:t>
                  </w:r>
                </w:p>
              </w:tc>
              <w:tc>
                <w:tcPr>
                  <w:tcW w:w="588" w:type="pct"/>
                  <w:tcBorders>
                    <w:tl2br w:val="nil"/>
                    <w:tr2bl w:val="nil"/>
                  </w:tcBorders>
                  <w:vAlign w:val="center"/>
                </w:tcPr>
                <w:p w14:paraId="5EAD5A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第一次</w:t>
                  </w:r>
                </w:p>
              </w:tc>
              <w:tc>
                <w:tcPr>
                  <w:tcW w:w="827" w:type="pct"/>
                  <w:tcBorders>
                    <w:tl2br w:val="nil"/>
                    <w:tr2bl w:val="nil"/>
                  </w:tcBorders>
                  <w:vAlign w:val="center"/>
                </w:tcPr>
                <w:p w14:paraId="50886B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5262</w:t>
                  </w:r>
                </w:p>
              </w:tc>
              <w:tc>
                <w:tcPr>
                  <w:tcW w:w="728" w:type="pct"/>
                  <w:tcBorders>
                    <w:tl2br w:val="nil"/>
                    <w:tr2bl w:val="nil"/>
                  </w:tcBorders>
                  <w:vAlign w:val="center"/>
                </w:tcPr>
                <w:p w14:paraId="4DB9E2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0.85</w:t>
                  </w:r>
                </w:p>
              </w:tc>
              <w:tc>
                <w:tcPr>
                  <w:tcW w:w="783" w:type="pct"/>
                  <w:vMerge w:val="restart"/>
                  <w:tcBorders>
                    <w:tl2br w:val="nil"/>
                    <w:tr2bl w:val="nil"/>
                  </w:tcBorders>
                  <w:vAlign w:val="center"/>
                </w:tcPr>
                <w:p w14:paraId="6FEC8A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0.86</w:t>
                  </w:r>
                </w:p>
              </w:tc>
            </w:tr>
            <w:tr w14:paraId="0F526B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29" w:type="pct"/>
                  <w:vMerge w:val="continue"/>
                  <w:tcBorders>
                    <w:tl2br w:val="nil"/>
                    <w:tr2bl w:val="nil"/>
                  </w:tcBorders>
                  <w:vAlign w:val="center"/>
                </w:tcPr>
                <w:p w14:paraId="6AA9C0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08" w:type="pct"/>
                  <w:vMerge w:val="continue"/>
                  <w:tcBorders>
                    <w:tl2br w:val="nil"/>
                    <w:tr2bl w:val="nil"/>
                  </w:tcBorders>
                  <w:vAlign w:val="center"/>
                </w:tcPr>
                <w:p w14:paraId="2980CB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33" w:type="pct"/>
                  <w:vMerge w:val="continue"/>
                  <w:tcBorders>
                    <w:tl2br w:val="nil"/>
                    <w:tr2bl w:val="nil"/>
                  </w:tcBorders>
                  <w:vAlign w:val="center"/>
                </w:tcPr>
                <w:p w14:paraId="3E24FA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588" w:type="pct"/>
                  <w:tcBorders>
                    <w:tl2br w:val="nil"/>
                    <w:tr2bl w:val="nil"/>
                  </w:tcBorders>
                  <w:vAlign w:val="center"/>
                </w:tcPr>
                <w:p w14:paraId="7A7924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第二次</w:t>
                  </w:r>
                </w:p>
              </w:tc>
              <w:tc>
                <w:tcPr>
                  <w:tcW w:w="827" w:type="pct"/>
                  <w:tcBorders>
                    <w:tl2br w:val="nil"/>
                    <w:tr2bl w:val="nil"/>
                  </w:tcBorders>
                  <w:vAlign w:val="center"/>
                </w:tcPr>
                <w:p w14:paraId="131C78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5357</w:t>
                  </w:r>
                </w:p>
              </w:tc>
              <w:tc>
                <w:tcPr>
                  <w:tcW w:w="728" w:type="pct"/>
                  <w:tcBorders>
                    <w:tl2br w:val="nil"/>
                    <w:tr2bl w:val="nil"/>
                  </w:tcBorders>
                  <w:vAlign w:val="center"/>
                </w:tcPr>
                <w:p w14:paraId="6A7464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0.82</w:t>
                  </w:r>
                </w:p>
              </w:tc>
              <w:tc>
                <w:tcPr>
                  <w:tcW w:w="783" w:type="pct"/>
                  <w:vMerge w:val="continue"/>
                  <w:tcBorders>
                    <w:tl2br w:val="nil"/>
                    <w:tr2bl w:val="nil"/>
                  </w:tcBorders>
                  <w:vAlign w:val="center"/>
                </w:tcPr>
                <w:p w14:paraId="4DA90A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r>
            <w:tr w14:paraId="791DBA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29" w:type="pct"/>
                  <w:vMerge w:val="continue"/>
                  <w:tcBorders>
                    <w:tl2br w:val="nil"/>
                    <w:tr2bl w:val="nil"/>
                  </w:tcBorders>
                  <w:vAlign w:val="center"/>
                </w:tcPr>
                <w:p w14:paraId="6741C0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08" w:type="pct"/>
                  <w:vMerge w:val="continue"/>
                  <w:tcBorders>
                    <w:tl2br w:val="nil"/>
                    <w:tr2bl w:val="nil"/>
                  </w:tcBorders>
                  <w:vAlign w:val="center"/>
                </w:tcPr>
                <w:p w14:paraId="7F0638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33" w:type="pct"/>
                  <w:vMerge w:val="continue"/>
                  <w:tcBorders>
                    <w:tl2br w:val="nil"/>
                    <w:tr2bl w:val="nil"/>
                  </w:tcBorders>
                  <w:vAlign w:val="center"/>
                </w:tcPr>
                <w:p w14:paraId="120B94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588" w:type="pct"/>
                  <w:tcBorders>
                    <w:tl2br w:val="nil"/>
                    <w:tr2bl w:val="nil"/>
                  </w:tcBorders>
                  <w:vAlign w:val="center"/>
                </w:tcPr>
                <w:p w14:paraId="57126F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第三次</w:t>
                  </w:r>
                </w:p>
              </w:tc>
              <w:tc>
                <w:tcPr>
                  <w:tcW w:w="827" w:type="pct"/>
                  <w:tcBorders>
                    <w:tl2br w:val="nil"/>
                    <w:tr2bl w:val="nil"/>
                  </w:tcBorders>
                  <w:vAlign w:val="center"/>
                </w:tcPr>
                <w:p w14:paraId="54259C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5441</w:t>
                  </w:r>
                </w:p>
              </w:tc>
              <w:tc>
                <w:tcPr>
                  <w:tcW w:w="728" w:type="pct"/>
                  <w:tcBorders>
                    <w:tl2br w:val="nil"/>
                    <w:tr2bl w:val="nil"/>
                  </w:tcBorders>
                  <w:vAlign w:val="center"/>
                </w:tcPr>
                <w:p w14:paraId="05A8B5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0.86</w:t>
                  </w:r>
                </w:p>
              </w:tc>
              <w:tc>
                <w:tcPr>
                  <w:tcW w:w="783" w:type="pct"/>
                  <w:vMerge w:val="continue"/>
                  <w:tcBorders>
                    <w:tl2br w:val="nil"/>
                    <w:tr2bl w:val="nil"/>
                  </w:tcBorders>
                  <w:vAlign w:val="center"/>
                </w:tcPr>
                <w:p w14:paraId="17309B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r>
            <w:tr w14:paraId="2C1BCB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29" w:type="pct"/>
                  <w:vMerge w:val="continue"/>
                  <w:tcBorders>
                    <w:tl2br w:val="nil"/>
                    <w:tr2bl w:val="nil"/>
                  </w:tcBorders>
                  <w:vAlign w:val="center"/>
                </w:tcPr>
                <w:p w14:paraId="36EA4F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08" w:type="pct"/>
                  <w:vMerge w:val="continue"/>
                  <w:tcBorders>
                    <w:tl2br w:val="nil"/>
                    <w:tr2bl w:val="nil"/>
                  </w:tcBorders>
                  <w:vAlign w:val="center"/>
                </w:tcPr>
                <w:p w14:paraId="3298F0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33" w:type="pct"/>
                  <w:vMerge w:val="continue"/>
                  <w:tcBorders>
                    <w:tl2br w:val="nil"/>
                    <w:tr2bl w:val="nil"/>
                  </w:tcBorders>
                  <w:vAlign w:val="center"/>
                </w:tcPr>
                <w:p w14:paraId="5CE9C9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588" w:type="pct"/>
                  <w:tcBorders>
                    <w:tl2br w:val="nil"/>
                    <w:tr2bl w:val="nil"/>
                  </w:tcBorders>
                  <w:vAlign w:val="center"/>
                </w:tcPr>
                <w:p w14:paraId="071AB3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第四次</w:t>
                  </w:r>
                </w:p>
              </w:tc>
              <w:tc>
                <w:tcPr>
                  <w:tcW w:w="827" w:type="pct"/>
                  <w:tcBorders>
                    <w:tl2br w:val="nil"/>
                    <w:tr2bl w:val="nil"/>
                  </w:tcBorders>
                  <w:vAlign w:val="center"/>
                </w:tcPr>
                <w:p w14:paraId="60DB70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5509</w:t>
                  </w:r>
                </w:p>
              </w:tc>
              <w:tc>
                <w:tcPr>
                  <w:tcW w:w="728" w:type="pct"/>
                  <w:tcBorders>
                    <w:tl2br w:val="nil"/>
                    <w:tr2bl w:val="nil"/>
                  </w:tcBorders>
                  <w:vAlign w:val="center"/>
                </w:tcPr>
                <w:p w14:paraId="69DE0F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0.88</w:t>
                  </w:r>
                </w:p>
              </w:tc>
              <w:tc>
                <w:tcPr>
                  <w:tcW w:w="783" w:type="pct"/>
                  <w:vMerge w:val="continue"/>
                  <w:tcBorders>
                    <w:tl2br w:val="nil"/>
                    <w:tr2bl w:val="nil"/>
                  </w:tcBorders>
                  <w:vAlign w:val="center"/>
                </w:tcPr>
                <w:p w14:paraId="7C6A15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r>
            <w:tr w14:paraId="23487E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29" w:type="pct"/>
                  <w:vMerge w:val="continue"/>
                  <w:tcBorders>
                    <w:tl2br w:val="nil"/>
                    <w:tr2bl w:val="nil"/>
                  </w:tcBorders>
                  <w:vAlign w:val="center"/>
                </w:tcPr>
                <w:p w14:paraId="53F73E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08" w:type="pct"/>
                  <w:vMerge w:val="continue"/>
                  <w:tcBorders>
                    <w:tl2br w:val="nil"/>
                    <w:tr2bl w:val="nil"/>
                  </w:tcBorders>
                  <w:vAlign w:val="center"/>
                </w:tcPr>
                <w:p w14:paraId="071C45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33" w:type="pct"/>
                  <w:vMerge w:val="continue"/>
                  <w:tcBorders>
                    <w:tl2br w:val="nil"/>
                    <w:tr2bl w:val="nil"/>
                  </w:tcBorders>
                  <w:vAlign w:val="center"/>
                </w:tcPr>
                <w:p w14:paraId="6F9059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588" w:type="pct"/>
                  <w:tcBorders>
                    <w:tl2br w:val="nil"/>
                    <w:tr2bl w:val="nil"/>
                  </w:tcBorders>
                  <w:vAlign w:val="center"/>
                </w:tcPr>
                <w:p w14:paraId="65B469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第五次</w:t>
                  </w:r>
                </w:p>
              </w:tc>
              <w:tc>
                <w:tcPr>
                  <w:tcW w:w="827" w:type="pct"/>
                  <w:tcBorders>
                    <w:tl2br w:val="nil"/>
                    <w:tr2bl w:val="nil"/>
                  </w:tcBorders>
                  <w:vAlign w:val="center"/>
                </w:tcPr>
                <w:p w14:paraId="1252C1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5529</w:t>
                  </w:r>
                </w:p>
              </w:tc>
              <w:tc>
                <w:tcPr>
                  <w:tcW w:w="728" w:type="pct"/>
                  <w:tcBorders>
                    <w:tl2br w:val="nil"/>
                    <w:tr2bl w:val="nil"/>
                  </w:tcBorders>
                  <w:vAlign w:val="center"/>
                </w:tcPr>
                <w:p w14:paraId="1FDB5A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0.89</w:t>
                  </w:r>
                </w:p>
              </w:tc>
              <w:tc>
                <w:tcPr>
                  <w:tcW w:w="783" w:type="pct"/>
                  <w:vMerge w:val="continue"/>
                  <w:tcBorders>
                    <w:tl2br w:val="nil"/>
                    <w:tr2bl w:val="nil"/>
                  </w:tcBorders>
                  <w:vAlign w:val="center"/>
                </w:tcPr>
                <w:p w14:paraId="42A58B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r>
            <w:tr w14:paraId="1944CD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29" w:type="pct"/>
                  <w:vMerge w:val="continue"/>
                  <w:tcBorders>
                    <w:tl2br w:val="nil"/>
                    <w:tr2bl w:val="nil"/>
                  </w:tcBorders>
                  <w:vAlign w:val="center"/>
                </w:tcPr>
                <w:p w14:paraId="3DF65A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08" w:type="pct"/>
                  <w:vMerge w:val="continue"/>
                  <w:tcBorders>
                    <w:tl2br w:val="nil"/>
                    <w:tr2bl w:val="nil"/>
                  </w:tcBorders>
                  <w:vAlign w:val="center"/>
                </w:tcPr>
                <w:p w14:paraId="29D05E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33" w:type="pct"/>
                  <w:vMerge w:val="restart"/>
                  <w:tcBorders>
                    <w:tl2br w:val="nil"/>
                    <w:tr2bl w:val="nil"/>
                  </w:tcBorders>
                  <w:vAlign w:val="center"/>
                </w:tcPr>
                <w:p w14:paraId="3D3CF4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2024.03.29</w:t>
                  </w:r>
                </w:p>
              </w:tc>
              <w:tc>
                <w:tcPr>
                  <w:tcW w:w="588" w:type="pct"/>
                  <w:tcBorders>
                    <w:tl2br w:val="nil"/>
                    <w:tr2bl w:val="nil"/>
                  </w:tcBorders>
                  <w:vAlign w:val="center"/>
                </w:tcPr>
                <w:p w14:paraId="06C6D5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第一次</w:t>
                  </w:r>
                </w:p>
              </w:tc>
              <w:tc>
                <w:tcPr>
                  <w:tcW w:w="827" w:type="pct"/>
                  <w:tcBorders>
                    <w:tl2br w:val="nil"/>
                    <w:tr2bl w:val="nil"/>
                  </w:tcBorders>
                  <w:vAlign w:val="center"/>
                </w:tcPr>
                <w:p w14:paraId="5F7744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3710</w:t>
                  </w:r>
                </w:p>
              </w:tc>
              <w:tc>
                <w:tcPr>
                  <w:tcW w:w="728" w:type="pct"/>
                  <w:tcBorders>
                    <w:tl2br w:val="nil"/>
                    <w:tr2bl w:val="nil"/>
                  </w:tcBorders>
                  <w:vAlign w:val="center"/>
                </w:tcPr>
                <w:p w14:paraId="1C2AF8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0.60</w:t>
                  </w:r>
                </w:p>
              </w:tc>
              <w:tc>
                <w:tcPr>
                  <w:tcW w:w="783" w:type="pct"/>
                  <w:vMerge w:val="restart"/>
                  <w:tcBorders>
                    <w:tl2br w:val="nil"/>
                    <w:tr2bl w:val="nil"/>
                  </w:tcBorders>
                  <w:vAlign w:val="center"/>
                </w:tcPr>
                <w:p w14:paraId="178F75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0.69</w:t>
                  </w:r>
                </w:p>
              </w:tc>
            </w:tr>
            <w:tr w14:paraId="4174F6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29" w:type="pct"/>
                  <w:vMerge w:val="continue"/>
                  <w:tcBorders>
                    <w:tl2br w:val="nil"/>
                    <w:tr2bl w:val="nil"/>
                  </w:tcBorders>
                  <w:vAlign w:val="center"/>
                </w:tcPr>
                <w:p w14:paraId="68B1D3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08" w:type="pct"/>
                  <w:vMerge w:val="continue"/>
                  <w:tcBorders>
                    <w:tl2br w:val="nil"/>
                    <w:tr2bl w:val="nil"/>
                  </w:tcBorders>
                  <w:vAlign w:val="center"/>
                </w:tcPr>
                <w:p w14:paraId="7CAC5F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33" w:type="pct"/>
                  <w:vMerge w:val="continue"/>
                  <w:tcBorders>
                    <w:tl2br w:val="nil"/>
                    <w:tr2bl w:val="nil"/>
                  </w:tcBorders>
                  <w:vAlign w:val="center"/>
                </w:tcPr>
                <w:p w14:paraId="63BE26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588" w:type="pct"/>
                  <w:tcBorders>
                    <w:tl2br w:val="nil"/>
                    <w:tr2bl w:val="nil"/>
                  </w:tcBorders>
                  <w:vAlign w:val="center"/>
                </w:tcPr>
                <w:p w14:paraId="060703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第二次</w:t>
                  </w:r>
                </w:p>
              </w:tc>
              <w:tc>
                <w:tcPr>
                  <w:tcW w:w="827" w:type="pct"/>
                  <w:tcBorders>
                    <w:tl2br w:val="nil"/>
                    <w:tr2bl w:val="nil"/>
                  </w:tcBorders>
                  <w:vAlign w:val="center"/>
                </w:tcPr>
                <w:p w14:paraId="12E0A8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4318</w:t>
                  </w:r>
                </w:p>
              </w:tc>
              <w:tc>
                <w:tcPr>
                  <w:tcW w:w="728" w:type="pct"/>
                  <w:tcBorders>
                    <w:tl2br w:val="nil"/>
                    <w:tr2bl w:val="nil"/>
                  </w:tcBorders>
                  <w:vAlign w:val="center"/>
                </w:tcPr>
                <w:p w14:paraId="5E72D9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0.68</w:t>
                  </w:r>
                </w:p>
              </w:tc>
              <w:tc>
                <w:tcPr>
                  <w:tcW w:w="783" w:type="pct"/>
                  <w:vMerge w:val="continue"/>
                  <w:tcBorders>
                    <w:tl2br w:val="nil"/>
                    <w:tr2bl w:val="nil"/>
                  </w:tcBorders>
                  <w:vAlign w:val="center"/>
                </w:tcPr>
                <w:p w14:paraId="2EE74D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r>
            <w:tr w14:paraId="417A94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29" w:type="pct"/>
                  <w:vMerge w:val="continue"/>
                  <w:tcBorders>
                    <w:tl2br w:val="nil"/>
                    <w:tr2bl w:val="nil"/>
                  </w:tcBorders>
                  <w:vAlign w:val="center"/>
                </w:tcPr>
                <w:p w14:paraId="0F7BA5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08" w:type="pct"/>
                  <w:vMerge w:val="continue"/>
                  <w:tcBorders>
                    <w:tl2br w:val="nil"/>
                    <w:tr2bl w:val="nil"/>
                  </w:tcBorders>
                  <w:vAlign w:val="center"/>
                </w:tcPr>
                <w:p w14:paraId="6AF0BC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33" w:type="pct"/>
                  <w:vMerge w:val="continue"/>
                  <w:tcBorders>
                    <w:tl2br w:val="nil"/>
                    <w:tr2bl w:val="nil"/>
                  </w:tcBorders>
                  <w:vAlign w:val="center"/>
                </w:tcPr>
                <w:p w14:paraId="5965FA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588" w:type="pct"/>
                  <w:tcBorders>
                    <w:tl2br w:val="nil"/>
                    <w:tr2bl w:val="nil"/>
                  </w:tcBorders>
                  <w:vAlign w:val="center"/>
                </w:tcPr>
                <w:p w14:paraId="63C671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第三次</w:t>
                  </w:r>
                </w:p>
              </w:tc>
              <w:tc>
                <w:tcPr>
                  <w:tcW w:w="827" w:type="pct"/>
                  <w:tcBorders>
                    <w:tl2br w:val="nil"/>
                    <w:tr2bl w:val="nil"/>
                  </w:tcBorders>
                  <w:vAlign w:val="center"/>
                </w:tcPr>
                <w:p w14:paraId="7A1A9E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4344</w:t>
                  </w:r>
                </w:p>
              </w:tc>
              <w:tc>
                <w:tcPr>
                  <w:tcW w:w="728" w:type="pct"/>
                  <w:tcBorders>
                    <w:tl2br w:val="nil"/>
                    <w:tr2bl w:val="nil"/>
                  </w:tcBorders>
                  <w:vAlign w:val="center"/>
                </w:tcPr>
                <w:p w14:paraId="1A1416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0.71</w:t>
                  </w:r>
                </w:p>
              </w:tc>
              <w:tc>
                <w:tcPr>
                  <w:tcW w:w="783" w:type="pct"/>
                  <w:vMerge w:val="continue"/>
                  <w:tcBorders>
                    <w:tl2br w:val="nil"/>
                    <w:tr2bl w:val="nil"/>
                  </w:tcBorders>
                  <w:vAlign w:val="center"/>
                </w:tcPr>
                <w:p w14:paraId="41E487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r>
            <w:tr w14:paraId="2629EF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trPr>
              <w:tc>
                <w:tcPr>
                  <w:tcW w:w="729" w:type="pct"/>
                  <w:vMerge w:val="continue"/>
                  <w:tcBorders>
                    <w:tl2br w:val="nil"/>
                    <w:tr2bl w:val="nil"/>
                  </w:tcBorders>
                  <w:vAlign w:val="center"/>
                </w:tcPr>
                <w:p w14:paraId="047F26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08" w:type="pct"/>
                  <w:vMerge w:val="continue"/>
                  <w:tcBorders>
                    <w:tl2br w:val="nil"/>
                    <w:tr2bl w:val="nil"/>
                  </w:tcBorders>
                  <w:vAlign w:val="center"/>
                </w:tcPr>
                <w:p w14:paraId="56564A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33" w:type="pct"/>
                  <w:vMerge w:val="continue"/>
                  <w:tcBorders>
                    <w:tl2br w:val="nil"/>
                    <w:tr2bl w:val="nil"/>
                  </w:tcBorders>
                  <w:vAlign w:val="center"/>
                </w:tcPr>
                <w:p w14:paraId="5FC88E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588" w:type="pct"/>
                  <w:tcBorders>
                    <w:tl2br w:val="nil"/>
                    <w:tr2bl w:val="nil"/>
                  </w:tcBorders>
                  <w:vAlign w:val="center"/>
                </w:tcPr>
                <w:p w14:paraId="7FB670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第四次</w:t>
                  </w:r>
                </w:p>
              </w:tc>
              <w:tc>
                <w:tcPr>
                  <w:tcW w:w="827" w:type="pct"/>
                  <w:tcBorders>
                    <w:tl2br w:val="nil"/>
                    <w:tr2bl w:val="nil"/>
                  </w:tcBorders>
                  <w:vAlign w:val="center"/>
                </w:tcPr>
                <w:p w14:paraId="7A05FC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4395</w:t>
                  </w:r>
                </w:p>
              </w:tc>
              <w:tc>
                <w:tcPr>
                  <w:tcW w:w="728" w:type="pct"/>
                  <w:tcBorders>
                    <w:tl2br w:val="nil"/>
                    <w:tr2bl w:val="nil"/>
                  </w:tcBorders>
                  <w:vAlign w:val="center"/>
                </w:tcPr>
                <w:p w14:paraId="52504B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0.72</w:t>
                  </w:r>
                </w:p>
              </w:tc>
              <w:tc>
                <w:tcPr>
                  <w:tcW w:w="783" w:type="pct"/>
                  <w:vMerge w:val="continue"/>
                  <w:tcBorders>
                    <w:tl2br w:val="nil"/>
                    <w:tr2bl w:val="nil"/>
                  </w:tcBorders>
                  <w:vAlign w:val="center"/>
                </w:tcPr>
                <w:p w14:paraId="06CD89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r>
            <w:tr w14:paraId="1D1BCB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29" w:type="pct"/>
                  <w:vMerge w:val="continue"/>
                  <w:tcBorders>
                    <w:tl2br w:val="nil"/>
                    <w:tr2bl w:val="nil"/>
                  </w:tcBorders>
                  <w:vAlign w:val="center"/>
                </w:tcPr>
                <w:p w14:paraId="5D1A56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08" w:type="pct"/>
                  <w:vMerge w:val="continue"/>
                  <w:tcBorders>
                    <w:tl2br w:val="nil"/>
                    <w:tr2bl w:val="nil"/>
                  </w:tcBorders>
                  <w:vAlign w:val="center"/>
                </w:tcPr>
                <w:p w14:paraId="4188FE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33" w:type="pct"/>
                  <w:vMerge w:val="continue"/>
                  <w:tcBorders>
                    <w:tl2br w:val="nil"/>
                    <w:tr2bl w:val="nil"/>
                  </w:tcBorders>
                  <w:vAlign w:val="center"/>
                </w:tcPr>
                <w:p w14:paraId="086043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588" w:type="pct"/>
                  <w:tcBorders>
                    <w:tl2br w:val="nil"/>
                    <w:tr2bl w:val="nil"/>
                  </w:tcBorders>
                  <w:vAlign w:val="center"/>
                </w:tcPr>
                <w:p w14:paraId="501BB6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第五次</w:t>
                  </w:r>
                </w:p>
              </w:tc>
              <w:tc>
                <w:tcPr>
                  <w:tcW w:w="827" w:type="pct"/>
                  <w:tcBorders>
                    <w:tl2br w:val="nil"/>
                    <w:tr2bl w:val="nil"/>
                  </w:tcBorders>
                  <w:vAlign w:val="center"/>
                </w:tcPr>
                <w:p w14:paraId="0ABD61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4388</w:t>
                  </w:r>
                </w:p>
              </w:tc>
              <w:tc>
                <w:tcPr>
                  <w:tcW w:w="728" w:type="pct"/>
                  <w:tcBorders>
                    <w:tl2br w:val="nil"/>
                    <w:tr2bl w:val="nil"/>
                  </w:tcBorders>
                  <w:vAlign w:val="center"/>
                </w:tcPr>
                <w:p w14:paraId="71C302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0.72</w:t>
                  </w:r>
                </w:p>
              </w:tc>
              <w:tc>
                <w:tcPr>
                  <w:tcW w:w="783" w:type="pct"/>
                  <w:vMerge w:val="continue"/>
                  <w:tcBorders>
                    <w:tl2br w:val="nil"/>
                    <w:tr2bl w:val="nil"/>
                  </w:tcBorders>
                  <w:vAlign w:val="center"/>
                </w:tcPr>
                <w:p w14:paraId="3E4D91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r>
            <w:tr w14:paraId="5D68B9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trPr>
              <w:tc>
                <w:tcPr>
                  <w:tcW w:w="3487" w:type="pct"/>
                  <w:gridSpan w:val="5"/>
                  <w:tcBorders>
                    <w:tl2br w:val="nil"/>
                    <w:tr2bl w:val="nil"/>
                  </w:tcBorders>
                  <w:vAlign w:val="center"/>
                </w:tcPr>
                <w:p w14:paraId="32D2F1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浓度限值（mg/m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r>
                    <w:rPr>
                      <w:rFonts w:hint="default" w:ascii="Times New Roman" w:hAnsi="Times New Roman" w:eastAsia="宋体" w:cs="Times New Roman"/>
                      <w:bCs/>
                      <w:color w:val="auto"/>
                      <w:kern w:val="0"/>
                      <w:sz w:val="21"/>
                      <w:szCs w:val="21"/>
                      <w:highlight w:val="none"/>
                      <w:u w:val="single" w:color="auto"/>
                      <w:lang w:val="en-US" w:eastAsia="zh-CN"/>
                    </w:rPr>
                    <w:t>）</w:t>
                  </w:r>
                </w:p>
              </w:tc>
              <w:tc>
                <w:tcPr>
                  <w:tcW w:w="1512" w:type="pct"/>
                  <w:gridSpan w:val="2"/>
                  <w:tcBorders>
                    <w:tl2br w:val="nil"/>
                    <w:tr2bl w:val="nil"/>
                  </w:tcBorders>
                  <w:vAlign w:val="center"/>
                </w:tcPr>
                <w:p w14:paraId="3452EC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2.0</w:t>
                  </w:r>
                </w:p>
              </w:tc>
            </w:tr>
            <w:tr w14:paraId="122EBC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00" w:type="pct"/>
                  <w:gridSpan w:val="7"/>
                  <w:tcBorders>
                    <w:tl2br w:val="nil"/>
                    <w:tr2bl w:val="nil"/>
                  </w:tcBorders>
                  <w:vAlign w:val="center"/>
                </w:tcPr>
                <w:p w14:paraId="1FFDBC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en-US"/>
                    </w:rPr>
                    <w:t>备注：执行《饮食业油烟排放标准》（GB 18483-2001）表</w:t>
                  </w:r>
                  <w:r>
                    <w:rPr>
                      <w:rFonts w:hint="eastAsia" w:ascii="Times New Roman" w:hAnsi="Times New Roman" w:cs="Times New Roman"/>
                      <w:bCs/>
                      <w:color w:val="auto"/>
                      <w:kern w:val="0"/>
                      <w:sz w:val="21"/>
                      <w:szCs w:val="21"/>
                      <w:highlight w:val="none"/>
                      <w:u w:val="single" w:color="auto"/>
                      <w:lang w:val="en-US" w:eastAsia="zh-CN"/>
                    </w:rPr>
                    <w:t>2</w:t>
                  </w:r>
                  <w:r>
                    <w:rPr>
                      <w:rFonts w:hint="default" w:ascii="Times New Roman" w:hAnsi="Times New Roman" w:eastAsia="宋体" w:cs="Times New Roman"/>
                      <w:bCs/>
                      <w:color w:val="auto"/>
                      <w:kern w:val="0"/>
                      <w:sz w:val="21"/>
                      <w:szCs w:val="21"/>
                      <w:highlight w:val="none"/>
                      <w:u w:val="single" w:color="auto"/>
                      <w:lang w:val="en-US" w:eastAsia="en-US"/>
                    </w:rPr>
                    <w:t>中最高允许排放浓度。</w:t>
                  </w:r>
                </w:p>
              </w:tc>
            </w:tr>
          </w:tbl>
          <w:p w14:paraId="4D928F01">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（3）噪声</w:t>
            </w:r>
          </w:p>
          <w:p w14:paraId="39A3D704">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现有项目营运期噪声来源主要是项目内车辆进出交通噪声，地下车库通风设施、水泵房、配电用房、空调系统、制冷压缩机、柴油发电机产生的机械设备噪声等，本项目</w:t>
            </w:r>
            <w:r>
              <w:rPr>
                <w:rFonts w:hint="eastAsia" w:cs="Times New Roman" w:eastAsiaTheme="minorEastAsia"/>
                <w:color w:val="auto"/>
                <w:spacing w:val="11"/>
                <w:position w:val="0"/>
                <w:sz w:val="24"/>
                <w:szCs w:val="24"/>
                <w:highlight w:val="none"/>
                <w:u w:val="single" w:color="auto"/>
                <w:lang w:val="en-US" w:eastAsia="zh-CN"/>
              </w:rPr>
              <w:t>通过</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加强管理，使用隔音消声效果较好的建筑和装饰材料等措施</w:t>
            </w:r>
            <w:r>
              <w:rPr>
                <w:rFonts w:hint="eastAsia" w:ascii="Times New Roman" w:hAnsi="Times New Roman" w:cs="Times New Roman" w:eastAsiaTheme="minorEastAsia"/>
                <w:color w:val="auto"/>
                <w:spacing w:val="11"/>
                <w:position w:val="0"/>
                <w:sz w:val="24"/>
                <w:szCs w:val="24"/>
                <w:highlight w:val="none"/>
                <w:u w:val="single" w:color="auto"/>
                <w:lang w:val="en-US" w:eastAsia="zh-CN"/>
              </w:rPr>
              <w:t>进行控制</w:t>
            </w: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p w14:paraId="7A4C82BE">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根据现有工程竣工环境保护自主验收报告表，验收监测期间，厂界四周昼、夜间噪声均满足《工业企业厂界环境噪声排放标准》（GB12348-2008）中2类标准限值要求</w:t>
            </w:r>
            <w:r>
              <w:rPr>
                <w:rFonts w:hint="eastAsia" w:cs="Times New Roman" w:eastAsiaTheme="minorEastAsia"/>
                <w:color w:val="auto"/>
                <w:spacing w:val="11"/>
                <w:position w:val="0"/>
                <w:sz w:val="24"/>
                <w:szCs w:val="24"/>
                <w:highlight w:val="none"/>
                <w:u w:val="single" w:color="auto"/>
                <w:lang w:val="en-US" w:eastAsia="zh-CN"/>
              </w:rPr>
              <w:t>，监测结果详见表2-8。</w:t>
            </w:r>
          </w:p>
          <w:p w14:paraId="2FDFD334">
            <w:pPr>
              <w:adjustRightInd/>
              <w:snapToGrid/>
              <w:spacing w:line="240" w:lineRule="auto"/>
              <w:ind w:firstLine="0" w:firstLineChars="0"/>
              <w:jc w:val="center"/>
              <w:rPr>
                <w:rFonts w:hint="default" w:ascii="Times New Roman" w:hAnsi="Times New Roman" w:cs="Times New Roman" w:eastAsiaTheme="minorEastAsia"/>
                <w:b/>
                <w:bCs/>
                <w:color w:val="auto"/>
                <w:sz w:val="21"/>
                <w:szCs w:val="21"/>
                <w:highlight w:val="none"/>
                <w:u w:val="single" w:color="auto"/>
              </w:rPr>
            </w:pPr>
            <w:r>
              <w:rPr>
                <w:rFonts w:hint="default" w:ascii="Times New Roman" w:hAnsi="Times New Roman" w:cs="Times New Roman" w:eastAsiaTheme="minorEastAsia"/>
                <w:b/>
                <w:bCs/>
                <w:color w:val="auto"/>
                <w:sz w:val="21"/>
                <w:szCs w:val="21"/>
                <w:highlight w:val="none"/>
                <w:u w:val="single" w:color="auto"/>
              </w:rPr>
              <w:t>表</w:t>
            </w:r>
            <w:r>
              <w:rPr>
                <w:rFonts w:hint="eastAsia" w:ascii="Times New Roman" w:hAnsi="Times New Roman" w:cs="Times New Roman" w:eastAsiaTheme="minorEastAsia"/>
                <w:b/>
                <w:bCs/>
                <w:color w:val="auto"/>
                <w:sz w:val="21"/>
                <w:szCs w:val="21"/>
                <w:highlight w:val="none"/>
                <w:u w:val="single" w:color="auto"/>
                <w:lang w:val="en-US" w:eastAsia="zh-CN"/>
              </w:rPr>
              <w:t>2-8  现有工程噪声</w:t>
            </w:r>
            <w:r>
              <w:rPr>
                <w:rFonts w:hint="default" w:ascii="Times New Roman" w:hAnsi="Times New Roman" w:cs="Times New Roman" w:eastAsiaTheme="minorEastAsia"/>
                <w:b/>
                <w:bCs/>
                <w:color w:val="auto"/>
                <w:sz w:val="21"/>
                <w:szCs w:val="21"/>
                <w:highlight w:val="none"/>
                <w:u w:val="single" w:color="auto"/>
                <w:lang w:val="en-US" w:eastAsia="zh-CN"/>
              </w:rPr>
              <w:t>检测</w:t>
            </w:r>
            <w:r>
              <w:rPr>
                <w:rFonts w:hint="default" w:ascii="Times New Roman" w:hAnsi="Times New Roman" w:cs="Times New Roman" w:eastAsiaTheme="minorEastAsia"/>
                <w:b/>
                <w:bCs/>
                <w:color w:val="auto"/>
                <w:sz w:val="21"/>
                <w:szCs w:val="21"/>
                <w:highlight w:val="none"/>
                <w:u w:val="single" w:color="auto"/>
              </w:rPr>
              <w:t>结果</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95"/>
              <w:gridCol w:w="1291"/>
              <w:gridCol w:w="1437"/>
              <w:gridCol w:w="1437"/>
              <w:gridCol w:w="1444"/>
            </w:tblGrid>
            <w:tr w14:paraId="6840E8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5" w:type="pct"/>
                  <w:vMerge w:val="restart"/>
                  <w:tcBorders>
                    <w:tl2br w:val="nil"/>
                    <w:tr2bl w:val="nil"/>
                  </w:tcBorders>
                  <w:noWrap w:val="0"/>
                  <w:vAlign w:val="center"/>
                </w:tcPr>
                <w:p w14:paraId="4A5308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检测点位</w:t>
                  </w:r>
                </w:p>
              </w:tc>
              <w:tc>
                <w:tcPr>
                  <w:tcW w:w="3114" w:type="pct"/>
                  <w:gridSpan w:val="4"/>
                  <w:tcBorders>
                    <w:tl2br w:val="nil"/>
                    <w:tr2bl w:val="nil"/>
                  </w:tcBorders>
                  <w:noWrap w:val="0"/>
                  <w:vAlign w:val="center"/>
                </w:tcPr>
                <w:p w14:paraId="48CCDB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检测结果（单位：dB(A)）</w:t>
                  </w:r>
                </w:p>
              </w:tc>
            </w:tr>
            <w:tr w14:paraId="6435ED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5" w:type="pct"/>
                  <w:vMerge w:val="continue"/>
                  <w:tcBorders>
                    <w:tl2br w:val="nil"/>
                    <w:tr2bl w:val="nil"/>
                  </w:tcBorders>
                  <w:noWrap w:val="0"/>
                  <w:vAlign w:val="center"/>
                </w:tcPr>
                <w:p w14:paraId="23EC64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p>
              </w:tc>
              <w:tc>
                <w:tcPr>
                  <w:tcW w:w="1515" w:type="pct"/>
                  <w:gridSpan w:val="2"/>
                  <w:tcBorders>
                    <w:tl2br w:val="nil"/>
                    <w:tr2bl w:val="nil"/>
                  </w:tcBorders>
                  <w:noWrap w:val="0"/>
                  <w:vAlign w:val="center"/>
                </w:tcPr>
                <w:p w14:paraId="0D7C6A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2024.</w:t>
                  </w:r>
                  <w:r>
                    <w:rPr>
                      <w:rFonts w:hint="eastAsia" w:ascii="Times New Roman" w:hAnsi="Times New Roman" w:eastAsia="宋体" w:cs="Times New Roman"/>
                      <w:color w:val="auto"/>
                      <w:kern w:val="0"/>
                      <w:sz w:val="21"/>
                      <w:szCs w:val="21"/>
                      <w:u w:val="single" w:color="auto"/>
                      <w:lang w:val="en-US" w:eastAsia="zh-CN"/>
                    </w:rPr>
                    <w:t>03.25</w:t>
                  </w:r>
                </w:p>
              </w:tc>
              <w:tc>
                <w:tcPr>
                  <w:tcW w:w="1598" w:type="pct"/>
                  <w:gridSpan w:val="2"/>
                  <w:tcBorders>
                    <w:tl2br w:val="nil"/>
                    <w:tr2bl w:val="nil"/>
                  </w:tcBorders>
                  <w:noWrap w:val="0"/>
                  <w:vAlign w:val="center"/>
                </w:tcPr>
                <w:p w14:paraId="607254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2024.0</w:t>
                  </w:r>
                  <w:r>
                    <w:rPr>
                      <w:rFonts w:hint="eastAsia" w:ascii="Times New Roman" w:hAnsi="Times New Roman" w:eastAsia="宋体" w:cs="Times New Roman"/>
                      <w:color w:val="auto"/>
                      <w:kern w:val="0"/>
                      <w:sz w:val="21"/>
                      <w:szCs w:val="21"/>
                      <w:u w:val="single" w:color="auto"/>
                      <w:lang w:val="en-US" w:eastAsia="zh-CN"/>
                    </w:rPr>
                    <w:t>3.26</w:t>
                  </w:r>
                </w:p>
              </w:tc>
            </w:tr>
            <w:tr w14:paraId="377E88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5" w:type="pct"/>
                  <w:vMerge w:val="continue"/>
                  <w:tcBorders>
                    <w:tl2br w:val="nil"/>
                    <w:tr2bl w:val="nil"/>
                  </w:tcBorders>
                  <w:noWrap w:val="0"/>
                  <w:vAlign w:val="center"/>
                </w:tcPr>
                <w:p w14:paraId="593410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p>
              </w:tc>
              <w:tc>
                <w:tcPr>
                  <w:tcW w:w="717" w:type="pct"/>
                  <w:tcBorders>
                    <w:tl2br w:val="nil"/>
                    <w:tr2bl w:val="nil"/>
                  </w:tcBorders>
                  <w:noWrap w:val="0"/>
                  <w:vAlign w:val="center"/>
                </w:tcPr>
                <w:p w14:paraId="252C67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昼间</w:t>
                  </w:r>
                  <w:r>
                    <w:rPr>
                      <w:rFonts w:hint="eastAsia" w:ascii="Times New Roman" w:hAnsi="Times New Roman" w:eastAsia="宋体" w:cs="Times New Roman"/>
                      <w:color w:val="auto"/>
                      <w:kern w:val="0"/>
                      <w:sz w:val="21"/>
                      <w:szCs w:val="21"/>
                      <w:u w:val="single" w:color="auto"/>
                      <w:lang w:val="en-US" w:eastAsia="zh-CN"/>
                    </w:rPr>
                    <w:t>（Leq）</w:t>
                  </w:r>
                </w:p>
              </w:tc>
              <w:tc>
                <w:tcPr>
                  <w:tcW w:w="798" w:type="pct"/>
                  <w:tcBorders>
                    <w:tl2br w:val="nil"/>
                    <w:tr2bl w:val="nil"/>
                  </w:tcBorders>
                  <w:noWrap w:val="0"/>
                  <w:vAlign w:val="center"/>
                </w:tcPr>
                <w:p w14:paraId="0EF87F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夜间（Leq）</w:t>
                  </w:r>
                </w:p>
              </w:tc>
              <w:tc>
                <w:tcPr>
                  <w:tcW w:w="798" w:type="pct"/>
                  <w:tcBorders>
                    <w:tl2br w:val="nil"/>
                    <w:tr2bl w:val="nil"/>
                  </w:tcBorders>
                  <w:noWrap w:val="0"/>
                  <w:vAlign w:val="center"/>
                </w:tcPr>
                <w:p w14:paraId="6447C3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昼间（Leq）</w:t>
                  </w:r>
                </w:p>
              </w:tc>
              <w:tc>
                <w:tcPr>
                  <w:tcW w:w="800" w:type="pct"/>
                  <w:tcBorders>
                    <w:tl2br w:val="nil"/>
                    <w:tr2bl w:val="nil"/>
                  </w:tcBorders>
                  <w:noWrap w:val="0"/>
                  <w:vAlign w:val="center"/>
                </w:tcPr>
                <w:p w14:paraId="1690E2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夜间（Leq）</w:t>
                  </w:r>
                </w:p>
              </w:tc>
            </w:tr>
            <w:tr w14:paraId="3793F4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5" w:type="pct"/>
                  <w:tcBorders>
                    <w:tl2br w:val="nil"/>
                    <w:tr2bl w:val="nil"/>
                  </w:tcBorders>
                  <w:noWrap w:val="0"/>
                  <w:vAlign w:val="center"/>
                </w:tcPr>
                <w:p w14:paraId="644416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厂界东外1m处</w:t>
                  </w:r>
                </w:p>
              </w:tc>
              <w:tc>
                <w:tcPr>
                  <w:tcW w:w="717" w:type="pct"/>
                  <w:tcBorders>
                    <w:tl2br w:val="nil"/>
                    <w:tr2bl w:val="nil"/>
                  </w:tcBorders>
                  <w:noWrap w:val="0"/>
                  <w:vAlign w:val="center"/>
                </w:tcPr>
                <w:p w14:paraId="6C1AAB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55.1</w:t>
                  </w:r>
                </w:p>
              </w:tc>
              <w:tc>
                <w:tcPr>
                  <w:tcW w:w="798" w:type="pct"/>
                  <w:tcBorders>
                    <w:tl2br w:val="nil"/>
                    <w:tr2bl w:val="nil"/>
                  </w:tcBorders>
                  <w:noWrap w:val="0"/>
                  <w:vAlign w:val="center"/>
                </w:tcPr>
                <w:p w14:paraId="1F4C9A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44.1</w:t>
                  </w:r>
                </w:p>
              </w:tc>
              <w:tc>
                <w:tcPr>
                  <w:tcW w:w="798" w:type="pct"/>
                  <w:tcBorders>
                    <w:tl2br w:val="nil"/>
                    <w:tr2bl w:val="nil"/>
                  </w:tcBorders>
                  <w:noWrap w:val="0"/>
                  <w:vAlign w:val="center"/>
                </w:tcPr>
                <w:p w14:paraId="60EB2E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53.3</w:t>
                  </w:r>
                </w:p>
              </w:tc>
              <w:tc>
                <w:tcPr>
                  <w:tcW w:w="800" w:type="pct"/>
                  <w:tcBorders>
                    <w:tl2br w:val="nil"/>
                    <w:tr2bl w:val="nil"/>
                  </w:tcBorders>
                  <w:noWrap w:val="0"/>
                  <w:vAlign w:val="center"/>
                </w:tcPr>
                <w:p w14:paraId="4FE7A1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46.8</w:t>
                  </w:r>
                </w:p>
              </w:tc>
            </w:tr>
            <w:tr w14:paraId="7C1D37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5" w:type="pct"/>
                  <w:tcBorders>
                    <w:tl2br w:val="nil"/>
                    <w:tr2bl w:val="nil"/>
                  </w:tcBorders>
                  <w:noWrap w:val="0"/>
                  <w:vAlign w:val="center"/>
                </w:tcPr>
                <w:p w14:paraId="28FDAA4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厂界南外1m处</w:t>
                  </w:r>
                </w:p>
              </w:tc>
              <w:tc>
                <w:tcPr>
                  <w:tcW w:w="717" w:type="pct"/>
                  <w:tcBorders>
                    <w:tl2br w:val="nil"/>
                    <w:tr2bl w:val="nil"/>
                  </w:tcBorders>
                  <w:noWrap w:val="0"/>
                  <w:vAlign w:val="center"/>
                </w:tcPr>
                <w:p w14:paraId="55B2FC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55.7</w:t>
                  </w:r>
                </w:p>
              </w:tc>
              <w:tc>
                <w:tcPr>
                  <w:tcW w:w="798" w:type="pct"/>
                  <w:tcBorders>
                    <w:tl2br w:val="nil"/>
                    <w:tr2bl w:val="nil"/>
                  </w:tcBorders>
                  <w:noWrap w:val="0"/>
                  <w:vAlign w:val="center"/>
                </w:tcPr>
                <w:p w14:paraId="7E566B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43.6</w:t>
                  </w:r>
                </w:p>
              </w:tc>
              <w:tc>
                <w:tcPr>
                  <w:tcW w:w="798" w:type="pct"/>
                  <w:tcBorders>
                    <w:tl2br w:val="nil"/>
                    <w:tr2bl w:val="nil"/>
                  </w:tcBorders>
                  <w:noWrap w:val="0"/>
                  <w:vAlign w:val="center"/>
                </w:tcPr>
                <w:p w14:paraId="3983C2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55.3</w:t>
                  </w:r>
                </w:p>
              </w:tc>
              <w:tc>
                <w:tcPr>
                  <w:tcW w:w="800" w:type="pct"/>
                  <w:tcBorders>
                    <w:tl2br w:val="nil"/>
                    <w:tr2bl w:val="nil"/>
                  </w:tcBorders>
                  <w:noWrap w:val="0"/>
                  <w:vAlign w:val="center"/>
                </w:tcPr>
                <w:p w14:paraId="7B653D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45.1</w:t>
                  </w:r>
                </w:p>
              </w:tc>
            </w:tr>
            <w:tr w14:paraId="408876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5" w:type="pct"/>
                  <w:tcBorders>
                    <w:tl2br w:val="nil"/>
                    <w:tr2bl w:val="nil"/>
                  </w:tcBorders>
                  <w:noWrap w:val="0"/>
                  <w:vAlign w:val="center"/>
                </w:tcPr>
                <w:p w14:paraId="7514BC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厂界西外1m处</w:t>
                  </w:r>
                </w:p>
              </w:tc>
              <w:tc>
                <w:tcPr>
                  <w:tcW w:w="717" w:type="pct"/>
                  <w:tcBorders>
                    <w:tl2br w:val="nil"/>
                    <w:tr2bl w:val="nil"/>
                  </w:tcBorders>
                  <w:noWrap w:val="0"/>
                  <w:vAlign w:val="center"/>
                </w:tcPr>
                <w:p w14:paraId="45614CA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56.3</w:t>
                  </w:r>
                </w:p>
              </w:tc>
              <w:tc>
                <w:tcPr>
                  <w:tcW w:w="798" w:type="pct"/>
                  <w:tcBorders>
                    <w:tl2br w:val="nil"/>
                    <w:tr2bl w:val="nil"/>
                  </w:tcBorders>
                  <w:noWrap w:val="0"/>
                  <w:vAlign w:val="center"/>
                </w:tcPr>
                <w:p w14:paraId="4C8D96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45.3</w:t>
                  </w:r>
                </w:p>
              </w:tc>
              <w:tc>
                <w:tcPr>
                  <w:tcW w:w="798" w:type="pct"/>
                  <w:tcBorders>
                    <w:tl2br w:val="nil"/>
                    <w:tr2bl w:val="nil"/>
                  </w:tcBorders>
                  <w:noWrap w:val="0"/>
                  <w:vAlign w:val="center"/>
                </w:tcPr>
                <w:p w14:paraId="3AB1C5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56.7</w:t>
                  </w:r>
                </w:p>
              </w:tc>
              <w:tc>
                <w:tcPr>
                  <w:tcW w:w="800" w:type="pct"/>
                  <w:tcBorders>
                    <w:tl2br w:val="nil"/>
                    <w:tr2bl w:val="nil"/>
                  </w:tcBorders>
                  <w:noWrap w:val="0"/>
                  <w:vAlign w:val="center"/>
                </w:tcPr>
                <w:p w14:paraId="622525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45.4</w:t>
                  </w:r>
                </w:p>
              </w:tc>
            </w:tr>
            <w:tr w14:paraId="1458BB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5" w:type="pct"/>
                  <w:tcBorders>
                    <w:tl2br w:val="nil"/>
                    <w:tr2bl w:val="nil"/>
                  </w:tcBorders>
                  <w:noWrap w:val="0"/>
                  <w:vAlign w:val="center"/>
                </w:tcPr>
                <w:p w14:paraId="5EEBEB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厂界北外1m处</w:t>
                  </w:r>
                </w:p>
              </w:tc>
              <w:tc>
                <w:tcPr>
                  <w:tcW w:w="717" w:type="pct"/>
                  <w:tcBorders>
                    <w:tl2br w:val="nil"/>
                    <w:tr2bl w:val="nil"/>
                  </w:tcBorders>
                  <w:noWrap w:val="0"/>
                  <w:vAlign w:val="center"/>
                </w:tcPr>
                <w:p w14:paraId="25B228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54.6</w:t>
                  </w:r>
                </w:p>
              </w:tc>
              <w:tc>
                <w:tcPr>
                  <w:tcW w:w="798" w:type="pct"/>
                  <w:tcBorders>
                    <w:tl2br w:val="nil"/>
                    <w:tr2bl w:val="nil"/>
                  </w:tcBorders>
                  <w:noWrap w:val="0"/>
                  <w:vAlign w:val="center"/>
                </w:tcPr>
                <w:p w14:paraId="3EAF60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44.6</w:t>
                  </w:r>
                </w:p>
              </w:tc>
              <w:tc>
                <w:tcPr>
                  <w:tcW w:w="798" w:type="pct"/>
                  <w:tcBorders>
                    <w:tl2br w:val="nil"/>
                    <w:tr2bl w:val="nil"/>
                  </w:tcBorders>
                  <w:noWrap w:val="0"/>
                  <w:vAlign w:val="center"/>
                </w:tcPr>
                <w:p w14:paraId="7D7919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54.4</w:t>
                  </w:r>
                </w:p>
              </w:tc>
              <w:tc>
                <w:tcPr>
                  <w:tcW w:w="800" w:type="pct"/>
                  <w:tcBorders>
                    <w:tl2br w:val="nil"/>
                    <w:tr2bl w:val="nil"/>
                  </w:tcBorders>
                  <w:noWrap w:val="0"/>
                  <w:vAlign w:val="center"/>
                </w:tcPr>
                <w:p w14:paraId="63827E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44.6</w:t>
                  </w:r>
                </w:p>
              </w:tc>
            </w:tr>
            <w:tr w14:paraId="7793BA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5" w:type="pct"/>
                  <w:tcBorders>
                    <w:tl2br w:val="nil"/>
                    <w:tr2bl w:val="nil"/>
                  </w:tcBorders>
                  <w:noWrap w:val="0"/>
                  <w:vAlign w:val="center"/>
                </w:tcPr>
                <w:p w14:paraId="2AC194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《社会生活环境噪声排放标准》（GB 22337-2008）</w:t>
                  </w:r>
                  <w:r>
                    <w:rPr>
                      <w:rFonts w:hint="eastAsia" w:ascii="Times New Roman" w:hAnsi="Times New Roman" w:eastAsia="宋体" w:cs="Times New Roman"/>
                      <w:color w:val="auto"/>
                      <w:kern w:val="0"/>
                      <w:sz w:val="21"/>
                      <w:szCs w:val="21"/>
                      <w:u w:val="single" w:color="auto"/>
                      <w:lang w:val="en-US" w:eastAsia="zh-CN"/>
                    </w:rPr>
                    <w:t>表1中</w:t>
                  </w:r>
                  <w:r>
                    <w:rPr>
                      <w:rFonts w:hint="default" w:ascii="Times New Roman" w:hAnsi="Times New Roman" w:eastAsia="宋体" w:cs="Times New Roman"/>
                      <w:color w:val="auto"/>
                      <w:kern w:val="0"/>
                      <w:sz w:val="21"/>
                      <w:szCs w:val="21"/>
                      <w:u w:val="single" w:color="auto"/>
                      <w:lang w:val="en-US" w:eastAsia="zh-CN"/>
                    </w:rPr>
                    <w:t>2类</w:t>
                  </w:r>
                  <w:r>
                    <w:rPr>
                      <w:rFonts w:hint="eastAsia" w:ascii="Times New Roman" w:hAnsi="Times New Roman" w:eastAsia="宋体" w:cs="Times New Roman"/>
                      <w:color w:val="auto"/>
                      <w:kern w:val="0"/>
                      <w:sz w:val="21"/>
                      <w:szCs w:val="21"/>
                      <w:u w:val="single" w:color="auto"/>
                      <w:lang w:val="en-US" w:eastAsia="zh-CN"/>
                    </w:rPr>
                    <w:t>标准</w:t>
                  </w:r>
                </w:p>
              </w:tc>
              <w:tc>
                <w:tcPr>
                  <w:tcW w:w="717" w:type="pct"/>
                  <w:tcBorders>
                    <w:tl2br w:val="nil"/>
                    <w:tr2bl w:val="nil"/>
                  </w:tcBorders>
                  <w:noWrap w:val="0"/>
                  <w:vAlign w:val="center"/>
                </w:tcPr>
                <w:p w14:paraId="581A05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60</w:t>
                  </w:r>
                </w:p>
              </w:tc>
              <w:tc>
                <w:tcPr>
                  <w:tcW w:w="798" w:type="pct"/>
                  <w:tcBorders>
                    <w:tl2br w:val="nil"/>
                    <w:tr2bl w:val="nil"/>
                  </w:tcBorders>
                  <w:noWrap w:val="0"/>
                  <w:vAlign w:val="center"/>
                </w:tcPr>
                <w:p w14:paraId="49F4D6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50</w:t>
                  </w:r>
                </w:p>
              </w:tc>
              <w:tc>
                <w:tcPr>
                  <w:tcW w:w="798" w:type="pct"/>
                  <w:tcBorders>
                    <w:tl2br w:val="nil"/>
                    <w:tr2bl w:val="nil"/>
                  </w:tcBorders>
                  <w:noWrap w:val="0"/>
                  <w:vAlign w:val="center"/>
                </w:tcPr>
                <w:p w14:paraId="4E14FA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60</w:t>
                  </w:r>
                </w:p>
              </w:tc>
              <w:tc>
                <w:tcPr>
                  <w:tcW w:w="800" w:type="pct"/>
                  <w:tcBorders>
                    <w:tl2br w:val="nil"/>
                    <w:tr2bl w:val="nil"/>
                  </w:tcBorders>
                  <w:noWrap w:val="0"/>
                  <w:vAlign w:val="center"/>
                </w:tcPr>
                <w:p w14:paraId="6DDC68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50</w:t>
                  </w:r>
                </w:p>
              </w:tc>
            </w:tr>
          </w:tbl>
          <w:p w14:paraId="373521FA">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ascii="Times New Roman" w:hAnsi="Times New Roman" w:cs="Times New Roman" w:eastAsiaTheme="minorEastAsia"/>
                <w:color w:val="auto"/>
                <w:spacing w:val="11"/>
                <w:position w:val="0"/>
                <w:sz w:val="24"/>
                <w:szCs w:val="24"/>
                <w:highlight w:val="none"/>
                <w:u w:val="single" w:color="auto"/>
                <w:lang w:val="en-US" w:eastAsia="zh-CN"/>
              </w:rPr>
              <w:t>（4）固体废物</w:t>
            </w:r>
          </w:p>
          <w:p w14:paraId="2E1B727C">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现有工程运营</w:t>
            </w:r>
            <w:r>
              <w:rPr>
                <w:rFonts w:hint="eastAsia" w:cs="Times New Roman" w:eastAsiaTheme="minorEastAsia"/>
                <w:color w:val="auto"/>
                <w:spacing w:val="11"/>
                <w:position w:val="0"/>
                <w:sz w:val="24"/>
                <w:szCs w:val="24"/>
                <w:highlight w:val="none"/>
                <w:u w:val="single" w:color="auto"/>
                <w:lang w:val="en-US" w:eastAsia="zh-CN"/>
              </w:rPr>
              <w:t>期产生的</w:t>
            </w:r>
            <w:r>
              <w:rPr>
                <w:rFonts w:hint="default" w:ascii="Times New Roman" w:hAnsi="Times New Roman" w:cs="Times New Roman" w:eastAsiaTheme="minorEastAsia"/>
                <w:color w:val="auto"/>
                <w:spacing w:val="11"/>
                <w:position w:val="0"/>
                <w:sz w:val="24"/>
                <w:szCs w:val="24"/>
                <w:highlight w:val="none"/>
                <w:u w:val="single" w:color="auto"/>
                <w:lang w:val="en-US" w:eastAsia="zh-CN"/>
              </w:rPr>
              <w:t>主要固体废物为医疗废物、污泥、废活性炭及生活垃圾、中药药渣。项目固废处置方式详见下表</w:t>
            </w:r>
            <w:r>
              <w:rPr>
                <w:rFonts w:hint="eastAsia" w:ascii="Times New Roman" w:hAnsi="Times New Roman" w:cs="Times New Roman" w:eastAsiaTheme="minorEastAsia"/>
                <w:color w:val="auto"/>
                <w:spacing w:val="11"/>
                <w:position w:val="0"/>
                <w:sz w:val="24"/>
                <w:szCs w:val="24"/>
                <w:highlight w:val="none"/>
                <w:u w:val="single" w:color="auto"/>
                <w:lang w:val="en-US" w:eastAsia="zh-CN"/>
              </w:rPr>
              <w:t>。</w:t>
            </w:r>
          </w:p>
          <w:p w14:paraId="5307B9C1">
            <w:pPr>
              <w:adjustRightInd/>
              <w:snapToGrid/>
              <w:spacing w:line="240" w:lineRule="auto"/>
              <w:ind w:firstLine="0" w:firstLineChars="0"/>
              <w:jc w:val="center"/>
              <w:rPr>
                <w:rFonts w:hint="default" w:ascii="Times New Roman" w:hAnsi="Times New Roman" w:cs="Times New Roman" w:eastAsiaTheme="minorEastAsia"/>
                <w:b/>
                <w:bCs/>
                <w:color w:val="auto"/>
                <w:sz w:val="21"/>
                <w:szCs w:val="21"/>
                <w:highlight w:val="none"/>
                <w:u w:val="single" w:color="auto"/>
              </w:rPr>
            </w:pPr>
            <w:r>
              <w:rPr>
                <w:rFonts w:hint="default" w:ascii="Times New Roman" w:hAnsi="Times New Roman" w:cs="Times New Roman" w:eastAsiaTheme="minorEastAsia"/>
                <w:b/>
                <w:bCs/>
                <w:color w:val="auto"/>
                <w:sz w:val="21"/>
                <w:szCs w:val="21"/>
                <w:highlight w:val="none"/>
                <w:u w:val="single" w:color="auto"/>
              </w:rPr>
              <w:t>表</w:t>
            </w:r>
            <w:r>
              <w:rPr>
                <w:rFonts w:hint="eastAsia" w:ascii="Times New Roman" w:hAnsi="Times New Roman" w:cs="Times New Roman" w:eastAsiaTheme="minorEastAsia"/>
                <w:b/>
                <w:bCs/>
                <w:color w:val="auto"/>
                <w:sz w:val="21"/>
                <w:szCs w:val="21"/>
                <w:highlight w:val="none"/>
                <w:u w:val="single" w:color="auto"/>
                <w:lang w:val="en-US" w:eastAsia="zh-CN"/>
              </w:rPr>
              <w:t>2-9  现有工程固体废物去向一览表</w:t>
            </w:r>
          </w:p>
          <w:tbl>
            <w:tblPr>
              <w:tblStyle w:val="24"/>
              <w:tblW w:w="4996"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2868"/>
              <w:gridCol w:w="1770"/>
              <w:gridCol w:w="3623"/>
            </w:tblGrid>
            <w:tr w14:paraId="1CB4BD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411" w:type="pct"/>
                  <w:tcBorders>
                    <w:tl2br w:val="nil"/>
                    <w:tr2bl w:val="nil"/>
                  </w:tcBorders>
                  <w:noWrap w:val="0"/>
                  <w:vAlign w:val="center"/>
                </w:tcPr>
                <w:p w14:paraId="65BAB1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序号</w:t>
                  </w:r>
                </w:p>
              </w:tc>
              <w:tc>
                <w:tcPr>
                  <w:tcW w:w="1593" w:type="pct"/>
                  <w:tcBorders>
                    <w:tl2br w:val="nil"/>
                    <w:tr2bl w:val="nil"/>
                  </w:tcBorders>
                  <w:noWrap w:val="0"/>
                  <w:vAlign w:val="center"/>
                </w:tcPr>
                <w:p w14:paraId="26A111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固废名称</w:t>
                  </w:r>
                </w:p>
              </w:tc>
              <w:tc>
                <w:tcPr>
                  <w:tcW w:w="983" w:type="pct"/>
                  <w:tcBorders>
                    <w:tl2br w:val="nil"/>
                    <w:tr2bl w:val="nil"/>
                  </w:tcBorders>
                  <w:noWrap w:val="0"/>
                  <w:vAlign w:val="center"/>
                </w:tcPr>
                <w:p w14:paraId="26D43FF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类别</w:t>
                  </w:r>
                </w:p>
              </w:tc>
              <w:tc>
                <w:tcPr>
                  <w:tcW w:w="2012" w:type="pct"/>
                  <w:tcBorders>
                    <w:tl2br w:val="nil"/>
                    <w:tr2bl w:val="nil"/>
                  </w:tcBorders>
                  <w:noWrap w:val="0"/>
                  <w:vAlign w:val="center"/>
                </w:tcPr>
                <w:p w14:paraId="219FDC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处置方式</w:t>
                  </w:r>
                </w:p>
              </w:tc>
            </w:tr>
            <w:tr w14:paraId="6A25C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1" w:type="pct"/>
                  <w:tcBorders>
                    <w:tl2br w:val="nil"/>
                    <w:tr2bl w:val="nil"/>
                  </w:tcBorders>
                  <w:noWrap w:val="0"/>
                  <w:vAlign w:val="center"/>
                </w:tcPr>
                <w:p w14:paraId="3FD2A9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1</w:t>
                  </w:r>
                </w:p>
              </w:tc>
              <w:tc>
                <w:tcPr>
                  <w:tcW w:w="1593" w:type="pct"/>
                  <w:tcBorders>
                    <w:tl2br w:val="nil"/>
                    <w:tr2bl w:val="nil"/>
                  </w:tcBorders>
                  <w:shd w:val="clear" w:color="auto" w:fill="auto"/>
                  <w:noWrap w:val="0"/>
                  <w:vAlign w:val="center"/>
                </w:tcPr>
                <w:p w14:paraId="767242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rPr>
                    <w:t>生活垃圾</w:t>
                  </w:r>
                </w:p>
              </w:tc>
              <w:tc>
                <w:tcPr>
                  <w:tcW w:w="983" w:type="pct"/>
                  <w:tcBorders>
                    <w:tl2br w:val="nil"/>
                    <w:tr2bl w:val="nil"/>
                  </w:tcBorders>
                  <w:noWrap w:val="0"/>
                  <w:vAlign w:val="center"/>
                </w:tcPr>
                <w:p w14:paraId="1BBA93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一般固废</w:t>
                  </w:r>
                </w:p>
              </w:tc>
              <w:tc>
                <w:tcPr>
                  <w:tcW w:w="2012" w:type="pct"/>
                  <w:vMerge w:val="restart"/>
                  <w:tcBorders>
                    <w:tl2br w:val="nil"/>
                    <w:tr2bl w:val="nil"/>
                  </w:tcBorders>
                  <w:shd w:val="clear" w:color="auto" w:fill="auto"/>
                  <w:noWrap w:val="0"/>
                  <w:vAlign w:val="center"/>
                </w:tcPr>
                <w:p w14:paraId="4C7919E5">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r>
                    <w:rPr>
                      <w:rFonts w:hint="default" w:ascii="Times New Roman" w:hAnsi="Times New Roman" w:eastAsia="宋体" w:cs="Times New Roman"/>
                      <w:b w:val="0"/>
                      <w:bCs w:val="0"/>
                      <w:color w:val="auto"/>
                      <w:kern w:val="2"/>
                      <w:sz w:val="21"/>
                      <w:szCs w:val="21"/>
                      <w:highlight w:val="none"/>
                      <w:u w:val="single" w:color="auto"/>
                      <w:lang w:val="en-US" w:eastAsia="zh-CN" w:bidi="ar-SA"/>
                    </w:rPr>
                    <w:t>经收集后由环卫部门清运处理</w:t>
                  </w:r>
                </w:p>
                <w:p w14:paraId="1E3694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p>
              </w:tc>
            </w:tr>
            <w:tr w14:paraId="0DCD81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1" w:type="pct"/>
                  <w:tcBorders>
                    <w:tl2br w:val="nil"/>
                    <w:tr2bl w:val="nil"/>
                  </w:tcBorders>
                  <w:noWrap w:val="0"/>
                  <w:vAlign w:val="center"/>
                </w:tcPr>
                <w:p w14:paraId="6DEA14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2</w:t>
                  </w:r>
                </w:p>
              </w:tc>
              <w:tc>
                <w:tcPr>
                  <w:tcW w:w="1593" w:type="pct"/>
                  <w:tcBorders>
                    <w:tl2br w:val="nil"/>
                    <w:tr2bl w:val="nil"/>
                  </w:tcBorders>
                  <w:shd w:val="clear" w:color="auto" w:fill="auto"/>
                  <w:noWrap w:val="0"/>
                  <w:vAlign w:val="center"/>
                </w:tcPr>
                <w:p w14:paraId="20C5D04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rPr>
                    <w:t>中药药渣</w:t>
                  </w:r>
                </w:p>
              </w:tc>
              <w:tc>
                <w:tcPr>
                  <w:tcW w:w="983" w:type="pct"/>
                  <w:tcBorders>
                    <w:tl2br w:val="nil"/>
                    <w:tr2bl w:val="nil"/>
                  </w:tcBorders>
                  <w:noWrap w:val="0"/>
                  <w:vAlign w:val="center"/>
                </w:tcPr>
                <w:p w14:paraId="3F88F9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一般固废</w:t>
                  </w:r>
                </w:p>
              </w:tc>
              <w:tc>
                <w:tcPr>
                  <w:tcW w:w="2012" w:type="pct"/>
                  <w:vMerge w:val="continue"/>
                  <w:tcBorders>
                    <w:tl2br w:val="nil"/>
                    <w:tr2bl w:val="nil"/>
                  </w:tcBorders>
                  <w:noWrap w:val="0"/>
                  <w:vAlign w:val="center"/>
                </w:tcPr>
                <w:p w14:paraId="6246B8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p>
              </w:tc>
            </w:tr>
            <w:tr w14:paraId="40B11E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1" w:type="pct"/>
                  <w:tcBorders>
                    <w:tl2br w:val="nil"/>
                    <w:tr2bl w:val="nil"/>
                  </w:tcBorders>
                  <w:noWrap w:val="0"/>
                  <w:vAlign w:val="center"/>
                </w:tcPr>
                <w:p w14:paraId="37793A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3</w:t>
                  </w:r>
                </w:p>
              </w:tc>
              <w:tc>
                <w:tcPr>
                  <w:tcW w:w="1593" w:type="pct"/>
                  <w:tcBorders>
                    <w:tl2br w:val="nil"/>
                    <w:tr2bl w:val="nil"/>
                  </w:tcBorders>
                  <w:shd w:val="clear" w:color="auto" w:fill="auto"/>
                  <w:noWrap w:val="0"/>
                  <w:vAlign w:val="center"/>
                </w:tcPr>
                <w:p w14:paraId="2C7768E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rPr>
                    <w:t>污泥</w:t>
                  </w:r>
                </w:p>
              </w:tc>
              <w:tc>
                <w:tcPr>
                  <w:tcW w:w="983" w:type="pct"/>
                  <w:tcBorders>
                    <w:tl2br w:val="nil"/>
                    <w:tr2bl w:val="nil"/>
                  </w:tcBorders>
                  <w:noWrap w:val="0"/>
                  <w:vAlign w:val="center"/>
                </w:tcPr>
                <w:p w14:paraId="215356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危险废物</w:t>
                  </w:r>
                </w:p>
              </w:tc>
              <w:tc>
                <w:tcPr>
                  <w:tcW w:w="2012" w:type="pct"/>
                  <w:vMerge w:val="restart"/>
                  <w:tcBorders>
                    <w:tl2br w:val="nil"/>
                    <w:tr2bl w:val="nil"/>
                  </w:tcBorders>
                  <w:shd w:val="clear" w:color="auto" w:fill="auto"/>
                  <w:noWrap w:val="0"/>
                  <w:vAlign w:val="center"/>
                </w:tcPr>
                <w:p w14:paraId="51AD2105">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color w:val="auto"/>
                      <w:kern w:val="0"/>
                      <w:sz w:val="21"/>
                      <w:szCs w:val="21"/>
                      <w:u w:val="single" w:color="auto"/>
                      <w:lang w:val="en-US" w:eastAsia="zh-CN"/>
                    </w:rPr>
                  </w:pPr>
                  <w:r>
                    <w:rPr>
                      <w:rFonts w:hint="eastAsia" w:cs="Times New Roman"/>
                      <w:b w:val="0"/>
                      <w:bCs w:val="0"/>
                      <w:color w:val="auto"/>
                      <w:kern w:val="2"/>
                      <w:sz w:val="21"/>
                      <w:szCs w:val="21"/>
                      <w:highlight w:val="none"/>
                      <w:u w:val="single" w:color="auto"/>
                      <w:lang w:val="en-US" w:eastAsia="zh-CN" w:bidi="ar-SA"/>
                    </w:rPr>
                    <w:t>委托永州市医疗废物集中处置有限公司处理</w:t>
                  </w:r>
                </w:p>
              </w:tc>
            </w:tr>
            <w:tr w14:paraId="5911D2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1" w:type="pct"/>
                  <w:tcBorders>
                    <w:tl2br w:val="nil"/>
                    <w:tr2bl w:val="nil"/>
                  </w:tcBorders>
                  <w:noWrap w:val="0"/>
                  <w:vAlign w:val="center"/>
                </w:tcPr>
                <w:p w14:paraId="6EB8AC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4</w:t>
                  </w:r>
                </w:p>
              </w:tc>
              <w:tc>
                <w:tcPr>
                  <w:tcW w:w="1593" w:type="pct"/>
                  <w:tcBorders>
                    <w:tl2br w:val="nil"/>
                    <w:tr2bl w:val="nil"/>
                  </w:tcBorders>
                  <w:shd w:val="clear" w:color="auto" w:fill="auto"/>
                  <w:noWrap w:val="0"/>
                  <w:vAlign w:val="center"/>
                </w:tcPr>
                <w:p w14:paraId="2865BE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rPr>
                    <w:t>医疗废物</w:t>
                  </w:r>
                </w:p>
              </w:tc>
              <w:tc>
                <w:tcPr>
                  <w:tcW w:w="983" w:type="pct"/>
                  <w:tcBorders>
                    <w:tl2br w:val="nil"/>
                    <w:tr2bl w:val="nil"/>
                  </w:tcBorders>
                  <w:noWrap w:val="0"/>
                  <w:vAlign w:val="center"/>
                </w:tcPr>
                <w:p w14:paraId="3EA080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危险废物</w:t>
                  </w:r>
                </w:p>
              </w:tc>
              <w:tc>
                <w:tcPr>
                  <w:tcW w:w="2012" w:type="pct"/>
                  <w:vMerge w:val="continue"/>
                  <w:tcBorders>
                    <w:tl2br w:val="nil"/>
                    <w:tr2bl w:val="nil"/>
                  </w:tcBorders>
                  <w:noWrap w:val="0"/>
                  <w:vAlign w:val="center"/>
                </w:tcPr>
                <w:p w14:paraId="6AC435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p>
              </w:tc>
            </w:tr>
            <w:tr w14:paraId="6E3957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1" w:type="pct"/>
                  <w:tcBorders>
                    <w:tl2br w:val="nil"/>
                    <w:tr2bl w:val="nil"/>
                  </w:tcBorders>
                  <w:noWrap w:val="0"/>
                  <w:vAlign w:val="center"/>
                </w:tcPr>
                <w:p w14:paraId="7BF591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5</w:t>
                  </w:r>
                </w:p>
              </w:tc>
              <w:tc>
                <w:tcPr>
                  <w:tcW w:w="1593" w:type="pct"/>
                  <w:tcBorders>
                    <w:tl2br w:val="nil"/>
                    <w:tr2bl w:val="nil"/>
                  </w:tcBorders>
                  <w:shd w:val="clear" w:color="auto" w:fill="auto"/>
                  <w:noWrap w:val="0"/>
                  <w:vAlign w:val="center"/>
                </w:tcPr>
                <w:p w14:paraId="4B911D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rPr>
                    <w:t>废活性炭</w:t>
                  </w:r>
                </w:p>
              </w:tc>
              <w:tc>
                <w:tcPr>
                  <w:tcW w:w="983" w:type="pct"/>
                  <w:tcBorders>
                    <w:tl2br w:val="nil"/>
                    <w:tr2bl w:val="nil"/>
                  </w:tcBorders>
                  <w:noWrap w:val="0"/>
                  <w:vAlign w:val="center"/>
                </w:tcPr>
                <w:p w14:paraId="4E6BF3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危险废物</w:t>
                  </w:r>
                </w:p>
              </w:tc>
              <w:tc>
                <w:tcPr>
                  <w:tcW w:w="2012" w:type="pct"/>
                  <w:tcBorders>
                    <w:tl2br w:val="nil"/>
                    <w:tr2bl w:val="nil"/>
                  </w:tcBorders>
                  <w:shd w:val="clear" w:color="auto" w:fill="auto"/>
                  <w:noWrap w:val="0"/>
                  <w:vAlign w:val="center"/>
                </w:tcPr>
                <w:p w14:paraId="09C8685E">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委托湖南湘咏环境科技有限公司处理</w:t>
                  </w:r>
                </w:p>
              </w:tc>
            </w:tr>
          </w:tbl>
          <w:p w14:paraId="4792E871">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6" w:firstLineChars="200"/>
              <w:jc w:val="both"/>
              <w:textAlignment w:val="auto"/>
              <w:rPr>
                <w:rFonts w:hint="default" w:ascii="Times New Roman" w:hAnsi="Times New Roman" w:cs="Times New Roman" w:eastAsiaTheme="minorEastAsia"/>
                <w:b/>
                <w:bCs/>
                <w:color w:val="auto"/>
                <w:spacing w:val="11"/>
                <w:position w:val="0"/>
                <w:sz w:val="24"/>
                <w:szCs w:val="24"/>
                <w:highlight w:val="none"/>
                <w:u w:val="single" w:color="auto"/>
                <w:lang w:val="en-US" w:eastAsia="zh-CN"/>
              </w:rPr>
            </w:pPr>
            <w:r>
              <w:rPr>
                <w:rFonts w:hint="eastAsia" w:cs="Times New Roman" w:eastAsiaTheme="minorEastAsia"/>
                <w:b/>
                <w:bCs/>
                <w:color w:val="auto"/>
                <w:spacing w:val="11"/>
                <w:position w:val="0"/>
                <w:sz w:val="24"/>
                <w:szCs w:val="24"/>
                <w:highlight w:val="none"/>
                <w:u w:val="single" w:color="auto"/>
                <w:lang w:val="en-US" w:eastAsia="zh-CN"/>
              </w:rPr>
              <w:t>3、</w:t>
            </w:r>
            <w:r>
              <w:rPr>
                <w:rFonts w:hint="default" w:ascii="Times New Roman" w:hAnsi="Times New Roman" w:cs="Times New Roman" w:eastAsiaTheme="minorEastAsia"/>
                <w:b/>
                <w:bCs/>
                <w:color w:val="auto"/>
                <w:spacing w:val="11"/>
                <w:position w:val="0"/>
                <w:sz w:val="24"/>
                <w:szCs w:val="24"/>
                <w:highlight w:val="none"/>
                <w:u w:val="single" w:color="auto"/>
                <w:lang w:val="en-US" w:eastAsia="zh-CN"/>
              </w:rPr>
              <w:t>环境风险</w:t>
            </w:r>
          </w:p>
          <w:p w14:paraId="152800BF">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新田县中医医院于202</w:t>
            </w:r>
            <w:r>
              <w:rPr>
                <w:rFonts w:hint="eastAsia" w:cs="Times New Roman" w:eastAsiaTheme="minorEastAsia"/>
                <w:color w:val="auto"/>
                <w:spacing w:val="11"/>
                <w:position w:val="0"/>
                <w:sz w:val="24"/>
                <w:szCs w:val="24"/>
                <w:highlight w:val="none"/>
                <w:u w:val="single" w:color="auto"/>
                <w:lang w:val="en-US" w:eastAsia="zh-CN"/>
              </w:rPr>
              <w:t>2</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年编制突发环境事件应急预案，并于202</w:t>
            </w:r>
            <w:r>
              <w:rPr>
                <w:rFonts w:hint="eastAsia" w:cs="Times New Roman" w:eastAsiaTheme="minorEastAsia"/>
                <w:color w:val="auto"/>
                <w:spacing w:val="11"/>
                <w:position w:val="0"/>
                <w:sz w:val="24"/>
                <w:szCs w:val="24"/>
                <w:highlight w:val="none"/>
                <w:u w:val="single" w:color="auto"/>
                <w:lang w:val="en-US" w:eastAsia="zh-CN"/>
              </w:rPr>
              <w:t>2</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年</w:t>
            </w:r>
            <w:r>
              <w:rPr>
                <w:rFonts w:hint="eastAsia" w:cs="Times New Roman" w:eastAsiaTheme="minorEastAsia"/>
                <w:color w:val="auto"/>
                <w:spacing w:val="11"/>
                <w:position w:val="0"/>
                <w:sz w:val="24"/>
                <w:szCs w:val="24"/>
                <w:highlight w:val="none"/>
                <w:u w:val="single" w:color="auto"/>
                <w:lang w:val="en-US" w:eastAsia="zh-CN"/>
              </w:rPr>
              <w:t>7</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月</w:t>
            </w:r>
            <w:r>
              <w:rPr>
                <w:rFonts w:hint="eastAsia" w:ascii="Times New Roman" w:hAnsi="Times New Roman" w:cs="Times New Roman" w:eastAsiaTheme="minorEastAsia"/>
                <w:color w:val="auto"/>
                <w:spacing w:val="11"/>
                <w:position w:val="0"/>
                <w:sz w:val="24"/>
                <w:szCs w:val="24"/>
                <w:highlight w:val="none"/>
                <w:u w:val="single" w:color="auto"/>
                <w:lang w:val="en-US" w:eastAsia="zh-CN"/>
              </w:rPr>
              <w:t>27</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日在</w:t>
            </w:r>
            <w:r>
              <w:rPr>
                <w:rFonts w:hint="eastAsia" w:cs="Times New Roman" w:eastAsiaTheme="minorEastAsia"/>
                <w:color w:val="auto"/>
                <w:spacing w:val="11"/>
                <w:position w:val="0"/>
                <w:sz w:val="24"/>
                <w:szCs w:val="24"/>
                <w:highlight w:val="none"/>
                <w:u w:val="single" w:color="auto"/>
                <w:lang w:val="en-US" w:eastAsia="zh-CN"/>
              </w:rPr>
              <w:t>永州市</w:t>
            </w:r>
            <w:r>
              <w:rPr>
                <w:rFonts w:hint="default" w:ascii="Times New Roman" w:hAnsi="Times New Roman" w:cs="Times New Roman" w:eastAsiaTheme="minorEastAsia"/>
                <w:color w:val="auto"/>
                <w:spacing w:val="11"/>
                <w:position w:val="0"/>
                <w:sz w:val="24"/>
                <w:szCs w:val="24"/>
                <w:highlight w:val="none"/>
                <w:u w:val="single" w:color="auto"/>
                <w:lang w:val="en-US" w:eastAsia="zh-CN"/>
              </w:rPr>
              <w:t>生态环境局</w:t>
            </w:r>
            <w:r>
              <w:rPr>
                <w:rFonts w:hint="eastAsia" w:cs="Times New Roman" w:eastAsiaTheme="minorEastAsia"/>
                <w:color w:val="auto"/>
                <w:spacing w:val="11"/>
                <w:position w:val="0"/>
                <w:sz w:val="24"/>
                <w:szCs w:val="24"/>
                <w:highlight w:val="none"/>
                <w:u w:val="single" w:color="auto"/>
                <w:lang w:val="en-US" w:eastAsia="zh-CN"/>
              </w:rPr>
              <w:t>新田分局</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备案（备案号：</w:t>
            </w:r>
            <w:r>
              <w:rPr>
                <w:rFonts w:hint="eastAsia" w:cs="Times New Roman" w:eastAsiaTheme="minorEastAsia"/>
                <w:color w:val="auto"/>
                <w:spacing w:val="11"/>
                <w:position w:val="0"/>
                <w:sz w:val="24"/>
                <w:szCs w:val="24"/>
                <w:highlight w:val="none"/>
                <w:u w:val="single" w:color="auto"/>
                <w:lang w:val="en-US" w:eastAsia="zh-CN"/>
              </w:rPr>
              <w:t>431128-2022-039</w:t>
            </w:r>
            <w:r>
              <w:rPr>
                <w:rFonts w:hint="default" w:ascii="Times New Roman" w:hAnsi="Times New Roman" w:cs="Times New Roman" w:eastAsiaTheme="minorEastAsia"/>
                <w:color w:val="auto"/>
                <w:spacing w:val="11"/>
                <w:position w:val="0"/>
                <w:sz w:val="24"/>
                <w:szCs w:val="24"/>
                <w:highlight w:val="none"/>
                <w:u w:val="single" w:color="auto"/>
                <w:lang w:val="en-US" w:eastAsia="zh-CN"/>
              </w:rPr>
              <w:t>-L），</w:t>
            </w:r>
            <w:r>
              <w:rPr>
                <w:rFonts w:hint="eastAsia" w:cs="Times New Roman" w:eastAsiaTheme="minorEastAsia"/>
                <w:color w:val="auto"/>
                <w:spacing w:val="11"/>
                <w:position w:val="0"/>
                <w:sz w:val="24"/>
                <w:szCs w:val="24"/>
                <w:highlight w:val="none"/>
                <w:u w:val="single" w:color="auto"/>
                <w:lang w:val="en-US" w:eastAsia="zh-CN"/>
              </w:rPr>
              <w:t>详见附件9</w:t>
            </w: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p w14:paraId="78C3646B">
            <w:pPr>
              <w:pageBreakBefore w:val="0"/>
              <w:widowControl w:val="0"/>
              <w:kinsoku/>
              <w:wordWrap/>
              <w:overflowPunct/>
              <w:topLinePunct w:val="0"/>
              <w:autoSpaceDE/>
              <w:autoSpaceDN/>
              <w:bidi w:val="0"/>
              <w:adjustRightInd w:val="0"/>
              <w:snapToGrid w:val="0"/>
              <w:spacing w:line="360" w:lineRule="auto"/>
              <w:ind w:firstLine="526" w:firstLineChars="200"/>
              <w:jc w:val="both"/>
              <w:textAlignment w:val="auto"/>
              <w:rPr>
                <w:rFonts w:hint="default" w:ascii="Times New Roman" w:hAnsi="Times New Roman" w:cs="Times New Roman" w:eastAsiaTheme="minorEastAsia"/>
                <w:b/>
                <w:bCs/>
                <w:color w:val="auto"/>
                <w:spacing w:val="11"/>
                <w:position w:val="0"/>
                <w:sz w:val="24"/>
                <w:szCs w:val="24"/>
                <w:highlight w:val="none"/>
                <w:u w:val="single" w:color="auto"/>
                <w:lang w:val="en-US" w:eastAsia="zh-CN"/>
              </w:rPr>
            </w:pPr>
            <w:r>
              <w:rPr>
                <w:rFonts w:hint="eastAsia" w:cs="Times New Roman" w:eastAsiaTheme="minorEastAsia"/>
                <w:b/>
                <w:bCs/>
                <w:color w:val="auto"/>
                <w:spacing w:val="11"/>
                <w:position w:val="0"/>
                <w:sz w:val="24"/>
                <w:szCs w:val="24"/>
                <w:highlight w:val="none"/>
                <w:u w:val="single" w:color="auto"/>
                <w:lang w:val="en-US" w:eastAsia="zh-CN"/>
              </w:rPr>
              <w:t>4、现有工程排放情况</w:t>
            </w:r>
          </w:p>
          <w:p w14:paraId="7BC82F23">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现有工程污染物排放汇总见下表。</w:t>
            </w:r>
          </w:p>
          <w:p w14:paraId="63086D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4"/>
                <w:u w:val="single" w:color="auto"/>
                <w:lang w:val="en-US" w:eastAsia="zh-CN" w:bidi="ar-SA"/>
              </w:rPr>
            </w:pPr>
            <w:r>
              <w:rPr>
                <w:rFonts w:ascii="Times New Roman" w:hAnsi="Times New Roman" w:eastAsia="宋体" w:cs="Times New Roman"/>
                <w:b/>
                <w:bCs/>
                <w:color w:val="auto"/>
                <w:kern w:val="2"/>
                <w:sz w:val="21"/>
                <w:szCs w:val="24"/>
                <w:u w:val="single" w:color="auto"/>
                <w:lang w:val="en-US" w:eastAsia="zh-CN" w:bidi="ar-SA"/>
              </w:rPr>
              <w:t>表2-</w:t>
            </w:r>
            <w:r>
              <w:rPr>
                <w:rFonts w:hint="eastAsia" w:ascii="Times New Roman" w:hAnsi="Times New Roman" w:eastAsia="宋体" w:cs="Times New Roman"/>
                <w:b/>
                <w:bCs/>
                <w:color w:val="auto"/>
                <w:kern w:val="2"/>
                <w:sz w:val="21"/>
                <w:szCs w:val="24"/>
                <w:u w:val="single" w:color="auto"/>
                <w:lang w:val="en-US" w:eastAsia="zh-CN" w:bidi="ar-SA"/>
              </w:rPr>
              <w:t>10  现有工程</w:t>
            </w:r>
            <w:r>
              <w:rPr>
                <w:rFonts w:ascii="Times New Roman" w:hAnsi="Times New Roman" w:eastAsia="宋体" w:cs="Times New Roman"/>
                <w:b/>
                <w:bCs/>
                <w:color w:val="auto"/>
                <w:kern w:val="2"/>
                <w:sz w:val="21"/>
                <w:szCs w:val="24"/>
                <w:u w:val="single" w:color="auto"/>
                <w:lang w:val="en-US" w:eastAsia="zh-CN" w:bidi="ar-SA"/>
              </w:rPr>
              <w:t>污染物排放情况汇总一览表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681"/>
              <w:gridCol w:w="1649"/>
              <w:gridCol w:w="1619"/>
              <w:gridCol w:w="1513"/>
              <w:gridCol w:w="2899"/>
            </w:tblGrid>
            <w:tr w14:paraId="28E26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tcBorders>
                    <w:tl2br w:val="nil"/>
                    <w:tr2bl w:val="nil"/>
                  </w:tcBorders>
                  <w:noWrap w:val="0"/>
                  <w:vAlign w:val="center"/>
                </w:tcPr>
                <w:p w14:paraId="3C225781">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内容类型</w:t>
                  </w:r>
                </w:p>
              </w:tc>
              <w:tc>
                <w:tcPr>
                  <w:tcW w:w="1294" w:type="pct"/>
                  <w:gridSpan w:val="2"/>
                  <w:tcBorders>
                    <w:tl2br w:val="nil"/>
                    <w:tr2bl w:val="nil"/>
                  </w:tcBorders>
                  <w:noWrap w:val="0"/>
                  <w:vAlign w:val="center"/>
                </w:tcPr>
                <w:p w14:paraId="3A43EAF2">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排放源</w:t>
                  </w:r>
                </w:p>
              </w:tc>
              <w:tc>
                <w:tcPr>
                  <w:tcW w:w="899" w:type="pct"/>
                  <w:tcBorders>
                    <w:tl2br w:val="nil"/>
                    <w:tr2bl w:val="nil"/>
                  </w:tcBorders>
                  <w:noWrap w:val="0"/>
                  <w:vAlign w:val="center"/>
                </w:tcPr>
                <w:p w14:paraId="48E4C2F1">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污染物名称</w:t>
                  </w:r>
                </w:p>
              </w:tc>
              <w:tc>
                <w:tcPr>
                  <w:tcW w:w="840" w:type="pct"/>
                  <w:tcBorders>
                    <w:tl2br w:val="nil"/>
                    <w:tr2bl w:val="nil"/>
                  </w:tcBorders>
                  <w:noWrap w:val="0"/>
                  <w:vAlign w:val="center"/>
                </w:tcPr>
                <w:p w14:paraId="128778AE">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排放量</w:t>
                  </w:r>
                </w:p>
              </w:tc>
              <w:tc>
                <w:tcPr>
                  <w:tcW w:w="1608" w:type="pct"/>
                  <w:tcBorders>
                    <w:tl2br w:val="nil"/>
                    <w:tr2bl w:val="nil"/>
                  </w:tcBorders>
                  <w:noWrap w:val="0"/>
                  <w:vAlign w:val="center"/>
                </w:tcPr>
                <w:p w14:paraId="116A057F">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防治措施</w:t>
                  </w:r>
                </w:p>
              </w:tc>
            </w:tr>
            <w:tr w14:paraId="700AB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vMerge w:val="restart"/>
                  <w:tcBorders>
                    <w:tl2br w:val="nil"/>
                    <w:tr2bl w:val="nil"/>
                  </w:tcBorders>
                  <w:noWrap w:val="0"/>
                  <w:vAlign w:val="center"/>
                </w:tcPr>
                <w:p w14:paraId="23733BAE">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废气</w:t>
                  </w:r>
                </w:p>
              </w:tc>
              <w:tc>
                <w:tcPr>
                  <w:tcW w:w="1294" w:type="pct"/>
                  <w:gridSpan w:val="2"/>
                  <w:tcBorders>
                    <w:tl2br w:val="nil"/>
                    <w:tr2bl w:val="nil"/>
                  </w:tcBorders>
                  <w:noWrap w:val="0"/>
                  <w:vAlign w:val="center"/>
                </w:tcPr>
                <w:p w14:paraId="604AC953">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hint="eastAsia" w:ascii="Times New Roman" w:hAnsi="Times New Roman" w:eastAsia="宋体" w:cs="Times New Roman"/>
                      <w:b w:val="0"/>
                      <w:bCs w:val="0"/>
                      <w:color w:val="auto"/>
                      <w:kern w:val="2"/>
                      <w:sz w:val="21"/>
                      <w:szCs w:val="21"/>
                      <w:u w:val="single" w:color="auto"/>
                      <w:lang w:val="en-US" w:eastAsia="zh-CN" w:bidi="ar-SA"/>
                    </w:rPr>
                    <w:t>污水处理设施</w:t>
                  </w:r>
                </w:p>
              </w:tc>
              <w:tc>
                <w:tcPr>
                  <w:tcW w:w="899" w:type="pct"/>
                  <w:tcBorders>
                    <w:tl2br w:val="nil"/>
                    <w:tr2bl w:val="nil"/>
                  </w:tcBorders>
                  <w:noWrap w:val="0"/>
                  <w:vAlign w:val="center"/>
                </w:tcPr>
                <w:p w14:paraId="3D7775EB">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color w:val="auto"/>
                      <w:sz w:val="21"/>
                      <w:szCs w:val="24"/>
                      <w:u w:val="single" w:color="auto"/>
                    </w:rPr>
                    <w:t>H</w:t>
                  </w:r>
                  <w:r>
                    <w:rPr>
                      <w:rFonts w:ascii="Times New Roman" w:hAnsi="Times New Roman" w:eastAsia="宋体" w:cs="Times New Roman"/>
                      <w:color w:val="auto"/>
                      <w:sz w:val="21"/>
                      <w:szCs w:val="24"/>
                      <w:u w:val="single" w:color="auto"/>
                      <w:vertAlign w:val="subscript"/>
                    </w:rPr>
                    <w:t>2</w:t>
                  </w:r>
                  <w:r>
                    <w:rPr>
                      <w:rFonts w:ascii="Times New Roman" w:hAnsi="Times New Roman" w:eastAsia="宋体" w:cs="Times New Roman"/>
                      <w:color w:val="auto"/>
                      <w:sz w:val="21"/>
                      <w:szCs w:val="24"/>
                      <w:u w:val="single" w:color="auto"/>
                    </w:rPr>
                    <w:t>S、NH</w:t>
                  </w:r>
                  <w:r>
                    <w:rPr>
                      <w:rFonts w:ascii="Times New Roman" w:hAnsi="Times New Roman" w:eastAsia="宋体" w:cs="Times New Roman"/>
                      <w:color w:val="auto"/>
                      <w:sz w:val="21"/>
                      <w:szCs w:val="24"/>
                      <w:u w:val="single" w:color="auto"/>
                      <w:vertAlign w:val="subscript"/>
                    </w:rPr>
                    <w:t>3</w:t>
                  </w:r>
                </w:p>
              </w:tc>
              <w:tc>
                <w:tcPr>
                  <w:tcW w:w="840" w:type="pct"/>
                  <w:tcBorders>
                    <w:tl2br w:val="nil"/>
                    <w:tr2bl w:val="nil"/>
                  </w:tcBorders>
                  <w:noWrap w:val="0"/>
                  <w:vAlign w:val="center"/>
                </w:tcPr>
                <w:p w14:paraId="3B81EBDE">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hint="eastAsia" w:ascii="Times New Roman" w:hAnsi="Times New Roman" w:eastAsia="宋体" w:cs="Times New Roman"/>
                      <w:b w:val="0"/>
                      <w:bCs w:val="0"/>
                      <w:color w:val="auto"/>
                      <w:kern w:val="2"/>
                      <w:sz w:val="21"/>
                      <w:szCs w:val="21"/>
                      <w:u w:val="single" w:color="auto"/>
                      <w:lang w:val="en-US" w:eastAsia="zh-CN" w:bidi="ar-SA"/>
                    </w:rPr>
                    <w:t>少量</w:t>
                  </w:r>
                </w:p>
              </w:tc>
              <w:tc>
                <w:tcPr>
                  <w:tcW w:w="1608" w:type="pct"/>
                  <w:tcBorders>
                    <w:tl2br w:val="nil"/>
                    <w:tr2bl w:val="nil"/>
                  </w:tcBorders>
                  <w:noWrap w:val="0"/>
                  <w:vAlign w:val="center"/>
                </w:tcPr>
                <w:p w14:paraId="4D214CD6">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hint="eastAsia" w:cs="Times New Roman"/>
                      <w:b w:val="0"/>
                      <w:bCs w:val="0"/>
                      <w:color w:val="auto"/>
                      <w:kern w:val="2"/>
                      <w:sz w:val="21"/>
                      <w:szCs w:val="21"/>
                      <w:u w:val="single" w:color="auto"/>
                      <w:lang w:val="en-US" w:eastAsia="zh-CN" w:bidi="ar-SA"/>
                    </w:rPr>
                    <w:t>经</w:t>
                  </w:r>
                  <w:r>
                    <w:rPr>
                      <w:rFonts w:hint="default" w:ascii="Times New Roman" w:hAnsi="Times New Roman" w:eastAsia="宋体" w:cs="Times New Roman"/>
                      <w:b w:val="0"/>
                      <w:bCs w:val="0"/>
                      <w:color w:val="auto"/>
                      <w:kern w:val="2"/>
                      <w:sz w:val="21"/>
                      <w:szCs w:val="21"/>
                      <w:u w:val="single" w:color="auto"/>
                      <w:lang w:val="en-US" w:eastAsia="zh-CN" w:bidi="ar-SA"/>
                    </w:rPr>
                    <w:t>活性炭吸附系统</w:t>
                  </w:r>
                  <w:r>
                    <w:rPr>
                      <w:rFonts w:hint="eastAsia" w:cs="Times New Roman"/>
                      <w:b w:val="0"/>
                      <w:bCs w:val="0"/>
                      <w:color w:val="auto"/>
                      <w:kern w:val="2"/>
                      <w:sz w:val="21"/>
                      <w:szCs w:val="21"/>
                      <w:u w:val="single" w:color="auto"/>
                      <w:lang w:val="en-US" w:eastAsia="zh-CN" w:bidi="ar-SA"/>
                    </w:rPr>
                    <w:t>处理后</w:t>
                  </w:r>
                  <w:r>
                    <w:rPr>
                      <w:rFonts w:hint="default" w:ascii="Times New Roman" w:hAnsi="Times New Roman" w:eastAsia="宋体" w:cs="Times New Roman"/>
                      <w:b w:val="0"/>
                      <w:bCs w:val="0"/>
                      <w:color w:val="auto"/>
                      <w:kern w:val="2"/>
                      <w:sz w:val="21"/>
                      <w:szCs w:val="21"/>
                      <w:u w:val="single" w:color="auto"/>
                      <w:lang w:val="en-US" w:eastAsia="zh-CN" w:bidi="ar-SA"/>
                    </w:rPr>
                    <w:t>通过15m高排气筒排放</w:t>
                  </w:r>
                </w:p>
              </w:tc>
            </w:tr>
            <w:tr w14:paraId="7F18B6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vMerge w:val="continue"/>
                  <w:tcBorders>
                    <w:tl2br w:val="nil"/>
                    <w:tr2bl w:val="nil"/>
                  </w:tcBorders>
                  <w:noWrap w:val="0"/>
                  <w:vAlign w:val="center"/>
                </w:tcPr>
                <w:p w14:paraId="5E7B20D9">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c>
                <w:tcPr>
                  <w:tcW w:w="1294" w:type="pct"/>
                  <w:gridSpan w:val="2"/>
                  <w:vMerge w:val="restart"/>
                  <w:tcBorders>
                    <w:tl2br w:val="nil"/>
                    <w:tr2bl w:val="nil"/>
                  </w:tcBorders>
                  <w:noWrap w:val="0"/>
                  <w:vAlign w:val="center"/>
                </w:tcPr>
                <w:p w14:paraId="404C4F85">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地下停车场</w:t>
                  </w:r>
                  <w:r>
                    <w:rPr>
                      <w:rFonts w:hint="eastAsia" w:ascii="Times New Roman" w:hAnsi="Times New Roman" w:eastAsia="宋体" w:cs="Times New Roman"/>
                      <w:b w:val="0"/>
                      <w:bCs w:val="0"/>
                      <w:color w:val="auto"/>
                      <w:kern w:val="2"/>
                      <w:sz w:val="21"/>
                      <w:szCs w:val="21"/>
                      <w:u w:val="single" w:color="auto"/>
                      <w:lang w:val="en-US" w:eastAsia="zh-CN" w:bidi="ar-SA"/>
                    </w:rPr>
                    <w:t>汽车尾气</w:t>
                  </w:r>
                </w:p>
              </w:tc>
              <w:tc>
                <w:tcPr>
                  <w:tcW w:w="899" w:type="pct"/>
                  <w:tcBorders>
                    <w:tl2br w:val="nil"/>
                    <w:tr2bl w:val="nil"/>
                  </w:tcBorders>
                  <w:shd w:val="clear" w:color="auto" w:fill="auto"/>
                  <w:noWrap w:val="0"/>
                  <w:vAlign w:val="center"/>
                </w:tcPr>
                <w:p w14:paraId="400BDCBC">
                  <w:pPr>
                    <w:pStyle w:val="63"/>
                    <w:ind w:firstLine="0" w:firstLineChars="0"/>
                    <w:rPr>
                      <w:rFonts w:ascii="Times New Roman" w:hAnsi="Times New Roman" w:eastAsia="宋体" w:cs="Times New Roman"/>
                      <w:color w:val="auto"/>
                      <w:kern w:val="2"/>
                      <w:sz w:val="21"/>
                      <w:szCs w:val="21"/>
                      <w:u w:val="single" w:color="auto"/>
                      <w:lang w:val="en-US" w:eastAsia="zh-CN" w:bidi="ar-SA"/>
                    </w:rPr>
                  </w:pPr>
                  <w:r>
                    <w:rPr>
                      <w:rFonts w:ascii="Times New Roman" w:hAnsi="Times New Roman"/>
                      <w:color w:val="auto"/>
                      <w:kern w:val="2"/>
                      <w:u w:val="single" w:color="auto"/>
                    </w:rPr>
                    <w:t>CO</w:t>
                  </w:r>
                </w:p>
              </w:tc>
              <w:tc>
                <w:tcPr>
                  <w:tcW w:w="840" w:type="pct"/>
                  <w:tcBorders>
                    <w:tl2br w:val="nil"/>
                    <w:tr2bl w:val="nil"/>
                  </w:tcBorders>
                  <w:shd w:val="clear" w:color="auto" w:fill="auto"/>
                  <w:noWrap w:val="0"/>
                  <w:vAlign w:val="center"/>
                </w:tcPr>
                <w:p w14:paraId="6810B602">
                  <w:pPr>
                    <w:pStyle w:val="63"/>
                    <w:ind w:firstLine="0" w:firstLineChars="0"/>
                    <w:rPr>
                      <w:rFonts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color w:val="auto"/>
                      <w:kern w:val="2"/>
                      <w:u w:val="single" w:color="auto"/>
                    </w:rPr>
                    <w:t>1.75</w:t>
                  </w:r>
                  <w:r>
                    <w:rPr>
                      <w:rFonts w:ascii="Times New Roman" w:hAnsi="Times New Roman"/>
                      <w:color w:val="auto"/>
                      <w:kern w:val="2"/>
                      <w:u w:val="single" w:color="auto"/>
                    </w:rPr>
                    <w:t>t/a</w:t>
                  </w:r>
                </w:p>
              </w:tc>
              <w:tc>
                <w:tcPr>
                  <w:tcW w:w="1608" w:type="pct"/>
                  <w:vMerge w:val="restart"/>
                  <w:tcBorders>
                    <w:tl2br w:val="nil"/>
                    <w:tr2bl w:val="nil"/>
                  </w:tcBorders>
                  <w:noWrap w:val="0"/>
                  <w:vAlign w:val="center"/>
                </w:tcPr>
                <w:p w14:paraId="4412459D">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hint="eastAsia" w:ascii="Times New Roman" w:hAnsi="Times New Roman" w:eastAsia="宋体" w:cs="Times New Roman"/>
                      <w:b w:val="0"/>
                      <w:bCs w:val="0"/>
                      <w:color w:val="auto"/>
                      <w:kern w:val="2"/>
                      <w:sz w:val="21"/>
                      <w:szCs w:val="21"/>
                      <w:u w:val="single" w:color="auto"/>
                      <w:lang w:val="en-US" w:eastAsia="zh-CN" w:bidi="ar-SA"/>
                    </w:rPr>
                    <w:t>自然扩散</w:t>
                  </w:r>
                </w:p>
              </w:tc>
            </w:tr>
            <w:tr w14:paraId="143CC3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vMerge w:val="continue"/>
                  <w:tcBorders>
                    <w:tl2br w:val="nil"/>
                    <w:tr2bl w:val="nil"/>
                  </w:tcBorders>
                  <w:noWrap w:val="0"/>
                  <w:vAlign w:val="center"/>
                </w:tcPr>
                <w:p w14:paraId="2DCE20AC">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c>
                <w:tcPr>
                  <w:tcW w:w="1294" w:type="pct"/>
                  <w:gridSpan w:val="2"/>
                  <w:vMerge w:val="continue"/>
                  <w:tcBorders>
                    <w:tl2br w:val="nil"/>
                    <w:tr2bl w:val="nil"/>
                  </w:tcBorders>
                  <w:noWrap w:val="0"/>
                  <w:vAlign w:val="center"/>
                </w:tcPr>
                <w:p w14:paraId="45BBF2EF">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c>
                <w:tcPr>
                  <w:tcW w:w="899" w:type="pct"/>
                  <w:tcBorders>
                    <w:tl2br w:val="nil"/>
                    <w:tr2bl w:val="nil"/>
                  </w:tcBorders>
                  <w:shd w:val="clear" w:color="auto" w:fill="auto"/>
                  <w:noWrap w:val="0"/>
                  <w:vAlign w:val="center"/>
                </w:tcPr>
                <w:p w14:paraId="15A014B3">
                  <w:pPr>
                    <w:pStyle w:val="63"/>
                    <w:ind w:firstLine="0" w:firstLineChars="0"/>
                    <w:rPr>
                      <w:rFonts w:ascii="Times New Roman" w:hAnsi="Times New Roman" w:eastAsia="宋体" w:cs="Times New Roman"/>
                      <w:color w:val="auto"/>
                      <w:kern w:val="2"/>
                      <w:sz w:val="21"/>
                      <w:szCs w:val="21"/>
                      <w:u w:val="single" w:color="auto"/>
                      <w:lang w:val="en-US" w:eastAsia="zh-CN" w:bidi="ar-SA"/>
                    </w:rPr>
                  </w:pPr>
                  <w:r>
                    <w:rPr>
                      <w:rFonts w:ascii="Times New Roman" w:hAnsi="Times New Roman"/>
                      <w:color w:val="auto"/>
                      <w:kern w:val="2"/>
                      <w:u w:val="single" w:color="auto"/>
                    </w:rPr>
                    <w:t>THC</w:t>
                  </w:r>
                </w:p>
              </w:tc>
              <w:tc>
                <w:tcPr>
                  <w:tcW w:w="840" w:type="pct"/>
                  <w:tcBorders>
                    <w:tl2br w:val="nil"/>
                    <w:tr2bl w:val="nil"/>
                  </w:tcBorders>
                  <w:shd w:val="clear" w:color="auto" w:fill="auto"/>
                  <w:noWrap w:val="0"/>
                  <w:vAlign w:val="center"/>
                </w:tcPr>
                <w:p w14:paraId="49CE92DC">
                  <w:pPr>
                    <w:pStyle w:val="63"/>
                    <w:ind w:firstLine="0" w:firstLineChars="0"/>
                    <w:rPr>
                      <w:rFonts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color w:val="auto"/>
                      <w:kern w:val="2"/>
                      <w:u w:val="single" w:color="auto"/>
                    </w:rPr>
                    <w:t>0.133</w:t>
                  </w:r>
                  <w:r>
                    <w:rPr>
                      <w:rFonts w:ascii="Times New Roman" w:hAnsi="Times New Roman"/>
                      <w:color w:val="auto"/>
                      <w:kern w:val="2"/>
                      <w:u w:val="single" w:color="auto"/>
                    </w:rPr>
                    <w:t>t/a</w:t>
                  </w:r>
                </w:p>
              </w:tc>
              <w:tc>
                <w:tcPr>
                  <w:tcW w:w="1608" w:type="pct"/>
                  <w:vMerge w:val="continue"/>
                  <w:tcBorders>
                    <w:tl2br w:val="nil"/>
                    <w:tr2bl w:val="nil"/>
                  </w:tcBorders>
                  <w:noWrap w:val="0"/>
                  <w:vAlign w:val="center"/>
                </w:tcPr>
                <w:p w14:paraId="1073749E">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r>
            <w:tr w14:paraId="76428F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vMerge w:val="continue"/>
                  <w:tcBorders>
                    <w:tl2br w:val="nil"/>
                    <w:tr2bl w:val="nil"/>
                  </w:tcBorders>
                  <w:noWrap w:val="0"/>
                  <w:vAlign w:val="center"/>
                </w:tcPr>
                <w:p w14:paraId="1C9098DB">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c>
                <w:tcPr>
                  <w:tcW w:w="1294" w:type="pct"/>
                  <w:gridSpan w:val="2"/>
                  <w:vMerge w:val="continue"/>
                  <w:tcBorders>
                    <w:tl2br w:val="nil"/>
                    <w:tr2bl w:val="nil"/>
                  </w:tcBorders>
                  <w:noWrap w:val="0"/>
                  <w:vAlign w:val="center"/>
                </w:tcPr>
                <w:p w14:paraId="1912B961">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c>
                <w:tcPr>
                  <w:tcW w:w="899" w:type="pct"/>
                  <w:tcBorders>
                    <w:tl2br w:val="nil"/>
                    <w:tr2bl w:val="nil"/>
                  </w:tcBorders>
                  <w:shd w:val="clear" w:color="auto" w:fill="auto"/>
                  <w:noWrap w:val="0"/>
                  <w:vAlign w:val="center"/>
                </w:tcPr>
                <w:p w14:paraId="6F464D90">
                  <w:pPr>
                    <w:pStyle w:val="63"/>
                    <w:ind w:firstLine="0" w:firstLineChars="0"/>
                    <w:rPr>
                      <w:rFonts w:ascii="Times New Roman" w:hAnsi="Times New Roman" w:eastAsia="宋体" w:cs="Times New Roman"/>
                      <w:color w:val="auto"/>
                      <w:kern w:val="2"/>
                      <w:sz w:val="21"/>
                      <w:szCs w:val="21"/>
                      <w:u w:val="single" w:color="auto"/>
                      <w:lang w:val="en-US" w:eastAsia="zh-CN" w:bidi="ar-SA"/>
                    </w:rPr>
                  </w:pPr>
                  <w:r>
                    <w:rPr>
                      <w:rFonts w:ascii="Times New Roman" w:hAnsi="Times New Roman"/>
                      <w:color w:val="auto"/>
                      <w:kern w:val="2"/>
                      <w:u w:val="single" w:color="auto"/>
                    </w:rPr>
                    <w:t>NO</w:t>
                  </w:r>
                  <w:r>
                    <w:rPr>
                      <w:rFonts w:ascii="Times New Roman" w:hAnsi="Times New Roman"/>
                      <w:color w:val="auto"/>
                      <w:kern w:val="2"/>
                      <w:u w:val="single" w:color="auto"/>
                      <w:vertAlign w:val="subscript"/>
                    </w:rPr>
                    <w:t>x</w:t>
                  </w:r>
                </w:p>
              </w:tc>
              <w:tc>
                <w:tcPr>
                  <w:tcW w:w="840" w:type="pct"/>
                  <w:tcBorders>
                    <w:tl2br w:val="nil"/>
                    <w:tr2bl w:val="nil"/>
                  </w:tcBorders>
                  <w:shd w:val="clear" w:color="auto" w:fill="auto"/>
                  <w:noWrap w:val="0"/>
                  <w:vAlign w:val="center"/>
                </w:tcPr>
                <w:p w14:paraId="02FDD98F">
                  <w:pPr>
                    <w:pStyle w:val="63"/>
                    <w:ind w:firstLine="0" w:firstLineChars="0"/>
                    <w:rPr>
                      <w:rFonts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color w:val="auto"/>
                      <w:kern w:val="2"/>
                      <w:u w:val="single" w:color="auto"/>
                    </w:rPr>
                    <w:t>0.013</w:t>
                  </w:r>
                  <w:r>
                    <w:rPr>
                      <w:rFonts w:ascii="Times New Roman" w:hAnsi="Times New Roman"/>
                      <w:color w:val="auto"/>
                      <w:kern w:val="2"/>
                      <w:u w:val="single" w:color="auto"/>
                    </w:rPr>
                    <w:t>t/a</w:t>
                  </w:r>
                </w:p>
              </w:tc>
              <w:tc>
                <w:tcPr>
                  <w:tcW w:w="1608" w:type="pct"/>
                  <w:vMerge w:val="continue"/>
                  <w:tcBorders>
                    <w:tl2br w:val="nil"/>
                    <w:tr2bl w:val="nil"/>
                  </w:tcBorders>
                  <w:noWrap w:val="0"/>
                  <w:vAlign w:val="center"/>
                </w:tcPr>
                <w:p w14:paraId="2A5450F5">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r>
            <w:tr w14:paraId="0E33AE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vMerge w:val="continue"/>
                  <w:tcBorders>
                    <w:tl2br w:val="nil"/>
                    <w:tr2bl w:val="nil"/>
                  </w:tcBorders>
                  <w:noWrap w:val="0"/>
                  <w:vAlign w:val="center"/>
                </w:tcPr>
                <w:p w14:paraId="08F3D3AB">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c>
                <w:tcPr>
                  <w:tcW w:w="1294" w:type="pct"/>
                  <w:gridSpan w:val="2"/>
                  <w:tcBorders>
                    <w:tl2br w:val="nil"/>
                    <w:tr2bl w:val="nil"/>
                  </w:tcBorders>
                  <w:noWrap w:val="0"/>
                  <w:vAlign w:val="center"/>
                </w:tcPr>
                <w:p w14:paraId="48DA9765">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hint="eastAsia" w:ascii="Times New Roman" w:hAnsi="Times New Roman" w:eastAsia="宋体" w:cs="Times New Roman"/>
                      <w:b w:val="0"/>
                      <w:bCs w:val="0"/>
                      <w:color w:val="auto"/>
                      <w:kern w:val="2"/>
                      <w:sz w:val="21"/>
                      <w:szCs w:val="21"/>
                      <w:u w:val="single" w:color="auto"/>
                      <w:lang w:val="en-US" w:eastAsia="zh-CN" w:bidi="ar-SA"/>
                    </w:rPr>
                    <w:t>食堂油烟</w:t>
                  </w:r>
                </w:p>
              </w:tc>
              <w:tc>
                <w:tcPr>
                  <w:tcW w:w="899" w:type="pct"/>
                  <w:tcBorders>
                    <w:tl2br w:val="nil"/>
                    <w:tr2bl w:val="nil"/>
                  </w:tcBorders>
                  <w:noWrap w:val="0"/>
                  <w:vAlign w:val="center"/>
                </w:tcPr>
                <w:p w14:paraId="4A4EBE89">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hint="eastAsia" w:ascii="Times New Roman" w:hAnsi="Times New Roman" w:eastAsia="宋体" w:cs="Times New Roman"/>
                      <w:b w:val="0"/>
                      <w:bCs w:val="0"/>
                      <w:color w:val="auto"/>
                      <w:kern w:val="2"/>
                      <w:sz w:val="21"/>
                      <w:szCs w:val="21"/>
                      <w:u w:val="single" w:color="auto"/>
                      <w:lang w:val="en-US" w:eastAsia="zh-CN" w:bidi="ar-SA"/>
                    </w:rPr>
                    <w:t>饮食业油烟</w:t>
                  </w:r>
                </w:p>
              </w:tc>
              <w:tc>
                <w:tcPr>
                  <w:tcW w:w="840" w:type="pct"/>
                  <w:tcBorders>
                    <w:tl2br w:val="nil"/>
                    <w:tr2bl w:val="nil"/>
                  </w:tcBorders>
                  <w:noWrap w:val="0"/>
                  <w:vAlign w:val="center"/>
                </w:tcPr>
                <w:p w14:paraId="7876C5E8">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hint="eastAsia" w:ascii="Times New Roman" w:hAnsi="Times New Roman" w:eastAsia="宋体" w:cs="Times New Roman"/>
                      <w:b w:val="0"/>
                      <w:bCs w:val="0"/>
                      <w:color w:val="auto"/>
                      <w:kern w:val="2"/>
                      <w:sz w:val="21"/>
                      <w:szCs w:val="21"/>
                      <w:u w:val="single" w:color="auto"/>
                      <w:lang w:val="en-US" w:eastAsia="zh-CN" w:bidi="ar-SA"/>
                    </w:rPr>
                    <w:t>8.76kg/a</w:t>
                  </w:r>
                </w:p>
              </w:tc>
              <w:tc>
                <w:tcPr>
                  <w:tcW w:w="1608" w:type="pct"/>
                  <w:tcBorders>
                    <w:tl2br w:val="nil"/>
                    <w:tr2bl w:val="nil"/>
                  </w:tcBorders>
                  <w:noWrap w:val="0"/>
                  <w:vAlign w:val="center"/>
                </w:tcPr>
                <w:p w14:paraId="30D18BDB">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hint="default" w:ascii="Times New Roman" w:hAnsi="Times New Roman" w:eastAsia="宋体" w:cs="Times New Roman"/>
                      <w:b w:val="0"/>
                      <w:bCs w:val="0"/>
                      <w:color w:val="auto"/>
                      <w:kern w:val="2"/>
                      <w:sz w:val="21"/>
                      <w:szCs w:val="21"/>
                      <w:u w:val="single" w:color="auto"/>
                      <w:lang w:val="en-US" w:eastAsia="zh-CN" w:bidi="ar-SA"/>
                    </w:rPr>
                    <w:t>经净化除油烟设施处理</w:t>
                  </w:r>
                </w:p>
              </w:tc>
            </w:tr>
            <w:tr w14:paraId="7F8A95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vMerge w:val="continue"/>
                  <w:tcBorders>
                    <w:tl2br w:val="nil"/>
                    <w:tr2bl w:val="nil"/>
                  </w:tcBorders>
                  <w:noWrap w:val="0"/>
                  <w:vAlign w:val="center"/>
                </w:tcPr>
                <w:p w14:paraId="0215E210">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c>
                <w:tcPr>
                  <w:tcW w:w="1294" w:type="pct"/>
                  <w:gridSpan w:val="2"/>
                  <w:vMerge w:val="restart"/>
                  <w:tcBorders>
                    <w:tl2br w:val="nil"/>
                    <w:tr2bl w:val="nil"/>
                  </w:tcBorders>
                  <w:shd w:val="clear" w:color="auto" w:fill="auto"/>
                  <w:noWrap w:val="0"/>
                  <w:vAlign w:val="center"/>
                </w:tcPr>
                <w:p w14:paraId="4D2CFCBB">
                  <w:pPr>
                    <w:pStyle w:val="63"/>
                    <w:ind w:firstLine="0" w:firstLineChars="0"/>
                    <w:rPr>
                      <w:rFonts w:ascii="Times New Roman" w:hAnsi="Times New Roman" w:eastAsia="宋体" w:cs="Times New Roman"/>
                      <w:color w:val="auto"/>
                      <w:kern w:val="2"/>
                      <w:sz w:val="21"/>
                      <w:szCs w:val="21"/>
                      <w:u w:val="single" w:color="auto"/>
                      <w:lang w:val="en-US" w:eastAsia="zh-CN" w:bidi="ar-SA"/>
                    </w:rPr>
                  </w:pPr>
                  <w:r>
                    <w:rPr>
                      <w:rFonts w:ascii="Times New Roman" w:hAnsi="Times New Roman"/>
                      <w:color w:val="auto"/>
                      <w:kern w:val="2"/>
                      <w:u w:val="single" w:color="auto"/>
                    </w:rPr>
                    <w:t>柴油发电机</w:t>
                  </w:r>
                </w:p>
              </w:tc>
              <w:tc>
                <w:tcPr>
                  <w:tcW w:w="899" w:type="pct"/>
                  <w:tcBorders>
                    <w:tl2br w:val="nil"/>
                    <w:tr2bl w:val="nil"/>
                  </w:tcBorders>
                  <w:shd w:val="clear" w:color="auto" w:fill="auto"/>
                  <w:noWrap w:val="0"/>
                  <w:vAlign w:val="center"/>
                </w:tcPr>
                <w:p w14:paraId="45EAB6D5">
                  <w:pPr>
                    <w:pStyle w:val="63"/>
                    <w:ind w:firstLine="0" w:firstLineChars="0"/>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color w:val="auto"/>
                      <w:kern w:val="2"/>
                      <w:highlight w:val="none"/>
                      <w:u w:val="single" w:color="auto"/>
                    </w:rPr>
                    <w:t>CO</w:t>
                  </w:r>
                </w:p>
              </w:tc>
              <w:tc>
                <w:tcPr>
                  <w:tcW w:w="840" w:type="pct"/>
                  <w:tcBorders>
                    <w:tl2br w:val="nil"/>
                    <w:tr2bl w:val="nil"/>
                  </w:tcBorders>
                  <w:noWrap w:val="0"/>
                  <w:vAlign w:val="center"/>
                </w:tcPr>
                <w:p w14:paraId="1A7F9DC7">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hint="eastAsia" w:ascii="Times New Roman" w:hAnsi="Times New Roman" w:eastAsia="宋体" w:cs="Times New Roman"/>
                      <w:b w:val="0"/>
                      <w:bCs w:val="0"/>
                      <w:color w:val="auto"/>
                      <w:kern w:val="2"/>
                      <w:sz w:val="21"/>
                      <w:szCs w:val="21"/>
                      <w:u w:val="single" w:color="auto"/>
                      <w:lang w:val="en-US" w:eastAsia="zh-CN" w:bidi="ar-SA"/>
                    </w:rPr>
                    <w:t>0.067t/a</w:t>
                  </w:r>
                </w:p>
              </w:tc>
              <w:tc>
                <w:tcPr>
                  <w:tcW w:w="1608" w:type="pct"/>
                  <w:vMerge w:val="restart"/>
                  <w:tcBorders>
                    <w:tl2br w:val="nil"/>
                    <w:tr2bl w:val="nil"/>
                  </w:tcBorders>
                  <w:noWrap w:val="0"/>
                  <w:vAlign w:val="center"/>
                </w:tcPr>
                <w:p w14:paraId="65A42DA4">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hint="eastAsia" w:ascii="Times New Roman" w:hAnsi="Times New Roman" w:eastAsia="宋体" w:cs="Times New Roman"/>
                      <w:b w:val="0"/>
                      <w:bCs w:val="0"/>
                      <w:color w:val="auto"/>
                      <w:kern w:val="2"/>
                      <w:sz w:val="21"/>
                      <w:szCs w:val="21"/>
                      <w:u w:val="single" w:color="auto"/>
                      <w:lang w:val="en-US" w:eastAsia="zh-CN" w:bidi="ar-SA"/>
                    </w:rPr>
                    <w:t>通过专用排气烟道引至屋顶排放</w:t>
                  </w:r>
                </w:p>
              </w:tc>
            </w:tr>
            <w:tr w14:paraId="6379D5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vMerge w:val="continue"/>
                  <w:tcBorders>
                    <w:tl2br w:val="nil"/>
                    <w:tr2bl w:val="nil"/>
                  </w:tcBorders>
                  <w:noWrap w:val="0"/>
                  <w:vAlign w:val="center"/>
                </w:tcPr>
                <w:p w14:paraId="1AFC7833">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c>
                <w:tcPr>
                  <w:tcW w:w="1294" w:type="pct"/>
                  <w:gridSpan w:val="2"/>
                  <w:vMerge w:val="continue"/>
                  <w:tcBorders>
                    <w:tl2br w:val="nil"/>
                    <w:tr2bl w:val="nil"/>
                  </w:tcBorders>
                  <w:shd w:val="clear" w:color="auto" w:fill="auto"/>
                  <w:noWrap w:val="0"/>
                  <w:vAlign w:val="center"/>
                </w:tcPr>
                <w:p w14:paraId="2A665946">
                  <w:pPr>
                    <w:pStyle w:val="63"/>
                    <w:ind w:firstLine="0" w:firstLineChars="0"/>
                    <w:rPr>
                      <w:rFonts w:ascii="Times New Roman" w:hAnsi="Times New Roman"/>
                      <w:color w:val="auto"/>
                      <w:kern w:val="2"/>
                      <w:u w:val="single" w:color="auto"/>
                    </w:rPr>
                  </w:pPr>
                </w:p>
              </w:tc>
              <w:tc>
                <w:tcPr>
                  <w:tcW w:w="899" w:type="pct"/>
                  <w:tcBorders>
                    <w:tl2br w:val="nil"/>
                    <w:tr2bl w:val="nil"/>
                  </w:tcBorders>
                  <w:shd w:val="clear" w:color="auto" w:fill="auto"/>
                  <w:noWrap w:val="0"/>
                  <w:vAlign w:val="center"/>
                </w:tcPr>
                <w:p w14:paraId="37792EEC">
                  <w:pPr>
                    <w:pStyle w:val="63"/>
                    <w:ind w:firstLine="0" w:firstLineChars="0"/>
                    <w:rPr>
                      <w:rFonts w:ascii="Times New Roman" w:hAnsi="Times New Roman"/>
                      <w:color w:val="auto"/>
                      <w:kern w:val="2"/>
                      <w:highlight w:val="none"/>
                      <w:u w:val="single" w:color="auto"/>
                    </w:rPr>
                  </w:pPr>
                  <w:r>
                    <w:rPr>
                      <w:rFonts w:hint="eastAsia" w:ascii="Times New Roman" w:hAnsi="Times New Roman"/>
                      <w:color w:val="auto"/>
                      <w:kern w:val="2"/>
                      <w:highlight w:val="none"/>
                      <w:u w:val="single" w:color="auto"/>
                    </w:rPr>
                    <w:t>HC+NOx</w:t>
                  </w:r>
                </w:p>
              </w:tc>
              <w:tc>
                <w:tcPr>
                  <w:tcW w:w="840" w:type="pct"/>
                  <w:tcBorders>
                    <w:tl2br w:val="nil"/>
                    <w:tr2bl w:val="nil"/>
                  </w:tcBorders>
                  <w:noWrap w:val="0"/>
                  <w:vAlign w:val="center"/>
                </w:tcPr>
                <w:p w14:paraId="0C6CD05B">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u w:val="single" w:color="auto"/>
                      <w:lang w:val="en-US" w:eastAsia="zh-CN" w:bidi="ar-SA"/>
                    </w:rPr>
                  </w:pPr>
                  <w:r>
                    <w:rPr>
                      <w:rFonts w:hint="eastAsia" w:ascii="Times New Roman" w:hAnsi="Times New Roman" w:eastAsia="宋体" w:cs="Times New Roman"/>
                      <w:b w:val="0"/>
                      <w:bCs w:val="0"/>
                      <w:color w:val="auto"/>
                      <w:kern w:val="2"/>
                      <w:sz w:val="21"/>
                      <w:szCs w:val="21"/>
                      <w:u w:val="single" w:color="auto"/>
                      <w:lang w:val="en-US" w:eastAsia="zh-CN" w:bidi="ar-SA"/>
                    </w:rPr>
                    <w:t>0.077t/a</w:t>
                  </w:r>
                </w:p>
              </w:tc>
              <w:tc>
                <w:tcPr>
                  <w:tcW w:w="1608" w:type="pct"/>
                  <w:vMerge w:val="continue"/>
                  <w:tcBorders>
                    <w:tl2br w:val="nil"/>
                    <w:tr2bl w:val="nil"/>
                  </w:tcBorders>
                  <w:noWrap w:val="0"/>
                  <w:vAlign w:val="center"/>
                </w:tcPr>
                <w:p w14:paraId="45C704AE">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r>
            <w:tr w14:paraId="348C54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vMerge w:val="continue"/>
                  <w:tcBorders>
                    <w:tl2br w:val="nil"/>
                    <w:tr2bl w:val="nil"/>
                  </w:tcBorders>
                  <w:noWrap w:val="0"/>
                  <w:vAlign w:val="center"/>
                </w:tcPr>
                <w:p w14:paraId="19BAA3A6">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c>
                <w:tcPr>
                  <w:tcW w:w="1294" w:type="pct"/>
                  <w:gridSpan w:val="2"/>
                  <w:tcBorders>
                    <w:tl2br w:val="nil"/>
                    <w:tr2bl w:val="nil"/>
                  </w:tcBorders>
                  <w:shd w:val="clear" w:color="auto" w:fill="auto"/>
                  <w:noWrap w:val="0"/>
                  <w:vAlign w:val="center"/>
                </w:tcPr>
                <w:p w14:paraId="55F764EA">
                  <w:pPr>
                    <w:pStyle w:val="63"/>
                    <w:ind w:firstLine="0" w:firstLineChars="0"/>
                    <w:rPr>
                      <w:rFonts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color w:val="auto"/>
                      <w:kern w:val="2"/>
                      <w:u w:val="single" w:color="auto"/>
                    </w:rPr>
                    <w:t>煎药废气</w:t>
                  </w:r>
                </w:p>
              </w:tc>
              <w:tc>
                <w:tcPr>
                  <w:tcW w:w="899" w:type="pct"/>
                  <w:tcBorders>
                    <w:tl2br w:val="nil"/>
                    <w:tr2bl w:val="nil"/>
                  </w:tcBorders>
                  <w:shd w:val="clear" w:color="auto" w:fill="auto"/>
                  <w:noWrap w:val="0"/>
                  <w:vAlign w:val="center"/>
                </w:tcPr>
                <w:p w14:paraId="4E685B0B">
                  <w:pPr>
                    <w:pStyle w:val="63"/>
                    <w:ind w:firstLine="0" w:firstLineChars="0"/>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color w:val="auto"/>
                      <w:kern w:val="2"/>
                      <w:highlight w:val="none"/>
                      <w:u w:val="single" w:color="auto"/>
                    </w:rPr>
                    <w:t>中医异味</w:t>
                  </w:r>
                </w:p>
              </w:tc>
              <w:tc>
                <w:tcPr>
                  <w:tcW w:w="840" w:type="pct"/>
                  <w:tcBorders>
                    <w:tl2br w:val="nil"/>
                    <w:tr2bl w:val="nil"/>
                  </w:tcBorders>
                  <w:noWrap w:val="0"/>
                  <w:vAlign w:val="center"/>
                </w:tcPr>
                <w:p w14:paraId="2B5FC8B7">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hint="eastAsia" w:ascii="Times New Roman" w:hAnsi="Times New Roman" w:eastAsia="宋体" w:cs="Times New Roman"/>
                      <w:b w:val="0"/>
                      <w:bCs w:val="0"/>
                      <w:color w:val="auto"/>
                      <w:kern w:val="2"/>
                      <w:sz w:val="21"/>
                      <w:szCs w:val="21"/>
                      <w:u w:val="single" w:color="auto"/>
                      <w:lang w:val="en-US" w:eastAsia="zh-CN" w:bidi="ar-SA"/>
                    </w:rPr>
                    <w:t>少量</w:t>
                  </w:r>
                </w:p>
              </w:tc>
              <w:tc>
                <w:tcPr>
                  <w:tcW w:w="1608" w:type="pct"/>
                  <w:tcBorders>
                    <w:tl2br w:val="nil"/>
                    <w:tr2bl w:val="nil"/>
                  </w:tcBorders>
                  <w:noWrap w:val="0"/>
                  <w:vAlign w:val="center"/>
                </w:tcPr>
                <w:p w14:paraId="4E71BB86">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hint="eastAsia" w:ascii="Times New Roman" w:hAnsi="Times New Roman" w:eastAsia="宋体" w:cs="Times New Roman"/>
                      <w:b w:val="0"/>
                      <w:bCs w:val="0"/>
                      <w:color w:val="auto"/>
                      <w:kern w:val="2"/>
                      <w:sz w:val="21"/>
                      <w:szCs w:val="21"/>
                      <w:u w:val="single" w:color="auto"/>
                      <w:lang w:val="en-US" w:eastAsia="zh-CN" w:bidi="ar-SA"/>
                    </w:rPr>
                    <w:t>经</w:t>
                  </w:r>
                  <w:r>
                    <w:rPr>
                      <w:rFonts w:hint="default" w:ascii="Times New Roman" w:hAnsi="Times New Roman" w:eastAsia="宋体" w:cs="Times New Roman"/>
                      <w:b w:val="0"/>
                      <w:bCs w:val="0"/>
                      <w:color w:val="auto"/>
                      <w:kern w:val="2"/>
                      <w:sz w:val="21"/>
                      <w:szCs w:val="21"/>
                      <w:u w:val="single" w:color="auto"/>
                      <w:lang w:val="en-US" w:eastAsia="zh-CN" w:bidi="ar-SA"/>
                    </w:rPr>
                    <w:t>活性炭吸附系统</w:t>
                  </w:r>
                  <w:r>
                    <w:rPr>
                      <w:rFonts w:hint="eastAsia" w:ascii="Times New Roman" w:hAnsi="Times New Roman" w:eastAsia="宋体" w:cs="Times New Roman"/>
                      <w:b w:val="0"/>
                      <w:bCs w:val="0"/>
                      <w:color w:val="auto"/>
                      <w:kern w:val="2"/>
                      <w:sz w:val="21"/>
                      <w:szCs w:val="21"/>
                      <w:u w:val="single" w:color="auto"/>
                      <w:lang w:val="en-US" w:eastAsia="zh-CN" w:bidi="ar-SA"/>
                    </w:rPr>
                    <w:t>处理后</w:t>
                  </w:r>
                  <w:r>
                    <w:rPr>
                      <w:rFonts w:hint="default" w:ascii="Times New Roman" w:hAnsi="Times New Roman" w:eastAsia="宋体" w:cs="Times New Roman"/>
                      <w:b w:val="0"/>
                      <w:bCs w:val="0"/>
                      <w:color w:val="auto"/>
                      <w:kern w:val="2"/>
                      <w:sz w:val="21"/>
                      <w:szCs w:val="21"/>
                      <w:u w:val="single" w:color="auto"/>
                      <w:lang w:val="en-US" w:eastAsia="zh-CN" w:bidi="ar-SA"/>
                    </w:rPr>
                    <w:t>通过15m高排气筒排放</w:t>
                  </w:r>
                </w:p>
              </w:tc>
            </w:tr>
            <w:tr w14:paraId="08323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357" w:type="pct"/>
                  <w:vMerge w:val="restart"/>
                  <w:tcBorders>
                    <w:tl2br w:val="nil"/>
                    <w:tr2bl w:val="nil"/>
                  </w:tcBorders>
                  <w:noWrap w:val="0"/>
                  <w:vAlign w:val="center"/>
                </w:tcPr>
                <w:p w14:paraId="4121B47A">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r>
                    <w:rPr>
                      <w:rFonts w:ascii="Times New Roman" w:hAnsi="Times New Roman" w:eastAsia="宋体" w:cs="Times New Roman"/>
                      <w:b w:val="0"/>
                      <w:bCs w:val="0"/>
                      <w:color w:val="auto"/>
                      <w:kern w:val="2"/>
                      <w:sz w:val="21"/>
                      <w:szCs w:val="21"/>
                      <w:highlight w:val="none"/>
                      <w:u w:val="single" w:color="auto"/>
                      <w:lang w:val="en-US" w:eastAsia="zh-CN" w:bidi="ar-SA"/>
                    </w:rPr>
                    <w:t>废水</w:t>
                  </w:r>
                </w:p>
              </w:tc>
              <w:tc>
                <w:tcPr>
                  <w:tcW w:w="1294" w:type="pct"/>
                  <w:gridSpan w:val="2"/>
                  <w:vMerge w:val="restart"/>
                  <w:tcBorders>
                    <w:tl2br w:val="nil"/>
                    <w:tr2bl w:val="nil"/>
                  </w:tcBorders>
                  <w:noWrap w:val="0"/>
                  <w:vAlign w:val="center"/>
                </w:tcPr>
                <w:p w14:paraId="46457C26">
                  <w:pPr>
                    <w:keepNext w:val="0"/>
                    <w:keepLines w:val="0"/>
                    <w:pageBreakBefore w:val="0"/>
                    <w:widowControl w:val="0"/>
                    <w:kinsoku/>
                    <w:wordWrap/>
                    <w:overflowPunct/>
                    <w:topLinePunct w:val="0"/>
                    <w:bidi w:val="0"/>
                    <w:adjustRightInd w:val="0"/>
                    <w:snapToGrid w:val="0"/>
                    <w:spacing w:before="0" w:after="0" w:line="240" w:lineRule="auto"/>
                    <w:ind w:left="0" w:leftChars="0" w:firstLine="0" w:firstLineChars="0"/>
                    <w:jc w:val="center"/>
                    <w:textAlignment w:val="auto"/>
                    <w:outlineLvl w:val="2"/>
                    <w:rPr>
                      <w:rFonts w:ascii="Times New Roman" w:hAnsi="Times New Roman" w:eastAsia="宋体" w:cs="Times New Roman"/>
                      <w:b w:val="0"/>
                      <w:bCs w:val="0"/>
                      <w:color w:val="auto"/>
                      <w:kern w:val="2"/>
                      <w:sz w:val="21"/>
                      <w:szCs w:val="21"/>
                      <w:highlight w:val="none"/>
                      <w:u w:val="single" w:color="auto"/>
                      <w:lang w:val="en-US" w:eastAsia="zh-CN" w:bidi="ar-SA"/>
                    </w:rPr>
                  </w:pPr>
                  <w:r>
                    <w:rPr>
                      <w:rFonts w:ascii="Times New Roman" w:hAnsi="Times New Roman" w:eastAsia="宋体" w:cs="Times New Roman"/>
                      <w:b w:val="0"/>
                      <w:bCs w:val="0"/>
                      <w:color w:val="auto"/>
                      <w:kern w:val="2"/>
                      <w:sz w:val="21"/>
                      <w:szCs w:val="21"/>
                      <w:highlight w:val="none"/>
                      <w:u w:val="single" w:color="auto"/>
                      <w:lang w:val="en-US" w:eastAsia="zh-CN" w:bidi="ar-SA"/>
                    </w:rPr>
                    <w:t>综合废水</w:t>
                  </w:r>
                </w:p>
                <w:p w14:paraId="428D1C7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rPr>
                  </w:pPr>
                  <w:r>
                    <w:rPr>
                      <w:rFonts w:hint="eastAsia" w:cs="Times New Roman"/>
                      <w:b w:val="0"/>
                      <w:bCs w:val="0"/>
                      <w:color w:val="auto"/>
                      <w:sz w:val="21"/>
                      <w:szCs w:val="21"/>
                      <w:highlight w:val="none"/>
                      <w:u w:val="single" w:color="auto"/>
                      <w:lang w:val="en-US" w:eastAsia="zh-CN"/>
                    </w:rPr>
                    <w:t>43800m</w:t>
                  </w:r>
                  <w:r>
                    <w:rPr>
                      <w:rFonts w:hint="eastAsia" w:cs="Times New Roman"/>
                      <w:b w:val="0"/>
                      <w:bCs w:val="0"/>
                      <w:color w:val="auto"/>
                      <w:sz w:val="21"/>
                      <w:szCs w:val="21"/>
                      <w:highlight w:val="none"/>
                      <w:u w:val="single" w:color="auto"/>
                      <w:vertAlign w:val="superscript"/>
                      <w:lang w:val="en-US" w:eastAsia="zh-CN"/>
                    </w:rPr>
                    <w:t>3</w:t>
                  </w:r>
                  <w:r>
                    <w:rPr>
                      <w:rFonts w:ascii="Times New Roman" w:hAnsi="Times New Roman" w:eastAsia="宋体" w:cs="Times New Roman"/>
                      <w:b w:val="0"/>
                      <w:bCs w:val="0"/>
                      <w:color w:val="auto"/>
                      <w:sz w:val="21"/>
                      <w:szCs w:val="21"/>
                      <w:highlight w:val="none"/>
                      <w:u w:val="single" w:color="auto"/>
                    </w:rPr>
                    <w:t>/a</w:t>
                  </w:r>
                </w:p>
              </w:tc>
              <w:tc>
                <w:tcPr>
                  <w:tcW w:w="899" w:type="pct"/>
                  <w:tcBorders>
                    <w:tl2br w:val="nil"/>
                    <w:tr2bl w:val="nil"/>
                  </w:tcBorders>
                  <w:shd w:val="clear" w:color="auto" w:fill="auto"/>
                  <w:noWrap w:val="0"/>
                  <w:vAlign w:val="center"/>
                </w:tcPr>
                <w:p w14:paraId="20D0C84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lang w:val="en-US" w:eastAsia="zh-CN"/>
                    </w:rPr>
                  </w:pPr>
                  <w:r>
                    <w:rPr>
                      <w:rFonts w:ascii="Times New Roman" w:hAnsi="Times New Roman" w:eastAsia="宋体" w:cs="Times New Roman"/>
                      <w:b w:val="0"/>
                      <w:bCs w:val="0"/>
                      <w:color w:val="auto"/>
                      <w:sz w:val="21"/>
                      <w:szCs w:val="21"/>
                      <w:highlight w:val="none"/>
                      <w:u w:val="single" w:color="auto"/>
                    </w:rPr>
                    <w:t>COD</w:t>
                  </w:r>
                  <w:r>
                    <w:rPr>
                      <w:rFonts w:ascii="Times New Roman" w:hAnsi="Times New Roman" w:eastAsia="宋体" w:cs="Times New Roman"/>
                      <w:b w:val="0"/>
                      <w:bCs w:val="0"/>
                      <w:color w:val="auto"/>
                      <w:sz w:val="21"/>
                      <w:szCs w:val="21"/>
                      <w:highlight w:val="none"/>
                      <w:u w:val="single" w:color="auto"/>
                      <w:vertAlign w:val="subscript"/>
                    </w:rPr>
                    <w:t>Cr</w:t>
                  </w:r>
                </w:p>
              </w:tc>
              <w:tc>
                <w:tcPr>
                  <w:tcW w:w="840" w:type="pct"/>
                  <w:tcBorders>
                    <w:tl2br w:val="nil"/>
                    <w:tr2bl w:val="nil"/>
                  </w:tcBorders>
                  <w:noWrap w:val="0"/>
                  <w:vAlign w:val="center"/>
                </w:tcPr>
                <w:p w14:paraId="05256B4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8.18t/a</w:t>
                  </w:r>
                </w:p>
              </w:tc>
              <w:tc>
                <w:tcPr>
                  <w:tcW w:w="1608" w:type="pct"/>
                  <w:vMerge w:val="restart"/>
                  <w:tcBorders>
                    <w:tl2br w:val="nil"/>
                    <w:tr2bl w:val="nil"/>
                  </w:tcBorders>
                  <w:noWrap w:val="0"/>
                  <w:vAlign w:val="center"/>
                </w:tcPr>
                <w:p w14:paraId="4681C794">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rPr>
                  </w:pPr>
                  <w:r>
                    <w:rPr>
                      <w:rFonts w:ascii="Times New Roman" w:hAnsi="Times New Roman" w:eastAsia="宋体" w:cs="Times New Roman"/>
                      <w:b w:val="0"/>
                      <w:bCs w:val="0"/>
                      <w:color w:val="auto"/>
                      <w:kern w:val="2"/>
                      <w:sz w:val="21"/>
                      <w:szCs w:val="21"/>
                      <w:highlight w:val="none"/>
                      <w:u w:val="single" w:color="auto"/>
                      <w:lang w:val="en-US" w:eastAsia="zh-CN" w:bidi="ar-SA"/>
                    </w:rPr>
                    <w:t>雨污分流，化粪池，污水处理设施</w:t>
                  </w:r>
                </w:p>
              </w:tc>
            </w:tr>
            <w:tr w14:paraId="45DE77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357" w:type="pct"/>
                  <w:vMerge w:val="continue"/>
                  <w:tcBorders>
                    <w:tl2br w:val="nil"/>
                    <w:tr2bl w:val="nil"/>
                  </w:tcBorders>
                  <w:noWrap w:val="0"/>
                  <w:vAlign w:val="center"/>
                </w:tcPr>
                <w:p w14:paraId="7535ACF9">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p>
              </w:tc>
              <w:tc>
                <w:tcPr>
                  <w:tcW w:w="1294" w:type="pct"/>
                  <w:gridSpan w:val="2"/>
                  <w:vMerge w:val="continue"/>
                  <w:tcBorders>
                    <w:tl2br w:val="nil"/>
                    <w:tr2bl w:val="nil"/>
                  </w:tcBorders>
                  <w:noWrap w:val="0"/>
                  <w:vAlign w:val="center"/>
                </w:tcPr>
                <w:p w14:paraId="68573C2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rPr>
                  </w:pPr>
                </w:p>
              </w:tc>
              <w:tc>
                <w:tcPr>
                  <w:tcW w:w="899" w:type="pct"/>
                  <w:tcBorders>
                    <w:tl2br w:val="nil"/>
                    <w:tr2bl w:val="nil"/>
                  </w:tcBorders>
                  <w:shd w:val="clear" w:color="auto" w:fill="auto"/>
                  <w:noWrap w:val="0"/>
                  <w:vAlign w:val="center"/>
                </w:tcPr>
                <w:p w14:paraId="36382B5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lang w:val="en-US" w:eastAsia="zh-CN"/>
                    </w:rPr>
                  </w:pPr>
                  <w:r>
                    <w:rPr>
                      <w:rFonts w:ascii="Times New Roman" w:hAnsi="Times New Roman" w:eastAsia="宋体" w:cs="Times New Roman"/>
                      <w:b w:val="0"/>
                      <w:bCs w:val="0"/>
                      <w:color w:val="auto"/>
                      <w:sz w:val="21"/>
                      <w:szCs w:val="21"/>
                      <w:highlight w:val="none"/>
                      <w:u w:val="single" w:color="auto"/>
                    </w:rPr>
                    <w:t>NH</w:t>
                  </w:r>
                  <w:r>
                    <w:rPr>
                      <w:rFonts w:ascii="Times New Roman" w:hAnsi="Times New Roman" w:eastAsia="宋体" w:cs="Times New Roman"/>
                      <w:b w:val="0"/>
                      <w:bCs w:val="0"/>
                      <w:color w:val="auto"/>
                      <w:sz w:val="21"/>
                      <w:szCs w:val="21"/>
                      <w:highlight w:val="none"/>
                      <w:u w:val="single" w:color="auto"/>
                      <w:vertAlign w:val="subscript"/>
                    </w:rPr>
                    <w:t>3</w:t>
                  </w:r>
                  <w:r>
                    <w:rPr>
                      <w:rFonts w:ascii="Times New Roman" w:hAnsi="Times New Roman" w:eastAsia="宋体" w:cs="Times New Roman"/>
                      <w:b w:val="0"/>
                      <w:bCs w:val="0"/>
                      <w:color w:val="auto"/>
                      <w:sz w:val="21"/>
                      <w:szCs w:val="21"/>
                      <w:highlight w:val="none"/>
                      <w:u w:val="single" w:color="auto"/>
                    </w:rPr>
                    <w:t>-N</w:t>
                  </w:r>
                </w:p>
              </w:tc>
              <w:tc>
                <w:tcPr>
                  <w:tcW w:w="840" w:type="pct"/>
                  <w:tcBorders>
                    <w:tl2br w:val="nil"/>
                    <w:tr2bl w:val="nil"/>
                  </w:tcBorders>
                  <w:noWrap w:val="0"/>
                  <w:vAlign w:val="center"/>
                </w:tcPr>
                <w:p w14:paraId="0B72F7D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1.28t/a</w:t>
                  </w:r>
                </w:p>
              </w:tc>
              <w:tc>
                <w:tcPr>
                  <w:tcW w:w="1608" w:type="pct"/>
                  <w:vMerge w:val="continue"/>
                  <w:tcBorders>
                    <w:tl2br w:val="nil"/>
                    <w:tr2bl w:val="nil"/>
                  </w:tcBorders>
                  <w:noWrap w:val="0"/>
                  <w:vAlign w:val="center"/>
                </w:tcPr>
                <w:p w14:paraId="32A9B414">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p>
              </w:tc>
            </w:tr>
            <w:tr w14:paraId="16A3D6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357" w:type="pct"/>
                  <w:vMerge w:val="continue"/>
                  <w:tcBorders>
                    <w:tl2br w:val="nil"/>
                    <w:tr2bl w:val="nil"/>
                  </w:tcBorders>
                  <w:noWrap w:val="0"/>
                  <w:vAlign w:val="center"/>
                </w:tcPr>
                <w:p w14:paraId="2C28BD62">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p>
              </w:tc>
              <w:tc>
                <w:tcPr>
                  <w:tcW w:w="1294" w:type="pct"/>
                  <w:gridSpan w:val="2"/>
                  <w:vMerge w:val="continue"/>
                  <w:tcBorders>
                    <w:tl2br w:val="nil"/>
                    <w:tr2bl w:val="nil"/>
                  </w:tcBorders>
                  <w:noWrap w:val="0"/>
                  <w:vAlign w:val="center"/>
                </w:tcPr>
                <w:p w14:paraId="0A8B18A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rPr>
                  </w:pPr>
                </w:p>
              </w:tc>
              <w:tc>
                <w:tcPr>
                  <w:tcW w:w="899" w:type="pct"/>
                  <w:tcBorders>
                    <w:tl2br w:val="nil"/>
                    <w:tr2bl w:val="nil"/>
                  </w:tcBorders>
                  <w:shd w:val="clear" w:color="auto" w:fill="auto"/>
                  <w:noWrap w:val="0"/>
                  <w:vAlign w:val="center"/>
                </w:tcPr>
                <w:p w14:paraId="0BA9CE3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lang w:val="en-US" w:eastAsia="zh-CN"/>
                    </w:rPr>
                  </w:pPr>
                  <w:r>
                    <w:rPr>
                      <w:rFonts w:ascii="Times New Roman" w:hAnsi="Times New Roman" w:eastAsia="宋体" w:cs="Times New Roman"/>
                      <w:b w:val="0"/>
                      <w:bCs w:val="0"/>
                      <w:color w:val="auto"/>
                      <w:sz w:val="21"/>
                      <w:szCs w:val="21"/>
                      <w:highlight w:val="none"/>
                      <w:u w:val="single" w:color="auto"/>
                    </w:rPr>
                    <w:t>BOD</w:t>
                  </w:r>
                  <w:r>
                    <w:rPr>
                      <w:rFonts w:ascii="Times New Roman" w:hAnsi="Times New Roman" w:eastAsia="宋体" w:cs="Times New Roman"/>
                      <w:b w:val="0"/>
                      <w:bCs w:val="0"/>
                      <w:color w:val="auto"/>
                      <w:sz w:val="21"/>
                      <w:szCs w:val="21"/>
                      <w:highlight w:val="none"/>
                      <w:u w:val="single" w:color="auto"/>
                      <w:vertAlign w:val="subscript"/>
                    </w:rPr>
                    <w:t>5</w:t>
                  </w:r>
                </w:p>
              </w:tc>
              <w:tc>
                <w:tcPr>
                  <w:tcW w:w="840" w:type="pct"/>
                  <w:tcBorders>
                    <w:tl2br w:val="nil"/>
                    <w:tr2bl w:val="nil"/>
                  </w:tcBorders>
                  <w:noWrap w:val="0"/>
                  <w:vAlign w:val="center"/>
                </w:tcPr>
                <w:p w14:paraId="506DCA1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2.5t/a</w:t>
                  </w:r>
                </w:p>
              </w:tc>
              <w:tc>
                <w:tcPr>
                  <w:tcW w:w="1608" w:type="pct"/>
                  <w:vMerge w:val="continue"/>
                  <w:tcBorders>
                    <w:tl2br w:val="nil"/>
                    <w:tr2bl w:val="nil"/>
                  </w:tcBorders>
                  <w:noWrap w:val="0"/>
                  <w:vAlign w:val="center"/>
                </w:tcPr>
                <w:p w14:paraId="75438969">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p>
              </w:tc>
            </w:tr>
            <w:tr w14:paraId="5E5EF1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357" w:type="pct"/>
                  <w:vMerge w:val="continue"/>
                  <w:tcBorders>
                    <w:tl2br w:val="nil"/>
                    <w:tr2bl w:val="nil"/>
                  </w:tcBorders>
                  <w:noWrap w:val="0"/>
                  <w:vAlign w:val="center"/>
                </w:tcPr>
                <w:p w14:paraId="4151FB83">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p>
              </w:tc>
              <w:tc>
                <w:tcPr>
                  <w:tcW w:w="1294" w:type="pct"/>
                  <w:gridSpan w:val="2"/>
                  <w:vMerge w:val="continue"/>
                  <w:tcBorders>
                    <w:tl2br w:val="nil"/>
                    <w:tr2bl w:val="nil"/>
                  </w:tcBorders>
                  <w:noWrap w:val="0"/>
                  <w:vAlign w:val="center"/>
                </w:tcPr>
                <w:p w14:paraId="66053F9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rPr>
                  </w:pPr>
                </w:p>
              </w:tc>
              <w:tc>
                <w:tcPr>
                  <w:tcW w:w="899" w:type="pct"/>
                  <w:tcBorders>
                    <w:tl2br w:val="nil"/>
                    <w:tr2bl w:val="nil"/>
                  </w:tcBorders>
                  <w:shd w:val="clear" w:color="auto" w:fill="auto"/>
                  <w:noWrap w:val="0"/>
                  <w:vAlign w:val="center"/>
                </w:tcPr>
                <w:p w14:paraId="4B6366B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lang w:val="en-US" w:eastAsia="zh-CN"/>
                    </w:rPr>
                  </w:pPr>
                  <w:r>
                    <w:rPr>
                      <w:rFonts w:ascii="Times New Roman" w:hAnsi="Times New Roman" w:eastAsia="宋体" w:cs="Times New Roman"/>
                      <w:b w:val="0"/>
                      <w:bCs w:val="0"/>
                      <w:color w:val="auto"/>
                      <w:sz w:val="21"/>
                      <w:szCs w:val="21"/>
                      <w:highlight w:val="none"/>
                      <w:u w:val="single" w:color="auto"/>
                    </w:rPr>
                    <w:t>SS</w:t>
                  </w:r>
                </w:p>
              </w:tc>
              <w:tc>
                <w:tcPr>
                  <w:tcW w:w="840" w:type="pct"/>
                  <w:tcBorders>
                    <w:tl2br w:val="nil"/>
                    <w:tr2bl w:val="nil"/>
                  </w:tcBorders>
                  <w:noWrap w:val="0"/>
                  <w:vAlign w:val="center"/>
                </w:tcPr>
                <w:p w14:paraId="408D80F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1.05t/a</w:t>
                  </w:r>
                </w:p>
              </w:tc>
              <w:tc>
                <w:tcPr>
                  <w:tcW w:w="1608" w:type="pct"/>
                  <w:vMerge w:val="continue"/>
                  <w:tcBorders>
                    <w:tl2br w:val="nil"/>
                    <w:tr2bl w:val="nil"/>
                  </w:tcBorders>
                  <w:noWrap w:val="0"/>
                  <w:vAlign w:val="center"/>
                </w:tcPr>
                <w:p w14:paraId="4F4DB4D4">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p>
              </w:tc>
            </w:tr>
            <w:tr w14:paraId="22A25A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357" w:type="pct"/>
                  <w:vMerge w:val="continue"/>
                  <w:tcBorders>
                    <w:tl2br w:val="nil"/>
                    <w:tr2bl w:val="nil"/>
                  </w:tcBorders>
                  <w:noWrap w:val="0"/>
                  <w:vAlign w:val="center"/>
                </w:tcPr>
                <w:p w14:paraId="4B4359F1">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yellow"/>
                      <w:u w:val="single" w:color="auto"/>
                      <w:lang w:val="en-US" w:eastAsia="zh-CN" w:bidi="ar-SA"/>
                    </w:rPr>
                  </w:pPr>
                </w:p>
              </w:tc>
              <w:tc>
                <w:tcPr>
                  <w:tcW w:w="1294" w:type="pct"/>
                  <w:gridSpan w:val="2"/>
                  <w:vMerge w:val="continue"/>
                  <w:tcBorders>
                    <w:tl2br w:val="nil"/>
                    <w:tr2bl w:val="nil"/>
                  </w:tcBorders>
                  <w:noWrap w:val="0"/>
                  <w:vAlign w:val="center"/>
                </w:tcPr>
                <w:p w14:paraId="0C82375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yellow"/>
                      <w:u w:val="single" w:color="auto"/>
                    </w:rPr>
                  </w:pPr>
                </w:p>
              </w:tc>
              <w:tc>
                <w:tcPr>
                  <w:tcW w:w="899" w:type="pct"/>
                  <w:tcBorders>
                    <w:tl2br w:val="nil"/>
                    <w:tr2bl w:val="nil"/>
                  </w:tcBorders>
                  <w:shd w:val="clear" w:color="auto" w:fill="auto"/>
                  <w:noWrap w:val="0"/>
                  <w:vAlign w:val="center"/>
                </w:tcPr>
                <w:p w14:paraId="7509F65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lang w:val="en-US" w:eastAsia="zh-CN"/>
                    </w:rPr>
                  </w:pPr>
                  <w:r>
                    <w:rPr>
                      <w:rFonts w:ascii="Times New Roman" w:hAnsi="Times New Roman" w:eastAsia="宋体" w:cs="Times New Roman"/>
                      <w:b w:val="0"/>
                      <w:bCs w:val="0"/>
                      <w:color w:val="auto"/>
                      <w:sz w:val="21"/>
                      <w:szCs w:val="21"/>
                      <w:highlight w:val="none"/>
                      <w:u w:val="single" w:color="auto"/>
                    </w:rPr>
                    <w:t>粪大肠菌群</w:t>
                  </w:r>
                </w:p>
              </w:tc>
              <w:tc>
                <w:tcPr>
                  <w:tcW w:w="840" w:type="pct"/>
                  <w:tcBorders>
                    <w:tl2br w:val="nil"/>
                    <w:tr2bl w:val="nil"/>
                  </w:tcBorders>
                  <w:noWrap w:val="0"/>
                  <w:vAlign w:val="center"/>
                </w:tcPr>
                <w:p w14:paraId="5F3E8A4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rPr>
                  </w:pPr>
                  <w:r>
                    <w:rPr>
                      <w:rFonts w:hint="eastAsia" w:cs="Times New Roman"/>
                      <w:b w:val="0"/>
                      <w:bCs w:val="0"/>
                      <w:color w:val="auto"/>
                      <w:sz w:val="21"/>
                      <w:szCs w:val="21"/>
                      <w:highlight w:val="none"/>
                      <w:u w:val="single" w:color="auto"/>
                      <w:lang w:val="en-US" w:eastAsia="zh-CN"/>
                    </w:rPr>
                    <w:t>/</w:t>
                  </w:r>
                </w:p>
              </w:tc>
              <w:tc>
                <w:tcPr>
                  <w:tcW w:w="1608" w:type="pct"/>
                  <w:vMerge w:val="continue"/>
                  <w:tcBorders>
                    <w:tl2br w:val="nil"/>
                    <w:tr2bl w:val="nil"/>
                  </w:tcBorders>
                  <w:noWrap w:val="0"/>
                  <w:vAlign w:val="center"/>
                </w:tcPr>
                <w:p w14:paraId="318DA0E4">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yellow"/>
                      <w:u w:val="single" w:color="auto"/>
                      <w:lang w:val="en-US" w:eastAsia="zh-CN" w:bidi="ar-SA"/>
                    </w:rPr>
                  </w:pPr>
                </w:p>
              </w:tc>
            </w:tr>
            <w:tr w14:paraId="31FF99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 w:hRule="atLeast"/>
                <w:jc w:val="center"/>
              </w:trPr>
              <w:tc>
                <w:tcPr>
                  <w:tcW w:w="357" w:type="pct"/>
                  <w:vMerge w:val="restart"/>
                  <w:tcBorders>
                    <w:tl2br w:val="nil"/>
                    <w:tr2bl w:val="nil"/>
                  </w:tcBorders>
                  <w:noWrap w:val="0"/>
                  <w:vAlign w:val="center"/>
                </w:tcPr>
                <w:p w14:paraId="73BBA533">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r>
                    <w:rPr>
                      <w:rFonts w:ascii="Times New Roman" w:hAnsi="Times New Roman" w:eastAsia="宋体" w:cs="Times New Roman"/>
                      <w:b w:val="0"/>
                      <w:bCs w:val="0"/>
                      <w:color w:val="auto"/>
                      <w:kern w:val="2"/>
                      <w:sz w:val="21"/>
                      <w:szCs w:val="21"/>
                      <w:highlight w:val="none"/>
                      <w:u w:val="single" w:color="auto"/>
                      <w:lang w:val="en-US" w:eastAsia="zh-CN" w:bidi="ar-SA"/>
                    </w:rPr>
                    <w:t>固体废物</w:t>
                  </w:r>
                </w:p>
              </w:tc>
              <w:tc>
                <w:tcPr>
                  <w:tcW w:w="378" w:type="pct"/>
                  <w:vMerge w:val="restart"/>
                  <w:tcBorders>
                    <w:tl2br w:val="nil"/>
                    <w:tr2bl w:val="nil"/>
                  </w:tcBorders>
                  <w:noWrap w:val="0"/>
                  <w:vAlign w:val="center"/>
                </w:tcPr>
                <w:p w14:paraId="3A44AA63">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r>
                    <w:rPr>
                      <w:rFonts w:ascii="Times New Roman" w:hAnsi="Times New Roman" w:eastAsia="宋体" w:cs="Times New Roman"/>
                      <w:b w:val="0"/>
                      <w:bCs w:val="0"/>
                      <w:color w:val="auto"/>
                      <w:kern w:val="2"/>
                      <w:sz w:val="21"/>
                      <w:szCs w:val="21"/>
                      <w:highlight w:val="none"/>
                      <w:u w:val="single" w:color="auto"/>
                      <w:lang w:val="en-US" w:eastAsia="zh-CN" w:bidi="ar-SA"/>
                    </w:rPr>
                    <w:t>运营期</w:t>
                  </w:r>
                </w:p>
              </w:tc>
              <w:tc>
                <w:tcPr>
                  <w:tcW w:w="915" w:type="pct"/>
                  <w:vMerge w:val="restart"/>
                  <w:tcBorders>
                    <w:tl2br w:val="nil"/>
                    <w:tr2bl w:val="nil"/>
                  </w:tcBorders>
                  <w:noWrap w:val="0"/>
                  <w:vAlign w:val="center"/>
                </w:tcPr>
                <w:p w14:paraId="70CE3D17">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r>
                    <w:rPr>
                      <w:rFonts w:ascii="Times New Roman" w:hAnsi="Times New Roman" w:eastAsia="宋体" w:cs="Times New Roman"/>
                      <w:b w:val="0"/>
                      <w:bCs w:val="0"/>
                      <w:color w:val="auto"/>
                      <w:kern w:val="2"/>
                      <w:sz w:val="21"/>
                      <w:szCs w:val="21"/>
                      <w:highlight w:val="none"/>
                      <w:u w:val="single" w:color="auto"/>
                      <w:lang w:val="en-US" w:eastAsia="zh-CN" w:bidi="ar-SA"/>
                    </w:rPr>
                    <w:t>生活垃圾</w:t>
                  </w:r>
                </w:p>
              </w:tc>
              <w:tc>
                <w:tcPr>
                  <w:tcW w:w="899" w:type="pct"/>
                  <w:tcBorders>
                    <w:tl2br w:val="nil"/>
                    <w:tr2bl w:val="nil"/>
                  </w:tcBorders>
                  <w:shd w:val="clear" w:color="auto" w:fill="auto"/>
                  <w:noWrap w:val="0"/>
                  <w:vAlign w:val="center"/>
                </w:tcPr>
                <w:p w14:paraId="226C1C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rPr>
                    <w:t>生活垃圾</w:t>
                  </w:r>
                </w:p>
              </w:tc>
              <w:tc>
                <w:tcPr>
                  <w:tcW w:w="840" w:type="pct"/>
                  <w:tcBorders>
                    <w:tl2br w:val="nil"/>
                    <w:tr2bl w:val="nil"/>
                  </w:tcBorders>
                  <w:noWrap w:val="0"/>
                  <w:vAlign w:val="center"/>
                </w:tcPr>
                <w:p w14:paraId="4BC273A5">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50.07t/a</w:t>
                  </w:r>
                </w:p>
              </w:tc>
              <w:tc>
                <w:tcPr>
                  <w:tcW w:w="1608" w:type="pct"/>
                  <w:vMerge w:val="restart"/>
                  <w:tcBorders>
                    <w:tl2br w:val="nil"/>
                    <w:tr2bl w:val="nil"/>
                  </w:tcBorders>
                  <w:noWrap w:val="0"/>
                  <w:vAlign w:val="center"/>
                </w:tcPr>
                <w:p w14:paraId="0B6604CB">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r>
                    <w:rPr>
                      <w:rFonts w:hint="default" w:ascii="Times New Roman" w:hAnsi="Times New Roman" w:eastAsia="宋体" w:cs="Times New Roman"/>
                      <w:b w:val="0"/>
                      <w:bCs w:val="0"/>
                      <w:color w:val="auto"/>
                      <w:kern w:val="2"/>
                      <w:sz w:val="21"/>
                      <w:szCs w:val="21"/>
                      <w:highlight w:val="none"/>
                      <w:u w:val="single" w:color="auto"/>
                      <w:lang w:val="en-US" w:eastAsia="zh-CN" w:bidi="ar-SA"/>
                    </w:rPr>
                    <w:t>经收集后由环卫部门清运处理</w:t>
                  </w:r>
                </w:p>
              </w:tc>
            </w:tr>
            <w:tr w14:paraId="70A49E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 w:hRule="atLeast"/>
                <w:jc w:val="center"/>
              </w:trPr>
              <w:tc>
                <w:tcPr>
                  <w:tcW w:w="357" w:type="pct"/>
                  <w:vMerge w:val="continue"/>
                  <w:tcBorders>
                    <w:tl2br w:val="nil"/>
                    <w:tr2bl w:val="nil"/>
                  </w:tcBorders>
                  <w:noWrap w:val="0"/>
                  <w:vAlign w:val="center"/>
                </w:tcPr>
                <w:p w14:paraId="58198A22">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p>
              </w:tc>
              <w:tc>
                <w:tcPr>
                  <w:tcW w:w="378" w:type="pct"/>
                  <w:vMerge w:val="continue"/>
                  <w:tcBorders>
                    <w:tl2br w:val="nil"/>
                    <w:tr2bl w:val="nil"/>
                  </w:tcBorders>
                  <w:noWrap w:val="0"/>
                  <w:vAlign w:val="center"/>
                </w:tcPr>
                <w:p w14:paraId="12684773">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p>
              </w:tc>
              <w:tc>
                <w:tcPr>
                  <w:tcW w:w="915" w:type="pct"/>
                  <w:vMerge w:val="continue"/>
                  <w:tcBorders>
                    <w:tl2br w:val="nil"/>
                    <w:tr2bl w:val="nil"/>
                  </w:tcBorders>
                  <w:noWrap w:val="0"/>
                  <w:vAlign w:val="center"/>
                </w:tcPr>
                <w:p w14:paraId="6280DF1A">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p>
              </w:tc>
              <w:tc>
                <w:tcPr>
                  <w:tcW w:w="899" w:type="pct"/>
                  <w:tcBorders>
                    <w:tl2br w:val="nil"/>
                    <w:tr2bl w:val="nil"/>
                  </w:tcBorders>
                  <w:shd w:val="clear" w:color="auto" w:fill="auto"/>
                  <w:noWrap w:val="0"/>
                  <w:vAlign w:val="center"/>
                </w:tcPr>
                <w:p w14:paraId="1E4ADAC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rPr>
                    <w:t>中药药渣</w:t>
                  </w:r>
                </w:p>
              </w:tc>
              <w:tc>
                <w:tcPr>
                  <w:tcW w:w="840" w:type="pct"/>
                  <w:tcBorders>
                    <w:tl2br w:val="nil"/>
                    <w:tr2bl w:val="nil"/>
                  </w:tcBorders>
                  <w:noWrap w:val="0"/>
                  <w:vAlign w:val="center"/>
                </w:tcPr>
                <w:p w14:paraId="01184516">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1.2t/a</w:t>
                  </w:r>
                </w:p>
              </w:tc>
              <w:tc>
                <w:tcPr>
                  <w:tcW w:w="1608" w:type="pct"/>
                  <w:vMerge w:val="continue"/>
                  <w:tcBorders>
                    <w:tl2br w:val="nil"/>
                    <w:tr2bl w:val="nil"/>
                  </w:tcBorders>
                  <w:noWrap w:val="0"/>
                  <w:vAlign w:val="center"/>
                </w:tcPr>
                <w:p w14:paraId="378C2D02">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p>
              </w:tc>
            </w:tr>
            <w:tr w14:paraId="2763EA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 w:hRule="atLeast"/>
                <w:jc w:val="center"/>
              </w:trPr>
              <w:tc>
                <w:tcPr>
                  <w:tcW w:w="357" w:type="pct"/>
                  <w:vMerge w:val="continue"/>
                  <w:tcBorders>
                    <w:tl2br w:val="nil"/>
                    <w:tr2bl w:val="nil"/>
                  </w:tcBorders>
                  <w:noWrap w:val="0"/>
                  <w:vAlign w:val="center"/>
                </w:tcPr>
                <w:p w14:paraId="4938D601">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p>
              </w:tc>
              <w:tc>
                <w:tcPr>
                  <w:tcW w:w="378" w:type="pct"/>
                  <w:vMerge w:val="continue"/>
                  <w:tcBorders>
                    <w:tl2br w:val="nil"/>
                    <w:tr2bl w:val="nil"/>
                  </w:tcBorders>
                  <w:noWrap w:val="0"/>
                  <w:vAlign w:val="center"/>
                </w:tcPr>
                <w:p w14:paraId="0FBFF0D2">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p>
              </w:tc>
              <w:tc>
                <w:tcPr>
                  <w:tcW w:w="915" w:type="pct"/>
                  <w:vMerge w:val="restart"/>
                  <w:tcBorders>
                    <w:tl2br w:val="nil"/>
                    <w:tr2bl w:val="nil"/>
                  </w:tcBorders>
                  <w:noWrap w:val="0"/>
                  <w:vAlign w:val="center"/>
                </w:tcPr>
                <w:p w14:paraId="4C829C24">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危险废物</w:t>
                  </w:r>
                </w:p>
              </w:tc>
              <w:tc>
                <w:tcPr>
                  <w:tcW w:w="899" w:type="pct"/>
                  <w:tcBorders>
                    <w:tl2br w:val="nil"/>
                    <w:tr2bl w:val="nil"/>
                  </w:tcBorders>
                  <w:shd w:val="clear" w:color="auto" w:fill="auto"/>
                  <w:noWrap w:val="0"/>
                  <w:vAlign w:val="center"/>
                </w:tcPr>
                <w:p w14:paraId="302864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rPr>
                    <w:t>污泥</w:t>
                  </w:r>
                </w:p>
              </w:tc>
              <w:tc>
                <w:tcPr>
                  <w:tcW w:w="840" w:type="pct"/>
                  <w:tcBorders>
                    <w:tl2br w:val="nil"/>
                    <w:tr2bl w:val="nil"/>
                  </w:tcBorders>
                  <w:noWrap w:val="0"/>
                  <w:vAlign w:val="center"/>
                </w:tcPr>
                <w:p w14:paraId="4195388E">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1.93t/a</w:t>
                  </w:r>
                </w:p>
              </w:tc>
              <w:tc>
                <w:tcPr>
                  <w:tcW w:w="1608" w:type="pct"/>
                  <w:vMerge w:val="restart"/>
                  <w:tcBorders>
                    <w:tl2br w:val="nil"/>
                    <w:tr2bl w:val="nil"/>
                  </w:tcBorders>
                  <w:noWrap w:val="0"/>
                  <w:vAlign w:val="center"/>
                </w:tcPr>
                <w:p w14:paraId="1C56D526">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委托永州市医疗废物集中处置有限公司处理</w:t>
                  </w:r>
                </w:p>
              </w:tc>
            </w:tr>
            <w:tr w14:paraId="2555DC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 w:hRule="atLeast"/>
                <w:jc w:val="center"/>
              </w:trPr>
              <w:tc>
                <w:tcPr>
                  <w:tcW w:w="357" w:type="pct"/>
                  <w:vMerge w:val="continue"/>
                  <w:tcBorders>
                    <w:tl2br w:val="nil"/>
                    <w:tr2bl w:val="nil"/>
                  </w:tcBorders>
                  <w:noWrap w:val="0"/>
                  <w:vAlign w:val="center"/>
                </w:tcPr>
                <w:p w14:paraId="47AD34AF">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yellow"/>
                      <w:u w:val="single" w:color="auto"/>
                      <w:lang w:val="en-US" w:eastAsia="zh-CN" w:bidi="ar-SA"/>
                    </w:rPr>
                  </w:pPr>
                </w:p>
              </w:tc>
              <w:tc>
                <w:tcPr>
                  <w:tcW w:w="378" w:type="pct"/>
                  <w:vMerge w:val="continue"/>
                  <w:tcBorders>
                    <w:tl2br w:val="nil"/>
                    <w:tr2bl w:val="nil"/>
                  </w:tcBorders>
                  <w:noWrap w:val="0"/>
                  <w:vAlign w:val="center"/>
                </w:tcPr>
                <w:p w14:paraId="75E72B23">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yellow"/>
                      <w:u w:val="single" w:color="auto"/>
                      <w:lang w:val="en-US" w:eastAsia="zh-CN" w:bidi="ar-SA"/>
                    </w:rPr>
                  </w:pPr>
                </w:p>
              </w:tc>
              <w:tc>
                <w:tcPr>
                  <w:tcW w:w="915" w:type="pct"/>
                  <w:vMerge w:val="continue"/>
                  <w:tcBorders>
                    <w:tl2br w:val="nil"/>
                    <w:tr2bl w:val="nil"/>
                  </w:tcBorders>
                  <w:noWrap w:val="0"/>
                  <w:vAlign w:val="center"/>
                </w:tcPr>
                <w:p w14:paraId="580B7699">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yellow"/>
                      <w:u w:val="single" w:color="auto"/>
                      <w:lang w:val="en-US" w:eastAsia="zh-CN" w:bidi="ar-SA"/>
                    </w:rPr>
                  </w:pPr>
                </w:p>
              </w:tc>
              <w:tc>
                <w:tcPr>
                  <w:tcW w:w="899" w:type="pct"/>
                  <w:tcBorders>
                    <w:tl2br w:val="nil"/>
                    <w:tr2bl w:val="nil"/>
                  </w:tcBorders>
                  <w:shd w:val="clear" w:color="auto" w:fill="auto"/>
                  <w:noWrap w:val="0"/>
                  <w:vAlign w:val="center"/>
                </w:tcPr>
                <w:p w14:paraId="670A9C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rPr>
                    <w:t>医疗废物</w:t>
                  </w:r>
                </w:p>
              </w:tc>
              <w:tc>
                <w:tcPr>
                  <w:tcW w:w="840" w:type="pct"/>
                  <w:tcBorders>
                    <w:tl2br w:val="nil"/>
                    <w:tr2bl w:val="nil"/>
                  </w:tcBorders>
                  <w:noWrap w:val="0"/>
                  <w:vAlign w:val="center"/>
                </w:tcPr>
                <w:p w14:paraId="40598FA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17.47t/a</w:t>
                  </w:r>
                </w:p>
              </w:tc>
              <w:tc>
                <w:tcPr>
                  <w:tcW w:w="1608" w:type="pct"/>
                  <w:vMerge w:val="continue"/>
                  <w:tcBorders>
                    <w:tl2br w:val="nil"/>
                    <w:tr2bl w:val="nil"/>
                  </w:tcBorders>
                  <w:noWrap w:val="0"/>
                  <w:vAlign w:val="center"/>
                </w:tcPr>
                <w:p w14:paraId="69009622">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p>
              </w:tc>
            </w:tr>
            <w:tr w14:paraId="731338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 w:hRule="atLeast"/>
                <w:jc w:val="center"/>
              </w:trPr>
              <w:tc>
                <w:tcPr>
                  <w:tcW w:w="357" w:type="pct"/>
                  <w:vMerge w:val="continue"/>
                  <w:tcBorders>
                    <w:tl2br w:val="nil"/>
                    <w:tr2bl w:val="nil"/>
                  </w:tcBorders>
                  <w:noWrap w:val="0"/>
                  <w:vAlign w:val="center"/>
                </w:tcPr>
                <w:p w14:paraId="759AFE22">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yellow"/>
                      <w:u w:val="single" w:color="auto"/>
                      <w:lang w:val="en-US" w:eastAsia="zh-CN" w:bidi="ar-SA"/>
                    </w:rPr>
                  </w:pPr>
                </w:p>
              </w:tc>
              <w:tc>
                <w:tcPr>
                  <w:tcW w:w="378" w:type="pct"/>
                  <w:vMerge w:val="continue"/>
                  <w:tcBorders>
                    <w:tl2br w:val="nil"/>
                    <w:tr2bl w:val="nil"/>
                  </w:tcBorders>
                  <w:noWrap w:val="0"/>
                  <w:vAlign w:val="center"/>
                </w:tcPr>
                <w:p w14:paraId="3AAF5E27">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yellow"/>
                      <w:u w:val="single" w:color="auto"/>
                      <w:lang w:val="en-US" w:eastAsia="zh-CN" w:bidi="ar-SA"/>
                    </w:rPr>
                  </w:pPr>
                </w:p>
              </w:tc>
              <w:tc>
                <w:tcPr>
                  <w:tcW w:w="915" w:type="pct"/>
                  <w:vMerge w:val="continue"/>
                  <w:tcBorders>
                    <w:tl2br w:val="nil"/>
                    <w:tr2bl w:val="nil"/>
                  </w:tcBorders>
                  <w:noWrap w:val="0"/>
                  <w:vAlign w:val="center"/>
                </w:tcPr>
                <w:p w14:paraId="62F8E35E">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yellow"/>
                      <w:u w:val="single" w:color="auto"/>
                      <w:lang w:val="en-US" w:eastAsia="zh-CN" w:bidi="ar-SA"/>
                    </w:rPr>
                  </w:pPr>
                </w:p>
              </w:tc>
              <w:tc>
                <w:tcPr>
                  <w:tcW w:w="899" w:type="pct"/>
                  <w:tcBorders>
                    <w:tl2br w:val="nil"/>
                    <w:tr2bl w:val="nil"/>
                  </w:tcBorders>
                  <w:shd w:val="clear" w:color="auto" w:fill="auto"/>
                  <w:noWrap w:val="0"/>
                  <w:vAlign w:val="center"/>
                </w:tcPr>
                <w:p w14:paraId="26213C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rPr>
                    <w:t>废活性炭</w:t>
                  </w:r>
                </w:p>
              </w:tc>
              <w:tc>
                <w:tcPr>
                  <w:tcW w:w="840" w:type="pct"/>
                  <w:tcBorders>
                    <w:tl2br w:val="nil"/>
                    <w:tr2bl w:val="nil"/>
                  </w:tcBorders>
                  <w:noWrap w:val="0"/>
                  <w:vAlign w:val="center"/>
                </w:tcPr>
                <w:p w14:paraId="0B6EC05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0.1t/a</w:t>
                  </w:r>
                </w:p>
              </w:tc>
              <w:tc>
                <w:tcPr>
                  <w:tcW w:w="1608" w:type="pct"/>
                  <w:tcBorders>
                    <w:tl2br w:val="nil"/>
                    <w:tr2bl w:val="nil"/>
                  </w:tcBorders>
                  <w:noWrap w:val="0"/>
                  <w:vAlign w:val="center"/>
                </w:tcPr>
                <w:p w14:paraId="0AD8D554">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委托湖南湘咏环境科技有限公司处理</w:t>
                  </w:r>
                </w:p>
              </w:tc>
            </w:tr>
            <w:tr w14:paraId="16E6CB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 w:hRule="atLeast"/>
                <w:jc w:val="center"/>
              </w:trPr>
              <w:tc>
                <w:tcPr>
                  <w:tcW w:w="5000" w:type="pct"/>
                  <w:gridSpan w:val="6"/>
                  <w:tcBorders>
                    <w:tl2br w:val="nil"/>
                    <w:tr2bl w:val="nil"/>
                  </w:tcBorders>
                  <w:noWrap w:val="0"/>
                  <w:vAlign w:val="center"/>
                </w:tcPr>
                <w:p w14:paraId="2AAB065F">
                  <w:pPr>
                    <w:keepNext w:val="0"/>
                    <w:keepLines w:val="0"/>
                    <w:pageBreakBefore w:val="0"/>
                    <w:widowControl w:val="0"/>
                    <w:kinsoku/>
                    <w:wordWrap/>
                    <w:overflowPunct/>
                    <w:topLinePunct w:val="0"/>
                    <w:bidi w:val="0"/>
                    <w:adjustRightInd w:val="0"/>
                    <w:snapToGrid w:val="0"/>
                    <w:spacing w:before="0" w:after="0" w:line="240" w:lineRule="auto"/>
                    <w:ind w:firstLine="0" w:firstLineChars="0"/>
                    <w:jc w:val="left"/>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r>
                    <w:rPr>
                      <w:rFonts w:hint="eastAsia" w:ascii="Times New Roman" w:hAnsi="Times New Roman" w:eastAsia="宋体" w:cs="Times New Roman"/>
                      <w:b w:val="0"/>
                      <w:bCs w:val="0"/>
                      <w:color w:val="auto"/>
                      <w:kern w:val="2"/>
                      <w:sz w:val="21"/>
                      <w:szCs w:val="21"/>
                      <w:highlight w:val="none"/>
                      <w:u w:val="single" w:color="auto"/>
                      <w:lang w:val="en-US" w:eastAsia="zh-CN" w:bidi="ar-SA"/>
                    </w:rPr>
                    <w:t>注：以上数据来源于现有工程</w:t>
                  </w:r>
                  <w:r>
                    <w:rPr>
                      <w:rFonts w:hint="eastAsia" w:cs="Times New Roman"/>
                      <w:b w:val="0"/>
                      <w:bCs w:val="0"/>
                      <w:color w:val="auto"/>
                      <w:kern w:val="2"/>
                      <w:sz w:val="21"/>
                      <w:szCs w:val="21"/>
                      <w:highlight w:val="none"/>
                      <w:u w:val="single" w:color="auto"/>
                      <w:lang w:val="en-US" w:eastAsia="zh-CN" w:bidi="ar-SA"/>
                    </w:rPr>
                    <w:t>环评审批资料以及现有工程竣工环境保护自主验收报告表</w:t>
                  </w:r>
                  <w:r>
                    <w:rPr>
                      <w:rFonts w:hint="eastAsia" w:ascii="Times New Roman" w:hAnsi="Times New Roman" w:eastAsia="宋体" w:cs="Times New Roman"/>
                      <w:b w:val="0"/>
                      <w:bCs w:val="0"/>
                      <w:color w:val="auto"/>
                      <w:kern w:val="2"/>
                      <w:sz w:val="21"/>
                      <w:szCs w:val="21"/>
                      <w:highlight w:val="none"/>
                      <w:u w:val="single" w:color="auto"/>
                      <w:lang w:val="en-US" w:eastAsia="zh-CN" w:bidi="ar-SA"/>
                    </w:rPr>
                    <w:t>。</w:t>
                  </w:r>
                </w:p>
              </w:tc>
            </w:tr>
          </w:tbl>
          <w:p w14:paraId="0EF672F3">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6" w:firstLineChars="200"/>
              <w:jc w:val="both"/>
              <w:textAlignment w:val="auto"/>
              <w:rPr>
                <w:rFonts w:hint="default" w:ascii="Times New Roman" w:hAnsi="Times New Roman" w:cs="Times New Roman" w:eastAsiaTheme="minorEastAsia"/>
                <w:b/>
                <w:bCs/>
                <w:color w:val="auto"/>
                <w:spacing w:val="11"/>
                <w:position w:val="0"/>
                <w:sz w:val="24"/>
                <w:szCs w:val="24"/>
                <w:highlight w:val="none"/>
                <w:u w:val="single" w:color="auto"/>
                <w:lang w:val="en-US" w:eastAsia="zh-CN"/>
              </w:rPr>
            </w:pPr>
            <w:r>
              <w:rPr>
                <w:rFonts w:hint="eastAsia" w:cs="Times New Roman" w:eastAsiaTheme="minorEastAsia"/>
                <w:b/>
                <w:bCs/>
                <w:color w:val="auto"/>
                <w:spacing w:val="11"/>
                <w:position w:val="0"/>
                <w:sz w:val="24"/>
                <w:szCs w:val="24"/>
                <w:highlight w:val="none"/>
                <w:u w:val="single" w:color="auto"/>
                <w:lang w:val="en-US" w:eastAsia="zh-CN"/>
              </w:rPr>
              <w:t>5</w:t>
            </w:r>
            <w:r>
              <w:rPr>
                <w:rFonts w:hint="default" w:ascii="Times New Roman" w:hAnsi="Times New Roman" w:cs="Times New Roman" w:eastAsiaTheme="minorEastAsia"/>
                <w:b/>
                <w:bCs/>
                <w:color w:val="auto"/>
                <w:spacing w:val="11"/>
                <w:position w:val="0"/>
                <w:sz w:val="24"/>
                <w:szCs w:val="24"/>
                <w:highlight w:val="none"/>
                <w:u w:val="single" w:color="auto"/>
                <w:lang w:val="en-US" w:eastAsia="zh-CN"/>
              </w:rPr>
              <w:t>、现有工程存在主要环境问题</w:t>
            </w:r>
          </w:p>
          <w:p w14:paraId="0F27832E">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根据本次环评期间现场调查情况，新田县中医医院已落实环评及批复提出的环保措施，现有工程未发现环保问题。</w:t>
            </w:r>
          </w:p>
          <w:p w14:paraId="27BE2C90">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p w14:paraId="310CFAF8">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14:paraId="71C64B17">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14:paraId="6409B70C">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14:paraId="782A69AB">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14:paraId="6B7E18BA">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14:paraId="346C360F">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14:paraId="575F9F2D">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14:paraId="52B5F72C">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14:paraId="3F311E66">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14:paraId="43192A03">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14:paraId="27BFD279">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14:paraId="22AFCFB3">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14:paraId="04305DC1">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14:paraId="5503A901">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14:paraId="501F674D">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14:paraId="1D2D5391">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14:paraId="1104D7B8">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14:paraId="2AB49655">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14:paraId="641D27AC">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14:paraId="0B229D38">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14:paraId="14B88194">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color w:val="auto"/>
                <w:spacing w:val="11"/>
                <w:kern w:val="2"/>
                <w:position w:val="0"/>
                <w:sz w:val="24"/>
                <w:szCs w:val="24"/>
                <w:highlight w:val="yellow"/>
                <w:u w:val="single" w:color="auto"/>
                <w:lang w:val="en-US" w:eastAsia="zh-CN" w:bidi="ar-SA"/>
              </w:rPr>
            </w:pPr>
            <w:r>
              <w:rPr>
                <w:rFonts w:hint="eastAsia" w:cs="Times New Roman" w:eastAsiaTheme="minorEastAsia"/>
                <w:color w:val="auto"/>
                <w:spacing w:val="11"/>
                <w:position w:val="0"/>
                <w:sz w:val="24"/>
                <w:szCs w:val="24"/>
                <w:highlight w:val="none"/>
                <w:u w:val="none" w:color="auto"/>
                <w:lang w:val="en-US" w:eastAsia="zh-CN"/>
              </w:rPr>
              <w:t xml:space="preserve"> </w:t>
            </w:r>
          </w:p>
        </w:tc>
      </w:tr>
    </w:tbl>
    <w:p w14:paraId="63A0152B">
      <w:pPr>
        <w:bidi w:val="0"/>
        <w:rPr>
          <w:rFonts w:hint="default" w:ascii="Times New Roman" w:hAnsi="Times New Roman" w:cs="Times New Roman" w:eastAsiaTheme="minorEastAsia"/>
          <w:color w:val="auto"/>
          <w:spacing w:val="11"/>
          <w:position w:val="0"/>
          <w:highlight w:val="none"/>
          <w:u w:val="none" w:color="auto"/>
          <w:lang w:val="en-US" w:eastAsia="zh-CN"/>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0EC41295">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Chars="0"/>
        <w:jc w:val="center"/>
        <w:textAlignment w:val="auto"/>
        <w:rPr>
          <w:rFonts w:hint="default" w:ascii="Times New Roman" w:hAnsi="Times New Roman" w:cs="Times New Roman" w:eastAsiaTheme="minorEastAsia"/>
          <w:color w:val="auto"/>
          <w:spacing w:val="11"/>
          <w:position w:val="0"/>
          <w:highlight w:val="none"/>
          <w:u w:val="none" w:color="auto"/>
          <w:lang w:val="en-US" w:eastAsia="zh-CN"/>
        </w:rPr>
      </w:pPr>
      <w:bookmarkStart w:id="2" w:name="_Toc23196"/>
      <w:r>
        <w:rPr>
          <w:rFonts w:hint="default" w:ascii="Times New Roman" w:hAnsi="Times New Roman" w:cs="Times New Roman" w:eastAsiaTheme="minorEastAsia"/>
          <w:b/>
          <w:color w:val="auto"/>
          <w:spacing w:val="11"/>
          <w:position w:val="0"/>
          <w:sz w:val="36"/>
          <w:szCs w:val="36"/>
          <w:highlight w:val="none"/>
          <w:u w:val="none" w:color="auto"/>
          <w:lang w:val="en-US" w:eastAsia="zh-CN"/>
        </w:rPr>
        <w:t>三、区域环境质量现状、环境保护目标及评价标准</w:t>
      </w:r>
      <w:bookmarkEnd w:id="2"/>
    </w:p>
    <w:tbl>
      <w:tblPr>
        <w:tblStyle w:val="25"/>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9246"/>
      </w:tblGrid>
      <w:tr w14:paraId="5FAB59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0" w:type="pct"/>
            <w:tcBorders>
              <w:tl2br w:val="nil"/>
              <w:tr2bl w:val="nil"/>
            </w:tcBorders>
            <w:vAlign w:val="center"/>
          </w:tcPr>
          <w:p w14:paraId="386C0E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区域环境质量现状</w:t>
            </w:r>
          </w:p>
        </w:tc>
        <w:tc>
          <w:tcPr>
            <w:tcW w:w="400" w:type="pct"/>
            <w:tcBorders>
              <w:tl2br w:val="nil"/>
              <w:tr2bl w:val="nil"/>
            </w:tcBorders>
            <w:vAlign w:val="center"/>
          </w:tcPr>
          <w:p w14:paraId="3E14773E">
            <w:pPr>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right="0" w:firstLine="0" w:firstLineChars="0"/>
              <w:jc w:val="both"/>
              <w:textAlignment w:val="auto"/>
              <w:rPr>
                <w:rFonts w:hint="default" w:ascii="Times New Roman" w:hAnsi="Times New Roman" w:cs="Times New Roman" w:eastAsiaTheme="minorEastAsia"/>
                <w:b/>
                <w:color w:val="auto"/>
                <w:spacing w:val="11"/>
                <w:kern w:val="21"/>
                <w:position w:val="0"/>
                <w:sz w:val="28"/>
                <w:szCs w:val="28"/>
                <w:highlight w:val="none"/>
                <w:u w:val="none" w:color="auto"/>
                <w:lang w:val="en-US" w:eastAsia="zh-CN" w:bidi="ar-SA"/>
              </w:rPr>
            </w:pPr>
            <w:bookmarkStart w:id="3" w:name="_Toc411767822"/>
            <w:r>
              <w:rPr>
                <w:rFonts w:hint="default" w:ascii="Times New Roman" w:hAnsi="Times New Roman" w:cs="Times New Roman" w:eastAsiaTheme="minorEastAsia"/>
                <w:b/>
                <w:color w:val="auto"/>
                <w:spacing w:val="11"/>
                <w:kern w:val="21"/>
                <w:position w:val="0"/>
                <w:sz w:val="28"/>
                <w:szCs w:val="28"/>
                <w:highlight w:val="none"/>
                <w:u w:val="none" w:color="auto"/>
                <w:lang w:val="en-US" w:eastAsia="zh-CN" w:bidi="ar-SA"/>
              </w:rPr>
              <w:t>建设项目所在地区域环境质量现状及主要环境问题（环境空气、地面水、地下水、声环境、生态环境等）</w:t>
            </w:r>
          </w:p>
          <w:p w14:paraId="762D3E67">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textAlignment w:val="auto"/>
              <w:outlineLvl w:val="2"/>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pPr>
            <w:r>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t>1、大气环境质量现状</w:t>
            </w:r>
            <w:bookmarkEnd w:id="3"/>
          </w:p>
          <w:p w14:paraId="7441107D">
            <w:pPr>
              <w:keepNext w:val="0"/>
              <w:keepLines w:val="0"/>
              <w:pageBreakBefore w:val="0"/>
              <w:widowControl w:val="0"/>
              <w:kinsoku/>
              <w:wordWrap/>
              <w:overflowPunct/>
              <w:topLinePunct w:val="0"/>
              <w:autoSpaceDE/>
              <w:autoSpaceDN/>
              <w:bidi w:val="0"/>
              <w:adjustRightInd w:val="0"/>
              <w:snapToGrid w:val="0"/>
              <w:spacing w:line="360" w:lineRule="auto"/>
              <w:ind w:right="0" w:firstLine="524" w:firstLineChars="200"/>
              <w:textAlignment w:val="auto"/>
              <w:rPr>
                <w:rFonts w:hint="eastAsia" w:ascii="Times New Roman" w:hAnsi="Times New Roman" w:eastAsia="宋体" w:cs="Times New Roman"/>
                <w:color w:val="auto"/>
                <w:spacing w:val="11"/>
                <w:position w:val="0"/>
                <w:sz w:val="24"/>
                <w:szCs w:val="24"/>
                <w:highlight w:val="none"/>
                <w:u w:val="none" w:color="auto"/>
              </w:rPr>
            </w:pPr>
            <w:r>
              <w:rPr>
                <w:rFonts w:hint="eastAsia" w:ascii="Times New Roman" w:hAnsi="Times New Roman" w:eastAsia="宋体" w:cs="Times New Roman"/>
                <w:color w:val="auto"/>
                <w:spacing w:val="11"/>
                <w:position w:val="0"/>
                <w:sz w:val="24"/>
                <w:szCs w:val="24"/>
                <w:highlight w:val="none"/>
                <w:u w:val="none" w:color="auto"/>
                <w:lang w:eastAsia="zh-CN"/>
              </w:rPr>
              <w:t>（</w:t>
            </w:r>
            <w:r>
              <w:rPr>
                <w:rFonts w:hint="eastAsia" w:ascii="Times New Roman" w:hAnsi="Times New Roman" w:eastAsia="宋体" w:cs="Times New Roman"/>
                <w:color w:val="auto"/>
                <w:spacing w:val="11"/>
                <w:position w:val="0"/>
                <w:sz w:val="24"/>
                <w:szCs w:val="24"/>
                <w:highlight w:val="none"/>
                <w:u w:val="none" w:color="auto"/>
                <w:lang w:val="en-US" w:eastAsia="zh-CN"/>
              </w:rPr>
              <w:t>1</w:t>
            </w:r>
            <w:r>
              <w:rPr>
                <w:rFonts w:hint="eastAsia" w:ascii="Times New Roman" w:hAnsi="Times New Roman" w:eastAsia="宋体" w:cs="Times New Roman"/>
                <w:color w:val="auto"/>
                <w:spacing w:val="11"/>
                <w:position w:val="0"/>
                <w:sz w:val="24"/>
                <w:szCs w:val="24"/>
                <w:highlight w:val="none"/>
                <w:u w:val="none" w:color="auto"/>
                <w:lang w:eastAsia="zh-CN"/>
              </w:rPr>
              <w:t>）</w:t>
            </w:r>
            <w:r>
              <w:rPr>
                <w:rFonts w:hint="eastAsia" w:ascii="Times New Roman" w:hAnsi="Times New Roman" w:eastAsia="宋体" w:cs="Times New Roman"/>
                <w:color w:val="auto"/>
                <w:spacing w:val="11"/>
                <w:position w:val="0"/>
                <w:sz w:val="24"/>
                <w:szCs w:val="24"/>
                <w:highlight w:val="none"/>
                <w:u w:val="none" w:color="auto"/>
              </w:rPr>
              <w:t>区域空气环境常规监测数据</w:t>
            </w:r>
          </w:p>
          <w:p w14:paraId="6DD22BAB">
            <w:pPr>
              <w:keepNext w:val="0"/>
              <w:keepLines w:val="0"/>
              <w:pageBreakBefore w:val="0"/>
              <w:widowControl w:val="0"/>
              <w:kinsoku/>
              <w:wordWrap/>
              <w:overflowPunct/>
              <w:topLinePunct w:val="0"/>
              <w:autoSpaceDE/>
              <w:autoSpaceDN/>
              <w:bidi w:val="0"/>
              <w:adjustRightInd w:val="0"/>
              <w:snapToGrid w:val="0"/>
              <w:spacing w:line="360" w:lineRule="auto"/>
              <w:ind w:right="0" w:firstLine="524" w:firstLineChars="200"/>
              <w:textAlignment w:val="auto"/>
              <w:rPr>
                <w:rFonts w:ascii="Times New Roman" w:hAnsi="Times New Roman" w:eastAsia="宋体" w:cs="Times New Roman"/>
                <w:color w:val="auto"/>
                <w:spacing w:val="11"/>
                <w:position w:val="0"/>
                <w:sz w:val="24"/>
                <w:szCs w:val="24"/>
                <w:highlight w:val="none"/>
                <w:u w:val="none" w:color="auto"/>
              </w:rPr>
            </w:pPr>
            <w:r>
              <w:rPr>
                <w:rFonts w:hint="eastAsia" w:ascii="Times New Roman" w:hAnsi="Times New Roman" w:eastAsia="宋体" w:cs="Times New Roman"/>
                <w:color w:val="auto"/>
                <w:spacing w:val="11"/>
                <w:position w:val="0"/>
                <w:sz w:val="24"/>
                <w:szCs w:val="24"/>
                <w:highlight w:val="none"/>
                <w:u w:val="none" w:color="auto"/>
              </w:rPr>
              <w:t>根据永州市生态环境局发布的《关于2023年12月份全市环境质量状况的通报》</w:t>
            </w:r>
            <w:r>
              <w:rPr>
                <w:rFonts w:hint="eastAsia" w:cs="Times New Roman"/>
                <w:color w:val="auto"/>
                <w:spacing w:val="11"/>
                <w:position w:val="0"/>
                <w:sz w:val="24"/>
                <w:szCs w:val="24"/>
                <w:highlight w:val="none"/>
                <w:u w:val="none" w:color="auto"/>
                <w:lang w:eastAsia="zh-CN"/>
              </w:rPr>
              <w:t>（</w:t>
            </w:r>
            <w:r>
              <w:rPr>
                <w:rFonts w:hint="eastAsia" w:cs="Times New Roman"/>
                <w:color w:val="auto"/>
                <w:spacing w:val="11"/>
                <w:position w:val="0"/>
                <w:sz w:val="24"/>
                <w:szCs w:val="24"/>
                <w:highlight w:val="none"/>
                <w:u w:val="none" w:color="auto"/>
                <w:lang w:val="en-US" w:eastAsia="zh-CN"/>
              </w:rPr>
              <w:t>永环函[2024]4号</w:t>
            </w:r>
            <w:r>
              <w:rPr>
                <w:rFonts w:hint="eastAsia" w:cs="Times New Roman"/>
                <w:color w:val="auto"/>
                <w:spacing w:val="11"/>
                <w:position w:val="0"/>
                <w:sz w:val="24"/>
                <w:szCs w:val="24"/>
                <w:highlight w:val="none"/>
                <w:u w:val="none" w:color="auto"/>
                <w:lang w:eastAsia="zh-CN"/>
              </w:rPr>
              <w:t>）</w:t>
            </w:r>
            <w:r>
              <w:rPr>
                <w:rFonts w:hint="eastAsia" w:ascii="Times New Roman" w:hAnsi="Times New Roman" w:eastAsia="宋体" w:cs="Times New Roman"/>
                <w:color w:val="auto"/>
                <w:spacing w:val="11"/>
                <w:position w:val="0"/>
                <w:sz w:val="24"/>
                <w:szCs w:val="24"/>
                <w:highlight w:val="none"/>
                <w:u w:val="none" w:color="auto"/>
                <w:lang w:val="en-US" w:eastAsia="zh-CN"/>
              </w:rPr>
              <w:t>中</w:t>
            </w:r>
            <w:r>
              <w:rPr>
                <w:rFonts w:ascii="Times New Roman" w:hAnsi="Times New Roman" w:eastAsia="宋体" w:cs="Times New Roman"/>
                <w:color w:val="auto"/>
                <w:spacing w:val="11"/>
                <w:position w:val="0"/>
                <w:sz w:val="24"/>
                <w:szCs w:val="24"/>
                <w:highlight w:val="none"/>
                <w:u w:val="none" w:color="auto"/>
              </w:rPr>
              <w:t>的环</w:t>
            </w:r>
            <w:r>
              <w:rPr>
                <w:rFonts w:hint="eastAsia" w:ascii="Times New Roman" w:hAnsi="Times New Roman" w:eastAsia="宋体" w:cs="Times New Roman"/>
                <w:color w:val="auto"/>
                <w:spacing w:val="11"/>
                <w:position w:val="0"/>
                <w:sz w:val="24"/>
                <w:szCs w:val="24"/>
                <w:highlight w:val="none"/>
                <w:u w:val="none" w:color="auto"/>
              </w:rPr>
              <w:t>境监测结果</w:t>
            </w:r>
            <w:r>
              <w:rPr>
                <w:rFonts w:ascii="Times New Roman" w:hAnsi="Times New Roman" w:eastAsia="宋体" w:cs="Times New Roman"/>
                <w:color w:val="auto"/>
                <w:spacing w:val="11"/>
                <w:position w:val="0"/>
                <w:sz w:val="24"/>
                <w:szCs w:val="24"/>
                <w:highlight w:val="none"/>
                <w:u w:val="none" w:color="auto"/>
              </w:rPr>
              <w:t>来判定县域大气环境质量达标情况，统计数据显示环境空气中各污染因子浓度值均能够达到</w:t>
            </w:r>
            <w:r>
              <w:rPr>
                <w:rFonts w:ascii="Times New Roman" w:hAnsi="Times New Roman" w:eastAsia="宋体" w:cs="Times New Roman"/>
                <w:snapToGrid w:val="0"/>
                <w:color w:val="auto"/>
                <w:spacing w:val="11"/>
                <w:kern w:val="0"/>
                <w:position w:val="0"/>
                <w:sz w:val="24"/>
                <w:szCs w:val="24"/>
                <w:highlight w:val="none"/>
                <w:u w:val="none" w:color="auto"/>
              </w:rPr>
              <w:t>《环境空气质量标准》（GB</w:t>
            </w:r>
            <w:r>
              <w:rPr>
                <w:rFonts w:hint="eastAsia" w:cs="Times New Roman"/>
                <w:snapToGrid w:val="0"/>
                <w:color w:val="auto"/>
                <w:spacing w:val="11"/>
                <w:kern w:val="0"/>
                <w:position w:val="0"/>
                <w:sz w:val="24"/>
                <w:szCs w:val="24"/>
                <w:highlight w:val="none"/>
                <w:u w:val="none" w:color="auto"/>
                <w:lang w:val="en-US" w:eastAsia="zh-CN"/>
              </w:rPr>
              <w:t xml:space="preserve"> </w:t>
            </w:r>
            <w:r>
              <w:rPr>
                <w:rFonts w:ascii="Times New Roman" w:hAnsi="Times New Roman" w:eastAsia="宋体" w:cs="Times New Roman"/>
                <w:snapToGrid w:val="0"/>
                <w:color w:val="auto"/>
                <w:spacing w:val="11"/>
                <w:kern w:val="0"/>
                <w:position w:val="0"/>
                <w:sz w:val="24"/>
                <w:szCs w:val="24"/>
                <w:highlight w:val="none"/>
                <w:u w:val="none" w:color="auto"/>
              </w:rPr>
              <w:t>3095-2012）中二级标准及修改单要求，</w:t>
            </w:r>
            <w:r>
              <w:rPr>
                <w:rFonts w:ascii="Times New Roman" w:hAnsi="Times New Roman" w:eastAsia="宋体" w:cs="Times New Roman"/>
                <w:color w:val="auto"/>
                <w:spacing w:val="11"/>
                <w:position w:val="0"/>
                <w:sz w:val="24"/>
                <w:szCs w:val="24"/>
                <w:highlight w:val="none"/>
                <w:u w:val="none" w:color="auto"/>
              </w:rPr>
              <w:t>新田县属于20</w:t>
            </w:r>
            <w:r>
              <w:rPr>
                <w:rFonts w:hint="eastAsia" w:ascii="Times New Roman" w:hAnsi="Times New Roman" w:eastAsia="宋体" w:cs="Times New Roman"/>
                <w:color w:val="auto"/>
                <w:spacing w:val="11"/>
                <w:position w:val="0"/>
                <w:sz w:val="24"/>
                <w:szCs w:val="24"/>
                <w:highlight w:val="none"/>
                <w:u w:val="none" w:color="auto"/>
              </w:rPr>
              <w:t>2</w:t>
            </w:r>
            <w:r>
              <w:rPr>
                <w:rFonts w:hint="eastAsia" w:cs="Times New Roman"/>
                <w:color w:val="auto"/>
                <w:spacing w:val="11"/>
                <w:position w:val="0"/>
                <w:sz w:val="24"/>
                <w:szCs w:val="24"/>
                <w:highlight w:val="none"/>
                <w:u w:val="none" w:color="auto"/>
                <w:lang w:val="en-US" w:eastAsia="zh-CN"/>
              </w:rPr>
              <w:t>3</w:t>
            </w:r>
            <w:r>
              <w:rPr>
                <w:rFonts w:ascii="Times New Roman" w:hAnsi="Times New Roman" w:eastAsia="宋体" w:cs="Times New Roman"/>
                <w:color w:val="auto"/>
                <w:spacing w:val="11"/>
                <w:position w:val="0"/>
                <w:sz w:val="24"/>
                <w:szCs w:val="24"/>
                <w:highlight w:val="none"/>
                <w:u w:val="none" w:color="auto"/>
              </w:rPr>
              <w:t>年度环境质量达标区。具体情况详见表</w:t>
            </w:r>
            <w:r>
              <w:rPr>
                <w:rFonts w:hint="eastAsia" w:ascii="Times New Roman" w:hAnsi="Times New Roman" w:eastAsia="宋体" w:cs="Times New Roman"/>
                <w:color w:val="auto"/>
                <w:spacing w:val="11"/>
                <w:position w:val="0"/>
                <w:sz w:val="24"/>
                <w:szCs w:val="24"/>
                <w:highlight w:val="none"/>
                <w:u w:val="none" w:color="auto"/>
                <w:lang w:val="en-US" w:eastAsia="zh-CN"/>
              </w:rPr>
              <w:t>3-1</w:t>
            </w:r>
            <w:r>
              <w:rPr>
                <w:rFonts w:ascii="Times New Roman" w:hAnsi="Times New Roman" w:eastAsia="宋体" w:cs="Times New Roman"/>
                <w:color w:val="auto"/>
                <w:spacing w:val="11"/>
                <w:position w:val="0"/>
                <w:sz w:val="24"/>
                <w:szCs w:val="24"/>
                <w:highlight w:val="none"/>
                <w:u w:val="none" w:color="auto"/>
              </w:rPr>
              <w:t>。</w:t>
            </w:r>
          </w:p>
          <w:p w14:paraId="66941420">
            <w:pPr>
              <w:widowControl w:val="0"/>
              <w:bidi w:val="0"/>
              <w:adjustRightInd w:val="0"/>
              <w:snapToGrid w:val="0"/>
              <w:spacing w:line="240" w:lineRule="auto"/>
              <w:ind w:firstLine="0" w:firstLineChars="0"/>
              <w:jc w:val="center"/>
              <w:rPr>
                <w:rFonts w:ascii="Times New Roman" w:hAnsi="Times New Roman" w:eastAsia="宋体" w:cs="Times New Roman"/>
                <w:b/>
                <w:bCs/>
                <w:color w:val="auto"/>
                <w:spacing w:val="11"/>
                <w:kern w:val="2"/>
                <w:position w:val="0"/>
                <w:sz w:val="21"/>
                <w:szCs w:val="21"/>
                <w:highlight w:val="none"/>
                <w:u w:val="none" w:color="auto"/>
                <w:lang w:val="en-US" w:eastAsia="zh-CN" w:bidi="ar-SA"/>
              </w:rPr>
            </w:pPr>
            <w:r>
              <w:rPr>
                <w:rFonts w:ascii="Times New Roman" w:hAnsi="Times New Roman" w:eastAsia="宋体" w:cs="Times New Roman"/>
                <w:b/>
                <w:bCs/>
                <w:color w:val="auto"/>
                <w:spacing w:val="11"/>
                <w:kern w:val="2"/>
                <w:position w:val="0"/>
                <w:sz w:val="21"/>
                <w:szCs w:val="21"/>
                <w:highlight w:val="none"/>
                <w:u w:val="none" w:color="auto"/>
                <w:lang w:val="en-US" w:eastAsia="zh-CN" w:bidi="ar-SA"/>
              </w:rPr>
              <w:t>表</w:t>
            </w:r>
            <w:r>
              <w:rPr>
                <w:rFonts w:hint="eastAsia" w:ascii="Times New Roman" w:hAnsi="Times New Roman" w:eastAsia="宋体" w:cs="Times New Roman"/>
                <w:b/>
                <w:bCs/>
                <w:color w:val="auto"/>
                <w:spacing w:val="11"/>
                <w:kern w:val="2"/>
                <w:position w:val="0"/>
                <w:sz w:val="21"/>
                <w:szCs w:val="21"/>
                <w:highlight w:val="none"/>
                <w:u w:val="none" w:color="auto"/>
                <w:lang w:val="en-US" w:eastAsia="zh-CN" w:bidi="ar-SA"/>
              </w:rPr>
              <w:t>3-1</w:t>
            </w:r>
            <w:r>
              <w:rPr>
                <w:rFonts w:ascii="Times New Roman" w:hAnsi="Times New Roman" w:eastAsia="宋体" w:cs="Times New Roman"/>
                <w:b/>
                <w:bCs/>
                <w:color w:val="auto"/>
                <w:spacing w:val="11"/>
                <w:kern w:val="2"/>
                <w:position w:val="0"/>
                <w:sz w:val="21"/>
                <w:szCs w:val="21"/>
                <w:highlight w:val="none"/>
                <w:u w:val="none" w:color="auto"/>
                <w:lang w:val="en-US" w:eastAsia="zh-CN" w:bidi="ar-SA"/>
              </w:rPr>
              <w:t xml:space="preserve"> </w:t>
            </w:r>
            <w:r>
              <w:rPr>
                <w:rFonts w:hint="eastAsia" w:cs="Times New Roman"/>
                <w:b/>
                <w:bCs/>
                <w:color w:val="auto"/>
                <w:spacing w:val="11"/>
                <w:kern w:val="2"/>
                <w:position w:val="0"/>
                <w:sz w:val="21"/>
                <w:szCs w:val="21"/>
                <w:highlight w:val="none"/>
                <w:u w:val="none" w:color="auto"/>
                <w:lang w:val="en-US" w:eastAsia="zh-CN" w:bidi="ar-SA"/>
              </w:rPr>
              <w:t xml:space="preserve"> </w:t>
            </w:r>
            <w:r>
              <w:rPr>
                <w:rFonts w:hint="eastAsia" w:ascii="Times New Roman" w:hAnsi="Times New Roman" w:eastAsia="宋体" w:cs="Times New Roman"/>
                <w:b/>
                <w:bCs/>
                <w:color w:val="auto"/>
                <w:spacing w:val="11"/>
                <w:kern w:val="2"/>
                <w:position w:val="0"/>
                <w:sz w:val="21"/>
                <w:szCs w:val="21"/>
                <w:highlight w:val="none"/>
                <w:u w:val="none" w:color="auto"/>
                <w:lang w:val="en-US" w:eastAsia="zh-CN" w:bidi="ar-SA"/>
              </w:rPr>
              <w:t>新田</w:t>
            </w:r>
            <w:r>
              <w:rPr>
                <w:rFonts w:hint="default" w:ascii="Times New Roman" w:hAnsi="Times New Roman" w:eastAsia="宋体" w:cs="Times New Roman"/>
                <w:b/>
                <w:bCs/>
                <w:color w:val="auto"/>
                <w:spacing w:val="11"/>
                <w:kern w:val="2"/>
                <w:position w:val="0"/>
                <w:sz w:val="21"/>
                <w:szCs w:val="21"/>
                <w:highlight w:val="none"/>
                <w:u w:val="none" w:color="auto"/>
                <w:lang w:val="en-US" w:eastAsia="zh-CN" w:bidi="ar-SA"/>
              </w:rPr>
              <w:t>县</w:t>
            </w:r>
            <w:r>
              <w:rPr>
                <w:rFonts w:ascii="Times New Roman" w:hAnsi="Times New Roman" w:eastAsia="宋体" w:cs="Times New Roman"/>
                <w:b/>
                <w:bCs/>
                <w:color w:val="auto"/>
                <w:spacing w:val="11"/>
                <w:kern w:val="2"/>
                <w:position w:val="0"/>
                <w:sz w:val="21"/>
                <w:szCs w:val="21"/>
                <w:highlight w:val="none"/>
                <w:u w:val="none" w:color="auto"/>
                <w:lang w:val="en-US" w:eastAsia="zh-CN" w:bidi="ar-SA"/>
              </w:rPr>
              <w:t>空气质量现状评价表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033"/>
              <w:gridCol w:w="2120"/>
              <w:gridCol w:w="1712"/>
              <w:gridCol w:w="1324"/>
              <w:gridCol w:w="997"/>
              <w:gridCol w:w="973"/>
            </w:tblGrid>
            <w:tr w14:paraId="3915CA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tcBorders>
                    <w:tl2br w:val="nil"/>
                    <w:tr2bl w:val="nil"/>
                  </w:tcBorders>
                  <w:noWrap w:val="0"/>
                  <w:vAlign w:val="center"/>
                </w:tcPr>
                <w:p w14:paraId="600E5E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市县</w:t>
                  </w:r>
                </w:p>
              </w:tc>
              <w:tc>
                <w:tcPr>
                  <w:tcW w:w="572" w:type="pct"/>
                  <w:tcBorders>
                    <w:tl2br w:val="nil"/>
                    <w:tr2bl w:val="nil"/>
                  </w:tcBorders>
                  <w:noWrap w:val="0"/>
                  <w:vAlign w:val="center"/>
                </w:tcPr>
                <w:p w14:paraId="2920F4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污染物</w:t>
                  </w:r>
                </w:p>
              </w:tc>
              <w:tc>
                <w:tcPr>
                  <w:tcW w:w="1174" w:type="pct"/>
                  <w:tcBorders>
                    <w:tl2br w:val="nil"/>
                    <w:tr2bl w:val="nil"/>
                  </w:tcBorders>
                  <w:noWrap w:val="0"/>
                  <w:vAlign w:val="center"/>
                </w:tcPr>
                <w:p w14:paraId="0A4474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年评价指标</w:t>
                  </w:r>
                </w:p>
              </w:tc>
              <w:tc>
                <w:tcPr>
                  <w:tcW w:w="948" w:type="pct"/>
                  <w:tcBorders>
                    <w:tl2br w:val="nil"/>
                    <w:tr2bl w:val="nil"/>
                  </w:tcBorders>
                  <w:noWrap w:val="0"/>
                  <w:vAlign w:val="center"/>
                </w:tcPr>
                <w:p w14:paraId="0A17D1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现状浓度/（</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μg/m</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vertAlign w:val="superscript"/>
                    </w:rPr>
                    <w:t>3</w:t>
                  </w:r>
                  <w:r>
                    <w:rPr>
                      <w:rFonts w:hint="default" w:ascii="宋体" w:hAnsi="宋体" w:eastAsia="宋体" w:cs="Times New Roman"/>
                      <w:caps w:val="0"/>
                      <w:smallCaps w:val="0"/>
                      <w:color w:val="auto"/>
                      <w:spacing w:val="11"/>
                      <w:kern w:val="21"/>
                      <w:position w:val="0"/>
                      <w:sz w:val="21"/>
                      <w:szCs w:val="21"/>
                      <w:u w:val="none" w:color="auto"/>
                      <w:shd w:val="clear" w:color="auto" w:fill="auto"/>
                    </w:rPr>
                    <w:t>）</w:t>
                  </w:r>
                </w:p>
              </w:tc>
              <w:tc>
                <w:tcPr>
                  <w:tcW w:w="733" w:type="pct"/>
                  <w:tcBorders>
                    <w:tl2br w:val="nil"/>
                    <w:tr2bl w:val="nil"/>
                  </w:tcBorders>
                  <w:noWrap w:val="0"/>
                  <w:vAlign w:val="center"/>
                </w:tcPr>
                <w:p w14:paraId="3CF3B5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标准值/（</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μg/m</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vertAlign w:val="superscript"/>
                    </w:rPr>
                    <w:t>3</w:t>
                  </w:r>
                  <w:r>
                    <w:rPr>
                      <w:rFonts w:hint="default" w:ascii="宋体" w:hAnsi="宋体" w:eastAsia="宋体" w:cs="Times New Roman"/>
                      <w:caps w:val="0"/>
                      <w:smallCaps w:val="0"/>
                      <w:color w:val="auto"/>
                      <w:spacing w:val="11"/>
                      <w:kern w:val="21"/>
                      <w:position w:val="0"/>
                      <w:sz w:val="21"/>
                      <w:szCs w:val="21"/>
                      <w:u w:val="none" w:color="auto"/>
                      <w:shd w:val="clear" w:color="auto" w:fill="auto"/>
                    </w:rPr>
                    <w:t>）</w:t>
                  </w:r>
                </w:p>
              </w:tc>
              <w:tc>
                <w:tcPr>
                  <w:tcW w:w="552" w:type="pct"/>
                  <w:tcBorders>
                    <w:tl2br w:val="nil"/>
                    <w:tr2bl w:val="nil"/>
                  </w:tcBorders>
                  <w:noWrap w:val="0"/>
                  <w:vAlign w:val="center"/>
                </w:tcPr>
                <w:p w14:paraId="7CFD0D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highlight w:val="none"/>
                      <w:u w:val="none" w:color="auto"/>
                      <w:shd w:val="clear" w:color="auto" w:fill="auto"/>
                    </w:rPr>
                  </w:pPr>
                  <w:r>
                    <w:rPr>
                      <w:rFonts w:hint="default" w:ascii="Times New Roman" w:hAnsi="Times New Roman" w:eastAsia="宋体" w:cs="Times New Roman"/>
                      <w:color w:val="auto"/>
                      <w:spacing w:val="11"/>
                      <w:position w:val="0"/>
                      <w:sz w:val="21"/>
                      <w:szCs w:val="21"/>
                      <w:highlight w:val="none"/>
                      <w:u w:val="none" w:color="auto"/>
                    </w:rPr>
                    <w:t>占标率（%）</w:t>
                  </w:r>
                </w:p>
              </w:tc>
              <w:tc>
                <w:tcPr>
                  <w:tcW w:w="539" w:type="pct"/>
                  <w:tcBorders>
                    <w:tl2br w:val="nil"/>
                    <w:tr2bl w:val="nil"/>
                  </w:tcBorders>
                  <w:noWrap w:val="0"/>
                  <w:vAlign w:val="center"/>
                </w:tcPr>
                <w:p w14:paraId="4A5B4D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达标情况</w:t>
                  </w:r>
                </w:p>
              </w:tc>
            </w:tr>
            <w:tr w14:paraId="07BD62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restart"/>
                  <w:tcBorders>
                    <w:tl2br w:val="nil"/>
                    <w:tr2bl w:val="nil"/>
                  </w:tcBorders>
                  <w:noWrap w:val="0"/>
                  <w:vAlign w:val="center"/>
                </w:tcPr>
                <w:p w14:paraId="3333C2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永州市新田县</w:t>
                  </w:r>
                </w:p>
              </w:tc>
              <w:tc>
                <w:tcPr>
                  <w:tcW w:w="572" w:type="pct"/>
                  <w:tcBorders>
                    <w:tl2br w:val="nil"/>
                    <w:tr2bl w:val="nil"/>
                  </w:tcBorders>
                  <w:noWrap w:val="0"/>
                  <w:vAlign w:val="center"/>
                </w:tcPr>
                <w:p w14:paraId="10164A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SO</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vertAlign w:val="subscript"/>
                    </w:rPr>
                    <w:t>2</w:t>
                  </w:r>
                </w:p>
              </w:tc>
              <w:tc>
                <w:tcPr>
                  <w:tcW w:w="1174" w:type="pct"/>
                  <w:tcBorders>
                    <w:tl2br w:val="nil"/>
                    <w:tr2bl w:val="nil"/>
                  </w:tcBorders>
                  <w:noWrap w:val="0"/>
                  <w:vAlign w:val="center"/>
                </w:tcPr>
                <w:p w14:paraId="620E16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年平均质量浓度</w:t>
                  </w:r>
                </w:p>
              </w:tc>
              <w:tc>
                <w:tcPr>
                  <w:tcW w:w="948" w:type="pct"/>
                  <w:tcBorders>
                    <w:tl2br w:val="nil"/>
                    <w:tr2bl w:val="nil"/>
                  </w:tcBorders>
                  <w:noWrap w:val="0"/>
                  <w:vAlign w:val="center"/>
                </w:tcPr>
                <w:p w14:paraId="30F95E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7</w:t>
                  </w:r>
                </w:p>
              </w:tc>
              <w:tc>
                <w:tcPr>
                  <w:tcW w:w="733" w:type="pct"/>
                  <w:tcBorders>
                    <w:tl2br w:val="nil"/>
                    <w:tr2bl w:val="nil"/>
                  </w:tcBorders>
                  <w:noWrap w:val="0"/>
                  <w:vAlign w:val="center"/>
                </w:tcPr>
                <w:p w14:paraId="726CA7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60</w:t>
                  </w:r>
                </w:p>
              </w:tc>
              <w:tc>
                <w:tcPr>
                  <w:tcW w:w="552" w:type="pct"/>
                  <w:tcBorders>
                    <w:tl2br w:val="nil"/>
                    <w:tr2bl w:val="nil"/>
                  </w:tcBorders>
                  <w:shd w:val="clear" w:color="auto" w:fill="auto"/>
                  <w:noWrap w:val="0"/>
                  <w:vAlign w:val="center"/>
                </w:tcPr>
                <w:p w14:paraId="026E31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pPr>
                  <w:r>
                    <w:rPr>
                      <w:rFonts w:hint="eastAsia"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t>11.67</w:t>
                  </w:r>
                </w:p>
              </w:tc>
              <w:tc>
                <w:tcPr>
                  <w:tcW w:w="539" w:type="pct"/>
                  <w:tcBorders>
                    <w:tl2br w:val="nil"/>
                    <w:tr2bl w:val="nil"/>
                  </w:tcBorders>
                  <w:noWrap w:val="0"/>
                  <w:vAlign w:val="center"/>
                </w:tcPr>
                <w:p w14:paraId="12BF13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达标</w:t>
                  </w:r>
                </w:p>
              </w:tc>
            </w:tr>
            <w:tr w14:paraId="58BF6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14:paraId="2F9CBD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p>
              </w:tc>
              <w:tc>
                <w:tcPr>
                  <w:tcW w:w="572" w:type="pct"/>
                  <w:tcBorders>
                    <w:tl2br w:val="nil"/>
                    <w:tr2bl w:val="nil"/>
                  </w:tcBorders>
                  <w:noWrap w:val="0"/>
                  <w:vAlign w:val="center"/>
                </w:tcPr>
                <w:p w14:paraId="54065D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NO</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vertAlign w:val="subscript"/>
                    </w:rPr>
                    <w:t>2</w:t>
                  </w:r>
                </w:p>
              </w:tc>
              <w:tc>
                <w:tcPr>
                  <w:tcW w:w="1174" w:type="pct"/>
                  <w:tcBorders>
                    <w:tl2br w:val="nil"/>
                    <w:tr2bl w:val="nil"/>
                  </w:tcBorders>
                  <w:noWrap w:val="0"/>
                  <w:vAlign w:val="center"/>
                </w:tcPr>
                <w:p w14:paraId="1CD3F3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年平均质量浓度</w:t>
                  </w:r>
                </w:p>
              </w:tc>
              <w:tc>
                <w:tcPr>
                  <w:tcW w:w="948" w:type="pct"/>
                  <w:tcBorders>
                    <w:tl2br w:val="nil"/>
                    <w:tr2bl w:val="nil"/>
                  </w:tcBorders>
                  <w:noWrap w:val="0"/>
                  <w:vAlign w:val="center"/>
                </w:tcPr>
                <w:p w14:paraId="7C9298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8</w:t>
                  </w:r>
                </w:p>
              </w:tc>
              <w:tc>
                <w:tcPr>
                  <w:tcW w:w="733" w:type="pct"/>
                  <w:tcBorders>
                    <w:tl2br w:val="nil"/>
                    <w:tr2bl w:val="nil"/>
                  </w:tcBorders>
                  <w:noWrap w:val="0"/>
                  <w:vAlign w:val="center"/>
                </w:tcPr>
                <w:p w14:paraId="77ED0C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40</w:t>
                  </w:r>
                </w:p>
              </w:tc>
              <w:tc>
                <w:tcPr>
                  <w:tcW w:w="552" w:type="pct"/>
                  <w:tcBorders>
                    <w:tl2br w:val="nil"/>
                    <w:tr2bl w:val="nil"/>
                  </w:tcBorders>
                  <w:shd w:val="clear" w:color="auto" w:fill="auto"/>
                  <w:noWrap w:val="0"/>
                  <w:vAlign w:val="center"/>
                </w:tcPr>
                <w:p w14:paraId="710857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pPr>
                  <w:r>
                    <w:rPr>
                      <w:rFonts w:hint="eastAsia"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t>20.00</w:t>
                  </w:r>
                </w:p>
              </w:tc>
              <w:tc>
                <w:tcPr>
                  <w:tcW w:w="539" w:type="pct"/>
                  <w:tcBorders>
                    <w:tl2br w:val="nil"/>
                    <w:tr2bl w:val="nil"/>
                  </w:tcBorders>
                  <w:noWrap w:val="0"/>
                  <w:vAlign w:val="center"/>
                </w:tcPr>
                <w:p w14:paraId="29D4AF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达标</w:t>
                  </w:r>
                </w:p>
              </w:tc>
            </w:tr>
            <w:tr w14:paraId="6CF367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14:paraId="1C03A2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p>
              </w:tc>
              <w:tc>
                <w:tcPr>
                  <w:tcW w:w="572" w:type="pct"/>
                  <w:tcBorders>
                    <w:tl2br w:val="nil"/>
                    <w:tr2bl w:val="nil"/>
                  </w:tcBorders>
                  <w:noWrap w:val="0"/>
                  <w:vAlign w:val="center"/>
                </w:tcPr>
                <w:p w14:paraId="58EA1C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PM</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vertAlign w:val="subscript"/>
                    </w:rPr>
                    <w:t>10</w:t>
                  </w:r>
                </w:p>
              </w:tc>
              <w:tc>
                <w:tcPr>
                  <w:tcW w:w="1174" w:type="pct"/>
                  <w:tcBorders>
                    <w:tl2br w:val="nil"/>
                    <w:tr2bl w:val="nil"/>
                  </w:tcBorders>
                  <w:noWrap w:val="0"/>
                  <w:vAlign w:val="center"/>
                </w:tcPr>
                <w:p w14:paraId="3AF325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年平均质量浓度</w:t>
                  </w:r>
                </w:p>
              </w:tc>
              <w:tc>
                <w:tcPr>
                  <w:tcW w:w="948" w:type="pct"/>
                  <w:tcBorders>
                    <w:tl2br w:val="nil"/>
                    <w:tr2bl w:val="nil"/>
                  </w:tcBorders>
                  <w:noWrap w:val="0"/>
                  <w:vAlign w:val="center"/>
                </w:tcPr>
                <w:p w14:paraId="076DEF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44</w:t>
                  </w:r>
                </w:p>
              </w:tc>
              <w:tc>
                <w:tcPr>
                  <w:tcW w:w="733" w:type="pct"/>
                  <w:tcBorders>
                    <w:tl2br w:val="nil"/>
                    <w:tr2bl w:val="nil"/>
                  </w:tcBorders>
                  <w:noWrap w:val="0"/>
                  <w:vAlign w:val="center"/>
                </w:tcPr>
                <w:p w14:paraId="4F24D4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70</w:t>
                  </w:r>
                </w:p>
              </w:tc>
              <w:tc>
                <w:tcPr>
                  <w:tcW w:w="552" w:type="pct"/>
                  <w:tcBorders>
                    <w:tl2br w:val="nil"/>
                    <w:tr2bl w:val="nil"/>
                  </w:tcBorders>
                  <w:shd w:val="clear" w:color="auto" w:fill="auto"/>
                  <w:noWrap w:val="0"/>
                  <w:vAlign w:val="center"/>
                </w:tcPr>
                <w:p w14:paraId="6D91C6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pPr>
                  <w:r>
                    <w:rPr>
                      <w:rFonts w:hint="eastAsia"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t>62.86</w:t>
                  </w:r>
                </w:p>
              </w:tc>
              <w:tc>
                <w:tcPr>
                  <w:tcW w:w="539" w:type="pct"/>
                  <w:tcBorders>
                    <w:tl2br w:val="nil"/>
                    <w:tr2bl w:val="nil"/>
                  </w:tcBorders>
                  <w:noWrap w:val="0"/>
                  <w:vAlign w:val="center"/>
                </w:tcPr>
                <w:p w14:paraId="5856E0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达标</w:t>
                  </w:r>
                </w:p>
              </w:tc>
            </w:tr>
            <w:tr w14:paraId="785A8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14:paraId="3850E5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p>
              </w:tc>
              <w:tc>
                <w:tcPr>
                  <w:tcW w:w="572" w:type="pct"/>
                  <w:tcBorders>
                    <w:tl2br w:val="nil"/>
                    <w:tr2bl w:val="nil"/>
                  </w:tcBorders>
                  <w:noWrap w:val="0"/>
                  <w:vAlign w:val="center"/>
                </w:tcPr>
                <w:p w14:paraId="34FC46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PM</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vertAlign w:val="subscript"/>
                    </w:rPr>
                    <w:t>2.5</w:t>
                  </w:r>
                </w:p>
              </w:tc>
              <w:tc>
                <w:tcPr>
                  <w:tcW w:w="1174" w:type="pct"/>
                  <w:tcBorders>
                    <w:tl2br w:val="nil"/>
                    <w:tr2bl w:val="nil"/>
                  </w:tcBorders>
                  <w:noWrap w:val="0"/>
                  <w:vAlign w:val="center"/>
                </w:tcPr>
                <w:p w14:paraId="5B52AE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年平均质量浓度</w:t>
                  </w:r>
                </w:p>
              </w:tc>
              <w:tc>
                <w:tcPr>
                  <w:tcW w:w="948" w:type="pct"/>
                  <w:tcBorders>
                    <w:tl2br w:val="nil"/>
                    <w:tr2bl w:val="nil"/>
                  </w:tcBorders>
                  <w:noWrap w:val="0"/>
                  <w:vAlign w:val="center"/>
                </w:tcPr>
                <w:p w14:paraId="42021A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30</w:t>
                  </w:r>
                </w:p>
              </w:tc>
              <w:tc>
                <w:tcPr>
                  <w:tcW w:w="733" w:type="pct"/>
                  <w:tcBorders>
                    <w:tl2br w:val="nil"/>
                    <w:tr2bl w:val="nil"/>
                  </w:tcBorders>
                  <w:noWrap w:val="0"/>
                  <w:vAlign w:val="center"/>
                </w:tcPr>
                <w:p w14:paraId="1E889F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35</w:t>
                  </w:r>
                </w:p>
              </w:tc>
              <w:tc>
                <w:tcPr>
                  <w:tcW w:w="552" w:type="pct"/>
                  <w:tcBorders>
                    <w:tl2br w:val="nil"/>
                    <w:tr2bl w:val="nil"/>
                  </w:tcBorders>
                  <w:shd w:val="clear" w:color="auto" w:fill="auto"/>
                  <w:noWrap w:val="0"/>
                  <w:vAlign w:val="center"/>
                </w:tcPr>
                <w:p w14:paraId="773A2F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pPr>
                  <w:r>
                    <w:rPr>
                      <w:rFonts w:hint="eastAsia"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t>85.71</w:t>
                  </w:r>
                </w:p>
              </w:tc>
              <w:tc>
                <w:tcPr>
                  <w:tcW w:w="539" w:type="pct"/>
                  <w:tcBorders>
                    <w:tl2br w:val="nil"/>
                    <w:tr2bl w:val="nil"/>
                  </w:tcBorders>
                  <w:noWrap w:val="0"/>
                  <w:vAlign w:val="center"/>
                </w:tcPr>
                <w:p w14:paraId="0A176E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达标</w:t>
                  </w:r>
                </w:p>
              </w:tc>
            </w:tr>
            <w:tr w14:paraId="7B224C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14:paraId="45DA9D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p>
              </w:tc>
              <w:tc>
                <w:tcPr>
                  <w:tcW w:w="572" w:type="pct"/>
                  <w:tcBorders>
                    <w:tl2br w:val="nil"/>
                    <w:tr2bl w:val="nil"/>
                  </w:tcBorders>
                  <w:noWrap w:val="0"/>
                  <w:vAlign w:val="center"/>
                </w:tcPr>
                <w:p w14:paraId="0F8B6A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CO</w:t>
                  </w:r>
                </w:p>
              </w:tc>
              <w:tc>
                <w:tcPr>
                  <w:tcW w:w="1174" w:type="pct"/>
                  <w:tcBorders>
                    <w:tl2br w:val="nil"/>
                    <w:tr2bl w:val="nil"/>
                  </w:tcBorders>
                  <w:noWrap w:val="0"/>
                  <w:vAlign w:val="center"/>
                </w:tcPr>
                <w:p w14:paraId="4E044E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highlight w:val="none"/>
                      <w:u w:val="none" w:color="auto"/>
                      <w:shd w:val="clear" w:color="auto" w:fill="auto"/>
                    </w:rPr>
                  </w:pPr>
                  <w:r>
                    <w:rPr>
                      <w:rFonts w:hint="default" w:ascii="宋体" w:hAnsi="宋体" w:eastAsia="宋体" w:cs="Times New Roman"/>
                      <w:caps w:val="0"/>
                      <w:smallCaps w:val="0"/>
                      <w:color w:val="auto"/>
                      <w:spacing w:val="11"/>
                      <w:kern w:val="21"/>
                      <w:position w:val="0"/>
                      <w:sz w:val="21"/>
                      <w:szCs w:val="21"/>
                      <w:highlight w:val="none"/>
                      <w:u w:val="none" w:color="auto"/>
                      <w:shd w:val="clear" w:color="auto" w:fill="auto"/>
                    </w:rPr>
                    <w:t>第</w:t>
                  </w:r>
                  <w:r>
                    <w:rPr>
                      <w:rFonts w:hint="default" w:ascii="Times New Roman" w:hAnsi="Times New Roman" w:eastAsia="宋体" w:cs="Times New Roman"/>
                      <w:caps w:val="0"/>
                      <w:smallCaps w:val="0"/>
                      <w:color w:val="auto"/>
                      <w:spacing w:val="11"/>
                      <w:kern w:val="21"/>
                      <w:position w:val="0"/>
                      <w:sz w:val="21"/>
                      <w:szCs w:val="21"/>
                      <w:highlight w:val="none"/>
                      <w:u w:val="none" w:color="auto"/>
                      <w:shd w:val="clear" w:color="auto" w:fill="auto"/>
                    </w:rPr>
                    <w:t>95</w:t>
                  </w:r>
                  <w:r>
                    <w:rPr>
                      <w:rFonts w:hint="default" w:ascii="宋体" w:hAnsi="宋体" w:eastAsia="宋体" w:cs="Times New Roman"/>
                      <w:caps w:val="0"/>
                      <w:smallCaps w:val="0"/>
                      <w:color w:val="auto"/>
                      <w:spacing w:val="11"/>
                      <w:kern w:val="21"/>
                      <w:position w:val="0"/>
                      <w:sz w:val="21"/>
                      <w:szCs w:val="21"/>
                      <w:highlight w:val="none"/>
                      <w:u w:val="none" w:color="auto"/>
                      <w:shd w:val="clear" w:color="auto" w:fill="auto"/>
                    </w:rPr>
                    <w:t>百分位数日平均浓度</w:t>
                  </w:r>
                </w:p>
              </w:tc>
              <w:tc>
                <w:tcPr>
                  <w:tcW w:w="948" w:type="pct"/>
                  <w:tcBorders>
                    <w:tl2br w:val="nil"/>
                    <w:tr2bl w:val="nil"/>
                  </w:tcBorders>
                  <w:noWrap w:val="0"/>
                  <w:vAlign w:val="center"/>
                </w:tcPr>
                <w:p w14:paraId="2BB74E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highlight w:val="none"/>
                      <w:u w:val="none" w:color="auto"/>
                      <w:shd w:val="clear" w:color="auto" w:fill="auto"/>
                      <w:lang w:val="en-US" w:eastAsia="zh-CN"/>
                    </w:rPr>
                  </w:pPr>
                  <w:r>
                    <w:rPr>
                      <w:rFonts w:hint="eastAsia" w:cs="Times New Roman"/>
                      <w:caps w:val="0"/>
                      <w:smallCaps w:val="0"/>
                      <w:color w:val="auto"/>
                      <w:spacing w:val="11"/>
                      <w:kern w:val="21"/>
                      <w:position w:val="0"/>
                      <w:sz w:val="21"/>
                      <w:szCs w:val="21"/>
                      <w:highlight w:val="none"/>
                      <w:u w:val="none" w:color="auto"/>
                      <w:shd w:val="clear" w:color="auto" w:fill="auto"/>
                      <w:lang w:val="en-US" w:eastAsia="zh-CN"/>
                    </w:rPr>
                    <w:t>1000</w:t>
                  </w:r>
                </w:p>
              </w:tc>
              <w:tc>
                <w:tcPr>
                  <w:tcW w:w="733" w:type="pct"/>
                  <w:tcBorders>
                    <w:tl2br w:val="nil"/>
                    <w:tr2bl w:val="nil"/>
                  </w:tcBorders>
                  <w:noWrap w:val="0"/>
                  <w:vAlign w:val="center"/>
                </w:tcPr>
                <w:p w14:paraId="6A2A2A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4000</w:t>
                  </w:r>
                </w:p>
              </w:tc>
              <w:tc>
                <w:tcPr>
                  <w:tcW w:w="552" w:type="pct"/>
                  <w:tcBorders>
                    <w:tl2br w:val="nil"/>
                    <w:tr2bl w:val="nil"/>
                  </w:tcBorders>
                  <w:shd w:val="clear" w:color="auto" w:fill="auto"/>
                  <w:noWrap w:val="0"/>
                  <w:vAlign w:val="center"/>
                </w:tcPr>
                <w:p w14:paraId="291258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pPr>
                  <w:r>
                    <w:rPr>
                      <w:rFonts w:hint="eastAsia" w:cs="Times New Roman"/>
                      <w:caps w:val="0"/>
                      <w:smallCaps w:val="0"/>
                      <w:color w:val="auto"/>
                      <w:spacing w:val="11"/>
                      <w:kern w:val="21"/>
                      <w:position w:val="0"/>
                      <w:sz w:val="21"/>
                      <w:szCs w:val="21"/>
                      <w:u w:val="none" w:color="auto"/>
                      <w:shd w:val="clear" w:color="auto" w:fill="auto"/>
                      <w:lang w:val="en-US" w:eastAsia="zh-CN"/>
                    </w:rPr>
                    <w:t>25</w:t>
                  </w:r>
                  <w:r>
                    <w:rPr>
                      <w:rFonts w:hint="eastAsia"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t>.00</w:t>
                  </w:r>
                </w:p>
              </w:tc>
              <w:tc>
                <w:tcPr>
                  <w:tcW w:w="539" w:type="pct"/>
                  <w:tcBorders>
                    <w:tl2br w:val="nil"/>
                    <w:tr2bl w:val="nil"/>
                  </w:tcBorders>
                  <w:noWrap w:val="0"/>
                  <w:vAlign w:val="center"/>
                </w:tcPr>
                <w:p w14:paraId="14F653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达标</w:t>
                  </w:r>
                </w:p>
              </w:tc>
            </w:tr>
            <w:tr w14:paraId="074E34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14:paraId="4BF9A8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p>
              </w:tc>
              <w:tc>
                <w:tcPr>
                  <w:tcW w:w="572" w:type="pct"/>
                  <w:tcBorders>
                    <w:tl2br w:val="nil"/>
                    <w:tr2bl w:val="nil"/>
                  </w:tcBorders>
                  <w:noWrap w:val="0"/>
                  <w:vAlign w:val="center"/>
                </w:tcPr>
                <w:p w14:paraId="58AE4D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O</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vertAlign w:val="subscript"/>
                    </w:rPr>
                    <w:t>3</w:t>
                  </w:r>
                </w:p>
              </w:tc>
              <w:tc>
                <w:tcPr>
                  <w:tcW w:w="1174" w:type="pct"/>
                  <w:tcBorders>
                    <w:tl2br w:val="nil"/>
                    <w:tr2bl w:val="nil"/>
                  </w:tcBorders>
                  <w:noWrap w:val="0"/>
                  <w:vAlign w:val="center"/>
                </w:tcPr>
                <w:p w14:paraId="7E28FD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highlight w:val="none"/>
                      <w:u w:val="none" w:color="auto"/>
                      <w:shd w:val="clear" w:color="auto" w:fill="auto"/>
                    </w:rPr>
                  </w:pPr>
                  <w:r>
                    <w:rPr>
                      <w:rFonts w:hint="default" w:ascii="宋体" w:hAnsi="宋体" w:eastAsia="宋体" w:cs="Times New Roman"/>
                      <w:caps w:val="0"/>
                      <w:smallCaps w:val="0"/>
                      <w:color w:val="auto"/>
                      <w:spacing w:val="11"/>
                      <w:kern w:val="21"/>
                      <w:position w:val="0"/>
                      <w:sz w:val="21"/>
                      <w:szCs w:val="21"/>
                      <w:highlight w:val="none"/>
                      <w:u w:val="none" w:color="auto"/>
                      <w:shd w:val="clear" w:color="auto" w:fill="auto"/>
                    </w:rPr>
                    <w:t>第</w:t>
                  </w:r>
                  <w:r>
                    <w:rPr>
                      <w:rFonts w:hint="default" w:ascii="Times New Roman" w:hAnsi="Times New Roman" w:eastAsia="宋体" w:cs="Times New Roman"/>
                      <w:caps w:val="0"/>
                      <w:smallCaps w:val="0"/>
                      <w:color w:val="auto"/>
                      <w:spacing w:val="11"/>
                      <w:kern w:val="21"/>
                      <w:position w:val="0"/>
                      <w:sz w:val="21"/>
                      <w:szCs w:val="21"/>
                      <w:highlight w:val="none"/>
                      <w:u w:val="none" w:color="auto"/>
                      <w:shd w:val="clear" w:color="auto" w:fill="auto"/>
                    </w:rPr>
                    <w:t>90</w:t>
                  </w:r>
                  <w:r>
                    <w:rPr>
                      <w:rFonts w:hint="default" w:ascii="宋体" w:hAnsi="宋体" w:eastAsia="宋体" w:cs="Times New Roman"/>
                      <w:caps w:val="0"/>
                      <w:smallCaps w:val="0"/>
                      <w:color w:val="auto"/>
                      <w:spacing w:val="11"/>
                      <w:kern w:val="21"/>
                      <w:position w:val="0"/>
                      <w:sz w:val="21"/>
                      <w:szCs w:val="21"/>
                      <w:highlight w:val="none"/>
                      <w:u w:val="none" w:color="auto"/>
                      <w:shd w:val="clear" w:color="auto" w:fill="auto"/>
                    </w:rPr>
                    <w:t>百分位数日最大</w:t>
                  </w:r>
                  <w:r>
                    <w:rPr>
                      <w:rFonts w:hint="default" w:ascii="Times New Roman" w:hAnsi="Times New Roman" w:eastAsia="宋体" w:cs="Times New Roman"/>
                      <w:caps w:val="0"/>
                      <w:smallCaps w:val="0"/>
                      <w:color w:val="auto"/>
                      <w:spacing w:val="11"/>
                      <w:kern w:val="21"/>
                      <w:position w:val="0"/>
                      <w:sz w:val="21"/>
                      <w:szCs w:val="21"/>
                      <w:highlight w:val="none"/>
                      <w:u w:val="none" w:color="auto"/>
                      <w:shd w:val="clear" w:color="auto" w:fill="auto"/>
                    </w:rPr>
                    <w:t>8h</w:t>
                  </w:r>
                  <w:r>
                    <w:rPr>
                      <w:rFonts w:hint="default" w:ascii="宋体" w:hAnsi="宋体" w:eastAsia="宋体" w:cs="Times New Roman"/>
                      <w:caps w:val="0"/>
                      <w:smallCaps w:val="0"/>
                      <w:color w:val="auto"/>
                      <w:spacing w:val="11"/>
                      <w:kern w:val="21"/>
                      <w:position w:val="0"/>
                      <w:sz w:val="21"/>
                      <w:szCs w:val="21"/>
                      <w:highlight w:val="none"/>
                      <w:u w:val="none" w:color="auto"/>
                      <w:shd w:val="clear" w:color="auto" w:fill="auto"/>
                    </w:rPr>
                    <w:t>平均浓度</w:t>
                  </w:r>
                </w:p>
              </w:tc>
              <w:tc>
                <w:tcPr>
                  <w:tcW w:w="948" w:type="pct"/>
                  <w:tcBorders>
                    <w:tl2br w:val="nil"/>
                    <w:tr2bl w:val="nil"/>
                  </w:tcBorders>
                  <w:noWrap w:val="0"/>
                  <w:vAlign w:val="center"/>
                </w:tcPr>
                <w:p w14:paraId="64809F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highlight w:val="none"/>
                      <w:u w:val="none" w:color="auto"/>
                      <w:shd w:val="clear" w:color="auto" w:fill="auto"/>
                      <w:lang w:val="en-US" w:eastAsia="zh-CN"/>
                    </w:rPr>
                  </w:pPr>
                  <w:r>
                    <w:rPr>
                      <w:rFonts w:hint="eastAsia" w:cs="Times New Roman"/>
                      <w:caps w:val="0"/>
                      <w:smallCaps w:val="0"/>
                      <w:color w:val="auto"/>
                      <w:spacing w:val="11"/>
                      <w:kern w:val="21"/>
                      <w:position w:val="0"/>
                      <w:sz w:val="21"/>
                      <w:szCs w:val="21"/>
                      <w:highlight w:val="none"/>
                      <w:u w:val="none" w:color="auto"/>
                      <w:shd w:val="clear" w:color="auto" w:fill="auto"/>
                      <w:lang w:val="en-US" w:eastAsia="zh-CN"/>
                    </w:rPr>
                    <w:t>113</w:t>
                  </w:r>
                </w:p>
              </w:tc>
              <w:tc>
                <w:tcPr>
                  <w:tcW w:w="733" w:type="pct"/>
                  <w:tcBorders>
                    <w:tl2br w:val="nil"/>
                    <w:tr2bl w:val="nil"/>
                  </w:tcBorders>
                  <w:noWrap w:val="0"/>
                  <w:vAlign w:val="center"/>
                </w:tcPr>
                <w:p w14:paraId="4EF00D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160</w:t>
                  </w:r>
                </w:p>
              </w:tc>
              <w:tc>
                <w:tcPr>
                  <w:tcW w:w="552" w:type="pct"/>
                  <w:tcBorders>
                    <w:tl2br w:val="nil"/>
                    <w:tr2bl w:val="nil"/>
                  </w:tcBorders>
                  <w:shd w:val="clear" w:color="auto" w:fill="auto"/>
                  <w:noWrap w:val="0"/>
                  <w:vAlign w:val="center"/>
                </w:tcPr>
                <w:p w14:paraId="5585EE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pPr>
                  <w:r>
                    <w:rPr>
                      <w:rFonts w:hint="eastAsia" w:cs="Times New Roman"/>
                      <w:caps w:val="0"/>
                      <w:smallCaps w:val="0"/>
                      <w:color w:val="auto"/>
                      <w:spacing w:val="11"/>
                      <w:kern w:val="21"/>
                      <w:position w:val="0"/>
                      <w:sz w:val="21"/>
                      <w:szCs w:val="21"/>
                      <w:u w:val="none" w:color="auto"/>
                      <w:shd w:val="clear" w:color="auto" w:fill="auto"/>
                      <w:lang w:val="en-US" w:eastAsia="zh-CN"/>
                    </w:rPr>
                    <w:t>70.63</w:t>
                  </w:r>
                </w:p>
              </w:tc>
              <w:tc>
                <w:tcPr>
                  <w:tcW w:w="539" w:type="pct"/>
                  <w:tcBorders>
                    <w:tl2br w:val="nil"/>
                    <w:tr2bl w:val="nil"/>
                  </w:tcBorders>
                  <w:noWrap w:val="0"/>
                  <w:vAlign w:val="center"/>
                </w:tcPr>
                <w:p w14:paraId="23C442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达标</w:t>
                  </w:r>
                </w:p>
              </w:tc>
            </w:tr>
          </w:tbl>
          <w:p w14:paraId="013D3360">
            <w:pPr>
              <w:keepNext w:val="0"/>
              <w:keepLines w:val="0"/>
              <w:pageBreakBefore w:val="0"/>
              <w:widowControl w:val="0"/>
              <w:kinsoku/>
              <w:wordWrap/>
              <w:overflowPunct/>
              <w:topLinePunct w:val="0"/>
              <w:autoSpaceDE w:val="0"/>
              <w:autoSpaceDN w:val="0"/>
              <w:bidi w:val="0"/>
              <w:adjustRightInd w:val="0"/>
              <w:snapToGrid w:val="0"/>
              <w:spacing w:before="167" w:beforeLines="50" w:line="360" w:lineRule="auto"/>
              <w:ind w:firstLine="524" w:firstLineChars="200"/>
              <w:textAlignment w:val="baseline"/>
              <w:rPr>
                <w:rFonts w:hint="default" w:ascii="Times New Roman" w:hAnsi="Times New Roman" w:eastAsia="宋体" w:cs="Times New Roman"/>
                <w:color w:val="auto"/>
                <w:spacing w:val="11"/>
                <w:position w:val="0"/>
                <w:sz w:val="24"/>
                <w:szCs w:val="24"/>
                <w:highlight w:val="none"/>
                <w:u w:val="none" w:color="auto"/>
                <w:lang w:val="en-US"/>
              </w:rPr>
            </w:pPr>
            <w:r>
              <w:rPr>
                <w:rFonts w:hint="default" w:ascii="Times New Roman" w:hAnsi="Times New Roman" w:eastAsia="宋体" w:cs="Times New Roman"/>
                <w:color w:val="auto"/>
                <w:spacing w:val="11"/>
                <w:position w:val="0"/>
                <w:sz w:val="24"/>
                <w:szCs w:val="24"/>
                <w:highlight w:val="none"/>
                <w:u w:val="none" w:color="auto"/>
                <w:lang w:val="en-US"/>
              </w:rPr>
              <w:t>上表可知，20</w:t>
            </w:r>
            <w:r>
              <w:rPr>
                <w:rFonts w:hint="eastAsia" w:ascii="Times New Roman" w:hAnsi="Times New Roman" w:eastAsia="宋体" w:cs="Times New Roman"/>
                <w:color w:val="auto"/>
                <w:spacing w:val="11"/>
                <w:position w:val="0"/>
                <w:sz w:val="24"/>
                <w:szCs w:val="24"/>
                <w:highlight w:val="none"/>
                <w:u w:val="none" w:color="auto"/>
                <w:lang w:val="en-US" w:eastAsia="zh-CN"/>
              </w:rPr>
              <w:t>2</w:t>
            </w:r>
            <w:r>
              <w:rPr>
                <w:rFonts w:hint="eastAsia" w:cs="Times New Roman"/>
                <w:color w:val="auto"/>
                <w:spacing w:val="11"/>
                <w:position w:val="0"/>
                <w:sz w:val="24"/>
                <w:szCs w:val="24"/>
                <w:highlight w:val="none"/>
                <w:u w:val="none" w:color="auto"/>
                <w:lang w:val="en-US" w:eastAsia="zh-CN"/>
              </w:rPr>
              <w:t>3</w:t>
            </w:r>
            <w:r>
              <w:rPr>
                <w:rFonts w:hint="default" w:ascii="Times New Roman" w:hAnsi="Times New Roman" w:eastAsia="宋体" w:cs="Times New Roman"/>
                <w:color w:val="auto"/>
                <w:spacing w:val="11"/>
                <w:position w:val="0"/>
                <w:sz w:val="24"/>
                <w:szCs w:val="24"/>
                <w:highlight w:val="none"/>
                <w:u w:val="none" w:color="auto"/>
                <w:lang w:val="en-US"/>
              </w:rPr>
              <w:t>年</w:t>
            </w:r>
            <w:r>
              <w:rPr>
                <w:rFonts w:hint="eastAsia" w:ascii="Times New Roman" w:hAnsi="Times New Roman" w:eastAsia="宋体" w:cs="Times New Roman"/>
                <w:color w:val="auto"/>
                <w:spacing w:val="11"/>
                <w:position w:val="0"/>
                <w:sz w:val="24"/>
                <w:szCs w:val="24"/>
                <w:highlight w:val="none"/>
                <w:u w:val="none" w:color="auto"/>
                <w:lang w:val="en-US" w:eastAsia="zh-CN"/>
              </w:rPr>
              <w:t>新田</w:t>
            </w:r>
            <w:r>
              <w:rPr>
                <w:rFonts w:hint="default" w:ascii="Times New Roman" w:hAnsi="Times New Roman" w:eastAsia="宋体" w:cs="Times New Roman"/>
                <w:color w:val="auto"/>
                <w:spacing w:val="11"/>
                <w:position w:val="0"/>
                <w:sz w:val="24"/>
                <w:szCs w:val="24"/>
                <w:highlight w:val="none"/>
                <w:u w:val="none" w:color="auto"/>
                <w:lang w:val="en-US" w:eastAsia="zh-CN"/>
              </w:rPr>
              <w:t>县</w:t>
            </w:r>
            <w:r>
              <w:rPr>
                <w:rFonts w:hint="default" w:ascii="Times New Roman" w:hAnsi="Times New Roman" w:eastAsia="宋体" w:cs="Times New Roman"/>
                <w:color w:val="auto"/>
                <w:spacing w:val="11"/>
                <w:position w:val="0"/>
                <w:sz w:val="24"/>
                <w:szCs w:val="24"/>
                <w:highlight w:val="none"/>
                <w:u w:val="none" w:color="auto"/>
                <w:lang w:val="en-US"/>
              </w:rPr>
              <w:t>SO</w:t>
            </w:r>
            <w:r>
              <w:rPr>
                <w:rFonts w:hint="default" w:ascii="Times New Roman" w:hAnsi="Times New Roman" w:eastAsia="宋体" w:cs="Times New Roman"/>
                <w:color w:val="auto"/>
                <w:spacing w:val="11"/>
                <w:position w:val="0"/>
                <w:sz w:val="24"/>
                <w:szCs w:val="24"/>
                <w:highlight w:val="none"/>
                <w:u w:val="none" w:color="auto"/>
                <w:vertAlign w:val="subscript"/>
                <w:lang w:val="en-US"/>
              </w:rPr>
              <w:t>2</w:t>
            </w:r>
            <w:r>
              <w:rPr>
                <w:rFonts w:hint="default" w:ascii="Times New Roman" w:hAnsi="Times New Roman" w:eastAsia="宋体" w:cs="Times New Roman"/>
                <w:color w:val="auto"/>
                <w:spacing w:val="11"/>
                <w:position w:val="0"/>
                <w:sz w:val="24"/>
                <w:szCs w:val="24"/>
                <w:highlight w:val="none"/>
                <w:u w:val="none" w:color="auto"/>
                <w:lang w:val="en-US"/>
              </w:rPr>
              <w:t>、NO</w:t>
            </w:r>
            <w:r>
              <w:rPr>
                <w:rFonts w:hint="default" w:ascii="Times New Roman" w:hAnsi="Times New Roman" w:eastAsia="宋体" w:cs="Times New Roman"/>
                <w:color w:val="auto"/>
                <w:spacing w:val="11"/>
                <w:position w:val="0"/>
                <w:sz w:val="24"/>
                <w:szCs w:val="24"/>
                <w:highlight w:val="none"/>
                <w:u w:val="none" w:color="auto"/>
                <w:vertAlign w:val="subscript"/>
                <w:lang w:val="en-US"/>
              </w:rPr>
              <w:t>2</w:t>
            </w:r>
            <w:r>
              <w:rPr>
                <w:rFonts w:hint="default" w:ascii="Times New Roman" w:hAnsi="Times New Roman" w:eastAsia="宋体" w:cs="Times New Roman"/>
                <w:color w:val="auto"/>
                <w:spacing w:val="11"/>
                <w:position w:val="0"/>
                <w:sz w:val="24"/>
                <w:szCs w:val="24"/>
                <w:highlight w:val="none"/>
                <w:u w:val="none" w:color="auto"/>
                <w:lang w:val="en-US"/>
              </w:rPr>
              <w:t>、CO、O</w:t>
            </w:r>
            <w:r>
              <w:rPr>
                <w:rFonts w:hint="default" w:ascii="Times New Roman" w:hAnsi="Times New Roman" w:eastAsia="宋体" w:cs="Times New Roman"/>
                <w:color w:val="auto"/>
                <w:spacing w:val="11"/>
                <w:position w:val="0"/>
                <w:sz w:val="24"/>
                <w:szCs w:val="24"/>
                <w:highlight w:val="none"/>
                <w:u w:val="none" w:color="auto"/>
                <w:vertAlign w:val="subscript"/>
                <w:lang w:val="en-US"/>
              </w:rPr>
              <w:t>3</w:t>
            </w:r>
            <w:r>
              <w:rPr>
                <w:rFonts w:hint="default" w:ascii="Times New Roman" w:hAnsi="Times New Roman" w:eastAsia="宋体" w:cs="Times New Roman"/>
                <w:color w:val="auto"/>
                <w:spacing w:val="11"/>
                <w:position w:val="0"/>
                <w:sz w:val="24"/>
                <w:szCs w:val="24"/>
                <w:highlight w:val="none"/>
                <w:u w:val="none" w:color="auto"/>
                <w:lang w:val="en-US"/>
              </w:rPr>
              <w:t>、PM</w:t>
            </w:r>
            <w:r>
              <w:rPr>
                <w:rFonts w:hint="default" w:ascii="Times New Roman" w:hAnsi="Times New Roman" w:eastAsia="宋体" w:cs="Times New Roman"/>
                <w:color w:val="auto"/>
                <w:spacing w:val="11"/>
                <w:position w:val="0"/>
                <w:sz w:val="24"/>
                <w:szCs w:val="24"/>
                <w:highlight w:val="none"/>
                <w:u w:val="none" w:color="auto"/>
                <w:vertAlign w:val="subscript"/>
                <w:lang w:val="en-US"/>
              </w:rPr>
              <w:t>2.5</w:t>
            </w:r>
            <w:r>
              <w:rPr>
                <w:rFonts w:hint="default" w:ascii="Times New Roman" w:hAnsi="Times New Roman" w:eastAsia="宋体" w:cs="Times New Roman"/>
                <w:color w:val="auto"/>
                <w:spacing w:val="11"/>
                <w:position w:val="0"/>
                <w:sz w:val="24"/>
                <w:szCs w:val="24"/>
                <w:highlight w:val="none"/>
                <w:u w:val="none" w:color="auto"/>
                <w:lang w:val="en-US" w:eastAsia="zh-CN"/>
              </w:rPr>
              <w:t>、</w:t>
            </w:r>
            <w:r>
              <w:rPr>
                <w:rFonts w:hint="default" w:ascii="Times New Roman" w:hAnsi="Times New Roman" w:eastAsia="宋体" w:cs="Times New Roman"/>
                <w:color w:val="auto"/>
                <w:spacing w:val="11"/>
                <w:position w:val="0"/>
                <w:sz w:val="24"/>
                <w:szCs w:val="24"/>
                <w:highlight w:val="none"/>
                <w:u w:val="none" w:color="auto"/>
                <w:lang w:val="en-US"/>
              </w:rPr>
              <w:t>PM</w:t>
            </w:r>
            <w:r>
              <w:rPr>
                <w:rFonts w:hint="default" w:ascii="Times New Roman" w:hAnsi="Times New Roman" w:eastAsia="宋体" w:cs="Times New Roman"/>
                <w:color w:val="auto"/>
                <w:spacing w:val="11"/>
                <w:position w:val="0"/>
                <w:sz w:val="24"/>
                <w:szCs w:val="24"/>
                <w:highlight w:val="none"/>
                <w:u w:val="none" w:color="auto"/>
                <w:vertAlign w:val="subscript"/>
                <w:lang w:val="en-US"/>
              </w:rPr>
              <w:t>10</w:t>
            </w:r>
            <w:r>
              <w:rPr>
                <w:rFonts w:hint="default" w:ascii="Times New Roman" w:hAnsi="Times New Roman" w:eastAsia="宋体" w:cs="Times New Roman"/>
                <w:color w:val="auto"/>
                <w:spacing w:val="11"/>
                <w:position w:val="0"/>
                <w:sz w:val="24"/>
                <w:szCs w:val="24"/>
                <w:highlight w:val="none"/>
                <w:u w:val="none" w:color="auto"/>
                <w:lang w:val="en-US"/>
              </w:rPr>
              <w:t>质量浓度满足《环境空气质量标准》（GB3095-2012）及其</w:t>
            </w:r>
            <w:r>
              <w:rPr>
                <w:rFonts w:hint="default" w:ascii="Times New Roman" w:hAnsi="Times New Roman" w:eastAsia="宋体" w:cs="Times New Roman"/>
                <w:color w:val="auto"/>
                <w:spacing w:val="11"/>
                <w:position w:val="0"/>
                <w:sz w:val="24"/>
                <w:szCs w:val="24"/>
                <w:highlight w:val="none"/>
                <w:u w:val="none" w:color="auto"/>
                <w:lang w:val="en-US" w:eastAsia="zh-CN"/>
              </w:rPr>
              <w:t>2018年</w:t>
            </w:r>
            <w:r>
              <w:rPr>
                <w:rFonts w:hint="default" w:ascii="Times New Roman" w:hAnsi="Times New Roman" w:eastAsia="宋体" w:cs="Times New Roman"/>
                <w:color w:val="auto"/>
                <w:spacing w:val="11"/>
                <w:position w:val="0"/>
                <w:sz w:val="24"/>
                <w:szCs w:val="24"/>
                <w:highlight w:val="none"/>
                <w:u w:val="none" w:color="auto"/>
                <w:lang w:val="en-US"/>
              </w:rPr>
              <w:t>修改单二级标准要求，故环境空气为达标区。</w:t>
            </w:r>
          </w:p>
          <w:p w14:paraId="5FDF999C">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outlineLvl w:val="2"/>
              <w:rPr>
                <w:rFonts w:hint="default" w:ascii="Times New Roman" w:hAnsi="Times New Roman" w:cs="Times New Roman" w:eastAsiaTheme="minorEastAsia"/>
                <w:b w:val="0"/>
                <w:bCs w:val="0"/>
                <w:color w:val="auto"/>
                <w:spacing w:val="11"/>
                <w:kern w:val="2"/>
                <w:position w:val="0"/>
                <w:sz w:val="24"/>
                <w:szCs w:val="24"/>
                <w:highlight w:val="none"/>
                <w:u w:val="none" w:color="auto"/>
                <w:lang w:val="en-US" w:eastAsia="zh-CN" w:bidi="ar-SA"/>
              </w:rPr>
            </w:pPr>
            <w:bookmarkStart w:id="4" w:name="_Toc411767823"/>
            <w:bookmarkStart w:id="5" w:name="_Toc411767825"/>
            <w:r>
              <w:rPr>
                <w:rFonts w:hint="eastAsia" w:cs="Times New Roman" w:eastAsiaTheme="minorEastAsia"/>
                <w:b w:val="0"/>
                <w:bCs w:val="0"/>
                <w:color w:val="auto"/>
                <w:spacing w:val="11"/>
                <w:kern w:val="2"/>
                <w:position w:val="0"/>
                <w:sz w:val="24"/>
                <w:szCs w:val="24"/>
                <w:highlight w:val="none"/>
                <w:u w:val="none" w:color="auto"/>
                <w:lang w:val="en-US" w:eastAsia="zh-CN" w:bidi="ar-SA"/>
              </w:rPr>
              <w:t>（2）特征因子监测数据</w:t>
            </w:r>
          </w:p>
          <w:p w14:paraId="43939771">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outlineLvl w:val="2"/>
              <w:rPr>
                <w:rFonts w:hint="eastAsia" w:cs="Times New Roman" w:eastAsiaTheme="minorEastAsia"/>
                <w:b w:val="0"/>
                <w:bCs w:val="0"/>
                <w:color w:val="auto"/>
                <w:spacing w:val="11"/>
                <w:kern w:val="2"/>
                <w:position w:val="0"/>
                <w:sz w:val="24"/>
                <w:szCs w:val="24"/>
                <w:highlight w:val="none"/>
                <w:u w:val="none" w:color="auto"/>
                <w:lang w:val="en-US" w:eastAsia="zh-CN" w:bidi="ar-SA"/>
              </w:rPr>
            </w:pPr>
            <w:r>
              <w:rPr>
                <w:rFonts w:hint="default" w:ascii="Times New Roman" w:hAnsi="Times New Roman" w:cs="Times New Roman" w:eastAsiaTheme="minorEastAsia"/>
                <w:b w:val="0"/>
                <w:bCs w:val="0"/>
                <w:color w:val="auto"/>
                <w:spacing w:val="11"/>
                <w:kern w:val="2"/>
                <w:position w:val="0"/>
                <w:sz w:val="24"/>
                <w:szCs w:val="24"/>
                <w:highlight w:val="none"/>
                <w:u w:val="none" w:color="auto"/>
                <w:lang w:val="en-US" w:eastAsia="zh-CN" w:bidi="ar-SA"/>
              </w:rPr>
              <w:t>本项目大气特征污染物为</w:t>
            </w:r>
            <w:r>
              <w:rPr>
                <w:rFonts w:hint="eastAsia" w:cs="Times New Roman" w:eastAsiaTheme="minorEastAsia"/>
                <w:b w:val="0"/>
                <w:bCs w:val="0"/>
                <w:color w:val="auto"/>
                <w:spacing w:val="11"/>
                <w:kern w:val="2"/>
                <w:position w:val="0"/>
                <w:sz w:val="24"/>
                <w:szCs w:val="24"/>
                <w:highlight w:val="none"/>
                <w:u w:val="none" w:color="auto"/>
                <w:lang w:val="en-US" w:eastAsia="zh-CN" w:bidi="ar-SA"/>
              </w:rPr>
              <w:t>恶臭气体</w:t>
            </w:r>
            <w:r>
              <w:rPr>
                <w:rFonts w:hint="default" w:ascii="Times New Roman" w:hAnsi="Times New Roman" w:cs="Times New Roman" w:eastAsiaTheme="minorEastAsia"/>
                <w:b w:val="0"/>
                <w:bCs w:val="0"/>
                <w:color w:val="auto"/>
                <w:spacing w:val="11"/>
                <w:kern w:val="2"/>
                <w:position w:val="0"/>
                <w:sz w:val="24"/>
                <w:szCs w:val="24"/>
                <w:highlight w:val="none"/>
                <w:u w:val="none" w:color="auto"/>
                <w:lang w:val="en-US" w:eastAsia="zh-CN" w:bidi="ar-SA"/>
              </w:rPr>
              <w:t>，为更好的了解项目所在地区域环境质量，本报告</w:t>
            </w:r>
            <w:r>
              <w:rPr>
                <w:rFonts w:hint="eastAsia" w:cs="Times New Roman" w:eastAsiaTheme="minorEastAsia"/>
                <w:b w:val="0"/>
                <w:bCs w:val="0"/>
                <w:color w:val="auto"/>
                <w:spacing w:val="11"/>
                <w:kern w:val="2"/>
                <w:position w:val="0"/>
                <w:sz w:val="24"/>
                <w:szCs w:val="24"/>
                <w:highlight w:val="none"/>
                <w:u w:val="none" w:color="auto"/>
                <w:lang w:val="en-US" w:eastAsia="zh-CN" w:bidi="ar-SA"/>
              </w:rPr>
              <w:t>引用《宝瑞嘉（新田）丝绸有限公司检测报告》中对氨、臭气浓度、硫化氢的现状监测数据，监测点位于宝瑞嘉（新田）丝绸有限公司厂界下风向（东经112.243776，北纬25.929479），距本项目4.24km，可有效反应本项目周边环境质量现状，</w:t>
            </w:r>
            <w:r>
              <w:rPr>
                <w:rFonts w:hint="eastAsia" w:cs="Times New Roman" w:eastAsiaTheme="minorEastAsia"/>
                <w:b w:val="0"/>
                <w:bCs w:val="0"/>
                <w:color w:val="auto"/>
                <w:spacing w:val="11"/>
                <w:kern w:val="2"/>
                <w:position w:val="0"/>
                <w:sz w:val="24"/>
                <w:szCs w:val="24"/>
                <w:highlight w:val="none"/>
                <w:u w:val="single" w:color="auto"/>
                <w:lang w:val="en-US" w:eastAsia="zh-CN" w:bidi="ar-SA"/>
              </w:rPr>
              <w:t>根据《建设项目环境影响报告表编制技术指南（污染影响类）》（试行）要求，排放国家、地方环境空气质量标准中有标准限值要求的特征污染物时，引用建设项目周边5千米范围内近3年的现有监测数据，</w:t>
            </w:r>
            <w:r>
              <w:rPr>
                <w:rFonts w:hint="eastAsia" w:cs="Times New Roman" w:eastAsiaTheme="minorEastAsia"/>
                <w:b w:val="0"/>
                <w:bCs w:val="0"/>
                <w:color w:val="auto"/>
                <w:spacing w:val="11"/>
                <w:kern w:val="2"/>
                <w:position w:val="0"/>
                <w:sz w:val="24"/>
                <w:szCs w:val="24"/>
                <w:highlight w:val="none"/>
                <w:u w:val="none" w:color="auto"/>
                <w:lang w:val="en-US" w:eastAsia="zh-CN" w:bidi="ar-SA"/>
              </w:rPr>
              <w:t>因此本项目引用的监测数据有效。监测结果详见下表。</w:t>
            </w:r>
          </w:p>
          <w:p w14:paraId="382ED259">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rPr>
            </w:pPr>
            <w:r>
              <w:rPr>
                <w:rFonts w:ascii="Times New Roman" w:hAnsi="Times New Roman" w:eastAsia="宋体" w:cs="Times New Roman"/>
                <w:b/>
                <w:bCs/>
                <w:caps w:val="0"/>
                <w:smallCaps w:val="0"/>
                <w:color w:val="auto"/>
                <w:spacing w:val="11"/>
                <w:kern w:val="21"/>
                <w:sz w:val="21"/>
                <w:szCs w:val="21"/>
                <w:highlight w:val="none"/>
                <w:u w:val="none"/>
                <w:shd w:val="clear" w:color="auto" w:fill="auto"/>
              </w:rPr>
              <w:t>表</w:t>
            </w:r>
            <w:r>
              <w:rPr>
                <w:rFonts w:hint="eastAsia" w:ascii="Times New Roman" w:hAnsi="Times New Roman" w:eastAsia="宋体" w:cs="Times New Roman"/>
                <w:b/>
                <w:bCs/>
                <w:caps w:val="0"/>
                <w:smallCaps w:val="0"/>
                <w:color w:val="auto"/>
                <w:spacing w:val="11"/>
                <w:kern w:val="21"/>
                <w:sz w:val="21"/>
                <w:szCs w:val="21"/>
                <w:highlight w:val="none"/>
                <w:u w:val="none"/>
                <w:shd w:val="clear" w:color="auto" w:fill="auto"/>
                <w:lang w:val="en-US" w:eastAsia="zh-CN"/>
              </w:rPr>
              <w:t>3-2</w:t>
            </w:r>
            <w:r>
              <w:rPr>
                <w:rFonts w:ascii="Times New Roman" w:hAnsi="Times New Roman" w:eastAsia="宋体" w:cs="Times New Roman"/>
                <w:b/>
                <w:bCs/>
                <w:caps w:val="0"/>
                <w:smallCaps w:val="0"/>
                <w:color w:val="auto"/>
                <w:spacing w:val="11"/>
                <w:kern w:val="21"/>
                <w:sz w:val="21"/>
                <w:szCs w:val="21"/>
                <w:highlight w:val="none"/>
                <w:u w:val="none"/>
                <w:shd w:val="clear" w:color="auto" w:fill="auto"/>
              </w:rPr>
              <w:t xml:space="preserve"> </w:t>
            </w:r>
            <w:r>
              <w:rPr>
                <w:rFonts w:hint="eastAsia" w:ascii="宋体" w:hAnsi="Times New Roman" w:eastAsia="宋体" w:cs="Times New Roman"/>
                <w:b/>
                <w:bCs/>
                <w:caps w:val="0"/>
                <w:smallCaps w:val="0"/>
                <w:color w:val="auto"/>
                <w:spacing w:val="11"/>
                <w:kern w:val="21"/>
                <w:sz w:val="21"/>
                <w:szCs w:val="21"/>
                <w:highlight w:val="none"/>
                <w:u w:val="none"/>
                <w:shd w:val="clear" w:color="auto" w:fill="auto"/>
                <w:lang w:val="en-US" w:eastAsia="zh-CN"/>
              </w:rPr>
              <w:t xml:space="preserve"> </w:t>
            </w:r>
            <w:r>
              <w:rPr>
                <w:rFonts w:hint="default" w:ascii="Times New Roman" w:hAnsi="Times New Roman" w:eastAsia="宋体" w:cs="Times New Roman"/>
                <w:b/>
                <w:bCs/>
                <w:caps w:val="0"/>
                <w:smallCaps w:val="0"/>
                <w:color w:val="auto"/>
                <w:spacing w:val="11"/>
                <w:kern w:val="21"/>
                <w:sz w:val="21"/>
                <w:szCs w:val="21"/>
                <w:highlight w:val="none"/>
                <w:u w:val="none"/>
                <w:shd w:val="clear" w:color="auto" w:fill="auto"/>
                <w:lang w:val="en-US" w:eastAsia="zh-CN"/>
              </w:rPr>
              <w:t>环境空气检测结果</w:t>
            </w:r>
            <w:r>
              <w:rPr>
                <w:rFonts w:hint="eastAsia" w:ascii="Times New Roman" w:hAnsi="Times New Roman" w:eastAsia="宋体" w:cs="Times New Roman"/>
                <w:b/>
                <w:bCs/>
                <w:caps w:val="0"/>
                <w:smallCaps w:val="0"/>
                <w:color w:val="auto"/>
                <w:spacing w:val="11"/>
                <w:kern w:val="21"/>
                <w:sz w:val="21"/>
                <w:szCs w:val="21"/>
                <w:highlight w:val="none"/>
                <w:u w:val="none"/>
                <w:shd w:val="clear" w:color="auto" w:fill="auto"/>
                <w:lang w:val="en-US" w:eastAsia="zh-CN"/>
              </w:rPr>
              <w:t>（氨、</w:t>
            </w:r>
            <w:r>
              <w:rPr>
                <w:rFonts w:hint="eastAsia" w:ascii="Times New Roman" w:hAnsi="Times New Roman" w:eastAsia="宋体" w:cs="Times New Roman"/>
                <w:b/>
                <w:bCs/>
                <w:caps w:val="0"/>
                <w:smallCaps w:val="0"/>
                <w:color w:val="auto"/>
                <w:spacing w:val="11"/>
                <w:kern w:val="21"/>
                <w:sz w:val="21"/>
                <w:szCs w:val="21"/>
                <w:u w:val="none"/>
                <w:shd w:val="clear" w:color="auto" w:fill="auto"/>
                <w:lang w:val="en-US" w:eastAsia="zh-CN"/>
              </w:rPr>
              <w:t>硫化氢、臭气浓度）</w:t>
            </w:r>
          </w:p>
          <w:tbl>
            <w:tblPr>
              <w:tblStyle w:val="24"/>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1193"/>
              <w:gridCol w:w="832"/>
              <w:gridCol w:w="832"/>
              <w:gridCol w:w="832"/>
              <w:gridCol w:w="833"/>
              <w:gridCol w:w="833"/>
              <w:gridCol w:w="833"/>
              <w:gridCol w:w="840"/>
              <w:gridCol w:w="839"/>
            </w:tblGrid>
            <w:tr w14:paraId="18E56F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restart"/>
                  <w:tcBorders>
                    <w:tl2br w:val="nil"/>
                    <w:tr2bl w:val="nil"/>
                  </w:tcBorders>
                  <w:noWrap w:val="0"/>
                  <w:vAlign w:val="center"/>
                </w:tcPr>
                <w:p w14:paraId="38AE1C69">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eastAsia="zh-CN"/>
                    </w:rPr>
                    <w:t>点位名称</w:t>
                  </w:r>
                </w:p>
              </w:tc>
              <w:tc>
                <w:tcPr>
                  <w:tcW w:w="683" w:type="pct"/>
                  <w:vMerge w:val="restart"/>
                  <w:tcBorders>
                    <w:tl2br w:val="nil"/>
                    <w:tr2bl w:val="nil"/>
                  </w:tcBorders>
                  <w:noWrap w:val="0"/>
                  <w:vAlign w:val="center"/>
                </w:tcPr>
                <w:p w14:paraId="2DE5A273">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eastAsia="zh-CN"/>
                    </w:rPr>
                    <w:t>检测项目</w:t>
                  </w:r>
                </w:p>
              </w:tc>
              <w:tc>
                <w:tcPr>
                  <w:tcW w:w="3385" w:type="pct"/>
                  <w:gridSpan w:val="7"/>
                  <w:tcBorders>
                    <w:tl2br w:val="nil"/>
                    <w:tr2bl w:val="nil"/>
                  </w:tcBorders>
                  <w:noWrap w:val="0"/>
                  <w:vAlign w:val="center"/>
                </w:tcPr>
                <w:p w14:paraId="33A8BDFA">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eastAsia="zh-CN"/>
                    </w:rPr>
                    <w:t>采样日期及检测结果（单位：mg/m3)</w:t>
                  </w:r>
                </w:p>
              </w:tc>
              <w:tc>
                <w:tcPr>
                  <w:tcW w:w="485" w:type="pct"/>
                  <w:vMerge w:val="restart"/>
                  <w:tcBorders>
                    <w:tl2br w:val="nil"/>
                    <w:tr2bl w:val="nil"/>
                  </w:tcBorders>
                  <w:noWrap w:val="0"/>
                  <w:vAlign w:val="center"/>
                </w:tcPr>
                <w:p w14:paraId="25126A33">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eastAsia="zh-CN"/>
                    </w:rPr>
                    <w:t>限值</w:t>
                  </w:r>
                </w:p>
              </w:tc>
            </w:tr>
            <w:tr w14:paraId="275579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tcBorders>
                    <w:tl2br w:val="nil"/>
                    <w:tr2bl w:val="nil"/>
                  </w:tcBorders>
                  <w:noWrap w:val="0"/>
                  <w:vAlign w:val="center"/>
                </w:tcPr>
                <w:p w14:paraId="18278957">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eastAsia="zh-CN"/>
                    </w:rPr>
                  </w:pPr>
                </w:p>
              </w:tc>
              <w:tc>
                <w:tcPr>
                  <w:tcW w:w="683" w:type="pct"/>
                  <w:vMerge w:val="continue"/>
                  <w:tcBorders>
                    <w:tl2br w:val="nil"/>
                    <w:tr2bl w:val="nil"/>
                  </w:tcBorders>
                  <w:noWrap w:val="0"/>
                  <w:vAlign w:val="center"/>
                </w:tcPr>
                <w:p w14:paraId="33845D9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eastAsia="zh-CN"/>
                    </w:rPr>
                  </w:pPr>
                </w:p>
              </w:tc>
              <w:tc>
                <w:tcPr>
                  <w:tcW w:w="483" w:type="pct"/>
                  <w:tcBorders>
                    <w:tl2br w:val="nil"/>
                    <w:tr2bl w:val="nil"/>
                  </w:tcBorders>
                  <w:noWrap w:val="0"/>
                  <w:vAlign w:val="center"/>
                </w:tcPr>
                <w:p w14:paraId="2AE5C136">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12.01</w:t>
                  </w:r>
                </w:p>
              </w:tc>
              <w:tc>
                <w:tcPr>
                  <w:tcW w:w="483" w:type="pct"/>
                  <w:tcBorders>
                    <w:tl2br w:val="nil"/>
                    <w:tr2bl w:val="nil"/>
                  </w:tcBorders>
                  <w:noWrap w:val="0"/>
                  <w:vAlign w:val="center"/>
                </w:tcPr>
                <w:p w14:paraId="69E87FA5">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12.02</w:t>
                  </w:r>
                </w:p>
              </w:tc>
              <w:tc>
                <w:tcPr>
                  <w:tcW w:w="483" w:type="pct"/>
                  <w:tcBorders>
                    <w:tl2br w:val="nil"/>
                    <w:tr2bl w:val="nil"/>
                  </w:tcBorders>
                  <w:noWrap w:val="0"/>
                  <w:vAlign w:val="center"/>
                </w:tcPr>
                <w:p w14:paraId="28C6DD9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12.03</w:t>
                  </w:r>
                </w:p>
              </w:tc>
              <w:tc>
                <w:tcPr>
                  <w:tcW w:w="483" w:type="pct"/>
                  <w:tcBorders>
                    <w:tl2br w:val="nil"/>
                    <w:tr2bl w:val="nil"/>
                  </w:tcBorders>
                  <w:noWrap w:val="0"/>
                  <w:vAlign w:val="center"/>
                </w:tcPr>
                <w:p w14:paraId="0E5DB5DE">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12.04</w:t>
                  </w:r>
                </w:p>
              </w:tc>
              <w:tc>
                <w:tcPr>
                  <w:tcW w:w="483" w:type="pct"/>
                  <w:tcBorders>
                    <w:tl2br w:val="nil"/>
                    <w:tr2bl w:val="nil"/>
                  </w:tcBorders>
                  <w:noWrap w:val="0"/>
                  <w:vAlign w:val="center"/>
                </w:tcPr>
                <w:p w14:paraId="3DD82C49">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12.05</w:t>
                  </w:r>
                </w:p>
              </w:tc>
              <w:tc>
                <w:tcPr>
                  <w:tcW w:w="483" w:type="pct"/>
                  <w:tcBorders>
                    <w:tl2br w:val="nil"/>
                    <w:tr2bl w:val="nil"/>
                  </w:tcBorders>
                  <w:noWrap w:val="0"/>
                  <w:vAlign w:val="center"/>
                </w:tcPr>
                <w:p w14:paraId="75022BD1">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12.06</w:t>
                  </w:r>
                </w:p>
              </w:tc>
              <w:tc>
                <w:tcPr>
                  <w:tcW w:w="487" w:type="pct"/>
                  <w:tcBorders>
                    <w:tl2br w:val="nil"/>
                    <w:tr2bl w:val="nil"/>
                  </w:tcBorders>
                  <w:noWrap w:val="0"/>
                  <w:vAlign w:val="center"/>
                </w:tcPr>
                <w:p w14:paraId="52DC068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12.07</w:t>
                  </w:r>
                </w:p>
              </w:tc>
              <w:tc>
                <w:tcPr>
                  <w:tcW w:w="485" w:type="pct"/>
                  <w:vMerge w:val="continue"/>
                  <w:tcBorders>
                    <w:tl2br w:val="nil"/>
                    <w:tr2bl w:val="nil"/>
                  </w:tcBorders>
                  <w:noWrap w:val="0"/>
                  <w:vAlign w:val="center"/>
                </w:tcPr>
                <w:p w14:paraId="63405DE6">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p>
              </w:tc>
            </w:tr>
            <w:tr w14:paraId="3ADEDC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restart"/>
                  <w:tcBorders>
                    <w:tl2br w:val="nil"/>
                    <w:tr2bl w:val="nil"/>
                  </w:tcBorders>
                  <w:noWrap w:val="0"/>
                  <w:vAlign w:val="center"/>
                </w:tcPr>
                <w:p w14:paraId="042271C9">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厂界下风向（距本项目</w:t>
                  </w:r>
                  <w:r>
                    <w:rPr>
                      <w:rFonts w:hint="eastAsia" w:cs="Times New Roman"/>
                      <w:caps w:val="0"/>
                      <w:smallCaps w:val="0"/>
                      <w:color w:val="auto"/>
                      <w:spacing w:val="11"/>
                      <w:kern w:val="21"/>
                      <w:sz w:val="21"/>
                      <w:szCs w:val="21"/>
                      <w:u w:val="none"/>
                      <w:shd w:val="clear" w:color="auto" w:fill="auto"/>
                      <w:lang w:val="en-US" w:eastAsia="zh-CN"/>
                    </w:rPr>
                    <w:t>4.24</w:t>
                  </w: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km）</w:t>
                  </w:r>
                </w:p>
              </w:tc>
              <w:tc>
                <w:tcPr>
                  <w:tcW w:w="683" w:type="pct"/>
                  <w:tcBorders>
                    <w:tl2br w:val="nil"/>
                    <w:tr2bl w:val="nil"/>
                  </w:tcBorders>
                  <w:noWrap w:val="0"/>
                  <w:vAlign w:val="center"/>
                </w:tcPr>
                <w:p w14:paraId="29A1E0BA">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氨</w:t>
                  </w:r>
                </w:p>
              </w:tc>
              <w:tc>
                <w:tcPr>
                  <w:tcW w:w="483" w:type="pct"/>
                  <w:tcBorders>
                    <w:tl2br w:val="nil"/>
                    <w:tr2bl w:val="nil"/>
                  </w:tcBorders>
                  <w:noWrap w:val="0"/>
                  <w:vAlign w:val="center"/>
                </w:tcPr>
                <w:p w14:paraId="0709A42D">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14:paraId="528DC415">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14:paraId="66DDB4AE">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14:paraId="5CEC693C">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14:paraId="28387B9E">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14:paraId="755E27CC">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7" w:type="pct"/>
                  <w:tcBorders>
                    <w:tl2br w:val="nil"/>
                    <w:tr2bl w:val="nil"/>
                  </w:tcBorders>
                  <w:noWrap w:val="0"/>
                  <w:vAlign w:val="center"/>
                </w:tcPr>
                <w:p w14:paraId="63190DC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5" w:type="pct"/>
                  <w:tcBorders>
                    <w:tl2br w:val="nil"/>
                    <w:tr2bl w:val="nil"/>
                  </w:tcBorders>
                  <w:noWrap w:val="0"/>
                  <w:vAlign w:val="center"/>
                </w:tcPr>
                <w:p w14:paraId="26D7A50F">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0.2</w:t>
                  </w:r>
                </w:p>
              </w:tc>
            </w:tr>
            <w:tr w14:paraId="0546B3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tcBorders>
                    <w:tl2br w:val="nil"/>
                    <w:tr2bl w:val="nil"/>
                  </w:tcBorders>
                  <w:noWrap w:val="0"/>
                  <w:vAlign w:val="center"/>
                </w:tcPr>
                <w:p w14:paraId="51602CDD">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p>
              </w:tc>
              <w:tc>
                <w:tcPr>
                  <w:tcW w:w="683" w:type="pct"/>
                  <w:tcBorders>
                    <w:tl2br w:val="nil"/>
                    <w:tr2bl w:val="nil"/>
                  </w:tcBorders>
                  <w:noWrap w:val="0"/>
                  <w:vAlign w:val="center"/>
                </w:tcPr>
                <w:p w14:paraId="6176321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eastAsia="zh-CN"/>
                    </w:rPr>
                    <w:t>硫化氢</w:t>
                  </w:r>
                </w:p>
              </w:tc>
              <w:tc>
                <w:tcPr>
                  <w:tcW w:w="483" w:type="pct"/>
                  <w:tcBorders>
                    <w:tl2br w:val="nil"/>
                    <w:tr2bl w:val="nil"/>
                  </w:tcBorders>
                  <w:noWrap w:val="0"/>
                  <w:vAlign w:val="center"/>
                </w:tcPr>
                <w:p w14:paraId="17AFD3A0">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14:paraId="159406D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14:paraId="37F0BF9C">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14:paraId="73E4572D">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14:paraId="361ACF7B">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14:paraId="45469043">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7" w:type="pct"/>
                  <w:tcBorders>
                    <w:tl2br w:val="nil"/>
                    <w:tr2bl w:val="nil"/>
                  </w:tcBorders>
                  <w:noWrap w:val="0"/>
                  <w:vAlign w:val="center"/>
                </w:tcPr>
                <w:p w14:paraId="512F1AD2">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5" w:type="pct"/>
                  <w:tcBorders>
                    <w:tl2br w:val="nil"/>
                    <w:tr2bl w:val="nil"/>
                  </w:tcBorders>
                  <w:noWrap w:val="0"/>
                  <w:vAlign w:val="center"/>
                </w:tcPr>
                <w:p w14:paraId="3A1C2418">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0.01</w:t>
                  </w:r>
                </w:p>
              </w:tc>
            </w:tr>
            <w:tr w14:paraId="3B5B4D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tcBorders>
                    <w:tl2br w:val="nil"/>
                    <w:tr2bl w:val="nil"/>
                  </w:tcBorders>
                  <w:noWrap w:val="0"/>
                  <w:vAlign w:val="center"/>
                </w:tcPr>
                <w:p w14:paraId="0D81FA36">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p>
              </w:tc>
              <w:tc>
                <w:tcPr>
                  <w:tcW w:w="683" w:type="pct"/>
                  <w:tcBorders>
                    <w:tl2br w:val="nil"/>
                    <w:tr2bl w:val="nil"/>
                  </w:tcBorders>
                  <w:noWrap w:val="0"/>
                  <w:vAlign w:val="center"/>
                </w:tcPr>
                <w:p w14:paraId="75AA1BA4">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臭气浓度</w:t>
                  </w:r>
                </w:p>
              </w:tc>
              <w:tc>
                <w:tcPr>
                  <w:tcW w:w="483" w:type="pct"/>
                  <w:tcBorders>
                    <w:tl2br w:val="nil"/>
                    <w:tr2bl w:val="nil"/>
                  </w:tcBorders>
                  <w:noWrap w:val="0"/>
                  <w:vAlign w:val="center"/>
                </w:tcPr>
                <w:p w14:paraId="51DB4D84">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&lt;10</w:t>
                  </w:r>
                </w:p>
              </w:tc>
              <w:tc>
                <w:tcPr>
                  <w:tcW w:w="483" w:type="pct"/>
                  <w:tcBorders>
                    <w:tl2br w:val="nil"/>
                    <w:tr2bl w:val="nil"/>
                  </w:tcBorders>
                  <w:noWrap w:val="0"/>
                  <w:vAlign w:val="center"/>
                </w:tcPr>
                <w:p w14:paraId="51237D08">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&lt;10</w:t>
                  </w:r>
                </w:p>
              </w:tc>
              <w:tc>
                <w:tcPr>
                  <w:tcW w:w="483" w:type="pct"/>
                  <w:tcBorders>
                    <w:tl2br w:val="nil"/>
                    <w:tr2bl w:val="nil"/>
                  </w:tcBorders>
                  <w:noWrap w:val="0"/>
                  <w:vAlign w:val="center"/>
                </w:tcPr>
                <w:p w14:paraId="0F35D2D9">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&lt;10</w:t>
                  </w:r>
                </w:p>
              </w:tc>
              <w:tc>
                <w:tcPr>
                  <w:tcW w:w="483" w:type="pct"/>
                  <w:tcBorders>
                    <w:tl2br w:val="nil"/>
                    <w:tr2bl w:val="nil"/>
                  </w:tcBorders>
                  <w:noWrap w:val="0"/>
                  <w:vAlign w:val="center"/>
                </w:tcPr>
                <w:p w14:paraId="52C9F91E">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&lt;10</w:t>
                  </w:r>
                </w:p>
              </w:tc>
              <w:tc>
                <w:tcPr>
                  <w:tcW w:w="483" w:type="pct"/>
                  <w:tcBorders>
                    <w:tl2br w:val="nil"/>
                    <w:tr2bl w:val="nil"/>
                  </w:tcBorders>
                  <w:noWrap w:val="0"/>
                  <w:vAlign w:val="center"/>
                </w:tcPr>
                <w:p w14:paraId="2907530E">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&lt;10</w:t>
                  </w:r>
                </w:p>
              </w:tc>
              <w:tc>
                <w:tcPr>
                  <w:tcW w:w="483" w:type="pct"/>
                  <w:tcBorders>
                    <w:tl2br w:val="nil"/>
                    <w:tr2bl w:val="nil"/>
                  </w:tcBorders>
                  <w:noWrap w:val="0"/>
                  <w:vAlign w:val="center"/>
                </w:tcPr>
                <w:p w14:paraId="42484875">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&lt;10</w:t>
                  </w:r>
                </w:p>
              </w:tc>
              <w:tc>
                <w:tcPr>
                  <w:tcW w:w="487" w:type="pct"/>
                  <w:tcBorders>
                    <w:tl2br w:val="nil"/>
                    <w:tr2bl w:val="nil"/>
                  </w:tcBorders>
                  <w:noWrap w:val="0"/>
                  <w:vAlign w:val="center"/>
                </w:tcPr>
                <w:p w14:paraId="361C1D88">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&lt;10</w:t>
                  </w:r>
                </w:p>
              </w:tc>
              <w:tc>
                <w:tcPr>
                  <w:tcW w:w="485" w:type="pct"/>
                  <w:tcBorders>
                    <w:tl2br w:val="nil"/>
                    <w:tr2bl w:val="nil"/>
                  </w:tcBorders>
                  <w:noWrap w:val="0"/>
                  <w:vAlign w:val="center"/>
                </w:tcPr>
                <w:p w14:paraId="7314C45B">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w:t>
                  </w:r>
                </w:p>
              </w:tc>
            </w:tr>
            <w:tr w14:paraId="15DC86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tcBorders>
                    <w:tl2br w:val="nil"/>
                    <w:tr2bl w:val="nil"/>
                  </w:tcBorders>
                  <w:noWrap w:val="0"/>
                  <w:vAlign w:val="center"/>
                </w:tcPr>
                <w:p w14:paraId="027F90CA">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highlight w:val="none"/>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highlight w:val="none"/>
                      <w:u w:val="none"/>
                      <w:shd w:val="clear" w:color="auto" w:fill="auto"/>
                      <w:lang w:val="en-US" w:eastAsia="zh-CN"/>
                    </w:rPr>
                    <w:t>备注</w:t>
                  </w:r>
                </w:p>
              </w:tc>
              <w:tc>
                <w:tcPr>
                  <w:tcW w:w="4554" w:type="pct"/>
                  <w:gridSpan w:val="9"/>
                  <w:tcBorders>
                    <w:tl2br w:val="nil"/>
                    <w:tr2bl w:val="nil"/>
                  </w:tcBorders>
                  <w:noWrap w:val="0"/>
                  <w:vAlign w:val="center"/>
                </w:tcPr>
                <w:p w14:paraId="32738993">
                  <w:pPr>
                    <w:adjustRightInd w:val="0"/>
                    <w:snapToGrid w:val="0"/>
                    <w:spacing w:line="240" w:lineRule="auto"/>
                    <w:ind w:firstLine="0" w:firstLineChars="0"/>
                    <w:jc w:val="left"/>
                    <w:rPr>
                      <w:rFonts w:hint="default" w:ascii="Times New Roman" w:hAnsi="Times New Roman" w:eastAsia="宋体" w:cs="Times New Roman"/>
                      <w:caps w:val="0"/>
                      <w:smallCaps w:val="0"/>
                      <w:color w:val="auto"/>
                      <w:spacing w:val="11"/>
                      <w:kern w:val="21"/>
                      <w:sz w:val="21"/>
                      <w:szCs w:val="21"/>
                      <w:highlight w:val="none"/>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highlight w:val="none"/>
                      <w:u w:val="none"/>
                      <w:shd w:val="clear" w:color="auto" w:fill="auto"/>
                      <w:lang w:val="en-US" w:eastAsia="zh-CN"/>
                    </w:rPr>
                    <w:t>执行《环境影响评价技术导则 大气环境》（HJ2.2-2018）中“附录D表D.1其他污染物空气质量浓度参考限值”。</w:t>
                  </w:r>
                </w:p>
              </w:tc>
            </w:tr>
          </w:tbl>
          <w:p w14:paraId="04B4344E">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firstLine="524" w:firstLineChars="200"/>
              <w:jc w:val="both"/>
              <w:textAlignment w:val="auto"/>
              <w:outlineLvl w:val="2"/>
              <w:rPr>
                <w:rFonts w:hint="default" w:ascii="Times New Roman" w:hAnsi="Times New Roman" w:cs="Times New Roman" w:eastAsiaTheme="minorEastAsia"/>
                <w:b w:val="0"/>
                <w:bCs w:val="0"/>
                <w:color w:val="auto"/>
                <w:spacing w:val="11"/>
                <w:kern w:val="2"/>
                <w:position w:val="0"/>
                <w:sz w:val="24"/>
                <w:szCs w:val="22"/>
                <w:highlight w:val="none"/>
                <w:u w:val="none" w:color="auto"/>
                <w:lang w:val="en-US" w:eastAsia="zh-CN" w:bidi="ar-SA"/>
              </w:rPr>
            </w:pPr>
            <w:r>
              <w:rPr>
                <w:rFonts w:hint="eastAsia" w:ascii="Times New Roman" w:hAnsi="Times New Roman" w:cs="Times New Roman" w:eastAsiaTheme="minorEastAsia"/>
                <w:b w:val="0"/>
                <w:bCs w:val="0"/>
                <w:color w:val="auto"/>
                <w:spacing w:val="11"/>
                <w:kern w:val="2"/>
                <w:position w:val="0"/>
                <w:sz w:val="24"/>
                <w:szCs w:val="22"/>
                <w:highlight w:val="none"/>
                <w:u w:val="none" w:color="auto"/>
                <w:lang w:val="en-US" w:eastAsia="zh-CN" w:bidi="ar-SA"/>
              </w:rPr>
              <w:t>通过统计结果可见，监测期间，氨、硫化氢、臭气浓度浓度满足《环境影响评价技术导则 大气环境》（HJ2.2-2018）中附录D表D.1其他污染物空气质量浓度参考限值，因此项目周边环境质量良好。</w:t>
            </w:r>
          </w:p>
          <w:p w14:paraId="4A7566A6">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outlineLvl w:val="2"/>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pPr>
            <w:r>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t>2、地表水环境质量现状</w:t>
            </w:r>
            <w:bookmarkEnd w:id="4"/>
          </w:p>
          <w:p w14:paraId="71A795F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524" w:firstLineChars="200"/>
              <w:rPr>
                <w:rFonts w:hint="default" w:ascii="Times New Roman" w:hAnsi="Times New Roman" w:cs="Times New Roman" w:eastAsiaTheme="minorEastAsia"/>
                <w:color w:val="auto"/>
                <w:spacing w:val="11"/>
                <w:kern w:val="0"/>
                <w:position w:val="0"/>
                <w:sz w:val="24"/>
                <w:szCs w:val="24"/>
                <w:highlight w:val="none"/>
                <w:u w:val="none" w:color="auto"/>
              </w:rPr>
            </w:pPr>
            <w:bookmarkStart w:id="6" w:name="_Toc411767824"/>
            <w:bookmarkStart w:id="7" w:name="OLE_LINK6"/>
            <w:r>
              <w:rPr>
                <w:rFonts w:hint="default" w:ascii="Times New Roman" w:hAnsi="Times New Roman" w:cs="Times New Roman" w:eastAsiaTheme="minorEastAsia"/>
                <w:color w:val="auto"/>
                <w:spacing w:val="11"/>
                <w:kern w:val="0"/>
                <w:position w:val="0"/>
                <w:sz w:val="24"/>
                <w:szCs w:val="24"/>
                <w:highlight w:val="none"/>
                <w:u w:val="none" w:color="auto"/>
              </w:rPr>
              <w:t>为了解项目附近地表水水质现状，本次评价地表水环境质量监测数据引用于永州市生态环境局发布的《关于2023年12月份全市环境质量状况的通报》</w:t>
            </w:r>
            <w:r>
              <w:rPr>
                <w:rFonts w:hint="default" w:ascii="Times New Roman" w:hAnsi="Times New Roman" w:cs="Times New Roman" w:eastAsiaTheme="minorEastAsia"/>
                <w:color w:val="auto"/>
                <w:spacing w:val="11"/>
                <w:kern w:val="0"/>
                <w:position w:val="0"/>
                <w:sz w:val="24"/>
                <w:szCs w:val="24"/>
                <w:highlight w:val="none"/>
                <w:u w:val="none" w:color="auto"/>
                <w:lang w:eastAsia="zh-CN"/>
              </w:rPr>
              <w:t>（</w:t>
            </w:r>
            <w:r>
              <w:rPr>
                <w:rFonts w:hint="default" w:ascii="Times New Roman" w:hAnsi="Times New Roman" w:cs="Times New Roman" w:eastAsiaTheme="minorEastAsia"/>
                <w:color w:val="auto"/>
                <w:spacing w:val="11"/>
                <w:kern w:val="0"/>
                <w:position w:val="0"/>
                <w:sz w:val="24"/>
                <w:szCs w:val="24"/>
                <w:highlight w:val="none"/>
                <w:u w:val="none" w:color="auto"/>
                <w:lang w:val="en-US" w:eastAsia="zh-CN"/>
              </w:rPr>
              <w:t>永环函[2024]4号</w:t>
            </w:r>
            <w:r>
              <w:rPr>
                <w:rFonts w:hint="default" w:ascii="Times New Roman" w:hAnsi="Times New Roman" w:cs="Times New Roman" w:eastAsiaTheme="minorEastAsia"/>
                <w:color w:val="auto"/>
                <w:spacing w:val="11"/>
                <w:kern w:val="0"/>
                <w:position w:val="0"/>
                <w:sz w:val="24"/>
                <w:szCs w:val="24"/>
                <w:highlight w:val="none"/>
                <w:u w:val="none" w:color="auto"/>
                <w:lang w:eastAsia="zh-CN"/>
              </w:rPr>
              <w:t>）</w:t>
            </w:r>
            <w:r>
              <w:rPr>
                <w:rFonts w:hint="eastAsia" w:cs="Times New Roman" w:eastAsiaTheme="minorEastAsia"/>
                <w:color w:val="auto"/>
                <w:spacing w:val="11"/>
                <w:kern w:val="0"/>
                <w:position w:val="0"/>
                <w:sz w:val="24"/>
                <w:szCs w:val="24"/>
                <w:highlight w:val="none"/>
                <w:u w:val="none" w:color="auto"/>
                <w:lang w:val="en-US" w:eastAsia="zh-CN"/>
              </w:rPr>
              <w:t>中</w:t>
            </w:r>
            <w:r>
              <w:rPr>
                <w:rFonts w:hint="default" w:ascii="Times New Roman" w:hAnsi="Times New Roman" w:cs="Times New Roman" w:eastAsiaTheme="minorEastAsia"/>
                <w:color w:val="auto"/>
                <w:spacing w:val="11"/>
                <w:kern w:val="0"/>
                <w:position w:val="0"/>
                <w:sz w:val="24"/>
                <w:szCs w:val="24"/>
                <w:highlight w:val="none"/>
                <w:u w:val="none" w:color="auto"/>
              </w:rPr>
              <w:t>统计的环境监测结果，新田河大历县村监测断面与本项目</w:t>
            </w:r>
            <w:r>
              <w:rPr>
                <w:rFonts w:hint="default" w:ascii="Times New Roman" w:hAnsi="Times New Roman" w:cs="Times New Roman" w:eastAsiaTheme="minorEastAsia"/>
                <w:color w:val="auto"/>
                <w:spacing w:val="11"/>
                <w:kern w:val="0"/>
                <w:position w:val="0"/>
                <w:sz w:val="24"/>
                <w:szCs w:val="24"/>
                <w:highlight w:val="none"/>
                <w:u w:val="none" w:color="auto"/>
                <w:lang w:val="en-US" w:eastAsia="zh-CN"/>
              </w:rPr>
              <w:t>直线</w:t>
            </w:r>
            <w:r>
              <w:rPr>
                <w:rFonts w:hint="default" w:ascii="Times New Roman" w:hAnsi="Times New Roman" w:cs="Times New Roman" w:eastAsiaTheme="minorEastAsia"/>
                <w:color w:val="auto"/>
                <w:spacing w:val="11"/>
                <w:kern w:val="0"/>
                <w:position w:val="0"/>
                <w:sz w:val="24"/>
                <w:szCs w:val="24"/>
                <w:highlight w:val="none"/>
                <w:u w:val="none" w:color="auto"/>
              </w:rPr>
              <w:t>距离约</w:t>
            </w:r>
            <w:r>
              <w:rPr>
                <w:rFonts w:hint="eastAsia" w:cs="Times New Roman" w:eastAsiaTheme="minorEastAsia"/>
                <w:color w:val="auto"/>
                <w:spacing w:val="11"/>
                <w:kern w:val="0"/>
                <w:position w:val="0"/>
                <w:sz w:val="24"/>
                <w:szCs w:val="24"/>
                <w:highlight w:val="none"/>
                <w:u w:val="none" w:color="auto"/>
                <w:lang w:val="en-US" w:eastAsia="zh-CN"/>
              </w:rPr>
              <w:t>3.41</w:t>
            </w:r>
            <w:r>
              <w:rPr>
                <w:rFonts w:hint="default" w:ascii="Times New Roman" w:hAnsi="Times New Roman" w:cs="Times New Roman" w:eastAsiaTheme="minorEastAsia"/>
                <w:color w:val="auto"/>
                <w:spacing w:val="11"/>
                <w:kern w:val="0"/>
                <w:position w:val="0"/>
                <w:sz w:val="24"/>
                <w:szCs w:val="24"/>
                <w:highlight w:val="none"/>
                <w:u w:val="none" w:color="auto"/>
              </w:rPr>
              <w:t>km，且该监测点位于本项目下游，能有效代表本项目周边水环境质量现状。具体水质情况详见下图。</w:t>
            </w:r>
          </w:p>
          <w:p w14:paraId="6E6D2BA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color w:val="auto"/>
                <w:spacing w:val="11"/>
                <w:kern w:val="0"/>
                <w:position w:val="0"/>
                <w:sz w:val="24"/>
                <w:szCs w:val="24"/>
                <w:highlight w:val="none"/>
                <w:u w:val="none" w:color="auto"/>
              </w:rPr>
            </w:pPr>
            <w:r>
              <w:rPr>
                <w:rFonts w:hint="default" w:ascii="Times New Roman" w:hAnsi="Times New Roman" w:cs="Times New Roman" w:eastAsiaTheme="minorEastAsia"/>
                <w:color w:val="auto"/>
                <w:spacing w:val="11"/>
                <w:kern w:val="0"/>
                <w:position w:val="0"/>
                <w:sz w:val="24"/>
                <w:szCs w:val="24"/>
                <w:highlight w:val="none"/>
                <w:u w:val="none" w:color="auto"/>
              </w:rPr>
              <w:drawing>
                <wp:inline distT="0" distB="0" distL="114300" distR="114300">
                  <wp:extent cx="5721985" cy="2007870"/>
                  <wp:effectExtent l="0" t="0" r="12065" b="1143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a:stretch>
                            <a:fillRect/>
                          </a:stretch>
                        </pic:blipFill>
                        <pic:spPr>
                          <a:xfrm>
                            <a:off x="0" y="0"/>
                            <a:ext cx="5721985" cy="2007870"/>
                          </a:xfrm>
                          <a:prstGeom prst="rect">
                            <a:avLst/>
                          </a:prstGeom>
                          <a:noFill/>
                          <a:ln>
                            <a:noFill/>
                          </a:ln>
                        </pic:spPr>
                      </pic:pic>
                    </a:graphicData>
                  </a:graphic>
                </wp:inline>
              </w:drawing>
            </w:r>
          </w:p>
          <w:p w14:paraId="4A0DB234">
            <w:pPr>
              <w:spacing w:line="360" w:lineRule="auto"/>
              <w:ind w:firstLine="0" w:firstLineChars="0"/>
              <w:jc w:val="center"/>
              <w:rPr>
                <w:rFonts w:hint="default" w:ascii="Times New Roman" w:hAnsi="Times New Roman" w:cs="Times New Roman" w:eastAsiaTheme="minorEastAsia"/>
                <w:color w:val="auto"/>
                <w:spacing w:val="11"/>
                <w:kern w:val="0"/>
                <w:position w:val="0"/>
                <w:sz w:val="24"/>
                <w:szCs w:val="24"/>
                <w:highlight w:val="none"/>
                <w:u w:val="none" w:color="auto"/>
              </w:rPr>
            </w:pPr>
            <w:r>
              <w:rPr>
                <w:rFonts w:hint="eastAsia" w:cs="Times New Roman"/>
                <w:b/>
                <w:bCs/>
                <w:color w:val="auto"/>
                <w:spacing w:val="11"/>
                <w:position w:val="0"/>
                <w:sz w:val="21"/>
                <w:u w:val="none" w:color="auto"/>
                <w:lang w:val="en-US" w:eastAsia="zh-CN"/>
              </w:rPr>
              <w:t>图3-1</w:t>
            </w:r>
            <w:r>
              <w:rPr>
                <w:rFonts w:ascii="Times New Roman" w:hAnsi="Times New Roman" w:eastAsia="宋体" w:cs="Times New Roman"/>
                <w:b/>
                <w:bCs/>
                <w:color w:val="auto"/>
                <w:spacing w:val="11"/>
                <w:position w:val="0"/>
                <w:sz w:val="21"/>
                <w:u w:val="none" w:color="auto"/>
              </w:rPr>
              <w:t xml:space="preserve">  </w:t>
            </w:r>
            <w:r>
              <w:rPr>
                <w:rFonts w:hint="eastAsia" w:cs="Times New Roman"/>
                <w:b/>
                <w:bCs/>
                <w:color w:val="auto"/>
                <w:spacing w:val="11"/>
                <w:position w:val="0"/>
                <w:sz w:val="21"/>
                <w:u w:val="none" w:color="auto"/>
                <w:lang w:val="en-US" w:eastAsia="zh-CN"/>
              </w:rPr>
              <w:t>地表水环境质量现状图</w:t>
            </w:r>
          </w:p>
          <w:p w14:paraId="71AED78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524" w:firstLineChars="200"/>
              <w:rPr>
                <w:rFonts w:hint="default" w:ascii="Times New Roman" w:hAnsi="Times New Roman" w:cs="Times New Roman" w:eastAsiaTheme="minorEastAsia"/>
                <w:color w:val="auto"/>
                <w:spacing w:val="11"/>
                <w:kern w:val="0"/>
                <w:position w:val="0"/>
                <w:sz w:val="24"/>
                <w:szCs w:val="24"/>
                <w:highlight w:val="none"/>
                <w:u w:val="none" w:color="auto"/>
              </w:rPr>
            </w:pPr>
            <w:r>
              <w:rPr>
                <w:rFonts w:hint="default" w:ascii="Times New Roman" w:hAnsi="Times New Roman" w:cs="Times New Roman" w:eastAsiaTheme="minorEastAsia"/>
                <w:color w:val="auto"/>
                <w:spacing w:val="11"/>
                <w:kern w:val="0"/>
                <w:position w:val="0"/>
                <w:sz w:val="24"/>
                <w:szCs w:val="24"/>
                <w:highlight w:val="none"/>
                <w:u w:val="none" w:color="auto"/>
              </w:rPr>
              <w:t>由上图可知，新田河大历县村断面水质均可达到《地表水环境质量标准》</w:t>
            </w:r>
            <w:r>
              <w:rPr>
                <w:rFonts w:hint="eastAsia" w:cs="Times New Roman" w:eastAsiaTheme="minorEastAsia"/>
                <w:color w:val="auto"/>
                <w:spacing w:val="11"/>
                <w:kern w:val="0"/>
                <w:position w:val="0"/>
                <w:sz w:val="24"/>
                <w:szCs w:val="24"/>
                <w:highlight w:val="none"/>
                <w:u w:val="none" w:color="auto"/>
                <w:lang w:eastAsia="zh-CN"/>
              </w:rPr>
              <w:t>（</w:t>
            </w:r>
            <w:r>
              <w:rPr>
                <w:rFonts w:hint="default" w:ascii="Times New Roman" w:hAnsi="Times New Roman" w:cs="Times New Roman" w:eastAsiaTheme="minorEastAsia"/>
                <w:color w:val="auto"/>
                <w:spacing w:val="11"/>
                <w:kern w:val="0"/>
                <w:position w:val="0"/>
                <w:sz w:val="24"/>
                <w:szCs w:val="24"/>
                <w:highlight w:val="none"/>
                <w:u w:val="none" w:color="auto"/>
              </w:rPr>
              <w:t>GB3838-2002</w:t>
            </w:r>
            <w:r>
              <w:rPr>
                <w:rFonts w:hint="eastAsia" w:cs="Times New Roman" w:eastAsiaTheme="minorEastAsia"/>
                <w:color w:val="auto"/>
                <w:spacing w:val="11"/>
                <w:kern w:val="0"/>
                <w:position w:val="0"/>
                <w:sz w:val="24"/>
                <w:szCs w:val="24"/>
                <w:highlight w:val="none"/>
                <w:u w:val="none" w:color="auto"/>
                <w:lang w:eastAsia="zh-CN"/>
              </w:rPr>
              <w:t>）</w:t>
            </w:r>
            <w:r>
              <w:rPr>
                <w:rFonts w:hint="default" w:ascii="Times New Roman" w:hAnsi="Times New Roman" w:cs="Times New Roman" w:eastAsiaTheme="minorEastAsia"/>
                <w:color w:val="auto"/>
                <w:spacing w:val="11"/>
                <w:kern w:val="0"/>
                <w:position w:val="0"/>
                <w:sz w:val="24"/>
                <w:szCs w:val="24"/>
                <w:highlight w:val="none"/>
                <w:u w:val="none" w:color="auto"/>
              </w:rPr>
              <w:t>II类标准，由此，可判断新田河水质环境质量良好。</w:t>
            </w:r>
          </w:p>
          <w:p w14:paraId="2E0B0E75">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textAlignment w:val="auto"/>
              <w:outlineLvl w:val="2"/>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pPr>
            <w:r>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t>3、声环境质量现状</w:t>
            </w:r>
            <w:bookmarkEnd w:id="6"/>
          </w:p>
          <w:p w14:paraId="0516CD77">
            <w:pPr>
              <w:pageBreakBefore w:val="0"/>
              <w:widowControl w:val="0"/>
              <w:kinsoku/>
              <w:wordWrap/>
              <w:overflowPunct/>
              <w:topLinePunct w:val="0"/>
              <w:autoSpaceDE/>
              <w:autoSpaceDN/>
              <w:bidi w:val="0"/>
              <w:adjustRightInd w:val="0"/>
              <w:snapToGrid w:val="0"/>
              <w:spacing w:line="360" w:lineRule="auto"/>
              <w:ind w:firstLine="524" w:firstLineChars="200"/>
              <w:textAlignment w:val="baseline"/>
              <w:rPr>
                <w:rFonts w:hint="eastAsia"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本次委托湖南中额环保科技有限公司于2025年03月24日对项目厂界以及项目东南侧居民点声环境质量进行了现状监测。</w:t>
            </w:r>
          </w:p>
          <w:p w14:paraId="1C995D5B">
            <w:pPr>
              <w:pageBreakBefore w:val="0"/>
              <w:widowControl w:val="0"/>
              <w:kinsoku/>
              <w:wordWrap/>
              <w:overflowPunct/>
              <w:topLinePunct w:val="0"/>
              <w:autoSpaceDE/>
              <w:autoSpaceDN/>
              <w:bidi w:val="0"/>
              <w:adjustRightInd w:val="0"/>
              <w:snapToGrid w:val="0"/>
              <w:spacing w:line="360" w:lineRule="auto"/>
              <w:ind w:firstLine="524" w:firstLineChars="200"/>
              <w:textAlignment w:val="baseline"/>
              <w:rPr>
                <w:rFonts w:hint="default" w:ascii="Times New Roman" w:hAnsi="Times New Roman" w:eastAsia="宋体" w:cs="Times New Roman"/>
                <w:b/>
                <w:caps w:val="0"/>
                <w:smallCaps w:val="0"/>
                <w:color w:val="auto"/>
                <w:spacing w:val="11"/>
                <w:position w:val="0"/>
                <w:sz w:val="21"/>
                <w:szCs w:val="21"/>
                <w:highlight w:val="none"/>
                <w:u w:val="none" w:color="auto"/>
              </w:rPr>
            </w:pPr>
            <w:r>
              <w:rPr>
                <w:rFonts w:hint="eastAsia" w:cs="Times New Roman" w:eastAsiaTheme="minorEastAsia"/>
                <w:color w:val="auto"/>
                <w:spacing w:val="11"/>
                <w:position w:val="0"/>
                <w:sz w:val="24"/>
                <w:szCs w:val="24"/>
                <w:highlight w:val="none"/>
                <w:u w:val="none" w:color="auto"/>
                <w:lang w:val="en-US" w:eastAsia="zh-CN"/>
              </w:rPr>
              <w:t>声环境质量现状监测及评价结果见下表。</w:t>
            </w:r>
          </w:p>
          <w:p w14:paraId="1E12DD71">
            <w:pPr>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11"/>
                <w:position w:val="0"/>
                <w:sz w:val="21"/>
                <w:szCs w:val="21"/>
                <w:highlight w:val="none"/>
                <w:u w:val="none" w:color="auto"/>
              </w:rPr>
            </w:pPr>
            <w:r>
              <w:rPr>
                <w:rFonts w:hint="default" w:ascii="Times New Roman" w:hAnsi="Times New Roman" w:eastAsia="宋体" w:cs="Times New Roman"/>
                <w:b/>
                <w:caps w:val="0"/>
                <w:smallCaps w:val="0"/>
                <w:color w:val="auto"/>
                <w:spacing w:val="11"/>
                <w:position w:val="0"/>
                <w:sz w:val="21"/>
                <w:szCs w:val="21"/>
                <w:highlight w:val="none"/>
                <w:u w:val="none" w:color="auto"/>
              </w:rPr>
              <w:t>表</w:t>
            </w:r>
            <w:r>
              <w:rPr>
                <w:rFonts w:hint="eastAsia" w:ascii="Times New Roman" w:hAnsi="Times New Roman" w:cs="Times New Roman"/>
                <w:b/>
                <w:caps w:val="0"/>
                <w:smallCaps w:val="0"/>
                <w:color w:val="auto"/>
                <w:spacing w:val="11"/>
                <w:position w:val="0"/>
                <w:sz w:val="21"/>
                <w:szCs w:val="21"/>
                <w:highlight w:val="none"/>
                <w:u w:val="none" w:color="auto"/>
                <w:lang w:val="en-US" w:eastAsia="zh-CN"/>
              </w:rPr>
              <w:t>3-</w:t>
            </w:r>
            <w:r>
              <w:rPr>
                <w:rFonts w:hint="eastAsia" w:cs="Times New Roman"/>
                <w:b/>
                <w:caps w:val="0"/>
                <w:smallCaps w:val="0"/>
                <w:color w:val="auto"/>
                <w:spacing w:val="11"/>
                <w:position w:val="0"/>
                <w:sz w:val="21"/>
                <w:szCs w:val="21"/>
                <w:highlight w:val="none"/>
                <w:u w:val="none" w:color="auto"/>
                <w:lang w:val="en-US" w:eastAsia="zh-CN"/>
              </w:rPr>
              <w:t>3</w:t>
            </w:r>
            <w:r>
              <w:rPr>
                <w:rFonts w:hint="default" w:ascii="Times New Roman" w:hAnsi="Times New Roman" w:eastAsia="宋体" w:cs="Times New Roman"/>
                <w:b/>
                <w:caps w:val="0"/>
                <w:smallCaps w:val="0"/>
                <w:color w:val="auto"/>
                <w:spacing w:val="11"/>
                <w:position w:val="0"/>
                <w:sz w:val="21"/>
                <w:szCs w:val="21"/>
                <w:highlight w:val="none"/>
                <w:u w:val="none" w:color="auto"/>
              </w:rPr>
              <w:t xml:space="preserve">  声环境质量现状监测统计结果</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3037"/>
              <w:gridCol w:w="3105"/>
              <w:gridCol w:w="2888"/>
            </w:tblGrid>
            <w:tr w14:paraId="388DE1B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vMerge w:val="restart"/>
                  <w:tcBorders>
                    <w:tl2br w:val="nil"/>
                    <w:tr2bl w:val="nil"/>
                  </w:tcBorders>
                  <w:noWrap w:val="0"/>
                  <w:vAlign w:val="center"/>
                </w:tcPr>
                <w:p w14:paraId="7D0414DA">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检测点位</w:t>
                  </w:r>
                </w:p>
              </w:tc>
              <w:tc>
                <w:tcPr>
                  <w:tcW w:w="3318" w:type="pct"/>
                  <w:gridSpan w:val="2"/>
                  <w:tcBorders>
                    <w:tl2br w:val="nil"/>
                    <w:tr2bl w:val="nil"/>
                  </w:tcBorders>
                  <w:noWrap w:val="0"/>
                  <w:vAlign w:val="center"/>
                </w:tcPr>
                <w:p w14:paraId="6F502C0C">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检测结果（单位：dB(A)）</w:t>
                  </w:r>
                </w:p>
              </w:tc>
            </w:tr>
            <w:tr w14:paraId="1BEB6ED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vMerge w:val="continue"/>
                  <w:tcBorders>
                    <w:tl2br w:val="nil"/>
                    <w:tr2bl w:val="nil"/>
                  </w:tcBorders>
                  <w:noWrap w:val="0"/>
                  <w:vAlign w:val="center"/>
                </w:tcPr>
                <w:p w14:paraId="6DB43B73">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p>
              </w:tc>
              <w:tc>
                <w:tcPr>
                  <w:tcW w:w="3318" w:type="pct"/>
                  <w:gridSpan w:val="2"/>
                  <w:tcBorders>
                    <w:tl2br w:val="nil"/>
                    <w:tr2bl w:val="nil"/>
                  </w:tcBorders>
                  <w:noWrap w:val="0"/>
                  <w:vAlign w:val="center"/>
                </w:tcPr>
                <w:p w14:paraId="0ADFB397">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2025.0</w:t>
                  </w:r>
                  <w:r>
                    <w:rPr>
                      <w:rFonts w:hint="eastAsia" w:cs="Times New Roman"/>
                      <w:caps w:val="0"/>
                      <w:smallCaps w:val="0"/>
                      <w:color w:val="auto"/>
                      <w:spacing w:val="11"/>
                      <w:position w:val="0"/>
                      <w:sz w:val="21"/>
                      <w:szCs w:val="21"/>
                      <w:highlight w:val="none"/>
                      <w:u w:val="none" w:color="auto"/>
                      <w:lang w:val="en-US" w:eastAsia="zh-CN" w:bidi="ar-SA"/>
                    </w:rPr>
                    <w:t>3.02</w:t>
                  </w:r>
                </w:p>
              </w:tc>
            </w:tr>
            <w:tr w14:paraId="69C0466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vMerge w:val="continue"/>
                  <w:tcBorders>
                    <w:tl2br w:val="nil"/>
                    <w:tr2bl w:val="nil"/>
                  </w:tcBorders>
                  <w:noWrap w:val="0"/>
                  <w:vAlign w:val="center"/>
                </w:tcPr>
                <w:p w14:paraId="31521A58">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p>
              </w:tc>
              <w:tc>
                <w:tcPr>
                  <w:tcW w:w="1719" w:type="pct"/>
                  <w:tcBorders>
                    <w:tl2br w:val="nil"/>
                    <w:tr2bl w:val="nil"/>
                  </w:tcBorders>
                  <w:noWrap w:val="0"/>
                  <w:vAlign w:val="center"/>
                </w:tcPr>
                <w:p w14:paraId="0609AECB">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昼间</w:t>
                  </w:r>
                </w:p>
              </w:tc>
              <w:tc>
                <w:tcPr>
                  <w:tcW w:w="1599" w:type="pct"/>
                  <w:tcBorders>
                    <w:tl2br w:val="nil"/>
                    <w:tr2bl w:val="nil"/>
                  </w:tcBorders>
                  <w:noWrap w:val="0"/>
                  <w:vAlign w:val="center"/>
                </w:tcPr>
                <w:p w14:paraId="6DE27210">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夜间</w:t>
                  </w:r>
                </w:p>
              </w:tc>
            </w:tr>
            <w:tr w14:paraId="03485A1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tcBorders>
                    <w:tl2br w:val="nil"/>
                    <w:tr2bl w:val="nil"/>
                  </w:tcBorders>
                  <w:noWrap w:val="0"/>
                  <w:vAlign w:val="center"/>
                </w:tcPr>
                <w:p w14:paraId="304A39A9">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N1</w:t>
                  </w:r>
                  <w:r>
                    <w:rPr>
                      <w:rFonts w:hint="eastAsia" w:cs="Times New Roman"/>
                      <w:caps w:val="0"/>
                      <w:smallCaps w:val="0"/>
                      <w:color w:val="auto"/>
                      <w:spacing w:val="11"/>
                      <w:position w:val="0"/>
                      <w:sz w:val="21"/>
                      <w:szCs w:val="21"/>
                      <w:highlight w:val="none"/>
                      <w:u w:val="none" w:color="auto"/>
                      <w:lang w:val="en-US" w:eastAsia="zh-CN" w:bidi="ar-SA"/>
                    </w:rPr>
                    <w:t>：厂界东侧1m处</w:t>
                  </w:r>
                </w:p>
              </w:tc>
              <w:tc>
                <w:tcPr>
                  <w:tcW w:w="1719" w:type="pct"/>
                  <w:tcBorders>
                    <w:tl2br w:val="nil"/>
                    <w:tr2bl w:val="nil"/>
                  </w:tcBorders>
                  <w:shd w:val="clear" w:color="auto" w:fill="auto"/>
                  <w:noWrap w:val="0"/>
                  <w:vAlign w:val="center"/>
                </w:tcPr>
                <w:p w14:paraId="7D406C74">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54</w:t>
                  </w:r>
                </w:p>
              </w:tc>
              <w:tc>
                <w:tcPr>
                  <w:tcW w:w="1599" w:type="pct"/>
                  <w:tcBorders>
                    <w:tl2br w:val="nil"/>
                    <w:tr2bl w:val="nil"/>
                  </w:tcBorders>
                  <w:shd w:val="clear" w:color="auto" w:fill="auto"/>
                  <w:noWrap w:val="0"/>
                  <w:vAlign w:val="center"/>
                </w:tcPr>
                <w:p w14:paraId="63D6E865">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43</w:t>
                  </w:r>
                </w:p>
              </w:tc>
            </w:tr>
            <w:tr w14:paraId="02F7868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tcBorders>
                    <w:tl2br w:val="nil"/>
                    <w:tr2bl w:val="nil"/>
                  </w:tcBorders>
                  <w:noWrap w:val="0"/>
                  <w:vAlign w:val="center"/>
                </w:tcPr>
                <w:p w14:paraId="7CA9AF31">
                  <w:pPr>
                    <w:widowControl w:val="0"/>
                    <w:overflowPunct w:val="0"/>
                    <w:autoSpaceDE w:val="0"/>
                    <w:autoSpaceDN w:val="0"/>
                    <w:adjustRightInd w:val="0"/>
                    <w:snapToGrid/>
                    <w:spacing w:line="240" w:lineRule="auto"/>
                    <w:ind w:firstLine="0" w:firstLineChars="0"/>
                    <w:jc w:val="center"/>
                    <w:textAlignment w:val="baseline"/>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N3：厂界西侧1m处</w:t>
                  </w:r>
                </w:p>
              </w:tc>
              <w:tc>
                <w:tcPr>
                  <w:tcW w:w="1719" w:type="pct"/>
                  <w:tcBorders>
                    <w:tl2br w:val="nil"/>
                    <w:tr2bl w:val="nil"/>
                  </w:tcBorders>
                  <w:shd w:val="clear" w:color="auto" w:fill="auto"/>
                  <w:noWrap w:val="0"/>
                  <w:vAlign w:val="center"/>
                </w:tcPr>
                <w:p w14:paraId="5361DCF6">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55</w:t>
                  </w:r>
                </w:p>
              </w:tc>
              <w:tc>
                <w:tcPr>
                  <w:tcW w:w="1599" w:type="pct"/>
                  <w:tcBorders>
                    <w:tl2br w:val="nil"/>
                    <w:tr2bl w:val="nil"/>
                  </w:tcBorders>
                  <w:shd w:val="clear" w:color="auto" w:fill="auto"/>
                  <w:noWrap w:val="0"/>
                  <w:vAlign w:val="center"/>
                </w:tcPr>
                <w:p w14:paraId="69BAC7B7">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43</w:t>
                  </w:r>
                </w:p>
              </w:tc>
            </w:tr>
            <w:tr w14:paraId="2226ADF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tcBorders>
                    <w:tl2br w:val="nil"/>
                    <w:tr2bl w:val="nil"/>
                  </w:tcBorders>
                  <w:noWrap w:val="0"/>
                  <w:vAlign w:val="center"/>
                </w:tcPr>
                <w:p w14:paraId="13794E7D">
                  <w:pPr>
                    <w:widowControl w:val="0"/>
                    <w:overflowPunct w:val="0"/>
                    <w:autoSpaceDE w:val="0"/>
                    <w:autoSpaceDN w:val="0"/>
                    <w:adjustRightInd w:val="0"/>
                    <w:snapToGrid/>
                    <w:spacing w:line="240" w:lineRule="auto"/>
                    <w:ind w:firstLine="0" w:firstLineChars="0"/>
                    <w:jc w:val="center"/>
                    <w:textAlignment w:val="baseline"/>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N4：厂界北侧1m处</w:t>
                  </w:r>
                </w:p>
              </w:tc>
              <w:tc>
                <w:tcPr>
                  <w:tcW w:w="1719" w:type="pct"/>
                  <w:tcBorders>
                    <w:tl2br w:val="nil"/>
                    <w:tr2bl w:val="nil"/>
                  </w:tcBorders>
                  <w:shd w:val="clear" w:color="auto" w:fill="auto"/>
                  <w:noWrap w:val="0"/>
                  <w:vAlign w:val="center"/>
                </w:tcPr>
                <w:p w14:paraId="5A698F37">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56</w:t>
                  </w:r>
                </w:p>
              </w:tc>
              <w:tc>
                <w:tcPr>
                  <w:tcW w:w="1599" w:type="pct"/>
                  <w:tcBorders>
                    <w:tl2br w:val="nil"/>
                    <w:tr2bl w:val="nil"/>
                  </w:tcBorders>
                  <w:shd w:val="clear" w:color="auto" w:fill="auto"/>
                  <w:noWrap w:val="0"/>
                  <w:vAlign w:val="center"/>
                </w:tcPr>
                <w:p w14:paraId="3869963C">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46</w:t>
                  </w:r>
                </w:p>
              </w:tc>
            </w:tr>
            <w:tr w14:paraId="679CA11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tcBorders>
                    <w:tl2br w:val="nil"/>
                    <w:tr2bl w:val="nil"/>
                  </w:tcBorders>
                  <w:noWrap w:val="0"/>
                  <w:vAlign w:val="center"/>
                </w:tcPr>
                <w:p w14:paraId="4678FD4E">
                  <w:pPr>
                    <w:widowControl w:val="0"/>
                    <w:overflowPunct w:val="0"/>
                    <w:autoSpaceDE w:val="0"/>
                    <w:autoSpaceDN w:val="0"/>
                    <w:adjustRightInd w:val="0"/>
                    <w:snapToGrid/>
                    <w:spacing w:line="240" w:lineRule="auto"/>
                    <w:ind w:firstLine="0" w:firstLineChars="0"/>
                    <w:jc w:val="center"/>
                    <w:textAlignment w:val="baseline"/>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N5：项目东南侧居民点</w:t>
                  </w:r>
                </w:p>
              </w:tc>
              <w:tc>
                <w:tcPr>
                  <w:tcW w:w="1719" w:type="pct"/>
                  <w:tcBorders>
                    <w:tl2br w:val="nil"/>
                    <w:tr2bl w:val="nil"/>
                  </w:tcBorders>
                  <w:shd w:val="clear" w:color="auto" w:fill="auto"/>
                  <w:noWrap w:val="0"/>
                  <w:vAlign w:val="center"/>
                </w:tcPr>
                <w:p w14:paraId="2B5EC00A">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51</w:t>
                  </w:r>
                </w:p>
              </w:tc>
              <w:tc>
                <w:tcPr>
                  <w:tcW w:w="1599" w:type="pct"/>
                  <w:tcBorders>
                    <w:tl2br w:val="nil"/>
                    <w:tr2bl w:val="nil"/>
                  </w:tcBorders>
                  <w:shd w:val="clear" w:color="auto" w:fill="auto"/>
                  <w:noWrap w:val="0"/>
                  <w:vAlign w:val="center"/>
                </w:tcPr>
                <w:p w14:paraId="61716A1C">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42</w:t>
                  </w:r>
                </w:p>
              </w:tc>
            </w:tr>
            <w:tr w14:paraId="7E9D070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tcBorders>
                    <w:tl2br w:val="nil"/>
                    <w:tr2bl w:val="nil"/>
                  </w:tcBorders>
                  <w:noWrap w:val="0"/>
                  <w:vAlign w:val="center"/>
                </w:tcPr>
                <w:p w14:paraId="748DC067">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限值</w:t>
                  </w:r>
                </w:p>
              </w:tc>
              <w:tc>
                <w:tcPr>
                  <w:tcW w:w="1719" w:type="pct"/>
                  <w:tcBorders>
                    <w:tl2br w:val="nil"/>
                    <w:tr2bl w:val="nil"/>
                  </w:tcBorders>
                  <w:noWrap w:val="0"/>
                  <w:vAlign w:val="center"/>
                </w:tcPr>
                <w:p w14:paraId="6AB2BC0F">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60</w:t>
                  </w:r>
                </w:p>
              </w:tc>
              <w:tc>
                <w:tcPr>
                  <w:tcW w:w="1599" w:type="pct"/>
                  <w:tcBorders>
                    <w:tl2br w:val="nil"/>
                    <w:tr2bl w:val="nil"/>
                  </w:tcBorders>
                  <w:noWrap w:val="0"/>
                  <w:vAlign w:val="center"/>
                </w:tcPr>
                <w:p w14:paraId="43B03DF3">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50</w:t>
                  </w:r>
                </w:p>
              </w:tc>
            </w:tr>
            <w:tr w14:paraId="4A031DB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tcBorders>
                    <w:tl2br w:val="nil"/>
                    <w:tr2bl w:val="nil"/>
                  </w:tcBorders>
                  <w:noWrap w:val="0"/>
                  <w:vAlign w:val="center"/>
                </w:tcPr>
                <w:p w14:paraId="002E3C05">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N2：厂界南侧1m处</w:t>
                  </w:r>
                </w:p>
              </w:tc>
              <w:tc>
                <w:tcPr>
                  <w:tcW w:w="1719" w:type="pct"/>
                  <w:tcBorders>
                    <w:tl2br w:val="nil"/>
                    <w:tr2bl w:val="nil"/>
                  </w:tcBorders>
                  <w:shd w:val="clear" w:color="auto" w:fill="auto"/>
                  <w:noWrap w:val="0"/>
                  <w:vAlign w:val="center"/>
                </w:tcPr>
                <w:p w14:paraId="4039CB14">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55</w:t>
                  </w:r>
                </w:p>
              </w:tc>
              <w:tc>
                <w:tcPr>
                  <w:tcW w:w="1599" w:type="pct"/>
                  <w:tcBorders>
                    <w:tl2br w:val="nil"/>
                    <w:tr2bl w:val="nil"/>
                  </w:tcBorders>
                  <w:shd w:val="clear" w:color="auto" w:fill="auto"/>
                  <w:noWrap w:val="0"/>
                  <w:vAlign w:val="center"/>
                </w:tcPr>
                <w:p w14:paraId="1348FF3F">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45</w:t>
                  </w:r>
                </w:p>
              </w:tc>
            </w:tr>
            <w:tr w14:paraId="410862B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tcBorders>
                    <w:tl2br w:val="nil"/>
                    <w:tr2bl w:val="nil"/>
                  </w:tcBorders>
                  <w:noWrap w:val="0"/>
                  <w:vAlign w:val="center"/>
                </w:tcPr>
                <w:p w14:paraId="0E608485">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限值</w:t>
                  </w:r>
                </w:p>
              </w:tc>
              <w:tc>
                <w:tcPr>
                  <w:tcW w:w="1719" w:type="pct"/>
                  <w:tcBorders>
                    <w:tl2br w:val="nil"/>
                    <w:tr2bl w:val="nil"/>
                  </w:tcBorders>
                  <w:noWrap w:val="0"/>
                  <w:vAlign w:val="center"/>
                </w:tcPr>
                <w:p w14:paraId="5ACBF0C1">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70</w:t>
                  </w:r>
                </w:p>
              </w:tc>
              <w:tc>
                <w:tcPr>
                  <w:tcW w:w="1599" w:type="pct"/>
                  <w:tcBorders>
                    <w:tl2br w:val="nil"/>
                    <w:tr2bl w:val="nil"/>
                  </w:tcBorders>
                  <w:noWrap w:val="0"/>
                  <w:vAlign w:val="center"/>
                </w:tcPr>
                <w:p w14:paraId="34B7ECF3">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55</w:t>
                  </w:r>
                </w:p>
              </w:tc>
            </w:tr>
            <w:tr w14:paraId="7B18E50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tcBorders>
                    <w:tl2br w:val="nil"/>
                    <w:tr2bl w:val="nil"/>
                  </w:tcBorders>
                  <w:noWrap w:val="0"/>
                  <w:vAlign w:val="center"/>
                </w:tcPr>
                <w:p w14:paraId="50CEE5E0">
                  <w:pPr>
                    <w:widowControl w:val="0"/>
                    <w:overflowPunct w:val="0"/>
                    <w:autoSpaceDE w:val="0"/>
                    <w:autoSpaceDN w:val="0"/>
                    <w:adjustRightInd w:val="0"/>
                    <w:snapToGrid/>
                    <w:spacing w:line="240" w:lineRule="auto"/>
                    <w:ind w:firstLine="0" w:firstLineChars="0"/>
                    <w:jc w:val="center"/>
                    <w:textAlignment w:val="baseline"/>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备注</w:t>
                  </w:r>
                </w:p>
              </w:tc>
              <w:tc>
                <w:tcPr>
                  <w:tcW w:w="3318" w:type="pct"/>
                  <w:gridSpan w:val="2"/>
                  <w:tcBorders>
                    <w:tl2br w:val="nil"/>
                    <w:tr2bl w:val="nil"/>
                  </w:tcBorders>
                  <w:noWrap w:val="0"/>
                  <w:vAlign w:val="center"/>
                </w:tcPr>
                <w:p w14:paraId="74800C95">
                  <w:pPr>
                    <w:widowControl w:val="0"/>
                    <w:overflowPunct w:val="0"/>
                    <w:autoSpaceDE w:val="0"/>
                    <w:autoSpaceDN w:val="0"/>
                    <w:adjustRightInd w:val="0"/>
                    <w:snapToGrid/>
                    <w:spacing w:line="240" w:lineRule="auto"/>
                    <w:ind w:firstLine="0" w:firstLineChars="0"/>
                    <w:jc w:val="center"/>
                    <w:textAlignment w:val="baseline"/>
                    <w:rPr>
                      <w:rFonts w:hint="default"/>
                      <w:color w:val="auto"/>
                      <w:spacing w:val="11"/>
                      <w:highlight w:val="none"/>
                      <w:lang w:val="en-US" w:eastAsia="zh-CN"/>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执行《声环境质量标准》（GB3096-2008）</w:t>
                  </w:r>
                  <w:r>
                    <w:rPr>
                      <w:rFonts w:hint="eastAsia" w:cs="Times New Roman"/>
                      <w:caps w:val="0"/>
                      <w:smallCaps w:val="0"/>
                      <w:color w:val="auto"/>
                      <w:spacing w:val="11"/>
                      <w:position w:val="0"/>
                      <w:sz w:val="21"/>
                      <w:szCs w:val="21"/>
                      <w:highlight w:val="none"/>
                      <w:u w:val="none" w:color="auto"/>
                      <w:lang w:val="en-US" w:eastAsia="zh-CN" w:bidi="ar-SA"/>
                    </w:rPr>
                    <w:t>中</w:t>
                  </w: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2类标准</w:t>
                  </w:r>
                  <w:r>
                    <w:rPr>
                      <w:rFonts w:hint="eastAsia" w:cs="Times New Roman"/>
                      <w:caps w:val="0"/>
                      <w:smallCaps w:val="0"/>
                      <w:color w:val="auto"/>
                      <w:spacing w:val="11"/>
                      <w:position w:val="0"/>
                      <w:sz w:val="21"/>
                      <w:szCs w:val="21"/>
                      <w:highlight w:val="none"/>
                      <w:u w:val="none" w:color="auto"/>
                      <w:lang w:val="en-US" w:eastAsia="zh-CN" w:bidi="ar-SA"/>
                    </w:rPr>
                    <w:t>；N2执行《声环境质量标准》（GB3096-2008）中4a类标准</w:t>
                  </w:r>
                </w:p>
              </w:tc>
            </w:tr>
          </w:tbl>
          <w:p w14:paraId="3F29F06D">
            <w:pPr>
              <w:keepNext w:val="0"/>
              <w:keepLines w:val="0"/>
              <w:pageBreakBefore w:val="0"/>
              <w:widowControl w:val="0"/>
              <w:numPr>
                <w:ilvl w:val="0"/>
                <w:numId w:val="3"/>
              </w:numPr>
              <w:kinsoku/>
              <w:wordWrap/>
              <w:overflowPunct/>
              <w:topLinePunct w:val="0"/>
              <w:autoSpaceDE/>
              <w:autoSpaceDN/>
              <w:bidi w:val="0"/>
              <w:adjustRightInd w:val="0"/>
              <w:snapToGrid w:val="0"/>
              <w:spacing w:before="167" w:beforeLines="50"/>
              <w:ind w:firstLine="482"/>
              <w:textAlignment w:val="auto"/>
              <w:rPr>
                <w:rFonts w:ascii="Times New Roman" w:hAnsi="Times New Roman" w:eastAsia="宋体" w:cs="Times New Roman"/>
                <w:b/>
                <w:bCs/>
                <w:color w:val="auto"/>
                <w:spacing w:val="11"/>
                <w:position w:val="0"/>
                <w:szCs w:val="24"/>
                <w:highlight w:val="none"/>
              </w:rPr>
            </w:pPr>
            <w:r>
              <w:rPr>
                <w:rFonts w:ascii="Times New Roman" w:hAnsi="Times New Roman" w:eastAsia="宋体" w:cs="Times New Roman"/>
                <w:b/>
                <w:bCs/>
                <w:color w:val="auto"/>
                <w:spacing w:val="11"/>
                <w:position w:val="0"/>
                <w:szCs w:val="24"/>
                <w:highlight w:val="none"/>
              </w:rPr>
              <w:t>地下水</w:t>
            </w:r>
            <w:r>
              <w:rPr>
                <w:rFonts w:hint="eastAsia" w:ascii="Times New Roman" w:hAnsi="Times New Roman" w:eastAsia="宋体" w:cs="Times New Roman"/>
                <w:b/>
                <w:bCs/>
                <w:color w:val="auto"/>
                <w:spacing w:val="11"/>
                <w:position w:val="0"/>
                <w:szCs w:val="24"/>
                <w:highlight w:val="none"/>
              </w:rPr>
              <w:t>、土壤</w:t>
            </w:r>
            <w:r>
              <w:rPr>
                <w:rFonts w:ascii="Times New Roman" w:hAnsi="Times New Roman" w:eastAsia="宋体" w:cs="Times New Roman"/>
                <w:b/>
                <w:bCs/>
                <w:color w:val="auto"/>
                <w:spacing w:val="11"/>
                <w:position w:val="0"/>
                <w:szCs w:val="24"/>
                <w:highlight w:val="none"/>
              </w:rPr>
              <w:t>质量现状</w:t>
            </w:r>
          </w:p>
          <w:p w14:paraId="3334518E">
            <w:pPr>
              <w:pageBreakBefore w:val="0"/>
              <w:widowControl w:val="0"/>
              <w:kinsoku/>
              <w:wordWrap/>
              <w:overflowPunct/>
              <w:topLinePunct w:val="0"/>
              <w:autoSpaceDE/>
              <w:autoSpaceDN/>
              <w:bidi w:val="0"/>
              <w:adjustRightInd w:val="0"/>
              <w:snapToGrid w:val="0"/>
              <w:spacing w:line="360" w:lineRule="auto"/>
              <w:ind w:firstLine="524" w:firstLineChars="200"/>
              <w:rPr>
                <w:rFonts w:hint="default" w:ascii="Times New Roman" w:hAnsi="Times New Roman" w:cs="Times New Roman" w:eastAsiaTheme="minorEastAsia"/>
                <w:color w:val="auto"/>
                <w:spacing w:val="11"/>
                <w:position w:val="0"/>
                <w:sz w:val="24"/>
                <w:szCs w:val="22"/>
                <w:highlight w:val="none"/>
                <w:u w:val="none" w:color="auto"/>
              </w:rPr>
            </w:pPr>
            <w:r>
              <w:rPr>
                <w:rFonts w:hint="eastAsia" w:ascii="Times New Roman" w:hAnsi="Times New Roman" w:eastAsia="宋体" w:cs="Times New Roman"/>
                <w:color w:val="auto"/>
                <w:spacing w:val="11"/>
                <w:position w:val="0"/>
                <w:szCs w:val="24"/>
                <w:highlight w:val="none"/>
              </w:rPr>
              <w:t>因项目厂区</w:t>
            </w:r>
            <w:r>
              <w:rPr>
                <w:rFonts w:hint="eastAsia" w:cs="Times New Roman"/>
                <w:color w:val="auto"/>
                <w:spacing w:val="11"/>
                <w:position w:val="0"/>
                <w:szCs w:val="24"/>
                <w:highlight w:val="none"/>
                <w:lang w:val="en-US" w:eastAsia="zh-CN"/>
              </w:rPr>
              <w:t>地面拟做硬化处理</w:t>
            </w:r>
            <w:r>
              <w:rPr>
                <w:rFonts w:hint="eastAsia" w:ascii="Times New Roman" w:hAnsi="Times New Roman" w:eastAsia="宋体" w:cs="Times New Roman"/>
                <w:color w:val="auto"/>
                <w:spacing w:val="11"/>
                <w:position w:val="0"/>
                <w:szCs w:val="24"/>
                <w:highlight w:val="none"/>
              </w:rPr>
              <w:t>，且项目不存在土壤和地下水的污染途径，根据《建设项目环境影响报告表编制技术指南（污染影响类）》（试行）要求，可不开展地下水和土壤环境质量现状调查。</w:t>
            </w:r>
          </w:p>
          <w:p w14:paraId="37A0F529">
            <w:pPr>
              <w:pageBreakBefore w:val="0"/>
              <w:widowControl w:val="0"/>
              <w:kinsoku/>
              <w:wordWrap/>
              <w:overflowPunct/>
              <w:topLinePunct w:val="0"/>
              <w:autoSpaceDE/>
              <w:autoSpaceDN/>
              <w:bidi w:val="0"/>
              <w:adjustRightInd w:val="0"/>
              <w:snapToGrid w:val="0"/>
              <w:spacing w:after="0" w:afterLines="0" w:line="360" w:lineRule="auto"/>
              <w:ind w:left="0" w:leftChars="0" w:firstLine="526" w:firstLineChars="200"/>
              <w:jc w:val="both"/>
              <w:textAlignment w:val="auto"/>
              <w:rPr>
                <w:rFonts w:hint="default" w:ascii="Times New Roman" w:hAnsi="Times New Roman" w:cs="Times New Roman" w:eastAsiaTheme="minorEastAsia"/>
                <w:b/>
                <w:bCs/>
                <w:color w:val="auto"/>
                <w:spacing w:val="11"/>
                <w:position w:val="0"/>
                <w:sz w:val="24"/>
                <w:highlight w:val="none"/>
                <w:u w:val="none" w:color="auto"/>
                <w:lang w:val="en-US" w:eastAsia="zh-CN"/>
              </w:rPr>
            </w:pPr>
            <w:r>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t>5、</w:t>
            </w:r>
            <w:r>
              <w:rPr>
                <w:rFonts w:hint="default" w:ascii="Times New Roman" w:hAnsi="Times New Roman" w:cs="Times New Roman" w:eastAsiaTheme="minorEastAsia"/>
                <w:b/>
                <w:bCs/>
                <w:color w:val="auto"/>
                <w:spacing w:val="11"/>
                <w:position w:val="0"/>
                <w:sz w:val="24"/>
                <w:highlight w:val="none"/>
                <w:u w:val="none" w:color="auto"/>
                <w:lang w:val="en-US" w:eastAsia="zh-CN"/>
              </w:rPr>
              <w:t>电磁辐射</w:t>
            </w:r>
          </w:p>
          <w:p w14:paraId="7C7A09A8">
            <w:pPr>
              <w:pageBreakBefore w:val="0"/>
              <w:widowControl w:val="0"/>
              <w:kinsoku/>
              <w:wordWrap/>
              <w:overflowPunct/>
              <w:topLinePunct w:val="0"/>
              <w:autoSpaceDE/>
              <w:autoSpaceDN/>
              <w:bidi w:val="0"/>
              <w:adjustRightInd w:val="0"/>
              <w:snapToGrid w:val="0"/>
              <w:spacing w:after="0" w:afterLines="0" w:line="360" w:lineRule="auto"/>
              <w:ind w:firstLine="524" w:firstLineChars="200"/>
              <w:jc w:val="both"/>
              <w:textAlignment w:val="auto"/>
              <w:rPr>
                <w:rFonts w:hint="default" w:ascii="Times New Roman" w:hAnsi="Times New Roman" w:cs="Times New Roman" w:eastAsiaTheme="minorEastAsia"/>
                <w:color w:val="auto"/>
                <w:spacing w:val="11"/>
                <w:kern w:val="2"/>
                <w:position w:val="0"/>
                <w:sz w:val="24"/>
                <w:szCs w:val="22"/>
                <w:highlight w:val="none"/>
                <w:u w:val="none" w:color="auto"/>
                <w:lang w:val="en-US" w:eastAsia="zh-CN" w:bidi="ar-SA"/>
              </w:rPr>
            </w:pPr>
            <w:r>
              <w:rPr>
                <w:rFonts w:hint="default" w:ascii="Times New Roman" w:hAnsi="Times New Roman" w:cs="Times New Roman" w:eastAsiaTheme="minorEastAsia"/>
                <w:color w:val="auto"/>
                <w:spacing w:val="11"/>
                <w:position w:val="0"/>
                <w:sz w:val="24"/>
                <w:highlight w:val="none"/>
                <w:u w:val="none" w:color="auto"/>
                <w:lang w:val="en-US" w:eastAsia="zh-CN"/>
              </w:rPr>
              <w:t>本项目不涉及电磁辐射设备，不进行电磁辐射影响评价，因此无需进行电磁辐射环境现状调查。</w:t>
            </w:r>
          </w:p>
          <w:p w14:paraId="02E504F0">
            <w:pPr>
              <w:keepNext/>
              <w:keepLines/>
              <w:pageBreakBefore w:val="0"/>
              <w:widowControl w:val="0"/>
              <w:numPr>
                <w:ilvl w:val="0"/>
                <w:numId w:val="0"/>
              </w:numPr>
              <w:kinsoku/>
              <w:wordWrap/>
              <w:overflowPunct/>
              <w:topLinePunct w:val="0"/>
              <w:autoSpaceDE/>
              <w:autoSpaceDN/>
              <w:bidi w:val="0"/>
              <w:adjustRightInd w:val="0"/>
              <w:snapToGrid w:val="0"/>
              <w:spacing w:after="0" w:afterLines="0" w:line="360" w:lineRule="auto"/>
              <w:ind w:firstLine="526" w:firstLineChars="200"/>
              <w:jc w:val="both"/>
              <w:textAlignment w:val="auto"/>
              <w:outlineLvl w:val="2"/>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pPr>
            <w:r>
              <w:rPr>
                <w:rFonts w:hint="eastAsia" w:cs="Times New Roman" w:eastAsiaTheme="minorEastAsia"/>
                <w:b/>
                <w:bCs/>
                <w:color w:val="auto"/>
                <w:spacing w:val="11"/>
                <w:kern w:val="2"/>
                <w:position w:val="0"/>
                <w:sz w:val="24"/>
                <w:szCs w:val="22"/>
                <w:highlight w:val="none"/>
                <w:u w:val="none" w:color="auto"/>
                <w:lang w:val="en-US" w:eastAsia="zh-CN" w:bidi="ar-SA"/>
              </w:rPr>
              <w:t>6</w:t>
            </w:r>
            <w:r>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t>、生态环境质量现状</w:t>
            </w:r>
            <w:bookmarkEnd w:id="5"/>
          </w:p>
          <w:bookmarkEnd w:id="7"/>
          <w:p w14:paraId="383AFA1F">
            <w:pPr>
              <w:pageBreakBefore w:val="0"/>
              <w:widowControl w:val="0"/>
              <w:kinsoku/>
              <w:wordWrap/>
              <w:overflowPunct/>
              <w:topLinePunct w:val="0"/>
              <w:autoSpaceDE/>
              <w:autoSpaceDN/>
              <w:bidi w:val="0"/>
              <w:adjustRightInd w:val="0"/>
              <w:snapToGrid w:val="0"/>
              <w:spacing w:line="360" w:lineRule="auto"/>
              <w:ind w:firstLine="524" w:firstLineChars="200"/>
              <w:jc w:val="both"/>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kern w:val="2"/>
                <w:position w:val="0"/>
                <w:sz w:val="24"/>
                <w:szCs w:val="22"/>
                <w:highlight w:val="none"/>
                <w:u w:val="none" w:color="auto"/>
                <w:lang w:val="en-US" w:eastAsia="zh-CN" w:bidi="ar-SA"/>
              </w:rPr>
              <w:t>项目位于</w:t>
            </w:r>
            <w:r>
              <w:rPr>
                <w:rFonts w:hint="eastAsia" w:cs="Times New Roman" w:eastAsiaTheme="minorEastAsia"/>
                <w:color w:val="auto"/>
                <w:spacing w:val="11"/>
                <w:kern w:val="2"/>
                <w:position w:val="0"/>
                <w:sz w:val="24"/>
                <w:szCs w:val="22"/>
                <w:highlight w:val="none"/>
                <w:u w:val="none" w:color="auto"/>
                <w:lang w:val="en-US" w:eastAsia="zh-CN" w:bidi="ar-SA"/>
              </w:rPr>
              <w:t>新田县县城</w:t>
            </w:r>
            <w:r>
              <w:rPr>
                <w:rFonts w:hint="default" w:ascii="Times New Roman" w:hAnsi="Times New Roman" w:cs="Times New Roman" w:eastAsiaTheme="minorEastAsia"/>
                <w:color w:val="auto"/>
                <w:spacing w:val="11"/>
                <w:kern w:val="2"/>
                <w:position w:val="0"/>
                <w:sz w:val="24"/>
                <w:szCs w:val="22"/>
                <w:highlight w:val="none"/>
                <w:u w:val="none" w:color="auto"/>
                <w:lang w:val="en-US" w:eastAsia="zh-CN" w:bidi="ar-SA"/>
              </w:rPr>
              <w:t>建成区，</w:t>
            </w:r>
            <w:r>
              <w:rPr>
                <w:rFonts w:hint="eastAsia" w:cs="Times New Roman" w:eastAsiaTheme="minorEastAsia"/>
                <w:color w:val="auto"/>
                <w:spacing w:val="11"/>
                <w:kern w:val="2"/>
                <w:position w:val="0"/>
                <w:sz w:val="24"/>
                <w:szCs w:val="22"/>
                <w:highlight w:val="none"/>
                <w:u w:val="none" w:color="auto"/>
                <w:lang w:val="en-US" w:eastAsia="zh-CN" w:bidi="ar-SA"/>
              </w:rPr>
              <w:t>在院区东侧中部进行建设，不新增用地</w:t>
            </w:r>
            <w:r>
              <w:rPr>
                <w:rFonts w:hint="default" w:ascii="Times New Roman" w:hAnsi="Times New Roman" w:cs="Times New Roman" w:eastAsiaTheme="minorEastAsia"/>
                <w:color w:val="auto"/>
                <w:spacing w:val="11"/>
                <w:kern w:val="2"/>
                <w:position w:val="0"/>
                <w:sz w:val="24"/>
                <w:szCs w:val="22"/>
                <w:highlight w:val="none"/>
                <w:u w:val="none" w:color="auto"/>
                <w:lang w:val="en-US" w:eastAsia="zh-CN" w:bidi="ar-SA"/>
              </w:rPr>
              <w:t>，周边主要为居民区及城市绿化，区域内无珍稀保护野生动植物。用地范围内不涉及生态环境保护目标，无需进行生态现状调查。</w:t>
            </w:r>
          </w:p>
        </w:tc>
      </w:tr>
      <w:tr w14:paraId="44E476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0" w:type="pct"/>
            <w:tcBorders>
              <w:tl2br w:val="nil"/>
              <w:tr2bl w:val="nil"/>
            </w:tcBorders>
            <w:vAlign w:val="center"/>
          </w:tcPr>
          <w:p w14:paraId="736EE6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环境保护目标</w:t>
            </w:r>
          </w:p>
        </w:tc>
        <w:tc>
          <w:tcPr>
            <w:tcW w:w="400" w:type="pct"/>
            <w:tcBorders>
              <w:tl2br w:val="nil"/>
              <w:tr2bl w:val="nil"/>
            </w:tcBorders>
            <w:vAlign w:val="top"/>
          </w:tcPr>
          <w:p w14:paraId="6F3F14C1">
            <w:pPr>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right="0" w:firstLine="0" w:firstLineChars="0"/>
              <w:jc w:val="both"/>
              <w:textAlignment w:val="auto"/>
              <w:rPr>
                <w:rFonts w:hint="default" w:ascii="Times New Roman" w:hAnsi="Times New Roman" w:cs="Times New Roman" w:eastAsiaTheme="minorEastAsia"/>
                <w:b/>
                <w:color w:val="auto"/>
                <w:spacing w:val="11"/>
                <w:kern w:val="21"/>
                <w:position w:val="0"/>
                <w:sz w:val="24"/>
                <w:szCs w:val="21"/>
                <w:highlight w:val="none"/>
                <w:u w:val="none" w:color="auto"/>
                <w:lang w:val="en-US" w:eastAsia="zh-CN" w:bidi="ar-SA"/>
              </w:rPr>
            </w:pPr>
            <w:bookmarkStart w:id="8" w:name="_Toc411767826"/>
            <w:r>
              <w:rPr>
                <w:rFonts w:hint="default" w:ascii="Times New Roman" w:hAnsi="Times New Roman" w:cs="Times New Roman" w:eastAsiaTheme="minorEastAsia"/>
                <w:b/>
                <w:color w:val="auto"/>
                <w:spacing w:val="11"/>
                <w:kern w:val="21"/>
                <w:position w:val="0"/>
                <w:sz w:val="24"/>
                <w:szCs w:val="21"/>
                <w:highlight w:val="none"/>
                <w:u w:val="none" w:color="auto"/>
                <w:lang w:val="en-US" w:eastAsia="zh-CN" w:bidi="ar-SA"/>
              </w:rPr>
              <w:t>主要环境保护目标（列出名单及保护级别）</w:t>
            </w:r>
            <w:bookmarkEnd w:id="8"/>
          </w:p>
          <w:p w14:paraId="2BF02857">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yellow"/>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rPr>
              <w:t>根据现场调查，区域内无自然保护区、饮用水水源保护区、珍稀动植物保护物种、无历史文物古迹等需要特殊保护的环境敏感点。本项目主要环保目标见表3-</w:t>
            </w:r>
            <w:r>
              <w:rPr>
                <w:rFonts w:hint="eastAsia" w:cs="Times New Roman" w:eastAsiaTheme="minorEastAsia"/>
                <w:color w:val="auto"/>
                <w:spacing w:val="11"/>
                <w:position w:val="0"/>
                <w:sz w:val="24"/>
                <w:szCs w:val="24"/>
                <w:highlight w:val="none"/>
                <w:u w:val="none" w:color="auto"/>
                <w:lang w:val="en-US" w:eastAsia="zh-CN"/>
              </w:rPr>
              <w:t>4</w:t>
            </w:r>
            <w:r>
              <w:rPr>
                <w:rFonts w:hint="default" w:ascii="Times New Roman" w:hAnsi="Times New Roman" w:cs="Times New Roman" w:eastAsiaTheme="minorEastAsia"/>
                <w:color w:val="auto"/>
                <w:spacing w:val="11"/>
                <w:position w:val="0"/>
                <w:sz w:val="24"/>
                <w:szCs w:val="24"/>
                <w:highlight w:val="none"/>
                <w:u w:val="none" w:color="auto"/>
              </w:rPr>
              <w:t>所示</w:t>
            </w:r>
            <w:r>
              <w:rPr>
                <w:rFonts w:hint="default" w:ascii="Times New Roman" w:hAnsi="Times New Roman" w:cs="Times New Roman" w:eastAsiaTheme="minorEastAsia"/>
                <w:color w:val="auto"/>
                <w:spacing w:val="11"/>
                <w:position w:val="0"/>
                <w:sz w:val="24"/>
                <w:szCs w:val="24"/>
                <w:highlight w:val="none"/>
                <w:u w:val="none" w:color="auto"/>
                <w:lang w:eastAsia="zh-CN"/>
              </w:rPr>
              <w:t>。</w:t>
            </w:r>
          </w:p>
          <w:p w14:paraId="1CADAC4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pacing w:val="11"/>
                <w:position w:val="0"/>
                <w:sz w:val="21"/>
                <w:szCs w:val="21"/>
                <w:highlight w:val="none"/>
                <w:u w:val="none" w:color="auto"/>
              </w:rPr>
            </w:pPr>
          </w:p>
          <w:p w14:paraId="75FC7F7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pacing w:val="11"/>
                <w:position w:val="0"/>
                <w:sz w:val="21"/>
                <w:szCs w:val="21"/>
                <w:highlight w:val="none"/>
                <w:u w:val="none" w:color="auto"/>
              </w:rPr>
            </w:pPr>
          </w:p>
          <w:p w14:paraId="34C180C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pacing w:val="11"/>
                <w:position w:val="0"/>
                <w:sz w:val="21"/>
                <w:szCs w:val="21"/>
                <w:highlight w:val="none"/>
                <w:u w:val="none" w:color="auto"/>
              </w:rPr>
            </w:pPr>
          </w:p>
          <w:p w14:paraId="60FEBDE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pacing w:val="11"/>
                <w:position w:val="0"/>
                <w:sz w:val="21"/>
                <w:szCs w:val="21"/>
                <w:highlight w:val="none"/>
                <w:u w:val="none" w:color="auto"/>
              </w:rPr>
            </w:pPr>
          </w:p>
          <w:p w14:paraId="4879456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pacing w:val="11"/>
                <w:position w:val="0"/>
                <w:sz w:val="21"/>
                <w:szCs w:val="21"/>
                <w:highlight w:val="none"/>
                <w:u w:val="single" w:color="auto"/>
                <w:lang w:val="en-US" w:eastAsia="zh-CN"/>
              </w:rPr>
            </w:pPr>
            <w:r>
              <w:rPr>
                <w:rFonts w:hint="default" w:ascii="Times New Roman" w:hAnsi="Times New Roman" w:cs="Times New Roman" w:eastAsiaTheme="minorEastAsia"/>
                <w:b/>
                <w:bCs/>
                <w:color w:val="auto"/>
                <w:spacing w:val="11"/>
                <w:position w:val="0"/>
                <w:sz w:val="21"/>
                <w:szCs w:val="21"/>
                <w:highlight w:val="none"/>
                <w:u w:val="single" w:color="auto"/>
              </w:rPr>
              <w:t>表</w:t>
            </w:r>
            <w:r>
              <w:rPr>
                <w:rFonts w:hint="default" w:ascii="Times New Roman" w:hAnsi="Times New Roman" w:cs="Times New Roman" w:eastAsiaTheme="minorEastAsia"/>
                <w:b/>
                <w:bCs/>
                <w:color w:val="auto"/>
                <w:spacing w:val="11"/>
                <w:position w:val="0"/>
                <w:sz w:val="21"/>
                <w:szCs w:val="21"/>
                <w:highlight w:val="none"/>
                <w:u w:val="single" w:color="auto"/>
                <w:lang w:val="en-US" w:eastAsia="zh-CN"/>
              </w:rPr>
              <w:t>3-</w:t>
            </w:r>
            <w:r>
              <w:rPr>
                <w:rFonts w:hint="eastAsia" w:cs="Times New Roman" w:eastAsiaTheme="minorEastAsia"/>
                <w:b/>
                <w:bCs/>
                <w:color w:val="auto"/>
                <w:spacing w:val="11"/>
                <w:position w:val="0"/>
                <w:sz w:val="21"/>
                <w:szCs w:val="21"/>
                <w:highlight w:val="none"/>
                <w:u w:val="single" w:color="auto"/>
                <w:lang w:val="en-US" w:eastAsia="zh-CN"/>
              </w:rPr>
              <w:t>4</w:t>
            </w:r>
            <w:r>
              <w:rPr>
                <w:rFonts w:hint="default" w:ascii="Times New Roman" w:hAnsi="Times New Roman" w:cs="Times New Roman" w:eastAsiaTheme="minorEastAsia"/>
                <w:b/>
                <w:bCs/>
                <w:color w:val="auto"/>
                <w:spacing w:val="11"/>
                <w:position w:val="0"/>
                <w:sz w:val="21"/>
                <w:szCs w:val="21"/>
                <w:highlight w:val="none"/>
                <w:u w:val="single" w:color="auto"/>
              </w:rPr>
              <w:t xml:space="preserve"> </w:t>
            </w:r>
            <w:r>
              <w:rPr>
                <w:rFonts w:hint="eastAsia" w:cs="Times New Roman" w:eastAsiaTheme="minorEastAsia"/>
                <w:b/>
                <w:bCs/>
                <w:color w:val="auto"/>
                <w:spacing w:val="11"/>
                <w:position w:val="0"/>
                <w:sz w:val="21"/>
                <w:szCs w:val="21"/>
                <w:highlight w:val="none"/>
                <w:u w:val="single" w:color="auto"/>
                <w:lang w:val="en-US" w:eastAsia="zh-CN"/>
              </w:rPr>
              <w:t xml:space="preserve"> </w:t>
            </w:r>
            <w:r>
              <w:rPr>
                <w:rFonts w:hint="default" w:ascii="Times New Roman" w:hAnsi="Times New Roman" w:cs="Times New Roman" w:eastAsiaTheme="minorEastAsia"/>
                <w:b/>
                <w:bCs/>
                <w:color w:val="auto"/>
                <w:spacing w:val="11"/>
                <w:position w:val="0"/>
                <w:sz w:val="21"/>
                <w:szCs w:val="21"/>
                <w:highlight w:val="none"/>
                <w:u w:val="single" w:color="auto"/>
              </w:rPr>
              <w:t>主要环境保护目标</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1607"/>
              <w:gridCol w:w="1224"/>
              <w:gridCol w:w="1918"/>
              <w:gridCol w:w="1179"/>
              <w:gridCol w:w="2286"/>
            </w:tblGrid>
            <w:tr w14:paraId="1EB4A1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tcBorders>
                    <w:tl2br w:val="nil"/>
                    <w:tr2bl w:val="nil"/>
                  </w:tcBorders>
                  <w:noWrap w:val="0"/>
                  <w:vAlign w:val="center"/>
                </w:tcPr>
                <w:p w14:paraId="1A9014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环境要素</w:t>
                  </w:r>
                </w:p>
              </w:tc>
              <w:tc>
                <w:tcPr>
                  <w:tcW w:w="890" w:type="pct"/>
                  <w:tcBorders>
                    <w:tl2br w:val="nil"/>
                    <w:tr2bl w:val="nil"/>
                  </w:tcBorders>
                  <w:noWrap w:val="0"/>
                  <w:vAlign w:val="center"/>
                </w:tcPr>
                <w:p w14:paraId="70964B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敏感点名称</w:t>
                  </w:r>
                </w:p>
              </w:tc>
              <w:tc>
                <w:tcPr>
                  <w:tcW w:w="678" w:type="pct"/>
                  <w:tcBorders>
                    <w:tl2br w:val="nil"/>
                    <w:tr2bl w:val="nil"/>
                  </w:tcBorders>
                  <w:noWrap w:val="0"/>
                  <w:vAlign w:val="center"/>
                </w:tcPr>
                <w:p w14:paraId="390637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相对项目的最近距离</w:t>
                  </w:r>
                </w:p>
              </w:tc>
              <w:tc>
                <w:tcPr>
                  <w:tcW w:w="1062" w:type="pct"/>
                  <w:tcBorders>
                    <w:tl2br w:val="nil"/>
                    <w:tr2bl w:val="nil"/>
                  </w:tcBorders>
                  <w:noWrap w:val="0"/>
                  <w:vAlign w:val="center"/>
                </w:tcPr>
                <w:p w14:paraId="087731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坐标</w:t>
                  </w:r>
                </w:p>
              </w:tc>
              <w:tc>
                <w:tcPr>
                  <w:tcW w:w="653" w:type="pct"/>
                  <w:tcBorders>
                    <w:tl2br w:val="nil"/>
                    <w:tr2bl w:val="nil"/>
                  </w:tcBorders>
                  <w:noWrap w:val="0"/>
                  <w:vAlign w:val="center"/>
                </w:tcPr>
                <w:p w14:paraId="5FB0F5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功能及规模</w:t>
                  </w:r>
                </w:p>
              </w:tc>
              <w:tc>
                <w:tcPr>
                  <w:tcW w:w="1266" w:type="pct"/>
                  <w:tcBorders>
                    <w:tl2br w:val="nil"/>
                    <w:tr2bl w:val="nil"/>
                  </w:tcBorders>
                  <w:noWrap w:val="0"/>
                  <w:vAlign w:val="center"/>
                </w:tcPr>
                <w:p w14:paraId="006FC5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环境功</w:t>
                  </w:r>
                  <w:r>
                    <w:rPr>
                      <w:rFonts w:hint="default" w:ascii="Times New Roman" w:hAnsi="Times New Roman" w:cs="Times New Roman" w:eastAsiaTheme="minorEastAsia"/>
                      <w:color w:val="auto"/>
                      <w:spacing w:val="11"/>
                      <w:position w:val="0"/>
                      <w:sz w:val="21"/>
                      <w:szCs w:val="21"/>
                      <w:highlight w:val="none"/>
                      <w:u w:val="single" w:color="auto"/>
                      <w:lang w:eastAsia="zh-CN"/>
                    </w:rPr>
                    <w:cr/>
                  </w:r>
                  <w:r>
                    <w:rPr>
                      <w:rFonts w:hint="default" w:ascii="Times New Roman" w:hAnsi="Times New Roman" w:cs="Times New Roman" w:eastAsiaTheme="minorEastAsia"/>
                      <w:color w:val="auto"/>
                      <w:spacing w:val="11"/>
                      <w:position w:val="0"/>
                      <w:sz w:val="21"/>
                      <w:szCs w:val="21"/>
                      <w:highlight w:val="none"/>
                      <w:u w:val="single" w:color="auto"/>
                      <w:lang w:eastAsia="zh-CN"/>
                    </w:rPr>
                    <w:t>区</w:t>
                  </w:r>
                </w:p>
              </w:tc>
            </w:tr>
            <w:tr w14:paraId="18F0F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vMerge w:val="restart"/>
                  <w:tcBorders>
                    <w:tl2br w:val="nil"/>
                    <w:tr2bl w:val="nil"/>
                  </w:tcBorders>
                  <w:noWrap w:val="0"/>
                  <w:vAlign w:val="center"/>
                </w:tcPr>
                <w:p w14:paraId="345ECC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default" w:ascii="Times New Roman" w:hAnsi="Times New Roman" w:cs="Times New Roman" w:eastAsiaTheme="minorEastAsia"/>
                      <w:color w:val="auto"/>
                      <w:spacing w:val="11"/>
                      <w:position w:val="0"/>
                      <w:sz w:val="21"/>
                      <w:szCs w:val="21"/>
                      <w:highlight w:val="none"/>
                      <w:u w:val="single" w:color="auto"/>
                      <w:lang w:val="en-US" w:eastAsia="zh-CN"/>
                    </w:rPr>
                    <w:t>环境空气</w:t>
                  </w:r>
                </w:p>
              </w:tc>
              <w:tc>
                <w:tcPr>
                  <w:tcW w:w="890" w:type="pct"/>
                  <w:tcBorders>
                    <w:tl2br w:val="nil"/>
                    <w:tr2bl w:val="nil"/>
                  </w:tcBorders>
                  <w:shd w:val="clear" w:color="auto" w:fill="auto"/>
                  <w:noWrap w:val="0"/>
                  <w:vAlign w:val="center"/>
                </w:tcPr>
                <w:p w14:paraId="2D5CD1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position w:val="0"/>
                      <w:sz w:val="21"/>
                      <w:szCs w:val="21"/>
                      <w:highlight w:val="none"/>
                      <w:u w:val="single" w:color="auto"/>
                      <w:lang w:val="en-US" w:eastAsia="zh-CN"/>
                    </w:rPr>
                    <w:t>新田县县城居民（500m范围内）</w:t>
                  </w:r>
                </w:p>
              </w:tc>
              <w:tc>
                <w:tcPr>
                  <w:tcW w:w="678" w:type="pct"/>
                  <w:tcBorders>
                    <w:tl2br w:val="nil"/>
                    <w:tr2bl w:val="nil"/>
                  </w:tcBorders>
                  <w:shd w:val="clear" w:color="auto" w:fill="auto"/>
                  <w:noWrap w:val="0"/>
                  <w:vAlign w:val="center"/>
                </w:tcPr>
                <w:p w14:paraId="072E34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kern w:val="2"/>
                      <w:position w:val="0"/>
                      <w:sz w:val="21"/>
                      <w:szCs w:val="21"/>
                      <w:highlight w:val="none"/>
                      <w:u w:val="single" w:color="auto"/>
                      <w:lang w:val="en-US" w:eastAsia="zh-CN" w:bidi="ar-SA"/>
                    </w:rPr>
                    <w:t>10-500m</w:t>
                  </w:r>
                </w:p>
              </w:tc>
              <w:tc>
                <w:tcPr>
                  <w:tcW w:w="1062" w:type="pct"/>
                  <w:tcBorders>
                    <w:tl2br w:val="nil"/>
                    <w:tr2bl w:val="nil"/>
                  </w:tcBorders>
                  <w:shd w:val="clear" w:color="auto" w:fill="auto"/>
                  <w:noWrap w:val="0"/>
                  <w:vAlign w:val="center"/>
                </w:tcPr>
                <w:p w14:paraId="79BBAB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经度：112.213553</w:t>
                  </w:r>
                </w:p>
                <w:p w14:paraId="2BD887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纬度：25.904079</w:t>
                  </w:r>
                </w:p>
              </w:tc>
              <w:tc>
                <w:tcPr>
                  <w:tcW w:w="653" w:type="pct"/>
                  <w:tcBorders>
                    <w:tl2br w:val="nil"/>
                    <w:tr2bl w:val="nil"/>
                  </w:tcBorders>
                  <w:shd w:val="clear" w:color="auto" w:fill="auto"/>
                  <w:noWrap w:val="0"/>
                  <w:vAlign w:val="center"/>
                </w:tcPr>
                <w:p w14:paraId="698F3C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position w:val="0"/>
                      <w:sz w:val="21"/>
                      <w:szCs w:val="21"/>
                      <w:highlight w:val="none"/>
                      <w:u w:val="single" w:color="auto"/>
                      <w:lang w:val="en-US" w:eastAsia="zh-CN"/>
                    </w:rPr>
                    <w:t>共约15770人</w:t>
                  </w:r>
                </w:p>
              </w:tc>
              <w:tc>
                <w:tcPr>
                  <w:tcW w:w="1266" w:type="pct"/>
                  <w:vMerge w:val="restart"/>
                  <w:tcBorders>
                    <w:tl2br w:val="nil"/>
                    <w:tr2bl w:val="nil"/>
                  </w:tcBorders>
                  <w:noWrap w:val="0"/>
                  <w:vAlign w:val="center"/>
                </w:tcPr>
                <w:p w14:paraId="092BAC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eastAsia" w:cs="Times New Roman" w:eastAsiaTheme="minorEastAsia"/>
                      <w:color w:val="auto"/>
                      <w:spacing w:val="11"/>
                      <w:position w:val="0"/>
                      <w:sz w:val="21"/>
                      <w:szCs w:val="21"/>
                      <w:highlight w:val="none"/>
                      <w:u w:val="single" w:color="auto"/>
                      <w:lang w:eastAsia="zh-CN"/>
                    </w:rPr>
                    <w:t>《</w:t>
                  </w:r>
                  <w:r>
                    <w:rPr>
                      <w:rFonts w:hint="default" w:ascii="Times New Roman" w:hAnsi="Times New Roman" w:cs="Times New Roman" w:eastAsiaTheme="minorEastAsia"/>
                      <w:color w:val="auto"/>
                      <w:spacing w:val="11"/>
                      <w:position w:val="0"/>
                      <w:sz w:val="21"/>
                      <w:szCs w:val="21"/>
                      <w:highlight w:val="none"/>
                      <w:u w:val="single" w:color="auto"/>
                      <w:lang w:eastAsia="zh-CN"/>
                    </w:rPr>
                    <w:t>环境空气质量标准》（GB3095-2012）二级标准</w:t>
                  </w:r>
                </w:p>
              </w:tc>
            </w:tr>
            <w:tr w14:paraId="7A90C9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vMerge w:val="continue"/>
                  <w:tcBorders>
                    <w:tl2br w:val="nil"/>
                    <w:tr2bl w:val="nil"/>
                  </w:tcBorders>
                  <w:noWrap w:val="0"/>
                  <w:vAlign w:val="center"/>
                </w:tcPr>
                <w:p w14:paraId="227B6C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p>
              </w:tc>
              <w:tc>
                <w:tcPr>
                  <w:tcW w:w="890" w:type="pct"/>
                  <w:tcBorders>
                    <w:tl2br w:val="nil"/>
                    <w:tr2bl w:val="nil"/>
                  </w:tcBorders>
                  <w:shd w:val="clear" w:color="auto" w:fill="auto"/>
                  <w:noWrap w:val="0"/>
                  <w:vAlign w:val="center"/>
                </w:tcPr>
                <w:p w14:paraId="04DB54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新田县中医医院现有工程</w:t>
                  </w:r>
                </w:p>
              </w:tc>
              <w:tc>
                <w:tcPr>
                  <w:tcW w:w="678" w:type="pct"/>
                  <w:tcBorders>
                    <w:tl2br w:val="nil"/>
                    <w:tr2bl w:val="nil"/>
                  </w:tcBorders>
                  <w:shd w:val="clear" w:color="auto" w:fill="auto"/>
                  <w:noWrap w:val="0"/>
                  <w:vAlign w:val="center"/>
                </w:tcPr>
                <w:p w14:paraId="241B82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kern w:val="2"/>
                      <w:position w:val="0"/>
                      <w:sz w:val="21"/>
                      <w:szCs w:val="21"/>
                      <w:highlight w:val="none"/>
                      <w:u w:val="single" w:color="auto"/>
                      <w:lang w:val="en-US" w:eastAsia="zh-CN" w:bidi="ar-SA"/>
                    </w:rPr>
                    <w:t>12-116m</w:t>
                  </w:r>
                </w:p>
              </w:tc>
              <w:tc>
                <w:tcPr>
                  <w:tcW w:w="1062" w:type="pct"/>
                  <w:tcBorders>
                    <w:tl2br w:val="nil"/>
                    <w:tr2bl w:val="nil"/>
                  </w:tcBorders>
                  <w:shd w:val="clear" w:color="auto" w:fill="auto"/>
                  <w:noWrap w:val="0"/>
                  <w:vAlign w:val="center"/>
                </w:tcPr>
                <w:p w14:paraId="0256C7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经度：112.210934</w:t>
                  </w:r>
                </w:p>
                <w:p w14:paraId="3A3A44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纬度：25.904082</w:t>
                  </w:r>
                </w:p>
              </w:tc>
              <w:tc>
                <w:tcPr>
                  <w:tcW w:w="653" w:type="pct"/>
                  <w:tcBorders>
                    <w:tl2br w:val="nil"/>
                    <w:tr2bl w:val="nil"/>
                  </w:tcBorders>
                  <w:shd w:val="clear" w:color="auto" w:fill="auto"/>
                  <w:noWrap w:val="0"/>
                  <w:vAlign w:val="center"/>
                </w:tcPr>
                <w:p w14:paraId="17493F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共约2130人</w:t>
                  </w:r>
                </w:p>
              </w:tc>
              <w:tc>
                <w:tcPr>
                  <w:tcW w:w="1266" w:type="pct"/>
                  <w:vMerge w:val="continue"/>
                  <w:tcBorders>
                    <w:tl2br w:val="nil"/>
                    <w:tr2bl w:val="nil"/>
                  </w:tcBorders>
                  <w:noWrap w:val="0"/>
                  <w:vAlign w:val="center"/>
                </w:tcPr>
                <w:p w14:paraId="72C440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eastAsia="zh-CN"/>
                    </w:rPr>
                  </w:pPr>
                </w:p>
              </w:tc>
            </w:tr>
            <w:tr w14:paraId="3ED377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vMerge w:val="continue"/>
                  <w:tcBorders>
                    <w:tl2br w:val="nil"/>
                    <w:tr2bl w:val="nil"/>
                  </w:tcBorders>
                  <w:noWrap w:val="0"/>
                  <w:vAlign w:val="center"/>
                </w:tcPr>
                <w:p w14:paraId="77A1AD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p>
              </w:tc>
              <w:tc>
                <w:tcPr>
                  <w:tcW w:w="890" w:type="pct"/>
                  <w:tcBorders>
                    <w:tl2br w:val="nil"/>
                    <w:tr2bl w:val="nil"/>
                  </w:tcBorders>
                  <w:shd w:val="clear" w:color="auto" w:fill="auto"/>
                  <w:noWrap w:val="0"/>
                  <w:vAlign w:val="center"/>
                </w:tcPr>
                <w:p w14:paraId="4CB512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新田县第二中学</w:t>
                  </w:r>
                </w:p>
              </w:tc>
              <w:tc>
                <w:tcPr>
                  <w:tcW w:w="678" w:type="pct"/>
                  <w:tcBorders>
                    <w:tl2br w:val="nil"/>
                    <w:tr2bl w:val="nil"/>
                  </w:tcBorders>
                  <w:shd w:val="clear" w:color="auto" w:fill="auto"/>
                  <w:noWrap w:val="0"/>
                  <w:vAlign w:val="center"/>
                </w:tcPr>
                <w:p w14:paraId="7407B3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kern w:val="2"/>
                      <w:position w:val="0"/>
                      <w:sz w:val="21"/>
                      <w:szCs w:val="21"/>
                      <w:highlight w:val="none"/>
                      <w:u w:val="single" w:color="auto"/>
                      <w:lang w:val="en-US" w:eastAsia="zh-CN" w:bidi="ar-SA"/>
                    </w:rPr>
                    <w:t>西南侧22-477m</w:t>
                  </w:r>
                </w:p>
              </w:tc>
              <w:tc>
                <w:tcPr>
                  <w:tcW w:w="1062" w:type="pct"/>
                  <w:tcBorders>
                    <w:tl2br w:val="nil"/>
                    <w:tr2bl w:val="nil"/>
                  </w:tcBorders>
                  <w:shd w:val="clear" w:color="auto" w:fill="auto"/>
                  <w:noWrap w:val="0"/>
                  <w:vAlign w:val="center"/>
                </w:tcPr>
                <w:p w14:paraId="7C28A5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经度：112.208627</w:t>
                  </w:r>
                </w:p>
                <w:p w14:paraId="111B8A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纬度：25.901743</w:t>
                  </w:r>
                </w:p>
              </w:tc>
              <w:tc>
                <w:tcPr>
                  <w:tcW w:w="653" w:type="pct"/>
                  <w:tcBorders>
                    <w:tl2br w:val="nil"/>
                    <w:tr2bl w:val="nil"/>
                  </w:tcBorders>
                  <w:shd w:val="clear" w:color="auto" w:fill="auto"/>
                  <w:noWrap w:val="0"/>
                  <w:vAlign w:val="center"/>
                </w:tcPr>
                <w:p w14:paraId="38393B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共约5376人</w:t>
                  </w:r>
                </w:p>
              </w:tc>
              <w:tc>
                <w:tcPr>
                  <w:tcW w:w="1266" w:type="pct"/>
                  <w:vMerge w:val="continue"/>
                  <w:tcBorders>
                    <w:tl2br w:val="nil"/>
                    <w:tr2bl w:val="nil"/>
                  </w:tcBorders>
                  <w:noWrap w:val="0"/>
                  <w:vAlign w:val="center"/>
                </w:tcPr>
                <w:p w14:paraId="477DC9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eastAsia="zh-CN"/>
                    </w:rPr>
                  </w:pPr>
                </w:p>
              </w:tc>
            </w:tr>
            <w:tr w14:paraId="241A5C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vMerge w:val="continue"/>
                  <w:tcBorders>
                    <w:tl2br w:val="nil"/>
                    <w:tr2bl w:val="nil"/>
                  </w:tcBorders>
                  <w:noWrap w:val="0"/>
                  <w:vAlign w:val="center"/>
                </w:tcPr>
                <w:p w14:paraId="28F3D0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p>
              </w:tc>
              <w:tc>
                <w:tcPr>
                  <w:tcW w:w="890" w:type="pct"/>
                  <w:tcBorders>
                    <w:tl2br w:val="nil"/>
                    <w:tr2bl w:val="nil"/>
                  </w:tcBorders>
                  <w:shd w:val="clear" w:color="auto" w:fill="auto"/>
                  <w:noWrap w:val="0"/>
                  <w:vAlign w:val="center"/>
                </w:tcPr>
                <w:p w14:paraId="3F9B2B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双碧小学</w:t>
                  </w:r>
                </w:p>
              </w:tc>
              <w:tc>
                <w:tcPr>
                  <w:tcW w:w="678" w:type="pct"/>
                  <w:tcBorders>
                    <w:tl2br w:val="nil"/>
                    <w:tr2bl w:val="nil"/>
                  </w:tcBorders>
                  <w:shd w:val="clear" w:color="auto" w:fill="auto"/>
                  <w:noWrap w:val="0"/>
                  <w:vAlign w:val="center"/>
                </w:tcPr>
                <w:p w14:paraId="5BCA36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kern w:val="2"/>
                      <w:position w:val="0"/>
                      <w:sz w:val="21"/>
                      <w:szCs w:val="21"/>
                      <w:highlight w:val="none"/>
                      <w:u w:val="single" w:color="auto"/>
                      <w:lang w:val="en-US" w:eastAsia="zh-CN" w:bidi="ar-SA"/>
                    </w:rPr>
                    <w:t>南侧275-475m</w:t>
                  </w:r>
                </w:p>
              </w:tc>
              <w:tc>
                <w:tcPr>
                  <w:tcW w:w="1062" w:type="pct"/>
                  <w:tcBorders>
                    <w:tl2br w:val="nil"/>
                    <w:tr2bl w:val="nil"/>
                  </w:tcBorders>
                  <w:shd w:val="clear" w:color="auto" w:fill="auto"/>
                  <w:noWrap w:val="0"/>
                  <w:vAlign w:val="center"/>
                </w:tcPr>
                <w:p w14:paraId="2505F0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经度：112.211717</w:t>
                  </w:r>
                </w:p>
                <w:p w14:paraId="7F1820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纬度：25.900627</w:t>
                  </w:r>
                </w:p>
              </w:tc>
              <w:tc>
                <w:tcPr>
                  <w:tcW w:w="653" w:type="pct"/>
                  <w:tcBorders>
                    <w:tl2br w:val="nil"/>
                    <w:tr2bl w:val="nil"/>
                  </w:tcBorders>
                  <w:shd w:val="clear" w:color="auto" w:fill="auto"/>
                  <w:noWrap w:val="0"/>
                  <w:vAlign w:val="center"/>
                </w:tcPr>
                <w:p w14:paraId="6F4A04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共约2925人</w:t>
                  </w:r>
                </w:p>
              </w:tc>
              <w:tc>
                <w:tcPr>
                  <w:tcW w:w="1266" w:type="pct"/>
                  <w:vMerge w:val="continue"/>
                  <w:tcBorders>
                    <w:tl2br w:val="nil"/>
                    <w:tr2bl w:val="nil"/>
                  </w:tcBorders>
                  <w:noWrap w:val="0"/>
                  <w:vAlign w:val="center"/>
                </w:tcPr>
                <w:p w14:paraId="73E380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eastAsia="zh-CN"/>
                    </w:rPr>
                  </w:pPr>
                </w:p>
              </w:tc>
            </w:tr>
            <w:tr w14:paraId="7D380E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vMerge w:val="restart"/>
                  <w:tcBorders>
                    <w:tl2br w:val="nil"/>
                    <w:tr2bl w:val="nil"/>
                  </w:tcBorders>
                  <w:noWrap w:val="0"/>
                  <w:vAlign w:val="center"/>
                </w:tcPr>
                <w:p w14:paraId="0D0763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声环境</w:t>
                  </w:r>
                </w:p>
              </w:tc>
              <w:tc>
                <w:tcPr>
                  <w:tcW w:w="890" w:type="pct"/>
                  <w:tcBorders>
                    <w:tl2br w:val="nil"/>
                    <w:tr2bl w:val="nil"/>
                  </w:tcBorders>
                  <w:noWrap w:val="0"/>
                  <w:vAlign w:val="center"/>
                </w:tcPr>
                <w:p w14:paraId="238E66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项目东北侧县城居民</w:t>
                  </w:r>
                </w:p>
              </w:tc>
              <w:tc>
                <w:tcPr>
                  <w:tcW w:w="678" w:type="pct"/>
                  <w:tcBorders>
                    <w:tl2br w:val="nil"/>
                    <w:tr2bl w:val="nil"/>
                  </w:tcBorders>
                  <w:noWrap w:val="0"/>
                  <w:vAlign w:val="center"/>
                </w:tcPr>
                <w:p w14:paraId="7DB69F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11-50m</w:t>
                  </w:r>
                </w:p>
              </w:tc>
              <w:tc>
                <w:tcPr>
                  <w:tcW w:w="1062" w:type="pct"/>
                  <w:tcBorders>
                    <w:tl2br w:val="nil"/>
                    <w:tr2bl w:val="nil"/>
                  </w:tcBorders>
                  <w:shd w:val="clear" w:color="auto" w:fill="auto"/>
                  <w:noWrap w:val="0"/>
                  <w:vAlign w:val="center"/>
                </w:tcPr>
                <w:p w14:paraId="308EC6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经度：112.212692</w:t>
                  </w:r>
                </w:p>
                <w:p w14:paraId="40C7F4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纬度：25.904571</w:t>
                  </w:r>
                </w:p>
              </w:tc>
              <w:tc>
                <w:tcPr>
                  <w:tcW w:w="653" w:type="pct"/>
                  <w:tcBorders>
                    <w:tl2br w:val="nil"/>
                    <w:tr2bl w:val="nil"/>
                  </w:tcBorders>
                  <w:shd w:val="clear" w:color="auto" w:fill="auto"/>
                  <w:noWrap w:val="0"/>
                  <w:vAlign w:val="center"/>
                </w:tcPr>
                <w:p w14:paraId="68EBEF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position w:val="0"/>
                      <w:sz w:val="21"/>
                      <w:szCs w:val="21"/>
                      <w:highlight w:val="none"/>
                      <w:u w:val="single" w:color="auto"/>
                      <w:lang w:val="en-US" w:eastAsia="zh-CN"/>
                    </w:rPr>
                    <w:t>共约50人</w:t>
                  </w:r>
                </w:p>
              </w:tc>
              <w:tc>
                <w:tcPr>
                  <w:tcW w:w="1266" w:type="pct"/>
                  <w:vMerge w:val="restart"/>
                  <w:tcBorders>
                    <w:tl2br w:val="nil"/>
                    <w:tr2bl w:val="nil"/>
                  </w:tcBorders>
                  <w:noWrap w:val="0"/>
                  <w:vAlign w:val="center"/>
                </w:tcPr>
                <w:p w14:paraId="0C7566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val="en-US" w:eastAsia="zh-CN"/>
                    </w:rPr>
                    <w:t>《声环境质量标准》（GB3096-2008）2类标准</w:t>
                  </w:r>
                </w:p>
              </w:tc>
            </w:tr>
            <w:tr w14:paraId="7115DA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vMerge w:val="continue"/>
                  <w:tcBorders>
                    <w:tl2br w:val="nil"/>
                    <w:tr2bl w:val="nil"/>
                  </w:tcBorders>
                  <w:noWrap w:val="0"/>
                  <w:vAlign w:val="center"/>
                </w:tcPr>
                <w:p w14:paraId="07C81E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p>
              </w:tc>
              <w:tc>
                <w:tcPr>
                  <w:tcW w:w="890" w:type="pct"/>
                  <w:tcBorders>
                    <w:tl2br w:val="nil"/>
                    <w:tr2bl w:val="nil"/>
                  </w:tcBorders>
                  <w:noWrap w:val="0"/>
                  <w:vAlign w:val="center"/>
                </w:tcPr>
                <w:p w14:paraId="34416F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项目东南侧县城居民</w:t>
                  </w:r>
                </w:p>
              </w:tc>
              <w:tc>
                <w:tcPr>
                  <w:tcW w:w="678" w:type="pct"/>
                  <w:tcBorders>
                    <w:tl2br w:val="nil"/>
                    <w:tr2bl w:val="nil"/>
                  </w:tcBorders>
                  <w:noWrap w:val="0"/>
                  <w:vAlign w:val="center"/>
                </w:tcPr>
                <w:p w14:paraId="5C2099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27-50m</w:t>
                  </w:r>
                </w:p>
              </w:tc>
              <w:tc>
                <w:tcPr>
                  <w:tcW w:w="1062" w:type="pct"/>
                  <w:tcBorders>
                    <w:tl2br w:val="nil"/>
                    <w:tr2bl w:val="nil"/>
                  </w:tcBorders>
                  <w:shd w:val="clear" w:color="auto" w:fill="auto"/>
                  <w:noWrap w:val="0"/>
                  <w:vAlign w:val="center"/>
                </w:tcPr>
                <w:p w14:paraId="55723C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经度：112.212725</w:t>
                  </w:r>
                </w:p>
                <w:p w14:paraId="6841DC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纬度：25.904078</w:t>
                  </w:r>
                </w:p>
              </w:tc>
              <w:tc>
                <w:tcPr>
                  <w:tcW w:w="653" w:type="pct"/>
                  <w:tcBorders>
                    <w:tl2br w:val="nil"/>
                    <w:tr2bl w:val="nil"/>
                  </w:tcBorders>
                  <w:shd w:val="clear" w:color="auto" w:fill="auto"/>
                  <w:noWrap w:val="0"/>
                  <w:vAlign w:val="center"/>
                </w:tcPr>
                <w:p w14:paraId="35F27D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共约60人</w:t>
                  </w:r>
                </w:p>
              </w:tc>
              <w:tc>
                <w:tcPr>
                  <w:tcW w:w="1266" w:type="pct"/>
                  <w:vMerge w:val="continue"/>
                  <w:tcBorders>
                    <w:tl2br w:val="nil"/>
                    <w:tr2bl w:val="nil"/>
                  </w:tcBorders>
                  <w:noWrap w:val="0"/>
                  <w:vAlign w:val="center"/>
                </w:tcPr>
                <w:p w14:paraId="5FB9A9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p>
              </w:tc>
            </w:tr>
            <w:tr w14:paraId="0B7382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449" w:type="pct"/>
                  <w:vMerge w:val="continue"/>
                  <w:tcBorders>
                    <w:tl2br w:val="nil"/>
                    <w:tr2bl w:val="nil"/>
                  </w:tcBorders>
                  <w:noWrap w:val="0"/>
                  <w:vAlign w:val="center"/>
                </w:tcPr>
                <w:p w14:paraId="740551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p>
              </w:tc>
              <w:tc>
                <w:tcPr>
                  <w:tcW w:w="890" w:type="pct"/>
                  <w:tcBorders>
                    <w:tl2br w:val="nil"/>
                    <w:tr2bl w:val="nil"/>
                  </w:tcBorders>
                  <w:noWrap w:val="0"/>
                  <w:vAlign w:val="center"/>
                </w:tcPr>
                <w:p w14:paraId="6F7266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项目西北侧县城居民</w:t>
                  </w:r>
                </w:p>
              </w:tc>
              <w:tc>
                <w:tcPr>
                  <w:tcW w:w="678" w:type="pct"/>
                  <w:tcBorders>
                    <w:tl2br w:val="nil"/>
                    <w:tr2bl w:val="nil"/>
                  </w:tcBorders>
                  <w:noWrap w:val="0"/>
                  <w:vAlign w:val="center"/>
                </w:tcPr>
                <w:p w14:paraId="4F3724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7-50m</w:t>
                  </w:r>
                </w:p>
              </w:tc>
              <w:tc>
                <w:tcPr>
                  <w:tcW w:w="1062" w:type="pct"/>
                  <w:tcBorders>
                    <w:tl2br w:val="nil"/>
                    <w:tr2bl w:val="nil"/>
                  </w:tcBorders>
                  <w:shd w:val="clear" w:color="auto" w:fill="auto"/>
                  <w:noWrap w:val="0"/>
                  <w:vAlign w:val="center"/>
                </w:tcPr>
                <w:p w14:paraId="72446E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经度：112.211228</w:t>
                  </w:r>
                </w:p>
                <w:p w14:paraId="632FA8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纬度：25.904676</w:t>
                  </w:r>
                </w:p>
              </w:tc>
              <w:tc>
                <w:tcPr>
                  <w:tcW w:w="653" w:type="pct"/>
                  <w:tcBorders>
                    <w:tl2br w:val="nil"/>
                    <w:tr2bl w:val="nil"/>
                  </w:tcBorders>
                  <w:shd w:val="clear" w:color="auto" w:fill="auto"/>
                  <w:noWrap w:val="0"/>
                  <w:vAlign w:val="center"/>
                </w:tcPr>
                <w:p w14:paraId="66FA70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position w:val="0"/>
                      <w:sz w:val="21"/>
                      <w:szCs w:val="21"/>
                      <w:highlight w:val="none"/>
                      <w:u w:val="single" w:color="auto"/>
                      <w:lang w:val="en-US" w:eastAsia="zh-CN"/>
                    </w:rPr>
                    <w:t>共约30人</w:t>
                  </w:r>
                </w:p>
              </w:tc>
              <w:tc>
                <w:tcPr>
                  <w:tcW w:w="1266" w:type="pct"/>
                  <w:vMerge w:val="continue"/>
                  <w:tcBorders>
                    <w:tl2br w:val="nil"/>
                    <w:tr2bl w:val="nil"/>
                  </w:tcBorders>
                  <w:noWrap w:val="0"/>
                  <w:vAlign w:val="center"/>
                </w:tcPr>
                <w:p w14:paraId="2561D8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p>
              </w:tc>
            </w:tr>
            <w:tr w14:paraId="46E557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vMerge w:val="continue"/>
                  <w:tcBorders>
                    <w:tl2br w:val="nil"/>
                    <w:tr2bl w:val="nil"/>
                  </w:tcBorders>
                  <w:noWrap w:val="0"/>
                  <w:vAlign w:val="center"/>
                </w:tcPr>
                <w:p w14:paraId="689CAD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p>
              </w:tc>
              <w:tc>
                <w:tcPr>
                  <w:tcW w:w="890" w:type="pct"/>
                  <w:tcBorders>
                    <w:tl2br w:val="nil"/>
                    <w:tr2bl w:val="nil"/>
                  </w:tcBorders>
                  <w:noWrap w:val="0"/>
                  <w:vAlign w:val="center"/>
                </w:tcPr>
                <w:p w14:paraId="306B68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新田县第二中学教学用楼</w:t>
                  </w:r>
                </w:p>
              </w:tc>
              <w:tc>
                <w:tcPr>
                  <w:tcW w:w="678" w:type="pct"/>
                  <w:tcBorders>
                    <w:tl2br w:val="nil"/>
                    <w:tr2bl w:val="nil"/>
                  </w:tcBorders>
                  <w:noWrap w:val="0"/>
                  <w:vAlign w:val="center"/>
                </w:tcPr>
                <w:p w14:paraId="2F84C7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22-50m</w:t>
                  </w:r>
                </w:p>
              </w:tc>
              <w:tc>
                <w:tcPr>
                  <w:tcW w:w="1062" w:type="pct"/>
                  <w:tcBorders>
                    <w:tl2br w:val="nil"/>
                    <w:tr2bl w:val="nil"/>
                  </w:tcBorders>
                  <w:shd w:val="clear" w:color="auto" w:fill="auto"/>
                  <w:noWrap w:val="0"/>
                  <w:vAlign w:val="center"/>
                </w:tcPr>
                <w:p w14:paraId="264AE3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经度：112.211504</w:t>
                  </w:r>
                </w:p>
                <w:p w14:paraId="382836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纬度：25.903643</w:t>
                  </w:r>
                </w:p>
              </w:tc>
              <w:tc>
                <w:tcPr>
                  <w:tcW w:w="653" w:type="pct"/>
                  <w:tcBorders>
                    <w:tl2br w:val="nil"/>
                    <w:tr2bl w:val="nil"/>
                  </w:tcBorders>
                  <w:shd w:val="clear" w:color="auto" w:fill="auto"/>
                  <w:noWrap w:val="0"/>
                  <w:vAlign w:val="center"/>
                </w:tcPr>
                <w:p w14:paraId="41E5D9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position w:val="0"/>
                      <w:sz w:val="21"/>
                      <w:szCs w:val="21"/>
                      <w:highlight w:val="none"/>
                      <w:u w:val="single" w:color="auto"/>
                      <w:lang w:val="en-US" w:eastAsia="zh-CN"/>
                    </w:rPr>
                    <w:t>共约1500人</w:t>
                  </w:r>
                </w:p>
              </w:tc>
              <w:tc>
                <w:tcPr>
                  <w:tcW w:w="1266" w:type="pct"/>
                  <w:vMerge w:val="continue"/>
                  <w:tcBorders>
                    <w:tl2br w:val="nil"/>
                    <w:tr2bl w:val="nil"/>
                  </w:tcBorders>
                  <w:noWrap w:val="0"/>
                  <w:vAlign w:val="center"/>
                </w:tcPr>
                <w:p w14:paraId="7A5615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p>
              </w:tc>
            </w:tr>
            <w:tr w14:paraId="7DAA6C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tcBorders>
                    <w:tl2br w:val="nil"/>
                    <w:tr2bl w:val="nil"/>
                  </w:tcBorders>
                  <w:noWrap w:val="0"/>
                  <w:vAlign w:val="center"/>
                </w:tcPr>
                <w:p w14:paraId="79F8A8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default" w:ascii="Times New Roman" w:hAnsi="Times New Roman" w:cs="Times New Roman" w:eastAsiaTheme="minorEastAsia"/>
                      <w:color w:val="auto"/>
                      <w:spacing w:val="11"/>
                      <w:position w:val="0"/>
                      <w:sz w:val="21"/>
                      <w:szCs w:val="21"/>
                      <w:highlight w:val="none"/>
                      <w:u w:val="single" w:color="auto"/>
                      <w:lang w:val="en-US" w:eastAsia="zh-CN"/>
                    </w:rPr>
                    <w:t>地表水环境</w:t>
                  </w:r>
                </w:p>
              </w:tc>
              <w:tc>
                <w:tcPr>
                  <w:tcW w:w="890" w:type="pct"/>
                  <w:tcBorders>
                    <w:tl2br w:val="nil"/>
                    <w:tr2bl w:val="nil"/>
                  </w:tcBorders>
                  <w:noWrap w:val="0"/>
                  <w:vAlign w:val="center"/>
                </w:tcPr>
                <w:p w14:paraId="541A4D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新田河</w:t>
                  </w:r>
                </w:p>
              </w:tc>
              <w:tc>
                <w:tcPr>
                  <w:tcW w:w="678" w:type="pct"/>
                  <w:tcBorders>
                    <w:tl2br w:val="nil"/>
                    <w:tr2bl w:val="nil"/>
                  </w:tcBorders>
                  <w:noWrap w:val="0"/>
                  <w:vAlign w:val="center"/>
                </w:tcPr>
                <w:p w14:paraId="516A5F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东侧386m</w:t>
                  </w:r>
                </w:p>
              </w:tc>
              <w:tc>
                <w:tcPr>
                  <w:tcW w:w="1062" w:type="pct"/>
                  <w:tcBorders>
                    <w:tl2br w:val="nil"/>
                    <w:tr2bl w:val="nil"/>
                  </w:tcBorders>
                  <w:noWrap w:val="0"/>
                  <w:vAlign w:val="center"/>
                </w:tcPr>
                <w:p w14:paraId="1C618D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default" w:ascii="Times New Roman" w:hAnsi="Times New Roman" w:cs="Times New Roman" w:eastAsiaTheme="minorEastAsia"/>
                      <w:color w:val="auto"/>
                      <w:spacing w:val="11"/>
                      <w:position w:val="0"/>
                      <w:sz w:val="21"/>
                      <w:szCs w:val="21"/>
                      <w:highlight w:val="none"/>
                      <w:u w:val="single" w:color="auto"/>
                      <w:lang w:val="en-US" w:eastAsia="zh-CN"/>
                    </w:rPr>
                    <w:t>经度：112.216453</w:t>
                  </w:r>
                </w:p>
                <w:p w14:paraId="4FE7E8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default" w:ascii="Times New Roman" w:hAnsi="Times New Roman" w:cs="Times New Roman" w:eastAsiaTheme="minorEastAsia"/>
                      <w:color w:val="auto"/>
                      <w:spacing w:val="11"/>
                      <w:position w:val="0"/>
                      <w:sz w:val="21"/>
                      <w:szCs w:val="21"/>
                      <w:highlight w:val="none"/>
                      <w:u w:val="single" w:color="auto"/>
                      <w:lang w:val="en-US" w:eastAsia="zh-CN"/>
                    </w:rPr>
                    <w:t>纬度：25.904638</w:t>
                  </w:r>
                </w:p>
              </w:tc>
              <w:tc>
                <w:tcPr>
                  <w:tcW w:w="653" w:type="pct"/>
                  <w:tcBorders>
                    <w:tl2br w:val="nil"/>
                    <w:tr2bl w:val="nil"/>
                  </w:tcBorders>
                  <w:noWrap w:val="0"/>
                  <w:vAlign w:val="center"/>
                </w:tcPr>
                <w:p w14:paraId="5DD3A0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w:t>
                  </w:r>
                </w:p>
              </w:tc>
              <w:tc>
                <w:tcPr>
                  <w:tcW w:w="1266" w:type="pct"/>
                  <w:tcBorders>
                    <w:tl2br w:val="nil"/>
                    <w:tr2bl w:val="nil"/>
                  </w:tcBorders>
                  <w:noWrap w:val="0"/>
                  <w:vAlign w:val="center"/>
                </w:tcPr>
                <w:p w14:paraId="386774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val="en-US" w:eastAsia="zh-CN"/>
                    </w:rPr>
                    <w:t>《地表水环境质量标准》(GB3838-2002)Ⅲ类</w:t>
                  </w:r>
                </w:p>
              </w:tc>
            </w:tr>
            <w:tr w14:paraId="2AEBFD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tcBorders>
                    <w:tl2br w:val="nil"/>
                    <w:tr2bl w:val="nil"/>
                  </w:tcBorders>
                  <w:noWrap w:val="0"/>
                  <w:vAlign w:val="center"/>
                </w:tcPr>
                <w:p w14:paraId="004568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地下水</w:t>
                  </w:r>
                </w:p>
              </w:tc>
              <w:tc>
                <w:tcPr>
                  <w:tcW w:w="890" w:type="pct"/>
                  <w:tcBorders>
                    <w:tl2br w:val="nil"/>
                    <w:tr2bl w:val="nil"/>
                  </w:tcBorders>
                  <w:noWrap w:val="0"/>
                  <w:vAlign w:val="center"/>
                </w:tcPr>
                <w:p w14:paraId="0DC744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eastAsiaTheme="minorEastAsia"/>
                      <w:color w:val="auto"/>
                      <w:spacing w:val="11"/>
                      <w:position w:val="0"/>
                      <w:sz w:val="21"/>
                      <w:szCs w:val="21"/>
                      <w:highlight w:val="none"/>
                      <w:u w:val="single" w:color="auto"/>
                      <w:lang w:val="en-US" w:eastAsia="zh-CN"/>
                    </w:rPr>
                  </w:pPr>
                  <w:r>
                    <w:rPr>
                      <w:rFonts w:hint="eastAsia" w:ascii="Times New Roman" w:hAnsi="Times New Roman" w:cs="Times New Roman" w:eastAsiaTheme="minorEastAsia"/>
                      <w:color w:val="auto"/>
                      <w:spacing w:val="11"/>
                      <w:position w:val="0"/>
                      <w:sz w:val="21"/>
                      <w:szCs w:val="21"/>
                      <w:highlight w:val="none"/>
                      <w:u w:val="single" w:color="auto"/>
                      <w:lang w:val="en-US" w:eastAsia="zh-CN"/>
                    </w:rPr>
                    <w:t>周边地下水</w:t>
                  </w:r>
                </w:p>
              </w:tc>
              <w:tc>
                <w:tcPr>
                  <w:tcW w:w="678" w:type="pct"/>
                  <w:tcBorders>
                    <w:tl2br w:val="nil"/>
                    <w:tr2bl w:val="nil"/>
                  </w:tcBorders>
                  <w:noWrap w:val="0"/>
                  <w:vAlign w:val="center"/>
                </w:tcPr>
                <w:p w14:paraId="53A118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eastAsiaTheme="minorEastAsia"/>
                      <w:color w:val="auto"/>
                      <w:spacing w:val="11"/>
                      <w:position w:val="0"/>
                      <w:sz w:val="21"/>
                      <w:szCs w:val="21"/>
                      <w:highlight w:val="none"/>
                      <w:u w:val="single" w:color="auto"/>
                      <w:lang w:val="en-US" w:eastAsia="zh-CN"/>
                    </w:rPr>
                  </w:pPr>
                  <w:r>
                    <w:rPr>
                      <w:rFonts w:hint="eastAsia" w:ascii="Times New Roman" w:hAnsi="Times New Roman" w:cs="Times New Roman" w:eastAsiaTheme="minorEastAsia"/>
                      <w:color w:val="auto"/>
                      <w:spacing w:val="11"/>
                      <w:position w:val="0"/>
                      <w:sz w:val="21"/>
                      <w:szCs w:val="21"/>
                      <w:highlight w:val="none"/>
                      <w:u w:val="single" w:color="auto"/>
                      <w:lang w:val="en-US" w:eastAsia="zh-CN"/>
                    </w:rPr>
                    <w:t>项目</w:t>
                  </w:r>
                  <w:r>
                    <w:rPr>
                      <w:rFonts w:hint="eastAsia" w:ascii="Times New Roman" w:hAnsi="Times New Roman" w:cs="Times New Roman" w:eastAsiaTheme="minorEastAsia"/>
                      <w:color w:val="auto"/>
                      <w:spacing w:val="11"/>
                      <w:position w:val="0"/>
                      <w:sz w:val="21"/>
                      <w:szCs w:val="21"/>
                      <w:highlight w:val="none"/>
                      <w:u w:val="single" w:color="auto"/>
                      <w:lang w:val="zh-CN" w:eastAsia="zh-CN"/>
                    </w:rPr>
                    <w:t>周围</w:t>
                  </w:r>
                </w:p>
              </w:tc>
              <w:tc>
                <w:tcPr>
                  <w:tcW w:w="1062" w:type="pct"/>
                  <w:tcBorders>
                    <w:tl2br w:val="nil"/>
                    <w:tr2bl w:val="nil"/>
                  </w:tcBorders>
                  <w:noWrap w:val="0"/>
                  <w:vAlign w:val="center"/>
                </w:tcPr>
                <w:p w14:paraId="49FFE9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eastAsia" w:ascii="Times New Roman" w:hAnsi="Times New Roman" w:cs="Times New Roman" w:eastAsiaTheme="minorEastAsia"/>
                      <w:color w:val="auto"/>
                      <w:spacing w:val="11"/>
                      <w:position w:val="0"/>
                      <w:sz w:val="21"/>
                      <w:szCs w:val="21"/>
                      <w:highlight w:val="none"/>
                      <w:u w:val="single" w:color="auto"/>
                      <w:lang w:val="en-US" w:eastAsia="zh-CN"/>
                    </w:rPr>
                    <w:t>/</w:t>
                  </w:r>
                </w:p>
              </w:tc>
              <w:tc>
                <w:tcPr>
                  <w:tcW w:w="653" w:type="pct"/>
                  <w:tcBorders>
                    <w:tl2br w:val="nil"/>
                    <w:tr2bl w:val="nil"/>
                  </w:tcBorders>
                  <w:noWrap w:val="0"/>
                  <w:vAlign w:val="center"/>
                </w:tcPr>
                <w:p w14:paraId="44ECB8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eastAsia" w:ascii="Times New Roman" w:hAnsi="Times New Roman" w:cs="Times New Roman" w:eastAsiaTheme="minorEastAsia"/>
                      <w:color w:val="auto"/>
                      <w:spacing w:val="11"/>
                      <w:position w:val="0"/>
                      <w:sz w:val="21"/>
                      <w:szCs w:val="21"/>
                      <w:highlight w:val="none"/>
                      <w:u w:val="single" w:color="auto"/>
                      <w:lang w:val="en-US" w:eastAsia="zh-CN"/>
                    </w:rPr>
                    <w:t>/</w:t>
                  </w:r>
                </w:p>
              </w:tc>
              <w:tc>
                <w:tcPr>
                  <w:tcW w:w="1266" w:type="pct"/>
                  <w:tcBorders>
                    <w:tl2br w:val="nil"/>
                    <w:tr2bl w:val="nil"/>
                  </w:tcBorders>
                  <w:noWrap w:val="0"/>
                  <w:vAlign w:val="center"/>
                </w:tcPr>
                <w:p w14:paraId="53777B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default" w:ascii="Times New Roman" w:hAnsi="Times New Roman" w:cs="Times New Roman" w:eastAsiaTheme="minorEastAsia"/>
                      <w:color w:val="auto"/>
                      <w:spacing w:val="11"/>
                      <w:position w:val="0"/>
                      <w:sz w:val="21"/>
                      <w:szCs w:val="21"/>
                      <w:highlight w:val="none"/>
                      <w:u w:val="single" w:color="auto"/>
                      <w:lang w:val="en-US" w:eastAsia="zh-CN"/>
                    </w:rPr>
                    <w:t>《地下水质量标准》(GB/T 14848-2017)中Ⅲ类标准</w:t>
                  </w:r>
                </w:p>
              </w:tc>
            </w:tr>
          </w:tbl>
          <w:p w14:paraId="1C5D002F">
            <w:pPr>
              <w:pStyle w:val="19"/>
              <w:ind w:left="0" w:leftChars="0" w:firstLine="0" w:firstLineChars="0"/>
              <w:jc w:val="both"/>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r>
      <w:tr w14:paraId="6048B8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0" w:type="pct"/>
            <w:tcBorders>
              <w:tl2br w:val="nil"/>
              <w:tr2bl w:val="nil"/>
            </w:tcBorders>
            <w:vAlign w:val="center"/>
          </w:tcPr>
          <w:p w14:paraId="74CE3D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污染物排放控制标准</w:t>
            </w:r>
          </w:p>
        </w:tc>
        <w:tc>
          <w:tcPr>
            <w:tcW w:w="400" w:type="pct"/>
            <w:tcBorders>
              <w:tl2br w:val="nil"/>
              <w:tr2bl w:val="nil"/>
            </w:tcBorders>
            <w:vAlign w:val="center"/>
          </w:tcPr>
          <w:p w14:paraId="4BF01887">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right="0" w:firstLine="526" w:firstLineChars="200"/>
              <w:textAlignment w:val="auto"/>
              <w:rPr>
                <w:rFonts w:hint="eastAsia" w:ascii="Times New Roman" w:hAnsi="Times New Roman" w:cs="Times New Roman" w:eastAsiaTheme="minorEastAsia"/>
                <w:b/>
                <w:bCs w:val="0"/>
                <w:color w:val="auto"/>
                <w:spacing w:val="11"/>
                <w:position w:val="0"/>
                <w:sz w:val="24"/>
                <w:highlight w:val="none"/>
                <w:u w:val="none" w:color="auto"/>
                <w:lang w:val="en-US" w:eastAsia="zh-CN"/>
              </w:rPr>
            </w:pPr>
            <w:r>
              <w:rPr>
                <w:rFonts w:hint="default" w:ascii="Times New Roman" w:hAnsi="Times New Roman" w:cs="Times New Roman" w:eastAsiaTheme="minorEastAsia"/>
                <w:b/>
                <w:bCs w:val="0"/>
                <w:color w:val="auto"/>
                <w:spacing w:val="11"/>
                <w:position w:val="0"/>
                <w:sz w:val="24"/>
                <w:highlight w:val="none"/>
                <w:u w:val="none" w:color="auto"/>
              </w:rPr>
              <w:t>1、</w:t>
            </w:r>
            <w:r>
              <w:rPr>
                <w:rFonts w:hint="eastAsia" w:cs="Times New Roman" w:eastAsiaTheme="minorEastAsia"/>
                <w:b/>
                <w:bCs w:val="0"/>
                <w:color w:val="auto"/>
                <w:spacing w:val="11"/>
                <w:position w:val="0"/>
                <w:sz w:val="24"/>
                <w:highlight w:val="none"/>
                <w:u w:val="none" w:color="auto"/>
                <w:lang w:val="en-US" w:eastAsia="zh-CN"/>
              </w:rPr>
              <w:t>废水</w:t>
            </w:r>
          </w:p>
          <w:p w14:paraId="693845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24" w:firstLineChars="200"/>
              <w:textAlignment w:val="auto"/>
              <w:rPr>
                <w:rFonts w:hint="eastAsia" w:cs="Times New Roman" w:eastAsiaTheme="minorEastAsia"/>
                <w:color w:val="auto"/>
                <w:spacing w:val="11"/>
                <w:position w:val="0"/>
                <w:sz w:val="24"/>
                <w:szCs w:val="24"/>
                <w:highlight w:val="none"/>
                <w:u w:val="none" w:color="auto"/>
                <w:lang w:val="en-US" w:eastAsia="zh-CN" w:bidi="ar"/>
              </w:rPr>
            </w:pPr>
            <w:r>
              <w:rPr>
                <w:rFonts w:hint="eastAsia" w:cs="Times New Roman" w:eastAsiaTheme="minorEastAsia"/>
                <w:color w:val="auto"/>
                <w:spacing w:val="11"/>
                <w:position w:val="0"/>
                <w:sz w:val="24"/>
                <w:szCs w:val="24"/>
                <w:highlight w:val="none"/>
                <w:u w:val="none" w:color="auto"/>
                <w:lang w:val="en-US" w:eastAsia="zh-CN" w:bidi="ar"/>
              </w:rPr>
              <w:t>项目运营期产生的废水主要为生活污水和医疗废水，生活污水经化粪池预处理，口腔科以及检验科废水经预处理池进行处理，再分别排入院区现有污水管网，进入院内污水处理站，进一步处理达到《医疗机构水污染物排放标准》（GB18466-2005）表2预处理标准后纳入市政污水管网。详见下表：</w:t>
            </w:r>
          </w:p>
          <w:p w14:paraId="7317627E">
            <w:pPr>
              <w:spacing w:line="240" w:lineRule="auto"/>
              <w:ind w:firstLine="0" w:firstLineChars="0"/>
              <w:jc w:val="center"/>
              <w:rPr>
                <w:rFonts w:hint="eastAsia" w:ascii="Times New Roman" w:hAnsi="Times New Roman" w:eastAsia="宋体" w:cs="Times New Roman"/>
                <w:b/>
                <w:color w:val="auto"/>
                <w:spacing w:val="11"/>
                <w:position w:val="0"/>
                <w:sz w:val="21"/>
                <w:highlight w:val="none"/>
                <w:lang w:val="en-US" w:eastAsia="zh-CN"/>
              </w:rPr>
            </w:pPr>
            <w:r>
              <w:rPr>
                <w:rFonts w:ascii="Times New Roman" w:hAnsi="Times New Roman" w:eastAsia="宋体" w:cs="Times New Roman"/>
                <w:b/>
                <w:color w:val="auto"/>
                <w:spacing w:val="11"/>
                <w:position w:val="0"/>
                <w:sz w:val="21"/>
                <w:highlight w:val="none"/>
              </w:rPr>
              <w:t>表</w:t>
            </w:r>
            <w:r>
              <w:rPr>
                <w:rFonts w:hint="eastAsia" w:ascii="Times New Roman" w:hAnsi="Times New Roman" w:eastAsia="宋体" w:cs="Times New Roman"/>
                <w:b/>
                <w:color w:val="auto"/>
                <w:spacing w:val="11"/>
                <w:position w:val="0"/>
                <w:sz w:val="21"/>
                <w:highlight w:val="none"/>
              </w:rPr>
              <w:t>3</w:t>
            </w:r>
            <w:r>
              <w:rPr>
                <w:rFonts w:ascii="Times New Roman" w:hAnsi="Times New Roman" w:eastAsia="宋体" w:cs="Times New Roman"/>
                <w:b/>
                <w:color w:val="auto"/>
                <w:spacing w:val="11"/>
                <w:position w:val="0"/>
                <w:sz w:val="21"/>
                <w:highlight w:val="none"/>
              </w:rPr>
              <w:t>-</w:t>
            </w:r>
            <w:r>
              <w:rPr>
                <w:rFonts w:hint="eastAsia" w:ascii="Times New Roman" w:hAnsi="Times New Roman" w:eastAsia="宋体" w:cs="Times New Roman"/>
                <w:b/>
                <w:color w:val="auto"/>
                <w:spacing w:val="11"/>
                <w:position w:val="0"/>
                <w:sz w:val="21"/>
                <w:highlight w:val="none"/>
                <w:lang w:val="en-US" w:eastAsia="zh-CN"/>
              </w:rPr>
              <w:t>5</w:t>
            </w:r>
            <w:r>
              <w:rPr>
                <w:rFonts w:ascii="Times New Roman" w:hAnsi="Times New Roman" w:eastAsia="宋体" w:cs="Times New Roman"/>
                <w:b/>
                <w:color w:val="auto"/>
                <w:spacing w:val="11"/>
                <w:position w:val="0"/>
                <w:sz w:val="21"/>
                <w:highlight w:val="none"/>
              </w:rPr>
              <w:t xml:space="preserve"> </w:t>
            </w:r>
            <w:r>
              <w:rPr>
                <w:rFonts w:hint="eastAsia" w:ascii="Times New Roman" w:hAnsi="Times New Roman" w:eastAsia="宋体" w:cs="Times New Roman"/>
                <w:b/>
                <w:color w:val="auto"/>
                <w:spacing w:val="11"/>
                <w:position w:val="0"/>
                <w:sz w:val="21"/>
                <w:highlight w:val="none"/>
                <w:lang w:val="en-US" w:eastAsia="zh-CN"/>
              </w:rPr>
              <w:t>《医疗机构水污染物排放标准》（GB18466-2005）摘录</w:t>
            </w:r>
          </w:p>
          <w:tbl>
            <w:tblPr>
              <w:tblStyle w:val="2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25"/>
              <w:gridCol w:w="2292"/>
              <w:gridCol w:w="2608"/>
            </w:tblGrid>
            <w:tr w14:paraId="4BBB7D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85" w:type="pct"/>
                  <w:tcBorders>
                    <w:tl2br w:val="nil"/>
                    <w:tr2bl w:val="nil"/>
                  </w:tcBorders>
                  <w:noWrap w:val="0"/>
                  <w:vAlign w:val="center"/>
                </w:tcPr>
                <w:p w14:paraId="71FEA174">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lang w:eastAsia="zh-CN"/>
                    </w:rPr>
                  </w:pPr>
                  <w:r>
                    <w:rPr>
                      <w:rFonts w:hint="eastAsia" w:cs="Times New Roman"/>
                      <w:bCs/>
                      <w:color w:val="auto"/>
                      <w:spacing w:val="11"/>
                      <w:position w:val="0"/>
                      <w:sz w:val="21"/>
                      <w:highlight w:val="none"/>
                      <w:lang w:val="en-US" w:eastAsia="zh-CN"/>
                    </w:rPr>
                    <w:t>控制项目</w:t>
                  </w:r>
                </w:p>
              </w:tc>
              <w:tc>
                <w:tcPr>
                  <w:tcW w:w="1269" w:type="pct"/>
                  <w:tcBorders>
                    <w:tl2br w:val="nil"/>
                    <w:tr2bl w:val="nil"/>
                  </w:tcBorders>
                  <w:noWrap w:val="0"/>
                  <w:vAlign w:val="center"/>
                </w:tcPr>
                <w:p w14:paraId="72BB9FA5">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lang w:eastAsia="zh-CN"/>
                    </w:rPr>
                  </w:pPr>
                  <w:r>
                    <w:rPr>
                      <w:rFonts w:hint="eastAsia" w:cs="Times New Roman"/>
                      <w:bCs/>
                      <w:color w:val="auto"/>
                      <w:spacing w:val="11"/>
                      <w:position w:val="0"/>
                      <w:sz w:val="21"/>
                      <w:highlight w:val="none"/>
                      <w:lang w:val="en-US" w:eastAsia="zh-CN"/>
                    </w:rPr>
                    <w:t>标准值</w:t>
                  </w:r>
                </w:p>
              </w:tc>
              <w:tc>
                <w:tcPr>
                  <w:tcW w:w="1444" w:type="pct"/>
                  <w:tcBorders>
                    <w:tl2br w:val="nil"/>
                    <w:tr2bl w:val="nil"/>
                  </w:tcBorders>
                  <w:noWrap w:val="0"/>
                  <w:vAlign w:val="center"/>
                </w:tcPr>
                <w:p w14:paraId="4962FACE">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标准来源</w:t>
                  </w:r>
                </w:p>
              </w:tc>
            </w:tr>
            <w:tr w14:paraId="788C95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285" w:type="pct"/>
                  <w:tcBorders>
                    <w:tl2br w:val="nil"/>
                    <w:tr2bl w:val="nil"/>
                  </w:tcBorders>
                  <w:noWrap w:val="0"/>
                  <w:vAlign w:val="center"/>
                </w:tcPr>
                <w:p w14:paraId="5BCF9DA8">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pH</w:t>
                  </w:r>
                </w:p>
              </w:tc>
              <w:tc>
                <w:tcPr>
                  <w:tcW w:w="1269" w:type="pct"/>
                  <w:tcBorders>
                    <w:tl2br w:val="nil"/>
                    <w:tr2bl w:val="nil"/>
                  </w:tcBorders>
                  <w:noWrap w:val="0"/>
                  <w:vAlign w:val="center"/>
                </w:tcPr>
                <w:p w14:paraId="79D4F985">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6～9</w:t>
                  </w:r>
                </w:p>
              </w:tc>
              <w:tc>
                <w:tcPr>
                  <w:tcW w:w="1444" w:type="pct"/>
                  <w:vMerge w:val="restart"/>
                  <w:tcBorders>
                    <w:tl2br w:val="nil"/>
                    <w:tr2bl w:val="nil"/>
                  </w:tcBorders>
                  <w:noWrap w:val="0"/>
                  <w:vAlign w:val="center"/>
                </w:tcPr>
                <w:p w14:paraId="16CEFB3A">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《医疗机构水污染物排放标准》</w:t>
                  </w:r>
                </w:p>
                <w:p w14:paraId="02C89084">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（GB18466-2005）表</w:t>
                  </w:r>
                  <w:r>
                    <w:rPr>
                      <w:rFonts w:hint="eastAsia" w:ascii="Times New Roman" w:hAnsi="Times New Roman" w:eastAsia="宋体" w:cs="Times New Roman"/>
                      <w:bCs/>
                      <w:color w:val="auto"/>
                      <w:spacing w:val="11"/>
                      <w:position w:val="0"/>
                      <w:sz w:val="21"/>
                      <w:highlight w:val="none"/>
                      <w:lang w:val="en-US" w:eastAsia="zh-CN"/>
                    </w:rPr>
                    <w:t>2</w:t>
                  </w:r>
                  <w:r>
                    <w:rPr>
                      <w:rFonts w:hint="eastAsia" w:ascii="Times New Roman" w:hAnsi="Times New Roman" w:eastAsia="宋体" w:cs="Times New Roman"/>
                      <w:bCs/>
                      <w:color w:val="auto"/>
                      <w:spacing w:val="11"/>
                      <w:position w:val="0"/>
                      <w:sz w:val="21"/>
                      <w:highlight w:val="none"/>
                    </w:rPr>
                    <w:t>预处理标准</w:t>
                  </w:r>
                </w:p>
              </w:tc>
            </w:tr>
            <w:tr w14:paraId="72EEE4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285" w:type="pct"/>
                  <w:tcBorders>
                    <w:tl2br w:val="nil"/>
                    <w:tr2bl w:val="nil"/>
                  </w:tcBorders>
                  <w:noWrap w:val="0"/>
                  <w:vAlign w:val="center"/>
                </w:tcPr>
                <w:p w14:paraId="52CCB1E7">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肠道致病菌</w:t>
                  </w:r>
                </w:p>
              </w:tc>
              <w:tc>
                <w:tcPr>
                  <w:tcW w:w="1269" w:type="pct"/>
                  <w:tcBorders>
                    <w:tl2br w:val="nil"/>
                    <w:tr2bl w:val="nil"/>
                  </w:tcBorders>
                  <w:noWrap w:val="0"/>
                  <w:vAlign w:val="center"/>
                </w:tcPr>
                <w:p w14:paraId="37EFD1B0">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不得检出</w:t>
                  </w:r>
                </w:p>
              </w:tc>
              <w:tc>
                <w:tcPr>
                  <w:tcW w:w="1444" w:type="pct"/>
                  <w:vMerge w:val="continue"/>
                  <w:tcBorders>
                    <w:tl2br w:val="nil"/>
                    <w:tr2bl w:val="nil"/>
                  </w:tcBorders>
                  <w:noWrap w:val="0"/>
                  <w:vAlign w:val="center"/>
                </w:tcPr>
                <w:p w14:paraId="6DCC15E8">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14:paraId="0756C4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285" w:type="pct"/>
                  <w:tcBorders>
                    <w:tl2br w:val="nil"/>
                    <w:tr2bl w:val="nil"/>
                  </w:tcBorders>
                  <w:noWrap w:val="0"/>
                  <w:vAlign w:val="center"/>
                </w:tcPr>
                <w:p w14:paraId="126B825F">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cs="Times New Roman"/>
                      <w:bCs/>
                      <w:color w:val="auto"/>
                      <w:spacing w:val="11"/>
                      <w:position w:val="0"/>
                      <w:sz w:val="21"/>
                      <w:highlight w:val="none"/>
                      <w:lang w:val="en-US" w:eastAsia="zh-CN"/>
                    </w:rPr>
                    <w:t>化学需氧量</w:t>
                  </w:r>
                  <w:r>
                    <w:rPr>
                      <w:rFonts w:hint="eastAsia" w:ascii="Times New Roman" w:hAnsi="Times New Roman" w:eastAsia="宋体" w:cs="Times New Roman"/>
                      <w:bCs/>
                      <w:color w:val="auto"/>
                      <w:spacing w:val="11"/>
                      <w:position w:val="0"/>
                      <w:sz w:val="21"/>
                      <w:highlight w:val="none"/>
                    </w:rPr>
                    <w:t>（mg/</w:t>
                  </w:r>
                  <w:r>
                    <w:rPr>
                      <w:rFonts w:hint="eastAsia" w:ascii="Times New Roman" w:hAnsi="Times New Roman" w:eastAsia="宋体" w:cs="Times New Roman"/>
                      <w:bCs/>
                      <w:color w:val="auto"/>
                      <w:spacing w:val="11"/>
                      <w:position w:val="0"/>
                      <w:sz w:val="21"/>
                      <w:highlight w:val="none"/>
                      <w:lang w:val="en-US" w:eastAsia="zh-CN"/>
                    </w:rPr>
                    <w:t>L</w:t>
                  </w:r>
                  <w:r>
                    <w:rPr>
                      <w:rFonts w:hint="eastAsia" w:ascii="Times New Roman" w:hAnsi="Times New Roman" w:eastAsia="宋体" w:cs="Times New Roman"/>
                      <w:bCs/>
                      <w:color w:val="auto"/>
                      <w:spacing w:val="11"/>
                      <w:position w:val="0"/>
                      <w:sz w:val="21"/>
                      <w:highlight w:val="none"/>
                    </w:rPr>
                    <w:t>）</w:t>
                  </w:r>
                </w:p>
              </w:tc>
              <w:tc>
                <w:tcPr>
                  <w:tcW w:w="1269" w:type="pct"/>
                  <w:tcBorders>
                    <w:tl2br w:val="nil"/>
                    <w:tr2bl w:val="nil"/>
                  </w:tcBorders>
                  <w:noWrap w:val="0"/>
                  <w:vAlign w:val="center"/>
                </w:tcPr>
                <w:p w14:paraId="4D8C2CBA">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250</w:t>
                  </w:r>
                </w:p>
              </w:tc>
              <w:tc>
                <w:tcPr>
                  <w:tcW w:w="1444" w:type="pct"/>
                  <w:vMerge w:val="continue"/>
                  <w:tcBorders>
                    <w:tl2br w:val="nil"/>
                    <w:tr2bl w:val="nil"/>
                  </w:tcBorders>
                  <w:noWrap w:val="0"/>
                  <w:vAlign w:val="center"/>
                </w:tcPr>
                <w:p w14:paraId="36D386DF">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14:paraId="1B2FC6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285" w:type="pct"/>
                  <w:tcBorders>
                    <w:tl2br w:val="nil"/>
                    <w:tr2bl w:val="nil"/>
                  </w:tcBorders>
                  <w:noWrap w:val="0"/>
                  <w:vAlign w:val="center"/>
                </w:tcPr>
                <w:p w14:paraId="75686228">
                  <w:pPr>
                    <w:adjustRightInd/>
                    <w:spacing w:line="240" w:lineRule="auto"/>
                    <w:ind w:firstLine="0" w:firstLineChars="0"/>
                    <w:jc w:val="center"/>
                    <w:rPr>
                      <w:rFonts w:hint="eastAsia"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化学需氧量最高允许排放负荷</w:t>
                  </w:r>
                </w:p>
                <w:p w14:paraId="39D7CBF0">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（g/[床位</w:t>
                  </w:r>
                  <w:r>
                    <w:rPr>
                      <w:rFonts w:hint="eastAsia" w:ascii="微软雅黑" w:hAnsi="微软雅黑" w:eastAsia="微软雅黑" w:cs="微软雅黑"/>
                      <w:bCs/>
                      <w:color w:val="auto"/>
                      <w:spacing w:val="11"/>
                      <w:position w:val="0"/>
                      <w:sz w:val="21"/>
                      <w:highlight w:val="none"/>
                      <w:lang w:val="en-US" w:eastAsia="zh-CN"/>
                    </w:rPr>
                    <w:t>·</w:t>
                  </w:r>
                  <w:r>
                    <w:rPr>
                      <w:rFonts w:hint="eastAsia" w:cs="Times New Roman"/>
                      <w:bCs/>
                      <w:color w:val="auto"/>
                      <w:spacing w:val="11"/>
                      <w:position w:val="0"/>
                      <w:sz w:val="21"/>
                      <w:highlight w:val="none"/>
                      <w:lang w:val="en-US" w:eastAsia="zh-CN"/>
                    </w:rPr>
                    <w:t>d]</w:t>
                  </w:r>
                </w:p>
              </w:tc>
              <w:tc>
                <w:tcPr>
                  <w:tcW w:w="1269" w:type="pct"/>
                  <w:tcBorders>
                    <w:tl2br w:val="nil"/>
                    <w:tr2bl w:val="nil"/>
                  </w:tcBorders>
                  <w:noWrap w:val="0"/>
                  <w:vAlign w:val="center"/>
                </w:tcPr>
                <w:p w14:paraId="5B81F3E4">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250</w:t>
                  </w:r>
                </w:p>
              </w:tc>
              <w:tc>
                <w:tcPr>
                  <w:tcW w:w="1444" w:type="pct"/>
                  <w:vMerge w:val="continue"/>
                  <w:tcBorders>
                    <w:tl2br w:val="nil"/>
                    <w:tr2bl w:val="nil"/>
                  </w:tcBorders>
                  <w:noWrap w:val="0"/>
                  <w:vAlign w:val="center"/>
                </w:tcPr>
                <w:p w14:paraId="3B5FFEAD">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14:paraId="207EA8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85" w:type="pct"/>
                  <w:tcBorders>
                    <w:tl2br w:val="nil"/>
                    <w:tr2bl w:val="nil"/>
                  </w:tcBorders>
                  <w:noWrap w:val="0"/>
                  <w:vAlign w:val="center"/>
                </w:tcPr>
                <w:p w14:paraId="51607D7C">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SS（mg/</w:t>
                  </w:r>
                  <w:r>
                    <w:rPr>
                      <w:rFonts w:hint="eastAsia" w:ascii="Times New Roman" w:hAnsi="Times New Roman" w:eastAsia="宋体" w:cs="Times New Roman"/>
                      <w:bCs/>
                      <w:color w:val="auto"/>
                      <w:spacing w:val="11"/>
                      <w:position w:val="0"/>
                      <w:sz w:val="21"/>
                      <w:highlight w:val="none"/>
                      <w:lang w:val="en-US" w:eastAsia="zh-CN"/>
                    </w:rPr>
                    <w:t>L</w:t>
                  </w:r>
                  <w:r>
                    <w:rPr>
                      <w:rFonts w:hint="eastAsia" w:ascii="Times New Roman" w:hAnsi="Times New Roman" w:eastAsia="宋体" w:cs="Times New Roman"/>
                      <w:bCs/>
                      <w:color w:val="auto"/>
                      <w:spacing w:val="11"/>
                      <w:position w:val="0"/>
                      <w:sz w:val="21"/>
                      <w:highlight w:val="none"/>
                    </w:rPr>
                    <w:t>）</w:t>
                  </w:r>
                </w:p>
              </w:tc>
              <w:tc>
                <w:tcPr>
                  <w:tcW w:w="1269" w:type="pct"/>
                  <w:tcBorders>
                    <w:tl2br w:val="nil"/>
                    <w:tr2bl w:val="nil"/>
                  </w:tcBorders>
                  <w:noWrap w:val="0"/>
                  <w:vAlign w:val="center"/>
                </w:tcPr>
                <w:p w14:paraId="0D317E8A">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60</w:t>
                  </w:r>
                </w:p>
              </w:tc>
              <w:tc>
                <w:tcPr>
                  <w:tcW w:w="1444" w:type="pct"/>
                  <w:vMerge w:val="continue"/>
                  <w:tcBorders>
                    <w:tl2br w:val="nil"/>
                    <w:tr2bl w:val="nil"/>
                  </w:tcBorders>
                  <w:noWrap w:val="0"/>
                  <w:vAlign w:val="center"/>
                </w:tcPr>
                <w:p w14:paraId="28F103F5">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14:paraId="67BB9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85" w:type="pct"/>
                  <w:tcBorders>
                    <w:tl2br w:val="nil"/>
                    <w:tr2bl w:val="nil"/>
                  </w:tcBorders>
                  <w:noWrap w:val="0"/>
                  <w:vAlign w:val="center"/>
                </w:tcPr>
                <w:p w14:paraId="3B21A751">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SS</w:t>
                  </w:r>
                  <w:r>
                    <w:rPr>
                      <w:rFonts w:hint="eastAsia" w:ascii="Times New Roman" w:hAnsi="Times New Roman" w:eastAsia="宋体" w:cs="Times New Roman"/>
                      <w:bCs/>
                      <w:color w:val="auto"/>
                      <w:spacing w:val="11"/>
                      <w:position w:val="0"/>
                      <w:sz w:val="21"/>
                      <w:highlight w:val="none"/>
                      <w:lang w:val="en-US" w:eastAsia="zh-CN"/>
                    </w:rPr>
                    <w:t>最高允许排放负荷（g/[床位·d]</w:t>
                  </w:r>
                </w:p>
              </w:tc>
              <w:tc>
                <w:tcPr>
                  <w:tcW w:w="1269" w:type="pct"/>
                  <w:tcBorders>
                    <w:tl2br w:val="nil"/>
                    <w:tr2bl w:val="nil"/>
                  </w:tcBorders>
                  <w:noWrap w:val="0"/>
                  <w:vAlign w:val="center"/>
                </w:tcPr>
                <w:p w14:paraId="1890964E">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60</w:t>
                  </w:r>
                </w:p>
              </w:tc>
              <w:tc>
                <w:tcPr>
                  <w:tcW w:w="1444" w:type="pct"/>
                  <w:vMerge w:val="continue"/>
                  <w:tcBorders>
                    <w:tl2br w:val="nil"/>
                    <w:tr2bl w:val="nil"/>
                  </w:tcBorders>
                  <w:noWrap w:val="0"/>
                  <w:vAlign w:val="center"/>
                </w:tcPr>
                <w:p w14:paraId="3B60295F">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14:paraId="73D812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85" w:type="pct"/>
                  <w:tcBorders>
                    <w:tl2br w:val="nil"/>
                    <w:tr2bl w:val="nil"/>
                  </w:tcBorders>
                  <w:noWrap w:val="0"/>
                  <w:vAlign w:val="center"/>
                </w:tcPr>
                <w:p w14:paraId="08F8C041">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cs="Times New Roman"/>
                      <w:bCs/>
                      <w:color w:val="auto"/>
                      <w:spacing w:val="11"/>
                      <w:position w:val="0"/>
                      <w:sz w:val="21"/>
                      <w:highlight w:val="none"/>
                      <w:lang w:val="en-US" w:eastAsia="zh-CN"/>
                    </w:rPr>
                    <w:t>生化需氧量</w:t>
                  </w:r>
                  <w:r>
                    <w:rPr>
                      <w:rFonts w:hint="eastAsia" w:ascii="Times New Roman" w:hAnsi="Times New Roman" w:eastAsia="宋体" w:cs="Times New Roman"/>
                      <w:bCs/>
                      <w:color w:val="auto"/>
                      <w:spacing w:val="11"/>
                      <w:position w:val="0"/>
                      <w:sz w:val="21"/>
                      <w:highlight w:val="none"/>
                    </w:rPr>
                    <w:t>（mg/</w:t>
                  </w:r>
                  <w:r>
                    <w:rPr>
                      <w:rFonts w:hint="eastAsia" w:ascii="Times New Roman" w:hAnsi="Times New Roman" w:eastAsia="宋体" w:cs="Times New Roman"/>
                      <w:bCs/>
                      <w:color w:val="auto"/>
                      <w:spacing w:val="11"/>
                      <w:position w:val="0"/>
                      <w:sz w:val="21"/>
                      <w:highlight w:val="none"/>
                      <w:lang w:val="en-US" w:eastAsia="zh-CN"/>
                    </w:rPr>
                    <w:t>L</w:t>
                  </w:r>
                  <w:r>
                    <w:rPr>
                      <w:rFonts w:hint="eastAsia" w:ascii="Times New Roman" w:hAnsi="Times New Roman" w:eastAsia="宋体" w:cs="Times New Roman"/>
                      <w:bCs/>
                      <w:color w:val="auto"/>
                      <w:spacing w:val="11"/>
                      <w:position w:val="0"/>
                      <w:sz w:val="21"/>
                      <w:highlight w:val="none"/>
                    </w:rPr>
                    <w:t>）</w:t>
                  </w:r>
                </w:p>
              </w:tc>
              <w:tc>
                <w:tcPr>
                  <w:tcW w:w="1269" w:type="pct"/>
                  <w:tcBorders>
                    <w:tl2br w:val="nil"/>
                    <w:tr2bl w:val="nil"/>
                  </w:tcBorders>
                  <w:noWrap w:val="0"/>
                  <w:vAlign w:val="center"/>
                </w:tcPr>
                <w:p w14:paraId="2A401C6A">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100</w:t>
                  </w:r>
                </w:p>
              </w:tc>
              <w:tc>
                <w:tcPr>
                  <w:tcW w:w="1444" w:type="pct"/>
                  <w:vMerge w:val="continue"/>
                  <w:tcBorders>
                    <w:tl2br w:val="nil"/>
                    <w:tr2bl w:val="nil"/>
                  </w:tcBorders>
                  <w:noWrap w:val="0"/>
                  <w:vAlign w:val="center"/>
                </w:tcPr>
                <w:p w14:paraId="39F4537F">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14:paraId="4AF093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85" w:type="pct"/>
                  <w:tcBorders>
                    <w:tl2br w:val="nil"/>
                    <w:tr2bl w:val="nil"/>
                  </w:tcBorders>
                  <w:noWrap w:val="0"/>
                  <w:vAlign w:val="center"/>
                </w:tcPr>
                <w:p w14:paraId="1FD56A9A">
                  <w:pPr>
                    <w:adjustRightInd/>
                    <w:spacing w:line="240" w:lineRule="auto"/>
                    <w:ind w:firstLine="0" w:firstLineChars="0"/>
                    <w:jc w:val="center"/>
                    <w:rPr>
                      <w:rFonts w:hint="eastAsia"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生化需氧量最高允许排放负荷</w:t>
                  </w:r>
                </w:p>
                <w:p w14:paraId="1C342DAA">
                  <w:pPr>
                    <w:adjustRightInd/>
                    <w:spacing w:line="240" w:lineRule="auto"/>
                    <w:ind w:firstLine="0" w:firstLineChars="0"/>
                    <w:jc w:val="center"/>
                    <w:rPr>
                      <w:rFonts w:hint="eastAsia"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（g/[床位·d]</w:t>
                  </w:r>
                </w:p>
              </w:tc>
              <w:tc>
                <w:tcPr>
                  <w:tcW w:w="1269" w:type="pct"/>
                  <w:tcBorders>
                    <w:tl2br w:val="nil"/>
                    <w:tr2bl w:val="nil"/>
                  </w:tcBorders>
                  <w:noWrap w:val="0"/>
                  <w:vAlign w:val="center"/>
                </w:tcPr>
                <w:p w14:paraId="580F0923">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100</w:t>
                  </w:r>
                </w:p>
              </w:tc>
              <w:tc>
                <w:tcPr>
                  <w:tcW w:w="1444" w:type="pct"/>
                  <w:vMerge w:val="continue"/>
                  <w:tcBorders>
                    <w:tl2br w:val="nil"/>
                    <w:tr2bl w:val="nil"/>
                  </w:tcBorders>
                  <w:noWrap w:val="0"/>
                  <w:vAlign w:val="center"/>
                </w:tcPr>
                <w:p w14:paraId="09174DEF">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14:paraId="7E94B9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85" w:type="pct"/>
                  <w:tcBorders>
                    <w:tl2br w:val="nil"/>
                    <w:tr2bl w:val="nil"/>
                  </w:tcBorders>
                  <w:noWrap w:val="0"/>
                  <w:vAlign w:val="center"/>
                </w:tcPr>
                <w:p w14:paraId="1E2E0748">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NH</w:t>
                  </w:r>
                  <w:r>
                    <w:rPr>
                      <w:rFonts w:hint="eastAsia" w:ascii="Times New Roman" w:hAnsi="Times New Roman" w:eastAsia="宋体" w:cs="Times New Roman"/>
                      <w:bCs/>
                      <w:color w:val="auto"/>
                      <w:spacing w:val="11"/>
                      <w:position w:val="0"/>
                      <w:sz w:val="21"/>
                      <w:highlight w:val="none"/>
                      <w:vertAlign w:val="subscript"/>
                    </w:rPr>
                    <w:t>3</w:t>
                  </w:r>
                  <w:r>
                    <w:rPr>
                      <w:rFonts w:hint="eastAsia" w:ascii="Times New Roman" w:hAnsi="Times New Roman" w:eastAsia="宋体" w:cs="Times New Roman"/>
                      <w:bCs/>
                      <w:color w:val="auto"/>
                      <w:spacing w:val="11"/>
                      <w:position w:val="0"/>
                      <w:sz w:val="21"/>
                      <w:highlight w:val="none"/>
                    </w:rPr>
                    <w:t>-N（mg/</w:t>
                  </w:r>
                  <w:r>
                    <w:rPr>
                      <w:rFonts w:hint="eastAsia" w:ascii="Times New Roman" w:hAnsi="Times New Roman" w:eastAsia="宋体" w:cs="Times New Roman"/>
                      <w:bCs/>
                      <w:color w:val="auto"/>
                      <w:spacing w:val="11"/>
                      <w:position w:val="0"/>
                      <w:sz w:val="21"/>
                      <w:highlight w:val="none"/>
                      <w:lang w:val="en-US" w:eastAsia="zh-CN"/>
                    </w:rPr>
                    <w:t>L</w:t>
                  </w:r>
                  <w:r>
                    <w:rPr>
                      <w:rFonts w:hint="eastAsia" w:ascii="Times New Roman" w:hAnsi="Times New Roman" w:eastAsia="宋体" w:cs="Times New Roman"/>
                      <w:bCs/>
                      <w:color w:val="auto"/>
                      <w:spacing w:val="11"/>
                      <w:position w:val="0"/>
                      <w:sz w:val="21"/>
                      <w:highlight w:val="none"/>
                    </w:rPr>
                    <w:t>）</w:t>
                  </w:r>
                </w:p>
              </w:tc>
              <w:tc>
                <w:tcPr>
                  <w:tcW w:w="1269" w:type="pct"/>
                  <w:tcBorders>
                    <w:tl2br w:val="nil"/>
                    <w:tr2bl w:val="nil"/>
                  </w:tcBorders>
                  <w:noWrap w:val="0"/>
                  <w:vAlign w:val="center"/>
                </w:tcPr>
                <w:p w14:paraId="5E79D347">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w:t>
                  </w:r>
                </w:p>
              </w:tc>
              <w:tc>
                <w:tcPr>
                  <w:tcW w:w="1444" w:type="pct"/>
                  <w:vMerge w:val="continue"/>
                  <w:tcBorders>
                    <w:tl2br w:val="nil"/>
                    <w:tr2bl w:val="nil"/>
                  </w:tcBorders>
                  <w:noWrap w:val="0"/>
                  <w:vAlign w:val="center"/>
                </w:tcPr>
                <w:p w14:paraId="5E6534D0">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14:paraId="1D041F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85" w:type="pct"/>
                  <w:tcBorders>
                    <w:tl2br w:val="nil"/>
                    <w:tr2bl w:val="nil"/>
                  </w:tcBorders>
                  <w:noWrap w:val="0"/>
                  <w:vAlign w:val="center"/>
                </w:tcPr>
                <w:p w14:paraId="797CA5E9">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总氰化物（mg/</w:t>
                  </w:r>
                  <w:r>
                    <w:rPr>
                      <w:rFonts w:hint="eastAsia" w:ascii="Times New Roman" w:hAnsi="Times New Roman" w:eastAsia="宋体" w:cs="Times New Roman"/>
                      <w:bCs/>
                      <w:color w:val="auto"/>
                      <w:spacing w:val="11"/>
                      <w:position w:val="0"/>
                      <w:sz w:val="21"/>
                      <w:highlight w:val="none"/>
                      <w:lang w:val="en-US" w:eastAsia="zh-CN"/>
                    </w:rPr>
                    <w:t>L</w:t>
                  </w:r>
                  <w:r>
                    <w:rPr>
                      <w:rFonts w:hint="eastAsia" w:ascii="Times New Roman" w:hAnsi="Times New Roman" w:eastAsia="宋体" w:cs="Times New Roman"/>
                      <w:bCs/>
                      <w:color w:val="auto"/>
                      <w:spacing w:val="11"/>
                      <w:position w:val="0"/>
                      <w:sz w:val="21"/>
                      <w:highlight w:val="none"/>
                    </w:rPr>
                    <w:t>）</w:t>
                  </w:r>
                </w:p>
              </w:tc>
              <w:tc>
                <w:tcPr>
                  <w:tcW w:w="1269" w:type="pct"/>
                  <w:tcBorders>
                    <w:tl2br w:val="nil"/>
                    <w:tr2bl w:val="nil"/>
                  </w:tcBorders>
                  <w:noWrap w:val="0"/>
                  <w:vAlign w:val="center"/>
                </w:tcPr>
                <w:p w14:paraId="3BA5F0D9">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0.5</w:t>
                  </w:r>
                </w:p>
              </w:tc>
              <w:tc>
                <w:tcPr>
                  <w:tcW w:w="1444" w:type="pct"/>
                  <w:vMerge w:val="continue"/>
                  <w:tcBorders>
                    <w:tl2br w:val="nil"/>
                    <w:tr2bl w:val="nil"/>
                  </w:tcBorders>
                  <w:noWrap w:val="0"/>
                  <w:vAlign w:val="center"/>
                </w:tcPr>
                <w:p w14:paraId="4CA5CAD5">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14:paraId="334F9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85" w:type="pct"/>
                  <w:tcBorders>
                    <w:tl2br w:val="nil"/>
                    <w:tr2bl w:val="nil"/>
                  </w:tcBorders>
                  <w:noWrap w:val="0"/>
                  <w:vAlign w:val="center"/>
                </w:tcPr>
                <w:p w14:paraId="56E639D4">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粪大肠菌群数（MPN/L）</w:t>
                  </w:r>
                </w:p>
              </w:tc>
              <w:tc>
                <w:tcPr>
                  <w:tcW w:w="1269" w:type="pct"/>
                  <w:tcBorders>
                    <w:tl2br w:val="nil"/>
                    <w:tr2bl w:val="nil"/>
                  </w:tcBorders>
                  <w:noWrap w:val="0"/>
                  <w:vAlign w:val="center"/>
                </w:tcPr>
                <w:p w14:paraId="38794969">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5000</w:t>
                  </w:r>
                </w:p>
              </w:tc>
              <w:tc>
                <w:tcPr>
                  <w:tcW w:w="1444" w:type="pct"/>
                  <w:vMerge w:val="continue"/>
                  <w:tcBorders>
                    <w:tl2br w:val="nil"/>
                    <w:tr2bl w:val="nil"/>
                  </w:tcBorders>
                  <w:noWrap w:val="0"/>
                  <w:vAlign w:val="center"/>
                </w:tcPr>
                <w:p w14:paraId="01FCDE46">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bl>
          <w:p w14:paraId="622F003C">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right="0" w:firstLine="526" w:firstLineChars="200"/>
              <w:textAlignment w:val="auto"/>
              <w:rPr>
                <w:rFonts w:hint="eastAsia" w:ascii="Times New Roman" w:hAnsi="Times New Roman" w:cs="Times New Roman" w:eastAsiaTheme="minorEastAsia"/>
                <w:b/>
                <w:bCs/>
                <w:color w:val="auto"/>
                <w:spacing w:val="11"/>
                <w:position w:val="0"/>
                <w:sz w:val="24"/>
                <w:szCs w:val="24"/>
                <w:highlight w:val="none"/>
                <w:u w:val="none" w:color="auto"/>
                <w:lang w:eastAsia="zh-CN"/>
              </w:rPr>
            </w:pPr>
            <w:r>
              <w:rPr>
                <w:rFonts w:hint="default" w:ascii="Times New Roman" w:hAnsi="Times New Roman" w:cs="Times New Roman" w:eastAsiaTheme="minorEastAsia"/>
                <w:b/>
                <w:bCs/>
                <w:color w:val="auto"/>
                <w:spacing w:val="11"/>
                <w:position w:val="0"/>
                <w:sz w:val="24"/>
                <w:szCs w:val="24"/>
                <w:highlight w:val="none"/>
                <w:u w:val="none" w:color="auto"/>
                <w:lang w:val="en-US" w:eastAsia="zh-CN"/>
              </w:rPr>
              <w:t>2、</w:t>
            </w:r>
            <w:r>
              <w:rPr>
                <w:rFonts w:hint="eastAsia" w:cs="Times New Roman" w:eastAsiaTheme="minorEastAsia"/>
                <w:b/>
                <w:bCs/>
                <w:color w:val="auto"/>
                <w:spacing w:val="11"/>
                <w:position w:val="0"/>
                <w:sz w:val="24"/>
                <w:szCs w:val="24"/>
                <w:highlight w:val="none"/>
                <w:u w:val="none" w:color="auto"/>
                <w:lang w:val="en-US" w:eastAsia="zh-CN"/>
              </w:rPr>
              <w:t>废气</w:t>
            </w:r>
          </w:p>
          <w:p w14:paraId="72D260E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524" w:firstLineChars="200"/>
              <w:textAlignment w:val="auto"/>
              <w:rPr>
                <w:rFonts w:hint="eastAsia" w:ascii="Times New Roman" w:hAnsi="Times New Roman" w:eastAsia="宋体" w:cs="Times New Roman"/>
                <w:color w:val="auto"/>
                <w:spacing w:val="11"/>
                <w:position w:val="0"/>
                <w:sz w:val="24"/>
                <w:szCs w:val="24"/>
                <w:highlight w:val="none"/>
                <w:u w:val="none" w:color="auto"/>
                <w:lang w:val="en-US" w:eastAsia="zh-CN"/>
              </w:rPr>
            </w:pPr>
            <w:r>
              <w:rPr>
                <w:rFonts w:hint="eastAsia" w:ascii="Times New Roman" w:hAnsi="Times New Roman" w:eastAsia="宋体" w:cs="Times New Roman"/>
                <w:color w:val="auto"/>
                <w:spacing w:val="11"/>
                <w:position w:val="0"/>
                <w:sz w:val="24"/>
                <w:szCs w:val="24"/>
                <w:highlight w:val="none"/>
                <w:u w:val="none" w:color="auto"/>
                <w:lang w:val="en-US" w:eastAsia="zh-CN"/>
              </w:rPr>
              <w:t>项目施工期扬尘执行《大气污染物综合排放标准》（GB16297-1996）表2中颗粒物无组织排放标准。</w:t>
            </w:r>
          </w:p>
          <w:p w14:paraId="055D228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524" w:firstLineChars="200"/>
              <w:textAlignment w:val="auto"/>
              <w:rPr>
                <w:rFonts w:hint="eastAsia" w:ascii="Times New Roman" w:hAnsi="Times New Roman" w:eastAsia="宋体" w:cs="Times New Roman"/>
                <w:color w:val="auto"/>
                <w:spacing w:val="11"/>
                <w:position w:val="0"/>
                <w:sz w:val="24"/>
                <w:szCs w:val="24"/>
                <w:highlight w:val="none"/>
                <w:u w:val="none" w:color="auto"/>
                <w:lang w:val="en-US" w:eastAsia="zh-CN"/>
              </w:rPr>
            </w:pPr>
            <w:r>
              <w:rPr>
                <w:rFonts w:hint="eastAsia" w:ascii="Times New Roman" w:hAnsi="Times New Roman" w:eastAsia="宋体" w:cs="Times New Roman"/>
                <w:color w:val="auto"/>
                <w:spacing w:val="11"/>
                <w:position w:val="0"/>
                <w:sz w:val="24"/>
                <w:szCs w:val="24"/>
                <w:highlight w:val="none"/>
                <w:u w:val="none" w:color="auto"/>
                <w:lang w:val="en-US" w:eastAsia="zh-CN"/>
              </w:rPr>
              <w:t>项目营运过程中产生的污水处理设施周边无组织废气执行《医疗机构水污染物排放标准》（GB18466-2005）表3污水处理站周边大气污染物最高允许浓度</w:t>
            </w:r>
            <w:r>
              <w:rPr>
                <w:rFonts w:hint="eastAsia" w:cs="Times New Roman"/>
                <w:color w:val="auto"/>
                <w:spacing w:val="11"/>
                <w:position w:val="0"/>
                <w:sz w:val="24"/>
                <w:szCs w:val="24"/>
                <w:highlight w:val="none"/>
                <w:u w:val="none" w:color="auto"/>
                <w:lang w:val="en-US" w:eastAsia="zh-CN"/>
              </w:rPr>
              <w:t>；项目边界恶臭气体执行《恶臭气体污染物排放标准》（GB 14554-93）表1二级新扩改建排放标准</w:t>
            </w:r>
            <w:r>
              <w:rPr>
                <w:rFonts w:hint="eastAsia" w:ascii="Times New Roman" w:hAnsi="Times New Roman" w:eastAsia="宋体" w:cs="Times New Roman"/>
                <w:color w:val="auto"/>
                <w:spacing w:val="11"/>
                <w:position w:val="0"/>
                <w:sz w:val="24"/>
                <w:szCs w:val="24"/>
                <w:highlight w:val="none"/>
                <w:u w:val="none" w:color="auto"/>
                <w:lang w:val="en-US" w:eastAsia="zh-CN"/>
              </w:rPr>
              <w:t>。</w:t>
            </w:r>
          </w:p>
          <w:p w14:paraId="19B6EE92">
            <w:pPr>
              <w:widowControl/>
              <w:adjustRightInd/>
              <w:snapToGrid/>
              <w:spacing w:line="240" w:lineRule="auto"/>
              <w:ind w:firstLine="0" w:firstLineChars="0"/>
              <w:jc w:val="center"/>
              <w:rPr>
                <w:rFonts w:hint="eastAsia" w:ascii="Times New Roman" w:hAnsi="Times New Roman" w:eastAsia="宋体" w:cs="Times New Roman"/>
                <w:b/>
                <w:bCs/>
                <w:color w:val="auto"/>
                <w:spacing w:val="11"/>
                <w:position w:val="0"/>
                <w:sz w:val="21"/>
                <w:szCs w:val="21"/>
                <w:highlight w:val="none"/>
              </w:rPr>
            </w:pPr>
            <w:r>
              <w:rPr>
                <w:rFonts w:ascii="Times New Roman" w:hAnsi="Times New Roman" w:eastAsia="宋体" w:cs="Times New Roman"/>
                <w:b/>
                <w:bCs/>
                <w:color w:val="auto"/>
                <w:spacing w:val="11"/>
                <w:position w:val="0"/>
                <w:sz w:val="21"/>
                <w:szCs w:val="21"/>
                <w:highlight w:val="none"/>
                <w:lang w:val="sq-AL"/>
              </w:rPr>
              <w:t>表</w:t>
            </w:r>
            <w:r>
              <w:rPr>
                <w:rFonts w:ascii="Times New Roman" w:hAnsi="Times New Roman" w:eastAsia="宋体" w:cs="Times New Roman"/>
                <w:b/>
                <w:bCs/>
                <w:color w:val="auto"/>
                <w:spacing w:val="11"/>
                <w:position w:val="0"/>
                <w:sz w:val="21"/>
                <w:szCs w:val="21"/>
                <w:highlight w:val="none"/>
              </w:rPr>
              <w:t>3-</w:t>
            </w:r>
            <w:r>
              <w:rPr>
                <w:rFonts w:hint="eastAsia" w:cs="Times New Roman"/>
                <w:b/>
                <w:bCs/>
                <w:color w:val="auto"/>
                <w:spacing w:val="11"/>
                <w:position w:val="0"/>
                <w:sz w:val="21"/>
                <w:szCs w:val="21"/>
                <w:highlight w:val="none"/>
                <w:lang w:val="en-US" w:eastAsia="zh-CN"/>
              </w:rPr>
              <w:t>6</w:t>
            </w:r>
            <w:r>
              <w:rPr>
                <w:rFonts w:hint="eastAsia" w:ascii="Times New Roman" w:hAnsi="Times New Roman" w:eastAsia="宋体" w:cs="Times New Roman"/>
                <w:b/>
                <w:bCs/>
                <w:color w:val="auto"/>
                <w:spacing w:val="11"/>
                <w:position w:val="0"/>
                <w:sz w:val="21"/>
                <w:szCs w:val="21"/>
                <w:highlight w:val="none"/>
              </w:rPr>
              <w:t xml:space="preserve">  </w:t>
            </w:r>
            <w:r>
              <w:rPr>
                <w:rFonts w:hint="eastAsia" w:ascii="Times New Roman" w:hAnsi="Times New Roman" w:eastAsia="宋体" w:cs="Times New Roman"/>
                <w:b/>
                <w:bCs/>
                <w:color w:val="auto"/>
                <w:spacing w:val="11"/>
                <w:position w:val="0"/>
                <w:sz w:val="21"/>
                <w:szCs w:val="21"/>
                <w:highlight w:val="none"/>
                <w:lang w:val="en-US" w:eastAsia="zh-CN"/>
              </w:rPr>
              <w:t>污水处理站周边大气污染物最高允许浓度</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515"/>
              <w:gridCol w:w="4515"/>
            </w:tblGrid>
            <w:tr w14:paraId="2F71B1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2" w:hRule="atLeast"/>
                <w:jc w:val="center"/>
              </w:trPr>
              <w:tc>
                <w:tcPr>
                  <w:tcW w:w="2500" w:type="pct"/>
                  <w:tcBorders>
                    <w:tl2br w:val="nil"/>
                    <w:tr2bl w:val="nil"/>
                  </w:tcBorders>
                  <w:vAlign w:val="center"/>
                </w:tcPr>
                <w:p w14:paraId="5D09494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11"/>
                      <w:sz w:val="21"/>
                      <w:szCs w:val="21"/>
                      <w:highlight w:val="none"/>
                      <w:u w:val="none"/>
                    </w:rPr>
                  </w:pPr>
                  <w:r>
                    <w:rPr>
                      <w:rFonts w:hint="default" w:ascii="Times New Roman" w:hAnsi="Times New Roman" w:eastAsia="宋体" w:cs="Times New Roman"/>
                      <w:caps w:val="0"/>
                      <w:smallCaps w:val="0"/>
                      <w:color w:val="auto"/>
                      <w:spacing w:val="11"/>
                      <w:sz w:val="21"/>
                      <w:szCs w:val="21"/>
                      <w:highlight w:val="none"/>
                      <w:u w:val="none"/>
                    </w:rPr>
                    <w:t>污染物名称</w:t>
                  </w:r>
                </w:p>
              </w:tc>
              <w:tc>
                <w:tcPr>
                  <w:tcW w:w="2500" w:type="pct"/>
                  <w:tcBorders>
                    <w:tl2br w:val="nil"/>
                    <w:tr2bl w:val="nil"/>
                  </w:tcBorders>
                  <w:vAlign w:val="center"/>
                </w:tcPr>
                <w:p w14:paraId="300AECBD">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aps w:val="0"/>
                      <w:smallCaps w:val="0"/>
                      <w:color w:val="auto"/>
                      <w:spacing w:val="11"/>
                      <w:sz w:val="21"/>
                      <w:szCs w:val="21"/>
                      <w:highlight w:val="none"/>
                      <w:u w:val="none"/>
                      <w:lang w:val="en-US" w:eastAsia="zh-CN"/>
                    </w:rPr>
                  </w:pPr>
                  <w:r>
                    <w:rPr>
                      <w:rFonts w:hint="eastAsia" w:ascii="Times New Roman" w:hAnsi="Times New Roman" w:eastAsia="宋体" w:cs="Times New Roman"/>
                      <w:caps w:val="0"/>
                      <w:smallCaps w:val="0"/>
                      <w:color w:val="auto"/>
                      <w:spacing w:val="11"/>
                      <w:sz w:val="21"/>
                      <w:szCs w:val="21"/>
                      <w:highlight w:val="none"/>
                      <w:u w:val="none"/>
                      <w:lang w:val="en-US" w:eastAsia="zh-CN"/>
                    </w:rPr>
                    <w:t>标准值</w:t>
                  </w:r>
                </w:p>
              </w:tc>
            </w:tr>
            <w:tr w14:paraId="348086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0" w:type="pct"/>
                  <w:tcBorders>
                    <w:tl2br w:val="nil"/>
                    <w:tr2bl w:val="nil"/>
                  </w:tcBorders>
                  <w:vAlign w:val="center"/>
                </w:tcPr>
                <w:p w14:paraId="5FA2D42D">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aps w:val="0"/>
                      <w:smallCaps w:val="0"/>
                      <w:color w:val="auto"/>
                      <w:spacing w:val="11"/>
                      <w:sz w:val="21"/>
                      <w:szCs w:val="21"/>
                      <w:highlight w:val="none"/>
                      <w:u w:val="none"/>
                      <w:lang w:eastAsia="zh-CN"/>
                    </w:rPr>
                  </w:pPr>
                  <w:r>
                    <w:rPr>
                      <w:rFonts w:hint="eastAsia" w:ascii="Times New Roman" w:hAnsi="Times New Roman" w:eastAsia="宋体" w:cs="Times New Roman"/>
                      <w:caps w:val="0"/>
                      <w:smallCaps w:val="0"/>
                      <w:color w:val="auto"/>
                      <w:spacing w:val="11"/>
                      <w:sz w:val="21"/>
                      <w:szCs w:val="21"/>
                      <w:highlight w:val="none"/>
                      <w:u w:val="none"/>
                      <w:lang w:val="en-US" w:eastAsia="zh-CN"/>
                    </w:rPr>
                    <w:t>氨（mg/m</w:t>
                  </w:r>
                  <w:r>
                    <w:rPr>
                      <w:rFonts w:hint="eastAsia" w:ascii="Times New Roman" w:hAnsi="Times New Roman" w:eastAsia="宋体" w:cs="Times New Roman"/>
                      <w:caps w:val="0"/>
                      <w:smallCaps w:val="0"/>
                      <w:color w:val="auto"/>
                      <w:spacing w:val="11"/>
                      <w:sz w:val="21"/>
                      <w:szCs w:val="21"/>
                      <w:highlight w:val="none"/>
                      <w:u w:val="none"/>
                      <w:vertAlign w:val="superscript"/>
                      <w:lang w:val="en-US" w:eastAsia="zh-CN"/>
                    </w:rPr>
                    <w:t>3</w:t>
                  </w:r>
                  <w:r>
                    <w:rPr>
                      <w:rFonts w:hint="eastAsia" w:ascii="Times New Roman" w:hAnsi="Times New Roman" w:eastAsia="宋体" w:cs="Times New Roman"/>
                      <w:caps w:val="0"/>
                      <w:smallCaps w:val="0"/>
                      <w:color w:val="auto"/>
                      <w:spacing w:val="11"/>
                      <w:sz w:val="21"/>
                      <w:szCs w:val="21"/>
                      <w:highlight w:val="none"/>
                      <w:u w:val="none"/>
                      <w:lang w:val="en-US" w:eastAsia="zh-CN"/>
                    </w:rPr>
                    <w:t>）</w:t>
                  </w:r>
                </w:p>
              </w:tc>
              <w:tc>
                <w:tcPr>
                  <w:tcW w:w="2500" w:type="pct"/>
                  <w:tcBorders>
                    <w:tl2br w:val="nil"/>
                    <w:tr2bl w:val="nil"/>
                  </w:tcBorders>
                  <w:vAlign w:val="center"/>
                </w:tcPr>
                <w:p w14:paraId="0A6D1A3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11"/>
                      <w:sz w:val="21"/>
                      <w:szCs w:val="21"/>
                      <w:highlight w:val="none"/>
                      <w:u w:val="none"/>
                      <w:lang w:val="en-US" w:eastAsia="zh-CN"/>
                    </w:rPr>
                  </w:pPr>
                  <w:r>
                    <w:rPr>
                      <w:rFonts w:hint="eastAsia" w:ascii="Times New Roman" w:hAnsi="Times New Roman" w:eastAsia="宋体" w:cs="Times New Roman"/>
                      <w:caps w:val="0"/>
                      <w:smallCaps w:val="0"/>
                      <w:color w:val="auto"/>
                      <w:spacing w:val="11"/>
                      <w:sz w:val="21"/>
                      <w:szCs w:val="21"/>
                      <w:highlight w:val="none"/>
                      <w:u w:val="none"/>
                      <w:lang w:val="en-US" w:eastAsia="zh-CN"/>
                    </w:rPr>
                    <w:t>1.0</w:t>
                  </w:r>
                </w:p>
              </w:tc>
            </w:tr>
            <w:tr w14:paraId="41FCEC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0" w:type="pct"/>
                  <w:tcBorders>
                    <w:tl2br w:val="nil"/>
                    <w:tr2bl w:val="nil"/>
                  </w:tcBorders>
                  <w:vAlign w:val="center"/>
                </w:tcPr>
                <w:p w14:paraId="6D89F964">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aps w:val="0"/>
                      <w:smallCaps w:val="0"/>
                      <w:color w:val="auto"/>
                      <w:spacing w:val="11"/>
                      <w:sz w:val="21"/>
                      <w:szCs w:val="21"/>
                      <w:highlight w:val="none"/>
                      <w:u w:val="none"/>
                      <w:lang w:eastAsia="zh-CN"/>
                    </w:rPr>
                  </w:pPr>
                  <w:r>
                    <w:rPr>
                      <w:rFonts w:hint="eastAsia" w:ascii="Times New Roman" w:hAnsi="Times New Roman" w:eastAsia="宋体" w:cs="Times New Roman"/>
                      <w:caps w:val="0"/>
                      <w:smallCaps w:val="0"/>
                      <w:color w:val="auto"/>
                      <w:spacing w:val="11"/>
                      <w:sz w:val="21"/>
                      <w:szCs w:val="21"/>
                      <w:highlight w:val="none"/>
                      <w:u w:val="none"/>
                      <w:lang w:val="en-US" w:eastAsia="zh-CN"/>
                    </w:rPr>
                    <w:t>硫化氢（mg/m</w:t>
                  </w:r>
                  <w:r>
                    <w:rPr>
                      <w:rFonts w:hint="eastAsia" w:ascii="Times New Roman" w:hAnsi="Times New Roman" w:eastAsia="宋体" w:cs="Times New Roman"/>
                      <w:caps w:val="0"/>
                      <w:smallCaps w:val="0"/>
                      <w:color w:val="auto"/>
                      <w:spacing w:val="11"/>
                      <w:sz w:val="21"/>
                      <w:szCs w:val="21"/>
                      <w:highlight w:val="none"/>
                      <w:u w:val="none"/>
                      <w:vertAlign w:val="superscript"/>
                      <w:lang w:val="en-US" w:eastAsia="zh-CN"/>
                    </w:rPr>
                    <w:t>3</w:t>
                  </w:r>
                  <w:r>
                    <w:rPr>
                      <w:rFonts w:hint="eastAsia" w:ascii="Times New Roman" w:hAnsi="Times New Roman" w:eastAsia="宋体" w:cs="Times New Roman"/>
                      <w:caps w:val="0"/>
                      <w:smallCaps w:val="0"/>
                      <w:color w:val="auto"/>
                      <w:spacing w:val="11"/>
                      <w:sz w:val="21"/>
                      <w:szCs w:val="21"/>
                      <w:highlight w:val="none"/>
                      <w:u w:val="none"/>
                      <w:lang w:val="en-US" w:eastAsia="zh-CN"/>
                    </w:rPr>
                    <w:t>）</w:t>
                  </w:r>
                </w:p>
              </w:tc>
              <w:tc>
                <w:tcPr>
                  <w:tcW w:w="2500" w:type="pct"/>
                  <w:tcBorders>
                    <w:tl2br w:val="nil"/>
                    <w:tr2bl w:val="nil"/>
                  </w:tcBorders>
                  <w:vAlign w:val="center"/>
                </w:tcPr>
                <w:p w14:paraId="779CF61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11"/>
                      <w:sz w:val="21"/>
                      <w:szCs w:val="21"/>
                      <w:highlight w:val="none"/>
                      <w:u w:val="none"/>
                      <w:lang w:val="en-US" w:eastAsia="zh-CN"/>
                    </w:rPr>
                  </w:pPr>
                  <w:r>
                    <w:rPr>
                      <w:rFonts w:hint="eastAsia" w:ascii="Times New Roman" w:hAnsi="Times New Roman" w:eastAsia="宋体" w:cs="Times New Roman"/>
                      <w:caps w:val="0"/>
                      <w:smallCaps w:val="0"/>
                      <w:color w:val="auto"/>
                      <w:spacing w:val="11"/>
                      <w:sz w:val="21"/>
                      <w:szCs w:val="21"/>
                      <w:highlight w:val="none"/>
                      <w:u w:val="none"/>
                      <w:lang w:val="en-US" w:eastAsia="zh-CN"/>
                    </w:rPr>
                    <w:t>0.03</w:t>
                  </w:r>
                </w:p>
              </w:tc>
            </w:tr>
            <w:tr w14:paraId="01CB92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0" w:type="pct"/>
                  <w:tcBorders>
                    <w:tl2br w:val="nil"/>
                    <w:tr2bl w:val="nil"/>
                  </w:tcBorders>
                  <w:vAlign w:val="center"/>
                </w:tcPr>
                <w:p w14:paraId="6FA2E810">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aps w:val="0"/>
                      <w:smallCaps w:val="0"/>
                      <w:color w:val="auto"/>
                      <w:spacing w:val="11"/>
                      <w:sz w:val="21"/>
                      <w:szCs w:val="21"/>
                      <w:highlight w:val="none"/>
                      <w:u w:val="none"/>
                      <w:lang w:val="en-US" w:eastAsia="zh-CN"/>
                    </w:rPr>
                  </w:pPr>
                  <w:r>
                    <w:rPr>
                      <w:rFonts w:hint="eastAsia" w:ascii="Times New Roman" w:hAnsi="Times New Roman" w:cs="Times New Roman"/>
                      <w:caps w:val="0"/>
                      <w:smallCaps w:val="0"/>
                      <w:color w:val="auto"/>
                      <w:spacing w:val="11"/>
                      <w:sz w:val="21"/>
                      <w:szCs w:val="21"/>
                      <w:highlight w:val="none"/>
                      <w:u w:val="none"/>
                      <w:lang w:val="en-US" w:eastAsia="zh-CN"/>
                    </w:rPr>
                    <w:t>臭气浓度（无量纲）</w:t>
                  </w:r>
                </w:p>
              </w:tc>
              <w:tc>
                <w:tcPr>
                  <w:tcW w:w="2500" w:type="pct"/>
                  <w:tcBorders>
                    <w:tl2br w:val="nil"/>
                    <w:tr2bl w:val="nil"/>
                  </w:tcBorders>
                  <w:vAlign w:val="center"/>
                </w:tcPr>
                <w:p w14:paraId="6D81A49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11"/>
                      <w:sz w:val="21"/>
                      <w:szCs w:val="21"/>
                      <w:highlight w:val="none"/>
                      <w:u w:val="none"/>
                      <w:lang w:val="en-US" w:eastAsia="zh-CN"/>
                    </w:rPr>
                  </w:pPr>
                  <w:r>
                    <w:rPr>
                      <w:rFonts w:hint="eastAsia" w:ascii="Times New Roman" w:hAnsi="Times New Roman" w:cs="Times New Roman"/>
                      <w:caps w:val="0"/>
                      <w:smallCaps w:val="0"/>
                      <w:color w:val="auto"/>
                      <w:spacing w:val="11"/>
                      <w:sz w:val="21"/>
                      <w:szCs w:val="21"/>
                      <w:highlight w:val="none"/>
                      <w:u w:val="none"/>
                      <w:lang w:val="en-US" w:eastAsia="zh-CN"/>
                    </w:rPr>
                    <w:t>10</w:t>
                  </w:r>
                </w:p>
              </w:tc>
            </w:tr>
            <w:tr w14:paraId="07B8AA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0" w:type="pct"/>
                  <w:tcBorders>
                    <w:tl2br w:val="nil"/>
                    <w:tr2bl w:val="nil"/>
                  </w:tcBorders>
                  <w:vAlign w:val="center"/>
                </w:tcPr>
                <w:p w14:paraId="7BEB0AC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11"/>
                      <w:sz w:val="21"/>
                      <w:szCs w:val="21"/>
                      <w:highlight w:val="none"/>
                      <w:u w:val="none"/>
                      <w:lang w:val="en-US" w:eastAsia="zh-CN"/>
                    </w:rPr>
                  </w:pPr>
                  <w:r>
                    <w:rPr>
                      <w:rFonts w:hint="eastAsia" w:ascii="Times New Roman" w:hAnsi="Times New Roman" w:cs="Times New Roman"/>
                      <w:caps w:val="0"/>
                      <w:smallCaps w:val="0"/>
                      <w:color w:val="auto"/>
                      <w:spacing w:val="11"/>
                      <w:sz w:val="21"/>
                      <w:szCs w:val="21"/>
                      <w:highlight w:val="none"/>
                      <w:u w:val="none"/>
                      <w:lang w:val="en-US" w:eastAsia="zh-CN"/>
                    </w:rPr>
                    <w:t>氯气</w:t>
                  </w:r>
                  <w:r>
                    <w:rPr>
                      <w:rFonts w:hint="eastAsia" w:ascii="Times New Roman" w:hAnsi="Times New Roman" w:eastAsia="宋体" w:cs="Times New Roman"/>
                      <w:caps w:val="0"/>
                      <w:smallCaps w:val="0"/>
                      <w:color w:val="auto"/>
                      <w:spacing w:val="11"/>
                      <w:sz w:val="21"/>
                      <w:szCs w:val="21"/>
                      <w:highlight w:val="none"/>
                      <w:u w:val="none"/>
                      <w:lang w:val="en-US" w:eastAsia="zh-CN"/>
                    </w:rPr>
                    <w:t>（mg/m</w:t>
                  </w:r>
                  <w:r>
                    <w:rPr>
                      <w:rFonts w:hint="eastAsia" w:ascii="Times New Roman" w:hAnsi="Times New Roman" w:eastAsia="宋体" w:cs="Times New Roman"/>
                      <w:caps w:val="0"/>
                      <w:smallCaps w:val="0"/>
                      <w:color w:val="auto"/>
                      <w:spacing w:val="11"/>
                      <w:sz w:val="21"/>
                      <w:szCs w:val="21"/>
                      <w:highlight w:val="none"/>
                      <w:u w:val="none"/>
                      <w:vertAlign w:val="superscript"/>
                      <w:lang w:val="en-US" w:eastAsia="zh-CN"/>
                    </w:rPr>
                    <w:t>3</w:t>
                  </w:r>
                  <w:r>
                    <w:rPr>
                      <w:rFonts w:hint="eastAsia" w:ascii="Times New Roman" w:hAnsi="Times New Roman" w:eastAsia="宋体" w:cs="Times New Roman"/>
                      <w:caps w:val="0"/>
                      <w:smallCaps w:val="0"/>
                      <w:color w:val="auto"/>
                      <w:spacing w:val="11"/>
                      <w:sz w:val="21"/>
                      <w:szCs w:val="21"/>
                      <w:highlight w:val="none"/>
                      <w:u w:val="none"/>
                      <w:lang w:val="en-US" w:eastAsia="zh-CN"/>
                    </w:rPr>
                    <w:t>）</w:t>
                  </w:r>
                </w:p>
              </w:tc>
              <w:tc>
                <w:tcPr>
                  <w:tcW w:w="2500" w:type="pct"/>
                  <w:tcBorders>
                    <w:tl2br w:val="nil"/>
                    <w:tr2bl w:val="nil"/>
                  </w:tcBorders>
                  <w:vAlign w:val="center"/>
                </w:tcPr>
                <w:p w14:paraId="1C0F028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11"/>
                      <w:sz w:val="21"/>
                      <w:szCs w:val="21"/>
                      <w:highlight w:val="none"/>
                      <w:u w:val="none"/>
                      <w:lang w:val="en-US" w:eastAsia="zh-CN"/>
                    </w:rPr>
                  </w:pPr>
                  <w:r>
                    <w:rPr>
                      <w:rFonts w:hint="eastAsia" w:ascii="Times New Roman" w:hAnsi="Times New Roman" w:cs="Times New Roman"/>
                      <w:caps w:val="0"/>
                      <w:smallCaps w:val="0"/>
                      <w:color w:val="auto"/>
                      <w:spacing w:val="11"/>
                      <w:sz w:val="21"/>
                      <w:szCs w:val="21"/>
                      <w:highlight w:val="none"/>
                      <w:u w:val="none"/>
                      <w:lang w:val="en-US" w:eastAsia="zh-CN"/>
                    </w:rPr>
                    <w:t>0.1</w:t>
                  </w:r>
                </w:p>
              </w:tc>
            </w:tr>
            <w:tr w14:paraId="6C7E4F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0" w:type="pct"/>
                  <w:tcBorders>
                    <w:tl2br w:val="nil"/>
                    <w:tr2bl w:val="nil"/>
                  </w:tcBorders>
                  <w:vAlign w:val="center"/>
                </w:tcPr>
                <w:p w14:paraId="57978F7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11"/>
                      <w:sz w:val="21"/>
                      <w:szCs w:val="21"/>
                      <w:highlight w:val="none"/>
                      <w:u w:val="none"/>
                      <w:lang w:val="en-US" w:eastAsia="zh-CN"/>
                    </w:rPr>
                  </w:pPr>
                  <w:r>
                    <w:rPr>
                      <w:rFonts w:hint="eastAsia" w:ascii="Times New Roman" w:hAnsi="Times New Roman" w:cs="Times New Roman"/>
                      <w:caps w:val="0"/>
                      <w:smallCaps w:val="0"/>
                      <w:color w:val="auto"/>
                      <w:spacing w:val="11"/>
                      <w:sz w:val="21"/>
                      <w:szCs w:val="21"/>
                      <w:highlight w:val="none"/>
                      <w:u w:val="none"/>
                      <w:lang w:val="en-US" w:eastAsia="zh-CN"/>
                    </w:rPr>
                    <w:t>甲烷（指处理站内最高体积百分数/%）</w:t>
                  </w:r>
                </w:p>
              </w:tc>
              <w:tc>
                <w:tcPr>
                  <w:tcW w:w="2500" w:type="pct"/>
                  <w:tcBorders>
                    <w:tl2br w:val="nil"/>
                    <w:tr2bl w:val="nil"/>
                  </w:tcBorders>
                  <w:vAlign w:val="center"/>
                </w:tcPr>
                <w:p w14:paraId="784B062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11"/>
                      <w:sz w:val="21"/>
                      <w:szCs w:val="21"/>
                      <w:highlight w:val="none"/>
                      <w:u w:val="none"/>
                      <w:lang w:val="en-US" w:eastAsia="zh-CN"/>
                    </w:rPr>
                  </w:pPr>
                  <w:r>
                    <w:rPr>
                      <w:rFonts w:hint="eastAsia" w:ascii="Times New Roman" w:hAnsi="Times New Roman" w:cs="Times New Roman"/>
                      <w:caps w:val="0"/>
                      <w:smallCaps w:val="0"/>
                      <w:color w:val="auto"/>
                      <w:spacing w:val="11"/>
                      <w:sz w:val="21"/>
                      <w:szCs w:val="21"/>
                      <w:highlight w:val="none"/>
                      <w:u w:val="none"/>
                      <w:lang w:val="en-US" w:eastAsia="zh-CN"/>
                    </w:rPr>
                    <w:t>1</w:t>
                  </w:r>
                </w:p>
              </w:tc>
            </w:tr>
          </w:tbl>
          <w:p w14:paraId="50C8E1A4">
            <w:pPr>
              <w:widowControl/>
              <w:adjustRightInd/>
              <w:snapToGrid/>
              <w:spacing w:line="240" w:lineRule="auto"/>
              <w:ind w:firstLine="0" w:firstLineChars="0"/>
              <w:jc w:val="center"/>
              <w:rPr>
                <w:rFonts w:ascii="Times New Roman" w:hAnsi="Times New Roman" w:eastAsia="宋体" w:cs="Times New Roman"/>
                <w:b/>
                <w:bCs/>
                <w:color w:val="auto"/>
                <w:spacing w:val="11"/>
                <w:position w:val="0"/>
                <w:sz w:val="21"/>
                <w:szCs w:val="21"/>
                <w:highlight w:val="none"/>
                <w:lang w:val="sq-AL"/>
              </w:rPr>
            </w:pPr>
          </w:p>
          <w:p w14:paraId="03359ADF">
            <w:pPr>
              <w:widowControl/>
              <w:adjustRightInd/>
              <w:snapToGrid/>
              <w:spacing w:line="240" w:lineRule="auto"/>
              <w:ind w:firstLine="0" w:firstLineChars="0"/>
              <w:jc w:val="center"/>
              <w:rPr>
                <w:rFonts w:hint="eastAsia" w:ascii="Times New Roman" w:hAnsi="Times New Roman" w:eastAsia="宋体" w:cs="Times New Roman"/>
                <w:b/>
                <w:bCs/>
                <w:color w:val="auto"/>
                <w:spacing w:val="11"/>
                <w:position w:val="0"/>
                <w:sz w:val="21"/>
                <w:szCs w:val="21"/>
                <w:highlight w:val="none"/>
                <w:lang w:val="en-US" w:eastAsia="zh-CN"/>
              </w:rPr>
            </w:pPr>
            <w:r>
              <w:rPr>
                <w:rFonts w:ascii="Times New Roman" w:hAnsi="Times New Roman" w:eastAsia="宋体" w:cs="Times New Roman"/>
                <w:b/>
                <w:bCs/>
                <w:color w:val="auto"/>
                <w:spacing w:val="11"/>
                <w:position w:val="0"/>
                <w:sz w:val="21"/>
                <w:szCs w:val="21"/>
                <w:highlight w:val="none"/>
                <w:lang w:val="sq-AL"/>
              </w:rPr>
              <w:t>表</w:t>
            </w:r>
            <w:r>
              <w:rPr>
                <w:rFonts w:ascii="Times New Roman" w:hAnsi="Times New Roman" w:eastAsia="宋体" w:cs="Times New Roman"/>
                <w:b/>
                <w:bCs/>
                <w:color w:val="auto"/>
                <w:spacing w:val="11"/>
                <w:position w:val="0"/>
                <w:sz w:val="21"/>
                <w:szCs w:val="21"/>
                <w:highlight w:val="none"/>
              </w:rPr>
              <w:t>3-</w:t>
            </w:r>
            <w:r>
              <w:rPr>
                <w:rFonts w:hint="eastAsia" w:cs="Times New Roman"/>
                <w:b/>
                <w:bCs/>
                <w:color w:val="auto"/>
                <w:spacing w:val="11"/>
                <w:position w:val="0"/>
                <w:sz w:val="21"/>
                <w:szCs w:val="21"/>
                <w:highlight w:val="none"/>
                <w:lang w:val="en-US" w:eastAsia="zh-CN"/>
              </w:rPr>
              <w:t>7</w:t>
            </w:r>
            <w:r>
              <w:rPr>
                <w:rFonts w:hint="eastAsia" w:ascii="Times New Roman" w:hAnsi="Times New Roman" w:eastAsia="宋体" w:cs="Times New Roman"/>
                <w:b/>
                <w:bCs/>
                <w:color w:val="auto"/>
                <w:spacing w:val="11"/>
                <w:position w:val="0"/>
                <w:sz w:val="21"/>
                <w:szCs w:val="21"/>
                <w:highlight w:val="none"/>
              </w:rPr>
              <w:t xml:space="preserve">  </w:t>
            </w:r>
            <w:r>
              <w:rPr>
                <w:rFonts w:hint="eastAsia" w:ascii="Times New Roman" w:hAnsi="Times New Roman" w:eastAsia="宋体" w:cs="Times New Roman"/>
                <w:b/>
                <w:bCs/>
                <w:color w:val="auto"/>
                <w:spacing w:val="11"/>
                <w:position w:val="0"/>
                <w:sz w:val="21"/>
                <w:szCs w:val="21"/>
                <w:highlight w:val="none"/>
                <w:lang w:val="en-US" w:eastAsia="zh-CN"/>
              </w:rPr>
              <w:t>《恶臭气体污染物排放标准》（GB 14554-93）</w:t>
            </w:r>
          </w:p>
          <w:tbl>
            <w:tblPr>
              <w:tblStyle w:val="24"/>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559"/>
              <w:gridCol w:w="3254"/>
              <w:gridCol w:w="3215"/>
            </w:tblGrid>
            <w:tr w14:paraId="2BACC6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17" w:type="pct"/>
                  <w:vMerge w:val="restart"/>
                  <w:tcBorders>
                    <w:tl2br w:val="nil"/>
                    <w:tr2bl w:val="nil"/>
                  </w:tcBorders>
                  <w:vAlign w:val="center"/>
                </w:tcPr>
                <w:p w14:paraId="12926BD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11"/>
                      <w:sz w:val="21"/>
                      <w:szCs w:val="21"/>
                      <w:highlight w:val="none"/>
                      <w:u w:val="none"/>
                    </w:rPr>
                  </w:pPr>
                  <w:r>
                    <w:rPr>
                      <w:rFonts w:hint="default" w:ascii="Times New Roman" w:hAnsi="Times New Roman" w:eastAsia="宋体" w:cs="Times New Roman"/>
                      <w:caps w:val="0"/>
                      <w:smallCaps w:val="0"/>
                      <w:color w:val="auto"/>
                      <w:spacing w:val="11"/>
                      <w:sz w:val="21"/>
                      <w:szCs w:val="21"/>
                      <w:highlight w:val="none"/>
                      <w:u w:val="none"/>
                    </w:rPr>
                    <w:t>污染物名称</w:t>
                  </w:r>
                </w:p>
              </w:tc>
              <w:tc>
                <w:tcPr>
                  <w:tcW w:w="3582" w:type="pct"/>
                  <w:gridSpan w:val="2"/>
                  <w:tcBorders>
                    <w:tl2br w:val="nil"/>
                    <w:tr2bl w:val="nil"/>
                  </w:tcBorders>
                  <w:vAlign w:val="center"/>
                </w:tcPr>
                <w:p w14:paraId="6DB43ED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11"/>
                      <w:sz w:val="21"/>
                      <w:szCs w:val="21"/>
                      <w:highlight w:val="none"/>
                      <w:u w:val="none"/>
                    </w:rPr>
                  </w:pPr>
                  <w:r>
                    <w:rPr>
                      <w:rFonts w:hint="default" w:ascii="Times New Roman" w:hAnsi="Times New Roman" w:eastAsia="宋体" w:cs="Times New Roman"/>
                      <w:caps w:val="0"/>
                      <w:smallCaps w:val="0"/>
                      <w:color w:val="auto"/>
                      <w:spacing w:val="11"/>
                      <w:sz w:val="21"/>
                      <w:szCs w:val="21"/>
                      <w:highlight w:val="none"/>
                      <w:u w:val="none"/>
                    </w:rPr>
                    <w:t>无组织排放监控浓度限值（mg/m</w:t>
                  </w:r>
                  <w:r>
                    <w:rPr>
                      <w:rFonts w:hint="default" w:ascii="Times New Roman" w:hAnsi="Times New Roman" w:eastAsia="宋体" w:cs="Times New Roman"/>
                      <w:caps w:val="0"/>
                      <w:smallCaps w:val="0"/>
                      <w:color w:val="auto"/>
                      <w:spacing w:val="11"/>
                      <w:sz w:val="21"/>
                      <w:szCs w:val="21"/>
                      <w:highlight w:val="none"/>
                      <w:u w:val="none"/>
                      <w:vertAlign w:val="superscript"/>
                    </w:rPr>
                    <w:t>3</w:t>
                  </w:r>
                  <w:r>
                    <w:rPr>
                      <w:rFonts w:hint="default" w:ascii="Times New Roman" w:hAnsi="Times New Roman" w:eastAsia="宋体" w:cs="Times New Roman"/>
                      <w:caps w:val="0"/>
                      <w:smallCaps w:val="0"/>
                      <w:color w:val="auto"/>
                      <w:spacing w:val="11"/>
                      <w:sz w:val="21"/>
                      <w:szCs w:val="21"/>
                      <w:highlight w:val="none"/>
                      <w:u w:val="none"/>
                    </w:rPr>
                    <w:t>）</w:t>
                  </w:r>
                </w:p>
              </w:tc>
            </w:tr>
            <w:tr w14:paraId="42B02E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17" w:type="pct"/>
                  <w:vMerge w:val="continue"/>
                  <w:tcBorders>
                    <w:tl2br w:val="nil"/>
                    <w:tr2bl w:val="nil"/>
                  </w:tcBorders>
                  <w:vAlign w:val="center"/>
                </w:tcPr>
                <w:p w14:paraId="65764C1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11"/>
                      <w:sz w:val="21"/>
                      <w:szCs w:val="21"/>
                      <w:highlight w:val="none"/>
                      <w:u w:val="none"/>
                    </w:rPr>
                  </w:pPr>
                </w:p>
              </w:tc>
              <w:tc>
                <w:tcPr>
                  <w:tcW w:w="1802" w:type="pct"/>
                  <w:tcBorders>
                    <w:tl2br w:val="nil"/>
                    <w:tr2bl w:val="nil"/>
                  </w:tcBorders>
                  <w:vAlign w:val="center"/>
                </w:tcPr>
                <w:p w14:paraId="2918461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11"/>
                      <w:sz w:val="21"/>
                      <w:szCs w:val="21"/>
                      <w:highlight w:val="none"/>
                      <w:u w:val="none"/>
                    </w:rPr>
                  </w:pPr>
                  <w:r>
                    <w:rPr>
                      <w:rFonts w:hint="default" w:ascii="Times New Roman" w:hAnsi="Times New Roman" w:eastAsia="宋体" w:cs="Times New Roman"/>
                      <w:caps w:val="0"/>
                      <w:smallCaps w:val="0"/>
                      <w:color w:val="auto"/>
                      <w:spacing w:val="11"/>
                      <w:sz w:val="21"/>
                      <w:szCs w:val="21"/>
                      <w:highlight w:val="none"/>
                      <w:u w:val="none"/>
                    </w:rPr>
                    <w:t>监控点</w:t>
                  </w:r>
                </w:p>
              </w:tc>
              <w:tc>
                <w:tcPr>
                  <w:tcW w:w="1779" w:type="pct"/>
                  <w:tcBorders>
                    <w:tl2br w:val="nil"/>
                    <w:tr2bl w:val="nil"/>
                  </w:tcBorders>
                  <w:vAlign w:val="center"/>
                </w:tcPr>
                <w:p w14:paraId="727EAA2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11"/>
                      <w:sz w:val="21"/>
                      <w:szCs w:val="21"/>
                      <w:highlight w:val="none"/>
                      <w:u w:val="none"/>
                    </w:rPr>
                  </w:pPr>
                  <w:r>
                    <w:rPr>
                      <w:rFonts w:hint="default" w:ascii="Times New Roman" w:hAnsi="Times New Roman" w:eastAsia="宋体" w:cs="Times New Roman"/>
                      <w:caps w:val="0"/>
                      <w:smallCaps w:val="0"/>
                      <w:color w:val="auto"/>
                      <w:spacing w:val="11"/>
                      <w:sz w:val="21"/>
                      <w:szCs w:val="21"/>
                      <w:highlight w:val="none"/>
                      <w:u w:val="none"/>
                    </w:rPr>
                    <w:t>二级标准</w:t>
                  </w:r>
                </w:p>
              </w:tc>
            </w:tr>
            <w:tr w14:paraId="47B731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17" w:type="pct"/>
                  <w:tcBorders>
                    <w:tl2br w:val="nil"/>
                    <w:tr2bl w:val="nil"/>
                  </w:tcBorders>
                  <w:vAlign w:val="center"/>
                </w:tcPr>
                <w:p w14:paraId="5383116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11"/>
                      <w:sz w:val="21"/>
                      <w:szCs w:val="21"/>
                      <w:highlight w:val="none"/>
                      <w:u w:val="none"/>
                    </w:rPr>
                  </w:pPr>
                  <w:r>
                    <w:rPr>
                      <w:rFonts w:hint="default" w:ascii="Times New Roman" w:hAnsi="Times New Roman" w:eastAsia="宋体" w:cs="Times New Roman"/>
                      <w:caps w:val="0"/>
                      <w:smallCaps w:val="0"/>
                      <w:color w:val="auto"/>
                      <w:spacing w:val="11"/>
                      <w:sz w:val="21"/>
                      <w:szCs w:val="21"/>
                      <w:highlight w:val="none"/>
                      <w:u w:val="none"/>
                      <w:lang w:val="en-US" w:eastAsia="zh-CN"/>
                    </w:rPr>
                    <w:t>硫化氢</w:t>
                  </w:r>
                </w:p>
              </w:tc>
              <w:tc>
                <w:tcPr>
                  <w:tcW w:w="1802" w:type="pct"/>
                  <w:vMerge w:val="restart"/>
                  <w:tcBorders>
                    <w:tl2br w:val="nil"/>
                    <w:tr2bl w:val="nil"/>
                  </w:tcBorders>
                  <w:vAlign w:val="center"/>
                </w:tcPr>
                <w:p w14:paraId="619B704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11"/>
                      <w:sz w:val="21"/>
                      <w:szCs w:val="21"/>
                      <w:highlight w:val="none"/>
                      <w:u w:val="none"/>
                    </w:rPr>
                  </w:pPr>
                  <w:r>
                    <w:rPr>
                      <w:rFonts w:hint="eastAsia" w:ascii="Times New Roman" w:hAnsi="Times New Roman" w:eastAsia="宋体" w:cs="Times New Roman"/>
                      <w:caps w:val="0"/>
                      <w:smallCaps w:val="0"/>
                      <w:color w:val="auto"/>
                      <w:spacing w:val="11"/>
                      <w:sz w:val="21"/>
                      <w:szCs w:val="21"/>
                      <w:highlight w:val="none"/>
                      <w:u w:val="none"/>
                      <w:lang w:val="en-US" w:eastAsia="zh-CN"/>
                    </w:rPr>
                    <w:t>厂</w:t>
                  </w:r>
                  <w:r>
                    <w:rPr>
                      <w:rFonts w:hint="default" w:ascii="Times New Roman" w:hAnsi="Times New Roman" w:eastAsia="宋体" w:cs="Times New Roman"/>
                      <w:caps w:val="0"/>
                      <w:smallCaps w:val="0"/>
                      <w:color w:val="auto"/>
                      <w:spacing w:val="11"/>
                      <w:sz w:val="21"/>
                      <w:szCs w:val="21"/>
                      <w:highlight w:val="none"/>
                      <w:u w:val="none"/>
                    </w:rPr>
                    <w:t>界标准值</w:t>
                  </w:r>
                </w:p>
              </w:tc>
              <w:tc>
                <w:tcPr>
                  <w:tcW w:w="1779" w:type="pct"/>
                  <w:tcBorders>
                    <w:tl2br w:val="nil"/>
                    <w:tr2bl w:val="nil"/>
                  </w:tcBorders>
                  <w:vAlign w:val="center"/>
                </w:tcPr>
                <w:p w14:paraId="78D7D82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11"/>
                      <w:sz w:val="21"/>
                      <w:szCs w:val="21"/>
                      <w:highlight w:val="none"/>
                      <w:u w:val="none"/>
                    </w:rPr>
                  </w:pPr>
                  <w:r>
                    <w:rPr>
                      <w:rFonts w:hint="default" w:ascii="Times New Roman" w:hAnsi="Times New Roman" w:eastAsia="宋体" w:cs="Times New Roman"/>
                      <w:caps w:val="0"/>
                      <w:smallCaps w:val="0"/>
                      <w:color w:val="auto"/>
                      <w:spacing w:val="11"/>
                      <w:sz w:val="21"/>
                      <w:szCs w:val="21"/>
                      <w:highlight w:val="none"/>
                      <w:u w:val="none"/>
                    </w:rPr>
                    <w:t>0.06</w:t>
                  </w:r>
                </w:p>
              </w:tc>
            </w:tr>
            <w:tr w14:paraId="1A1F7A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17" w:type="pct"/>
                  <w:tcBorders>
                    <w:tl2br w:val="nil"/>
                    <w:tr2bl w:val="nil"/>
                  </w:tcBorders>
                  <w:vAlign w:val="center"/>
                </w:tcPr>
                <w:p w14:paraId="77831194">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aps w:val="0"/>
                      <w:smallCaps w:val="0"/>
                      <w:color w:val="auto"/>
                      <w:spacing w:val="11"/>
                      <w:sz w:val="21"/>
                      <w:szCs w:val="21"/>
                      <w:highlight w:val="none"/>
                      <w:u w:val="none"/>
                      <w:lang w:eastAsia="zh-CN"/>
                    </w:rPr>
                  </w:pPr>
                  <w:r>
                    <w:rPr>
                      <w:rFonts w:hint="eastAsia" w:ascii="Times New Roman" w:hAnsi="Times New Roman" w:eastAsia="宋体" w:cs="Times New Roman"/>
                      <w:caps w:val="0"/>
                      <w:smallCaps w:val="0"/>
                      <w:color w:val="auto"/>
                      <w:spacing w:val="11"/>
                      <w:sz w:val="21"/>
                      <w:szCs w:val="21"/>
                      <w:highlight w:val="none"/>
                      <w:u w:val="none"/>
                      <w:lang w:val="en-US" w:eastAsia="zh-CN"/>
                    </w:rPr>
                    <w:t>氨</w:t>
                  </w:r>
                </w:p>
              </w:tc>
              <w:tc>
                <w:tcPr>
                  <w:tcW w:w="1802" w:type="pct"/>
                  <w:vMerge w:val="continue"/>
                  <w:tcBorders>
                    <w:tl2br w:val="nil"/>
                    <w:tr2bl w:val="nil"/>
                  </w:tcBorders>
                  <w:vAlign w:val="center"/>
                </w:tcPr>
                <w:p w14:paraId="43B46EA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11"/>
                      <w:sz w:val="21"/>
                      <w:szCs w:val="21"/>
                      <w:highlight w:val="none"/>
                      <w:u w:val="none"/>
                    </w:rPr>
                  </w:pPr>
                </w:p>
              </w:tc>
              <w:tc>
                <w:tcPr>
                  <w:tcW w:w="1779" w:type="pct"/>
                  <w:tcBorders>
                    <w:tl2br w:val="nil"/>
                    <w:tr2bl w:val="nil"/>
                  </w:tcBorders>
                  <w:vAlign w:val="center"/>
                </w:tcPr>
                <w:p w14:paraId="188920D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11"/>
                      <w:sz w:val="21"/>
                      <w:szCs w:val="21"/>
                      <w:highlight w:val="none"/>
                      <w:u w:val="none"/>
                    </w:rPr>
                  </w:pPr>
                  <w:r>
                    <w:rPr>
                      <w:rFonts w:hint="default" w:ascii="Times New Roman" w:hAnsi="Times New Roman" w:eastAsia="宋体" w:cs="Times New Roman"/>
                      <w:caps w:val="0"/>
                      <w:smallCaps w:val="0"/>
                      <w:color w:val="auto"/>
                      <w:spacing w:val="11"/>
                      <w:sz w:val="21"/>
                      <w:szCs w:val="21"/>
                      <w:highlight w:val="none"/>
                      <w:u w:val="none"/>
                    </w:rPr>
                    <w:t>1.5</w:t>
                  </w:r>
                </w:p>
              </w:tc>
            </w:tr>
            <w:tr w14:paraId="21125E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17" w:type="pct"/>
                  <w:tcBorders>
                    <w:tl2br w:val="nil"/>
                    <w:tr2bl w:val="nil"/>
                  </w:tcBorders>
                  <w:vAlign w:val="center"/>
                </w:tcPr>
                <w:p w14:paraId="397E7451">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aps w:val="0"/>
                      <w:smallCaps w:val="0"/>
                      <w:color w:val="auto"/>
                      <w:spacing w:val="11"/>
                      <w:sz w:val="21"/>
                      <w:szCs w:val="21"/>
                      <w:highlight w:val="none"/>
                      <w:u w:val="none"/>
                      <w:lang w:val="en-US" w:eastAsia="zh-CN"/>
                    </w:rPr>
                  </w:pPr>
                  <w:r>
                    <w:rPr>
                      <w:rFonts w:hint="eastAsia" w:ascii="Times New Roman" w:hAnsi="Times New Roman" w:cs="Times New Roman"/>
                      <w:caps w:val="0"/>
                      <w:smallCaps w:val="0"/>
                      <w:color w:val="auto"/>
                      <w:spacing w:val="11"/>
                      <w:sz w:val="21"/>
                      <w:szCs w:val="21"/>
                      <w:highlight w:val="none"/>
                      <w:u w:val="none"/>
                      <w:lang w:val="en-US" w:eastAsia="zh-CN"/>
                    </w:rPr>
                    <w:t>臭气浓度</w:t>
                  </w:r>
                </w:p>
              </w:tc>
              <w:tc>
                <w:tcPr>
                  <w:tcW w:w="1802" w:type="pct"/>
                  <w:vMerge w:val="continue"/>
                  <w:tcBorders>
                    <w:tl2br w:val="nil"/>
                    <w:tr2bl w:val="nil"/>
                  </w:tcBorders>
                  <w:vAlign w:val="center"/>
                </w:tcPr>
                <w:p w14:paraId="2C4677F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11"/>
                      <w:sz w:val="21"/>
                      <w:szCs w:val="21"/>
                      <w:highlight w:val="none"/>
                      <w:u w:val="none"/>
                    </w:rPr>
                  </w:pPr>
                </w:p>
              </w:tc>
              <w:tc>
                <w:tcPr>
                  <w:tcW w:w="1779" w:type="pct"/>
                  <w:tcBorders>
                    <w:tl2br w:val="nil"/>
                    <w:tr2bl w:val="nil"/>
                  </w:tcBorders>
                  <w:vAlign w:val="center"/>
                </w:tcPr>
                <w:p w14:paraId="0BB2E50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11"/>
                      <w:sz w:val="21"/>
                      <w:szCs w:val="21"/>
                      <w:highlight w:val="none"/>
                      <w:u w:val="none"/>
                      <w:lang w:val="en-US" w:eastAsia="zh-CN"/>
                    </w:rPr>
                  </w:pPr>
                  <w:r>
                    <w:rPr>
                      <w:rFonts w:hint="eastAsia" w:ascii="Times New Roman" w:hAnsi="Times New Roman" w:cs="Times New Roman"/>
                      <w:caps w:val="0"/>
                      <w:smallCaps w:val="0"/>
                      <w:color w:val="auto"/>
                      <w:spacing w:val="11"/>
                      <w:sz w:val="21"/>
                      <w:szCs w:val="21"/>
                      <w:highlight w:val="none"/>
                      <w:u w:val="none"/>
                      <w:lang w:val="en-US" w:eastAsia="zh-CN"/>
                    </w:rPr>
                    <w:t>20（无量纲）</w:t>
                  </w:r>
                </w:p>
              </w:tc>
            </w:tr>
          </w:tbl>
          <w:p w14:paraId="4B76EF8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67" w:beforeLines="50" w:beforeAutospacing="0" w:after="0" w:afterAutospacing="0" w:line="360" w:lineRule="auto"/>
              <w:ind w:left="0" w:leftChars="0" w:right="0" w:rightChars="0" w:firstLine="526" w:firstLineChars="200"/>
              <w:textAlignment w:val="auto"/>
              <w:rPr>
                <w:rFonts w:hint="default" w:ascii="Times New Roman" w:hAnsi="Times New Roman" w:cs="Times New Roman" w:eastAsiaTheme="minorEastAsia"/>
                <w:b/>
                <w:bCs/>
                <w:color w:val="auto"/>
                <w:spacing w:val="11"/>
                <w:position w:val="0"/>
                <w:sz w:val="24"/>
                <w:szCs w:val="24"/>
                <w:highlight w:val="none"/>
                <w:u w:val="none" w:color="auto"/>
                <w:lang w:bidi="ar"/>
              </w:rPr>
            </w:pPr>
            <w:r>
              <w:rPr>
                <w:rFonts w:hint="default" w:ascii="Times New Roman" w:hAnsi="Times New Roman" w:cs="Times New Roman" w:eastAsiaTheme="minorEastAsia"/>
                <w:b/>
                <w:bCs/>
                <w:color w:val="auto"/>
                <w:spacing w:val="11"/>
                <w:kern w:val="2"/>
                <w:position w:val="0"/>
                <w:sz w:val="24"/>
                <w:szCs w:val="24"/>
                <w:u w:color="auto"/>
                <w:lang w:val="en-US" w:eastAsia="zh-CN" w:bidi="ar"/>
              </w:rPr>
              <w:t>3、</w:t>
            </w:r>
            <w:r>
              <w:rPr>
                <w:rFonts w:hint="default" w:ascii="Times New Roman" w:hAnsi="Times New Roman" w:cs="Times New Roman" w:eastAsiaTheme="minorEastAsia"/>
                <w:b/>
                <w:bCs/>
                <w:color w:val="auto"/>
                <w:spacing w:val="11"/>
                <w:position w:val="0"/>
                <w:sz w:val="24"/>
                <w:szCs w:val="24"/>
                <w:highlight w:val="none"/>
                <w:u w:val="none" w:color="auto"/>
                <w:lang w:bidi="ar"/>
              </w:rPr>
              <w:t>噪声</w:t>
            </w:r>
          </w:p>
          <w:p w14:paraId="445B96E7">
            <w:pPr>
              <w:keepNext w:val="0"/>
              <w:keepLines w:val="0"/>
              <w:numPr>
                <w:ilvl w:val="0"/>
                <w:numId w:val="0"/>
              </w:numPr>
              <w:suppressLineNumbers w:val="0"/>
              <w:spacing w:before="0" w:beforeAutospacing="0" w:after="0" w:afterAutospacing="0" w:line="360" w:lineRule="auto"/>
              <w:ind w:right="0" w:rightChars="0" w:firstLine="524" w:firstLineChars="200"/>
              <w:rPr>
                <w:rFonts w:hint="default" w:ascii="Times New Roman" w:hAnsi="Times New Roman" w:cs="Times New Roman" w:eastAsiaTheme="minorEastAsia"/>
                <w:color w:val="auto"/>
                <w:spacing w:val="11"/>
                <w:position w:val="0"/>
                <w:sz w:val="24"/>
                <w:szCs w:val="24"/>
                <w:highlight w:val="none"/>
                <w:u w:val="none" w:color="auto"/>
                <w:lang w:bidi="ar"/>
              </w:rPr>
            </w:pPr>
            <w:r>
              <w:rPr>
                <w:rFonts w:hint="default" w:ascii="Times New Roman" w:hAnsi="Times New Roman" w:cs="Times New Roman" w:eastAsiaTheme="minorEastAsia"/>
                <w:color w:val="auto"/>
                <w:spacing w:val="11"/>
                <w:position w:val="0"/>
                <w:sz w:val="24"/>
                <w:szCs w:val="24"/>
                <w:highlight w:val="none"/>
                <w:u w:val="none" w:color="auto"/>
                <w:lang w:bidi="ar"/>
              </w:rPr>
              <w:t>施工期建筑施工场界噪声排放执行《建筑施工场界环境噪声排放标准》（GB12523-2011）标准限值，夜间不进行作业。</w:t>
            </w:r>
          </w:p>
          <w:p w14:paraId="1A5C0611">
            <w:pPr>
              <w:keepNext w:val="0"/>
              <w:keepLines w:val="0"/>
              <w:numPr>
                <w:ilvl w:val="0"/>
                <w:numId w:val="0"/>
              </w:numPr>
              <w:suppressLineNumbers w:val="0"/>
              <w:spacing w:before="0" w:beforeAutospacing="0" w:after="0" w:afterAutospacing="0" w:line="360" w:lineRule="auto"/>
              <w:ind w:right="0" w:rightChars="0" w:firstLine="524" w:firstLineChars="200"/>
              <w:rPr>
                <w:rFonts w:hint="default" w:ascii="Times New Roman" w:hAnsi="Times New Roman" w:cs="Times New Roman" w:eastAsiaTheme="minorEastAsia"/>
                <w:color w:val="auto"/>
                <w:spacing w:val="11"/>
                <w:position w:val="0"/>
                <w:sz w:val="24"/>
                <w:szCs w:val="24"/>
                <w:highlight w:val="none"/>
                <w:u w:val="none" w:color="auto"/>
              </w:rPr>
            </w:pPr>
            <w:r>
              <w:rPr>
                <w:rFonts w:hint="default" w:ascii="Times New Roman" w:hAnsi="Times New Roman" w:cs="Times New Roman" w:eastAsiaTheme="minorEastAsia"/>
                <w:color w:val="auto"/>
                <w:spacing w:val="11"/>
                <w:position w:val="0"/>
                <w:sz w:val="24"/>
                <w:szCs w:val="24"/>
                <w:highlight w:val="none"/>
                <w:u w:val="none" w:color="auto"/>
                <w:lang w:bidi="ar"/>
              </w:rPr>
              <w:t>运营期项目</w:t>
            </w:r>
            <w:r>
              <w:rPr>
                <w:rFonts w:hint="default" w:ascii="Times New Roman" w:hAnsi="Times New Roman" w:cs="Times New Roman" w:eastAsiaTheme="minorEastAsia"/>
                <w:color w:val="auto"/>
                <w:spacing w:val="11"/>
                <w:position w:val="0"/>
                <w:sz w:val="24"/>
                <w:szCs w:val="24"/>
                <w:highlight w:val="none"/>
                <w:u w:val="none" w:color="auto"/>
                <w:lang w:val="en-US" w:eastAsia="zh-CN" w:bidi="ar"/>
              </w:rPr>
              <w:t>厂界东、西、北侧执行《社会生活环境噪声排放标准》（GB 22337-2008）</w:t>
            </w:r>
            <w:r>
              <w:rPr>
                <w:rFonts w:hint="eastAsia" w:cs="Times New Roman" w:eastAsiaTheme="minorEastAsia"/>
                <w:color w:val="auto"/>
                <w:spacing w:val="11"/>
                <w:position w:val="0"/>
                <w:sz w:val="24"/>
                <w:szCs w:val="24"/>
                <w:highlight w:val="none"/>
                <w:u w:val="none" w:color="auto"/>
                <w:lang w:val="en-US" w:eastAsia="zh-CN" w:bidi="ar"/>
              </w:rPr>
              <w:t>2</w:t>
            </w:r>
            <w:r>
              <w:rPr>
                <w:rFonts w:hint="default" w:ascii="Times New Roman" w:hAnsi="Times New Roman" w:cs="Times New Roman" w:eastAsiaTheme="minorEastAsia"/>
                <w:color w:val="auto"/>
                <w:spacing w:val="11"/>
                <w:position w:val="0"/>
                <w:sz w:val="24"/>
                <w:szCs w:val="24"/>
                <w:highlight w:val="none"/>
                <w:u w:val="none" w:color="auto"/>
                <w:lang w:val="en-US" w:eastAsia="zh-CN" w:bidi="ar"/>
              </w:rPr>
              <w:t>类标准</w:t>
            </w:r>
            <w:r>
              <w:rPr>
                <w:rFonts w:hint="eastAsia" w:cs="Times New Roman" w:eastAsiaTheme="minorEastAsia"/>
                <w:color w:val="auto"/>
                <w:spacing w:val="11"/>
                <w:position w:val="0"/>
                <w:sz w:val="24"/>
                <w:szCs w:val="24"/>
                <w:highlight w:val="none"/>
                <w:u w:val="none" w:color="auto"/>
                <w:lang w:val="en-US" w:eastAsia="zh-CN" w:bidi="ar"/>
              </w:rPr>
              <w:t>，南侧执行《社会生活环境噪声排放标准》（GB 22337-2008）4类标准</w:t>
            </w:r>
            <w:r>
              <w:rPr>
                <w:rFonts w:hint="default" w:ascii="Times New Roman" w:hAnsi="Times New Roman" w:cs="Times New Roman" w:eastAsiaTheme="minorEastAsia"/>
                <w:color w:val="auto"/>
                <w:spacing w:val="11"/>
                <w:position w:val="0"/>
                <w:sz w:val="24"/>
                <w:szCs w:val="24"/>
                <w:highlight w:val="none"/>
                <w:u w:val="none" w:color="auto"/>
                <w:lang w:bidi="ar"/>
              </w:rPr>
              <w:t>。</w:t>
            </w:r>
          </w:p>
          <w:p w14:paraId="022CD10B">
            <w:pPr>
              <w:pStyle w:val="63"/>
              <w:bidi w:val="0"/>
              <w:rPr>
                <w:rFonts w:hint="default"/>
                <w:b/>
                <w:bCs/>
                <w:color w:val="auto"/>
                <w:spacing w:val="11"/>
                <w:position w:val="0"/>
                <w:highlight w:val="none"/>
              </w:rPr>
            </w:pPr>
            <w:r>
              <w:rPr>
                <w:rFonts w:hint="default"/>
                <w:b/>
                <w:bCs/>
                <w:color w:val="auto"/>
                <w:spacing w:val="11"/>
                <w:position w:val="0"/>
                <w:highlight w:val="none"/>
              </w:rPr>
              <w:t>表</w:t>
            </w:r>
            <w:r>
              <w:rPr>
                <w:rFonts w:hint="default"/>
                <w:b/>
                <w:bCs/>
                <w:color w:val="auto"/>
                <w:spacing w:val="11"/>
                <w:position w:val="0"/>
                <w:highlight w:val="none"/>
                <w:lang w:val="en-US" w:eastAsia="zh-CN"/>
              </w:rPr>
              <w:t>3</w:t>
            </w:r>
            <w:r>
              <w:rPr>
                <w:rFonts w:hint="default"/>
                <w:b/>
                <w:bCs/>
                <w:color w:val="auto"/>
                <w:spacing w:val="11"/>
                <w:position w:val="0"/>
                <w:highlight w:val="none"/>
              </w:rPr>
              <w:t>-</w:t>
            </w:r>
            <w:r>
              <w:rPr>
                <w:rFonts w:hint="eastAsia"/>
                <w:b/>
                <w:bCs/>
                <w:color w:val="auto"/>
                <w:spacing w:val="11"/>
                <w:position w:val="0"/>
                <w:highlight w:val="none"/>
                <w:lang w:val="en-US" w:eastAsia="zh-CN"/>
              </w:rPr>
              <w:t>8</w:t>
            </w:r>
            <w:r>
              <w:rPr>
                <w:rFonts w:hint="default"/>
                <w:b/>
                <w:bCs/>
                <w:color w:val="auto"/>
                <w:spacing w:val="11"/>
                <w:position w:val="0"/>
                <w:highlight w:val="none"/>
                <w:lang w:val="en-US" w:eastAsia="zh-CN"/>
              </w:rPr>
              <w:t xml:space="preserve"> </w:t>
            </w:r>
            <w:r>
              <w:rPr>
                <w:rFonts w:hint="eastAsia"/>
                <w:b/>
                <w:bCs/>
                <w:color w:val="auto"/>
                <w:spacing w:val="11"/>
                <w:position w:val="0"/>
                <w:highlight w:val="none"/>
                <w:lang w:val="en-US" w:eastAsia="zh-CN"/>
              </w:rPr>
              <w:t xml:space="preserve"> </w:t>
            </w:r>
            <w:r>
              <w:rPr>
                <w:rFonts w:hint="default"/>
                <w:b/>
                <w:bCs/>
                <w:color w:val="auto"/>
                <w:spacing w:val="11"/>
                <w:position w:val="0"/>
                <w:highlight w:val="none"/>
              </w:rPr>
              <w:t>噪声排放标准</w:t>
            </w:r>
            <w:r>
              <w:rPr>
                <w:rFonts w:hint="eastAsia"/>
                <w:b/>
                <w:bCs/>
                <w:color w:val="auto"/>
                <w:spacing w:val="11"/>
                <w:position w:val="0"/>
                <w:highlight w:val="none"/>
                <w:lang w:val="en-US" w:eastAsia="zh-CN"/>
              </w:rPr>
              <w:t xml:space="preserve"> </w:t>
            </w:r>
            <w:r>
              <w:rPr>
                <w:rFonts w:hint="default"/>
                <w:b/>
                <w:bCs/>
                <w:color w:val="auto"/>
                <w:spacing w:val="11"/>
                <w:position w:val="0"/>
                <w:highlight w:val="none"/>
              </w:rPr>
              <w:t>单位：dB（A）</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1916"/>
              <w:gridCol w:w="3039"/>
              <w:gridCol w:w="3032"/>
            </w:tblGrid>
            <w:tr w14:paraId="70406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6" w:type="pct"/>
                  <w:gridSpan w:val="2"/>
                  <w:tcBorders>
                    <w:tl2br w:val="nil"/>
                    <w:tr2bl w:val="nil"/>
                  </w:tcBorders>
                  <w:vAlign w:val="center"/>
                </w:tcPr>
                <w:p w14:paraId="6FB2B3CF">
                  <w:pPr>
                    <w:spacing w:line="240" w:lineRule="auto"/>
                    <w:ind w:firstLine="0" w:firstLineChars="0"/>
                    <w:jc w:val="center"/>
                    <w:rPr>
                      <w:color w:val="auto"/>
                      <w:spacing w:val="11"/>
                      <w:position w:val="0"/>
                      <w:sz w:val="21"/>
                      <w:szCs w:val="21"/>
                    </w:rPr>
                  </w:pPr>
                  <w:r>
                    <w:rPr>
                      <w:color w:val="auto"/>
                      <w:spacing w:val="11"/>
                      <w:position w:val="0"/>
                      <w:sz w:val="21"/>
                      <w:szCs w:val="21"/>
                    </w:rPr>
                    <w:t>类别</w:t>
                  </w:r>
                </w:p>
              </w:tc>
              <w:tc>
                <w:tcPr>
                  <w:tcW w:w="1683" w:type="pct"/>
                  <w:tcBorders>
                    <w:tl2br w:val="nil"/>
                    <w:tr2bl w:val="nil"/>
                  </w:tcBorders>
                  <w:vAlign w:val="center"/>
                </w:tcPr>
                <w:p w14:paraId="40C23922">
                  <w:pPr>
                    <w:spacing w:line="240" w:lineRule="auto"/>
                    <w:ind w:firstLine="0" w:firstLineChars="0"/>
                    <w:jc w:val="center"/>
                    <w:rPr>
                      <w:color w:val="auto"/>
                      <w:spacing w:val="11"/>
                      <w:position w:val="0"/>
                      <w:sz w:val="21"/>
                      <w:szCs w:val="21"/>
                    </w:rPr>
                  </w:pPr>
                  <w:r>
                    <w:rPr>
                      <w:color w:val="auto"/>
                      <w:spacing w:val="11"/>
                      <w:position w:val="0"/>
                      <w:sz w:val="21"/>
                      <w:szCs w:val="21"/>
                    </w:rPr>
                    <w:t>昼间</w:t>
                  </w:r>
                </w:p>
              </w:tc>
              <w:tc>
                <w:tcPr>
                  <w:tcW w:w="1679" w:type="pct"/>
                  <w:tcBorders>
                    <w:tl2br w:val="nil"/>
                    <w:tr2bl w:val="nil"/>
                  </w:tcBorders>
                  <w:vAlign w:val="center"/>
                </w:tcPr>
                <w:p w14:paraId="366ECCF0">
                  <w:pPr>
                    <w:spacing w:line="240" w:lineRule="auto"/>
                    <w:ind w:firstLine="0" w:firstLineChars="0"/>
                    <w:jc w:val="center"/>
                    <w:rPr>
                      <w:color w:val="auto"/>
                      <w:spacing w:val="11"/>
                      <w:position w:val="0"/>
                      <w:sz w:val="21"/>
                      <w:szCs w:val="21"/>
                    </w:rPr>
                  </w:pPr>
                  <w:r>
                    <w:rPr>
                      <w:color w:val="auto"/>
                      <w:spacing w:val="11"/>
                      <w:position w:val="0"/>
                      <w:sz w:val="21"/>
                      <w:szCs w:val="21"/>
                    </w:rPr>
                    <w:t>夜间</w:t>
                  </w:r>
                </w:p>
              </w:tc>
            </w:tr>
            <w:tr w14:paraId="72191A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6" w:type="pct"/>
                  <w:gridSpan w:val="2"/>
                  <w:tcBorders>
                    <w:tl2br w:val="nil"/>
                    <w:tr2bl w:val="nil"/>
                  </w:tcBorders>
                  <w:vAlign w:val="center"/>
                </w:tcPr>
                <w:p w14:paraId="25864393">
                  <w:pPr>
                    <w:spacing w:line="240" w:lineRule="auto"/>
                    <w:ind w:firstLine="0" w:firstLineChars="0"/>
                    <w:jc w:val="center"/>
                    <w:rPr>
                      <w:color w:val="auto"/>
                      <w:spacing w:val="11"/>
                      <w:position w:val="0"/>
                      <w:sz w:val="21"/>
                      <w:szCs w:val="21"/>
                    </w:rPr>
                  </w:pPr>
                  <w:r>
                    <w:rPr>
                      <w:color w:val="auto"/>
                      <w:spacing w:val="11"/>
                      <w:position w:val="0"/>
                      <w:sz w:val="21"/>
                      <w:szCs w:val="21"/>
                    </w:rPr>
                    <w:t>施工期</w:t>
                  </w:r>
                </w:p>
              </w:tc>
              <w:tc>
                <w:tcPr>
                  <w:tcW w:w="1683" w:type="pct"/>
                  <w:tcBorders>
                    <w:tl2br w:val="nil"/>
                    <w:tr2bl w:val="nil"/>
                  </w:tcBorders>
                  <w:vAlign w:val="center"/>
                </w:tcPr>
                <w:p w14:paraId="57452DE6">
                  <w:pPr>
                    <w:spacing w:line="240" w:lineRule="auto"/>
                    <w:ind w:firstLine="0" w:firstLineChars="0"/>
                    <w:jc w:val="center"/>
                    <w:rPr>
                      <w:color w:val="auto"/>
                      <w:spacing w:val="11"/>
                      <w:position w:val="0"/>
                      <w:sz w:val="21"/>
                      <w:szCs w:val="21"/>
                    </w:rPr>
                  </w:pPr>
                  <w:r>
                    <w:rPr>
                      <w:color w:val="auto"/>
                      <w:spacing w:val="11"/>
                      <w:position w:val="0"/>
                      <w:sz w:val="21"/>
                      <w:szCs w:val="21"/>
                    </w:rPr>
                    <w:t>70</w:t>
                  </w:r>
                </w:p>
              </w:tc>
              <w:tc>
                <w:tcPr>
                  <w:tcW w:w="1679" w:type="pct"/>
                  <w:tcBorders>
                    <w:tl2br w:val="nil"/>
                    <w:tr2bl w:val="nil"/>
                  </w:tcBorders>
                  <w:vAlign w:val="center"/>
                </w:tcPr>
                <w:p w14:paraId="2543B08A">
                  <w:pPr>
                    <w:spacing w:line="240" w:lineRule="auto"/>
                    <w:ind w:firstLine="0" w:firstLineChars="0"/>
                    <w:jc w:val="center"/>
                    <w:rPr>
                      <w:rFonts w:hint="default"/>
                      <w:color w:val="auto"/>
                      <w:spacing w:val="11"/>
                      <w:position w:val="0"/>
                      <w:sz w:val="21"/>
                      <w:szCs w:val="21"/>
                      <w:lang w:val="en-US"/>
                    </w:rPr>
                  </w:pPr>
                  <w:r>
                    <w:rPr>
                      <w:rFonts w:hint="eastAsia"/>
                      <w:color w:val="auto"/>
                      <w:spacing w:val="11"/>
                      <w:position w:val="0"/>
                      <w:sz w:val="21"/>
                      <w:szCs w:val="21"/>
                      <w:lang w:val="en-US" w:eastAsia="zh-CN"/>
                    </w:rPr>
                    <w:t>55</w:t>
                  </w:r>
                </w:p>
              </w:tc>
            </w:tr>
            <w:tr w14:paraId="30251F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5" w:type="pct"/>
                  <w:vMerge w:val="restart"/>
                  <w:tcBorders>
                    <w:tl2br w:val="nil"/>
                    <w:tr2bl w:val="nil"/>
                  </w:tcBorders>
                  <w:vAlign w:val="center"/>
                </w:tcPr>
                <w:p w14:paraId="5208F0AA">
                  <w:pPr>
                    <w:spacing w:line="240" w:lineRule="auto"/>
                    <w:ind w:firstLine="0" w:firstLineChars="0"/>
                    <w:jc w:val="center"/>
                    <w:rPr>
                      <w:color w:val="auto"/>
                      <w:spacing w:val="11"/>
                      <w:position w:val="0"/>
                      <w:sz w:val="21"/>
                      <w:szCs w:val="21"/>
                    </w:rPr>
                  </w:pPr>
                  <w:r>
                    <w:rPr>
                      <w:color w:val="auto"/>
                      <w:spacing w:val="11"/>
                      <w:position w:val="0"/>
                      <w:sz w:val="21"/>
                      <w:szCs w:val="21"/>
                    </w:rPr>
                    <w:t>运营期</w:t>
                  </w:r>
                </w:p>
              </w:tc>
              <w:tc>
                <w:tcPr>
                  <w:tcW w:w="1061" w:type="pct"/>
                  <w:tcBorders>
                    <w:tl2br w:val="nil"/>
                    <w:tr2bl w:val="nil"/>
                  </w:tcBorders>
                  <w:vAlign w:val="center"/>
                </w:tcPr>
                <w:p w14:paraId="2F30456E">
                  <w:pPr>
                    <w:spacing w:line="240" w:lineRule="auto"/>
                    <w:ind w:firstLine="0" w:firstLineChars="0"/>
                    <w:jc w:val="center"/>
                    <w:rPr>
                      <w:color w:val="auto"/>
                      <w:spacing w:val="11"/>
                      <w:position w:val="0"/>
                      <w:sz w:val="21"/>
                      <w:szCs w:val="21"/>
                    </w:rPr>
                  </w:pPr>
                  <w:r>
                    <w:rPr>
                      <w:color w:val="auto"/>
                      <w:spacing w:val="11"/>
                      <w:position w:val="0"/>
                      <w:sz w:val="21"/>
                      <w:szCs w:val="21"/>
                    </w:rPr>
                    <w:t>2类</w:t>
                  </w:r>
                </w:p>
              </w:tc>
              <w:tc>
                <w:tcPr>
                  <w:tcW w:w="1683" w:type="pct"/>
                  <w:tcBorders>
                    <w:tl2br w:val="nil"/>
                    <w:tr2bl w:val="nil"/>
                  </w:tcBorders>
                  <w:vAlign w:val="center"/>
                </w:tcPr>
                <w:p w14:paraId="7BA635AD">
                  <w:pPr>
                    <w:spacing w:line="240" w:lineRule="auto"/>
                    <w:ind w:firstLine="0" w:firstLineChars="0"/>
                    <w:jc w:val="center"/>
                    <w:rPr>
                      <w:color w:val="auto"/>
                      <w:spacing w:val="11"/>
                      <w:position w:val="0"/>
                      <w:sz w:val="21"/>
                      <w:szCs w:val="21"/>
                    </w:rPr>
                  </w:pPr>
                  <w:r>
                    <w:rPr>
                      <w:color w:val="auto"/>
                      <w:spacing w:val="11"/>
                      <w:position w:val="0"/>
                      <w:sz w:val="21"/>
                      <w:szCs w:val="21"/>
                    </w:rPr>
                    <w:t>60</w:t>
                  </w:r>
                </w:p>
              </w:tc>
              <w:tc>
                <w:tcPr>
                  <w:tcW w:w="1679" w:type="pct"/>
                  <w:tcBorders>
                    <w:tl2br w:val="nil"/>
                    <w:tr2bl w:val="nil"/>
                  </w:tcBorders>
                  <w:vAlign w:val="center"/>
                </w:tcPr>
                <w:p w14:paraId="5C7C5DEB">
                  <w:pPr>
                    <w:spacing w:line="240" w:lineRule="auto"/>
                    <w:ind w:firstLine="0" w:firstLineChars="0"/>
                    <w:jc w:val="center"/>
                    <w:rPr>
                      <w:color w:val="auto"/>
                      <w:spacing w:val="11"/>
                      <w:position w:val="0"/>
                      <w:sz w:val="21"/>
                      <w:szCs w:val="21"/>
                    </w:rPr>
                  </w:pPr>
                  <w:r>
                    <w:rPr>
                      <w:color w:val="auto"/>
                      <w:spacing w:val="11"/>
                      <w:position w:val="0"/>
                      <w:sz w:val="21"/>
                      <w:szCs w:val="21"/>
                    </w:rPr>
                    <w:t>50</w:t>
                  </w:r>
                </w:p>
              </w:tc>
            </w:tr>
            <w:tr w14:paraId="679816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5" w:type="pct"/>
                  <w:vMerge w:val="continue"/>
                  <w:tcBorders>
                    <w:tl2br w:val="nil"/>
                    <w:tr2bl w:val="nil"/>
                  </w:tcBorders>
                  <w:vAlign w:val="center"/>
                </w:tcPr>
                <w:p w14:paraId="2F865F6C">
                  <w:pPr>
                    <w:spacing w:line="240" w:lineRule="auto"/>
                    <w:ind w:firstLine="0" w:firstLineChars="0"/>
                    <w:jc w:val="center"/>
                    <w:rPr>
                      <w:color w:val="auto"/>
                      <w:spacing w:val="11"/>
                      <w:position w:val="0"/>
                      <w:sz w:val="21"/>
                      <w:szCs w:val="21"/>
                    </w:rPr>
                  </w:pPr>
                </w:p>
              </w:tc>
              <w:tc>
                <w:tcPr>
                  <w:tcW w:w="1061" w:type="pct"/>
                  <w:tcBorders>
                    <w:tl2br w:val="nil"/>
                    <w:tr2bl w:val="nil"/>
                  </w:tcBorders>
                  <w:vAlign w:val="center"/>
                </w:tcPr>
                <w:p w14:paraId="58707AAE">
                  <w:pPr>
                    <w:spacing w:line="240" w:lineRule="auto"/>
                    <w:ind w:firstLine="0" w:firstLineChars="0"/>
                    <w:jc w:val="center"/>
                    <w:rPr>
                      <w:color w:val="auto"/>
                      <w:spacing w:val="11"/>
                      <w:position w:val="0"/>
                      <w:sz w:val="21"/>
                      <w:szCs w:val="21"/>
                    </w:rPr>
                  </w:pPr>
                  <w:r>
                    <w:rPr>
                      <w:rFonts w:hint="eastAsia"/>
                      <w:color w:val="auto"/>
                      <w:spacing w:val="11"/>
                      <w:position w:val="0"/>
                      <w:sz w:val="21"/>
                      <w:szCs w:val="21"/>
                      <w:lang w:val="en-US" w:eastAsia="zh-CN"/>
                    </w:rPr>
                    <w:t>4类</w:t>
                  </w:r>
                </w:p>
              </w:tc>
              <w:tc>
                <w:tcPr>
                  <w:tcW w:w="1683" w:type="pct"/>
                  <w:tcBorders>
                    <w:tl2br w:val="nil"/>
                    <w:tr2bl w:val="nil"/>
                  </w:tcBorders>
                  <w:vAlign w:val="center"/>
                </w:tcPr>
                <w:p w14:paraId="34AB5CC1">
                  <w:pPr>
                    <w:spacing w:line="240" w:lineRule="auto"/>
                    <w:ind w:firstLine="0" w:firstLineChars="0"/>
                    <w:jc w:val="center"/>
                    <w:rPr>
                      <w:rFonts w:hint="default" w:eastAsia="宋体"/>
                      <w:color w:val="auto"/>
                      <w:spacing w:val="11"/>
                      <w:position w:val="0"/>
                      <w:sz w:val="21"/>
                      <w:szCs w:val="21"/>
                      <w:lang w:val="en-US" w:eastAsia="zh-CN"/>
                    </w:rPr>
                  </w:pPr>
                  <w:r>
                    <w:rPr>
                      <w:rFonts w:hint="eastAsia"/>
                      <w:color w:val="auto"/>
                      <w:spacing w:val="11"/>
                      <w:position w:val="0"/>
                      <w:sz w:val="21"/>
                      <w:szCs w:val="21"/>
                      <w:lang w:val="en-US" w:eastAsia="zh-CN"/>
                    </w:rPr>
                    <w:t>70</w:t>
                  </w:r>
                </w:p>
              </w:tc>
              <w:tc>
                <w:tcPr>
                  <w:tcW w:w="1679" w:type="pct"/>
                  <w:tcBorders>
                    <w:tl2br w:val="nil"/>
                    <w:tr2bl w:val="nil"/>
                  </w:tcBorders>
                  <w:vAlign w:val="center"/>
                </w:tcPr>
                <w:p w14:paraId="76FAF4BB">
                  <w:pPr>
                    <w:spacing w:line="240" w:lineRule="auto"/>
                    <w:ind w:firstLine="0" w:firstLineChars="0"/>
                    <w:jc w:val="center"/>
                    <w:rPr>
                      <w:rFonts w:hint="default" w:eastAsia="宋体"/>
                      <w:color w:val="auto"/>
                      <w:spacing w:val="11"/>
                      <w:position w:val="0"/>
                      <w:sz w:val="21"/>
                      <w:szCs w:val="21"/>
                      <w:lang w:val="en-US" w:eastAsia="zh-CN"/>
                    </w:rPr>
                  </w:pPr>
                  <w:r>
                    <w:rPr>
                      <w:rFonts w:hint="eastAsia"/>
                      <w:color w:val="auto"/>
                      <w:spacing w:val="11"/>
                      <w:position w:val="0"/>
                      <w:sz w:val="21"/>
                      <w:szCs w:val="21"/>
                      <w:lang w:val="en-US" w:eastAsia="zh-CN"/>
                    </w:rPr>
                    <w:t>55</w:t>
                  </w:r>
                </w:p>
              </w:tc>
            </w:tr>
          </w:tbl>
          <w:p w14:paraId="03F134A6">
            <w:pPr>
              <w:keepNext w:val="0"/>
              <w:keepLines w:val="0"/>
              <w:pageBreakBefore w:val="0"/>
              <w:widowControl w:val="0"/>
              <w:numPr>
                <w:ilvl w:val="0"/>
                <w:numId w:val="0"/>
              </w:numPr>
              <w:kinsoku/>
              <w:wordWrap/>
              <w:overflowPunct/>
              <w:topLinePunct w:val="0"/>
              <w:autoSpaceDE/>
              <w:autoSpaceDN/>
              <w:bidi w:val="0"/>
              <w:adjustRightInd w:val="0"/>
              <w:snapToGrid w:val="0"/>
              <w:spacing w:before="167" w:beforeLines="50" w:line="360" w:lineRule="auto"/>
              <w:ind w:left="0" w:leftChars="0" w:firstLine="526" w:firstLineChars="200"/>
              <w:textAlignment w:val="auto"/>
              <w:rPr>
                <w:rFonts w:hint="default" w:ascii="Times New Roman" w:hAnsi="Times New Roman" w:cs="Times New Roman" w:eastAsiaTheme="minorEastAsia"/>
                <w:b/>
                <w:bCs/>
                <w:color w:val="auto"/>
                <w:spacing w:val="11"/>
                <w:position w:val="0"/>
                <w:sz w:val="24"/>
                <w:szCs w:val="24"/>
                <w:highlight w:val="none"/>
                <w:u w:val="none" w:color="auto"/>
                <w:lang w:bidi="ar"/>
              </w:rPr>
            </w:pPr>
            <w:r>
              <w:rPr>
                <w:rFonts w:hint="default" w:ascii="Times New Roman" w:hAnsi="Times New Roman" w:cs="Times New Roman" w:eastAsiaTheme="minorEastAsia"/>
                <w:b/>
                <w:bCs/>
                <w:color w:val="auto"/>
                <w:spacing w:val="11"/>
                <w:kern w:val="2"/>
                <w:position w:val="0"/>
                <w:sz w:val="24"/>
                <w:szCs w:val="24"/>
                <w:u w:color="auto"/>
                <w:lang w:val="en-US" w:eastAsia="zh-CN" w:bidi="ar"/>
              </w:rPr>
              <w:t>4、</w:t>
            </w:r>
            <w:r>
              <w:rPr>
                <w:rFonts w:hint="default" w:ascii="Times New Roman" w:hAnsi="Times New Roman" w:cs="Times New Roman" w:eastAsiaTheme="minorEastAsia"/>
                <w:b/>
                <w:bCs/>
                <w:color w:val="auto"/>
                <w:spacing w:val="11"/>
                <w:position w:val="0"/>
                <w:sz w:val="24"/>
                <w:szCs w:val="24"/>
                <w:highlight w:val="none"/>
                <w:u w:val="none" w:color="auto"/>
                <w:lang w:bidi="ar"/>
              </w:rPr>
              <w:t>固体废物</w:t>
            </w:r>
          </w:p>
          <w:p w14:paraId="378FECE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bidi="ar"/>
              </w:rPr>
              <w:t>项目运营期一般固体废物执行《一般工业固体废物贮存和填埋污染控制标准》（GB 18599-2020）</w:t>
            </w:r>
            <w:r>
              <w:rPr>
                <w:rFonts w:hint="default" w:ascii="Times New Roman" w:hAnsi="Times New Roman" w:cs="Times New Roman" w:eastAsiaTheme="minorEastAsia"/>
                <w:color w:val="auto"/>
                <w:spacing w:val="11"/>
                <w:position w:val="0"/>
                <w:sz w:val="24"/>
                <w:szCs w:val="24"/>
                <w:highlight w:val="none"/>
                <w:u w:val="none" w:color="auto"/>
                <w:lang w:eastAsia="zh-CN" w:bidi="ar"/>
              </w:rPr>
              <w:t>；危险废物执行《危险废物贮存污染控制标准》（GB18597-2023）</w:t>
            </w:r>
            <w:r>
              <w:rPr>
                <w:rFonts w:hint="default" w:ascii="Times New Roman" w:hAnsi="Times New Roman" w:cs="Times New Roman" w:eastAsiaTheme="minorEastAsia"/>
                <w:color w:val="auto"/>
                <w:spacing w:val="11"/>
                <w:position w:val="0"/>
                <w:sz w:val="24"/>
                <w:szCs w:val="24"/>
                <w:highlight w:val="none"/>
                <w:u w:val="none" w:color="auto"/>
                <w:lang w:val="en-US" w:eastAsia="zh-CN" w:bidi="ar"/>
              </w:rPr>
              <w:t>、《医疗废物集中处置技术规范（试行）》（环发[2003]206号）</w:t>
            </w:r>
            <w:r>
              <w:rPr>
                <w:rFonts w:hint="default" w:ascii="Times New Roman" w:hAnsi="Times New Roman" w:cs="Times New Roman" w:eastAsiaTheme="minorEastAsia"/>
                <w:color w:val="auto"/>
                <w:spacing w:val="11"/>
                <w:position w:val="0"/>
                <w:sz w:val="24"/>
                <w:szCs w:val="24"/>
                <w:highlight w:val="none"/>
                <w:u w:val="none" w:color="auto"/>
                <w:lang w:eastAsia="zh-CN" w:bidi="ar"/>
              </w:rPr>
              <w:t>的要求</w:t>
            </w:r>
            <w:r>
              <w:rPr>
                <w:rFonts w:hint="eastAsia" w:cs="Times New Roman" w:eastAsiaTheme="minorEastAsia"/>
                <w:color w:val="auto"/>
                <w:spacing w:val="11"/>
                <w:position w:val="0"/>
                <w:sz w:val="24"/>
                <w:szCs w:val="24"/>
                <w:highlight w:val="none"/>
                <w:u w:val="none" w:color="auto"/>
                <w:lang w:eastAsia="zh-CN" w:bidi="ar"/>
              </w:rPr>
              <w:t>；</w:t>
            </w:r>
            <w:r>
              <w:rPr>
                <w:rFonts w:hint="eastAsia" w:cs="Times New Roman" w:eastAsiaTheme="minorEastAsia"/>
                <w:color w:val="auto"/>
                <w:spacing w:val="11"/>
                <w:position w:val="0"/>
                <w:sz w:val="24"/>
                <w:szCs w:val="24"/>
                <w:highlight w:val="none"/>
                <w:u w:val="none" w:color="auto"/>
                <w:lang w:val="en-US" w:eastAsia="zh-CN" w:bidi="ar"/>
              </w:rPr>
              <w:t>污泥清掏前应进行监测，需满足《医疗机构水污染物排放标准》（GB18466-2005）中表4相关限值要求</w:t>
            </w:r>
            <w:r>
              <w:rPr>
                <w:rFonts w:hint="eastAsia" w:ascii="Times New Roman" w:hAnsi="Times New Roman" w:cs="Times New Roman" w:eastAsiaTheme="minorEastAsia"/>
                <w:color w:val="auto"/>
                <w:spacing w:val="11"/>
                <w:position w:val="0"/>
                <w:sz w:val="24"/>
                <w:szCs w:val="24"/>
                <w:highlight w:val="none"/>
                <w:u w:val="none" w:color="auto"/>
                <w:lang w:val="en-US" w:eastAsia="zh-CN" w:bidi="ar"/>
              </w:rPr>
              <w:t>；</w:t>
            </w:r>
            <w:r>
              <w:rPr>
                <w:rFonts w:hint="default" w:ascii="Times New Roman" w:hAnsi="Times New Roman" w:cs="Times New Roman" w:eastAsiaTheme="minorEastAsia"/>
                <w:color w:val="auto"/>
                <w:spacing w:val="11"/>
                <w:position w:val="0"/>
                <w:sz w:val="24"/>
                <w:szCs w:val="24"/>
                <w:highlight w:val="none"/>
                <w:u w:val="none" w:color="auto"/>
                <w:lang w:bidi="ar"/>
              </w:rPr>
              <w:t>生活垃圾</w:t>
            </w:r>
            <w:r>
              <w:rPr>
                <w:rFonts w:hint="eastAsia" w:cs="Times New Roman" w:eastAsiaTheme="minorEastAsia"/>
                <w:color w:val="auto"/>
                <w:spacing w:val="11"/>
                <w:position w:val="0"/>
                <w:sz w:val="24"/>
                <w:szCs w:val="24"/>
                <w:highlight w:val="none"/>
                <w:u w:val="none" w:color="auto"/>
                <w:lang w:val="en-US" w:eastAsia="zh-CN" w:bidi="ar"/>
              </w:rPr>
              <w:t>交由环卫部门统一清运</w:t>
            </w:r>
            <w:r>
              <w:rPr>
                <w:rFonts w:hint="default" w:ascii="Times New Roman" w:hAnsi="Times New Roman" w:cs="Times New Roman" w:eastAsiaTheme="minorEastAsia"/>
                <w:color w:val="auto"/>
                <w:spacing w:val="11"/>
                <w:position w:val="0"/>
                <w:sz w:val="24"/>
                <w:szCs w:val="24"/>
                <w:highlight w:val="none"/>
                <w:u w:val="none" w:color="auto"/>
              </w:rPr>
              <w:t>。</w:t>
            </w:r>
            <w:r>
              <w:rPr>
                <w:rFonts w:hint="eastAsia" w:cs="Times New Roman" w:eastAsiaTheme="minorEastAsia"/>
                <w:color w:val="auto"/>
                <w:spacing w:val="11"/>
                <w:position w:val="0"/>
                <w:sz w:val="24"/>
                <w:szCs w:val="24"/>
                <w:highlight w:val="none"/>
                <w:u w:val="none" w:color="auto"/>
                <w:lang w:val="en-US" w:eastAsia="zh-CN"/>
              </w:rPr>
              <w:t xml:space="preserve"> </w:t>
            </w:r>
          </w:p>
        </w:tc>
      </w:tr>
      <w:tr w14:paraId="07A8E3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74" w:hRule="atLeast"/>
        </w:trPr>
        <w:tc>
          <w:tcPr>
            <w:tcW w:w="400" w:type="pct"/>
            <w:tcBorders>
              <w:tl2br w:val="nil"/>
              <w:tr2bl w:val="nil"/>
            </w:tcBorders>
            <w:vAlign w:val="center"/>
          </w:tcPr>
          <w:p w14:paraId="0F52EB3C">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总量控制指标</w:t>
            </w:r>
          </w:p>
        </w:tc>
        <w:tc>
          <w:tcPr>
            <w:tcW w:w="400" w:type="pct"/>
            <w:tcBorders>
              <w:tl2br w:val="nil"/>
              <w:tr2bl w:val="nil"/>
            </w:tcBorders>
            <w:vAlign w:val="center"/>
          </w:tcPr>
          <w:p w14:paraId="79691112">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eastAsia="宋体" w:cs="Times New Roman"/>
                <w:color w:val="auto"/>
                <w:spacing w:val="11"/>
                <w:sz w:val="24"/>
                <w:highlight w:val="none"/>
                <w:u w:val="single" w:color="auto"/>
              </w:rPr>
            </w:pPr>
            <w:r>
              <w:rPr>
                <w:rFonts w:hint="eastAsia" w:ascii="Times New Roman" w:hAnsi="Times New Roman" w:eastAsia="宋体" w:cs="Times New Roman"/>
                <w:color w:val="auto"/>
                <w:spacing w:val="11"/>
                <w:sz w:val="24"/>
                <w:highlight w:val="none"/>
                <w:u w:val="single" w:color="auto"/>
              </w:rPr>
              <w:t>根据湖南省生态环境厅关于印发《湖南省主要污染物排污权有偿使用和交易实施细则》【湘环发</w:t>
            </w:r>
            <w:r>
              <w:rPr>
                <w:rFonts w:hint="eastAsia" w:cs="Times New Roman"/>
                <w:color w:val="auto"/>
                <w:spacing w:val="11"/>
                <w:sz w:val="24"/>
                <w:highlight w:val="none"/>
                <w:u w:val="single" w:color="auto"/>
                <w:lang w:eastAsia="zh-CN"/>
              </w:rPr>
              <w:t>（</w:t>
            </w:r>
            <w:r>
              <w:rPr>
                <w:rFonts w:hint="eastAsia" w:ascii="Times New Roman" w:hAnsi="Times New Roman" w:eastAsia="宋体" w:cs="Times New Roman"/>
                <w:color w:val="auto"/>
                <w:spacing w:val="11"/>
                <w:sz w:val="24"/>
                <w:highlight w:val="none"/>
                <w:u w:val="single" w:color="auto"/>
              </w:rPr>
              <w:t>2024年</w:t>
            </w:r>
            <w:r>
              <w:rPr>
                <w:rFonts w:hint="eastAsia" w:cs="Times New Roman"/>
                <w:color w:val="auto"/>
                <w:spacing w:val="11"/>
                <w:sz w:val="24"/>
                <w:highlight w:val="none"/>
                <w:u w:val="single" w:color="auto"/>
                <w:lang w:eastAsia="zh-CN"/>
              </w:rPr>
              <w:t>）</w:t>
            </w:r>
            <w:r>
              <w:rPr>
                <w:rFonts w:hint="eastAsia" w:ascii="Times New Roman" w:hAnsi="Times New Roman" w:eastAsia="宋体" w:cs="Times New Roman"/>
                <w:color w:val="auto"/>
                <w:spacing w:val="11"/>
                <w:sz w:val="24"/>
                <w:highlight w:val="none"/>
                <w:u w:val="single" w:color="auto"/>
              </w:rPr>
              <w:t>3号】，湖南省对化学需氧量、氨氮二氧化硫、氮氧化物、挥发性有机物、总磷、铅、镉、砷、汞、铬十一类污染物实施总量控制</w:t>
            </w:r>
            <w:r>
              <w:rPr>
                <w:rFonts w:hint="eastAsia" w:cs="Times New Roman"/>
                <w:color w:val="auto"/>
                <w:spacing w:val="11"/>
                <w:sz w:val="24"/>
                <w:highlight w:val="none"/>
                <w:u w:val="single" w:color="auto"/>
                <w:lang w:eastAsia="zh-CN"/>
              </w:rPr>
              <w:t>（</w:t>
            </w:r>
            <w:r>
              <w:rPr>
                <w:rFonts w:hint="eastAsia" w:ascii="Times New Roman" w:hAnsi="Times New Roman" w:eastAsia="宋体" w:cs="Times New Roman"/>
                <w:color w:val="auto"/>
                <w:spacing w:val="11"/>
                <w:sz w:val="24"/>
                <w:highlight w:val="none"/>
                <w:u w:val="single" w:color="auto"/>
              </w:rPr>
              <w:t>实施管理的范围为有效实施的国家固定污染源排污许可分类管理名录的工业类排污单位</w:t>
            </w:r>
            <w:r>
              <w:rPr>
                <w:rFonts w:hint="eastAsia" w:cs="Times New Roman"/>
                <w:color w:val="auto"/>
                <w:spacing w:val="11"/>
                <w:sz w:val="24"/>
                <w:highlight w:val="none"/>
                <w:u w:val="single" w:color="auto"/>
                <w:lang w:eastAsia="zh-CN"/>
              </w:rPr>
              <w:t>）</w:t>
            </w:r>
            <w:r>
              <w:rPr>
                <w:rFonts w:hint="eastAsia" w:ascii="Times New Roman" w:hAnsi="Times New Roman" w:eastAsia="宋体" w:cs="Times New Roman"/>
                <w:color w:val="auto"/>
                <w:spacing w:val="11"/>
                <w:sz w:val="24"/>
                <w:highlight w:val="none"/>
                <w:u w:val="single" w:color="auto"/>
              </w:rPr>
              <w:t>。</w:t>
            </w:r>
          </w:p>
          <w:p w14:paraId="6E03C851">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cs="Times New Roman"/>
                <w:color w:val="auto"/>
                <w:spacing w:val="11"/>
                <w:sz w:val="24"/>
                <w:highlight w:val="none"/>
                <w:u w:val="single" w:color="auto"/>
                <w:lang w:eastAsia="zh-CN"/>
              </w:rPr>
            </w:pPr>
            <w:r>
              <w:rPr>
                <w:rFonts w:hint="eastAsia" w:ascii="Times New Roman" w:hAnsi="Times New Roman" w:eastAsia="宋体" w:cs="Times New Roman"/>
                <w:color w:val="auto"/>
                <w:spacing w:val="11"/>
                <w:sz w:val="24"/>
                <w:highlight w:val="none"/>
                <w:u w:val="single" w:color="auto"/>
              </w:rPr>
              <w:t>根据湖南省污染物排放总量控制要求，结合本项目排污特征，确定本项目总量控制因子为</w:t>
            </w:r>
            <w:r>
              <w:rPr>
                <w:rFonts w:hint="eastAsia" w:cs="Times New Roman"/>
                <w:color w:val="auto"/>
                <w:spacing w:val="11"/>
                <w:sz w:val="24"/>
                <w:highlight w:val="none"/>
                <w:u w:val="single" w:color="auto"/>
                <w:lang w:eastAsia="zh-CN"/>
              </w:rPr>
              <w:t>：</w:t>
            </w:r>
            <w:r>
              <w:rPr>
                <w:rFonts w:hint="eastAsia" w:ascii="Times New Roman" w:hAnsi="Times New Roman" w:eastAsia="宋体" w:cs="Times New Roman"/>
                <w:color w:val="auto"/>
                <w:spacing w:val="11"/>
                <w:sz w:val="24"/>
                <w:highlight w:val="none"/>
                <w:u w:val="single" w:color="auto"/>
              </w:rPr>
              <w:t>COD、NH</w:t>
            </w:r>
            <w:r>
              <w:rPr>
                <w:rFonts w:hint="eastAsia" w:cs="Times New Roman"/>
                <w:color w:val="auto"/>
                <w:spacing w:val="11"/>
                <w:sz w:val="24"/>
                <w:highlight w:val="none"/>
                <w:u w:val="single" w:color="auto"/>
                <w:vertAlign w:val="subscript"/>
                <w:lang w:val="en-US" w:eastAsia="zh-CN"/>
              </w:rPr>
              <w:t>3</w:t>
            </w:r>
            <w:r>
              <w:rPr>
                <w:rFonts w:hint="eastAsia" w:ascii="Times New Roman" w:hAnsi="Times New Roman" w:eastAsia="宋体" w:cs="Times New Roman"/>
                <w:color w:val="auto"/>
                <w:spacing w:val="11"/>
                <w:sz w:val="24"/>
                <w:highlight w:val="none"/>
                <w:u w:val="single" w:color="auto"/>
              </w:rPr>
              <w:t>-N。本项目属于公益性项目，不属于工业类排污单位，故仅进行总量核定，无需进行排污权总量指标交易</w:t>
            </w:r>
            <w:r>
              <w:rPr>
                <w:rFonts w:hint="eastAsia" w:cs="Times New Roman"/>
                <w:color w:val="auto"/>
                <w:spacing w:val="11"/>
                <w:sz w:val="24"/>
                <w:highlight w:val="none"/>
                <w:u w:val="single" w:color="auto"/>
                <w:lang w:eastAsia="zh-CN"/>
              </w:rPr>
              <w:t>。</w:t>
            </w:r>
          </w:p>
          <w:p w14:paraId="470E536E">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cs="Times New Roman"/>
                <w:color w:val="auto"/>
                <w:spacing w:val="11"/>
                <w:sz w:val="24"/>
                <w:highlight w:val="none"/>
                <w:u w:val="single" w:color="auto"/>
                <w:lang w:val="en-US" w:eastAsia="zh-CN"/>
              </w:rPr>
            </w:pPr>
            <w:r>
              <w:rPr>
                <w:rFonts w:ascii="Times New Roman" w:hAnsi="Times New Roman" w:eastAsia="宋体" w:cs="Times New Roman"/>
                <w:color w:val="auto"/>
                <w:spacing w:val="11"/>
                <w:sz w:val="24"/>
                <w:highlight w:val="none"/>
                <w:u w:val="single" w:color="auto"/>
              </w:rPr>
              <w:t>本项目</w:t>
            </w:r>
            <w:r>
              <w:rPr>
                <w:rFonts w:hint="eastAsia" w:ascii="Times New Roman" w:hAnsi="Times New Roman" w:eastAsia="宋体" w:cs="Times New Roman"/>
                <w:color w:val="auto"/>
                <w:spacing w:val="11"/>
                <w:sz w:val="24"/>
                <w:highlight w:val="none"/>
                <w:u w:val="single" w:color="auto"/>
                <w:lang w:val="en-US" w:eastAsia="zh-CN"/>
              </w:rPr>
              <w:t>运营过程中产生的生活污水、医疗废水分别经化粪池、预处理池（活性氧消毒剂消毒）处理后再排入院区现有污水管网，进入院内污水处理站处理达标后排入市政污水管网</w:t>
            </w:r>
            <w:r>
              <w:rPr>
                <w:rFonts w:hint="eastAsia" w:ascii="Times New Roman" w:hAnsi="Times New Roman" w:cs="Times New Roman"/>
                <w:color w:val="auto"/>
                <w:spacing w:val="11"/>
                <w:sz w:val="24"/>
                <w:highlight w:val="none"/>
                <w:u w:val="single" w:color="auto"/>
                <w:lang w:val="en-US" w:eastAsia="zh-CN"/>
              </w:rPr>
              <w:t>，</w:t>
            </w:r>
            <w:r>
              <w:rPr>
                <w:rFonts w:hint="eastAsia" w:cs="Times New Roman"/>
                <w:color w:val="auto"/>
                <w:spacing w:val="11"/>
                <w:sz w:val="24"/>
                <w:highlight w:val="none"/>
                <w:u w:val="single" w:color="auto"/>
                <w:lang w:val="en-US" w:eastAsia="zh-CN"/>
              </w:rPr>
              <w:t>本项目总量控制建议值情况详见下表：</w:t>
            </w:r>
          </w:p>
          <w:p w14:paraId="17540CA3">
            <w:pPr>
              <w:pStyle w:val="63"/>
              <w:bidi w:val="0"/>
              <w:rPr>
                <w:rFonts w:hint="default" w:eastAsia="宋体"/>
                <w:b/>
                <w:bCs/>
                <w:color w:val="auto"/>
                <w:spacing w:val="11"/>
                <w:position w:val="0"/>
                <w:highlight w:val="none"/>
                <w:lang w:val="en-US" w:eastAsia="zh-CN"/>
              </w:rPr>
            </w:pPr>
            <w:r>
              <w:rPr>
                <w:rFonts w:hint="default"/>
                <w:b/>
                <w:bCs/>
                <w:color w:val="auto"/>
                <w:spacing w:val="11"/>
                <w:position w:val="0"/>
                <w:highlight w:val="none"/>
              </w:rPr>
              <w:t>表</w:t>
            </w:r>
            <w:r>
              <w:rPr>
                <w:rFonts w:hint="default"/>
                <w:b/>
                <w:bCs/>
                <w:color w:val="auto"/>
                <w:spacing w:val="11"/>
                <w:position w:val="0"/>
                <w:highlight w:val="none"/>
                <w:lang w:val="en-US" w:eastAsia="zh-CN"/>
              </w:rPr>
              <w:t>3</w:t>
            </w:r>
            <w:r>
              <w:rPr>
                <w:rFonts w:hint="default"/>
                <w:b/>
                <w:bCs/>
                <w:color w:val="auto"/>
                <w:spacing w:val="11"/>
                <w:position w:val="0"/>
                <w:highlight w:val="none"/>
              </w:rPr>
              <w:t>-</w:t>
            </w:r>
            <w:r>
              <w:rPr>
                <w:rFonts w:hint="eastAsia"/>
                <w:b/>
                <w:bCs/>
                <w:color w:val="auto"/>
                <w:spacing w:val="11"/>
                <w:position w:val="0"/>
                <w:highlight w:val="none"/>
                <w:lang w:val="en-US" w:eastAsia="zh-CN"/>
              </w:rPr>
              <w:t>9</w:t>
            </w:r>
            <w:r>
              <w:rPr>
                <w:rFonts w:hint="default"/>
                <w:b/>
                <w:bCs/>
                <w:color w:val="auto"/>
                <w:spacing w:val="11"/>
                <w:position w:val="0"/>
                <w:highlight w:val="none"/>
                <w:lang w:val="en-US" w:eastAsia="zh-CN"/>
              </w:rPr>
              <w:t xml:space="preserve"> </w:t>
            </w:r>
            <w:r>
              <w:rPr>
                <w:rFonts w:hint="eastAsia"/>
                <w:b/>
                <w:bCs/>
                <w:color w:val="auto"/>
                <w:spacing w:val="11"/>
                <w:position w:val="0"/>
                <w:highlight w:val="none"/>
                <w:lang w:val="en-US" w:eastAsia="zh-CN"/>
              </w:rPr>
              <w:t xml:space="preserve"> 总量核算一览表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62"/>
              <w:gridCol w:w="1599"/>
              <w:gridCol w:w="2023"/>
              <w:gridCol w:w="1809"/>
              <w:gridCol w:w="1832"/>
            </w:tblGrid>
            <w:tr w14:paraId="3DF495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6" w:type="pct"/>
                  <w:tcBorders>
                    <w:tl2br w:val="nil"/>
                    <w:tr2bl w:val="nil"/>
                  </w:tcBorders>
                  <w:vAlign w:val="center"/>
                </w:tcPr>
                <w:p w14:paraId="49A68615">
                  <w:pPr>
                    <w:spacing w:line="240" w:lineRule="auto"/>
                    <w:ind w:firstLine="0" w:firstLineChars="0"/>
                    <w:jc w:val="center"/>
                    <w:rPr>
                      <w:color w:val="auto"/>
                      <w:spacing w:val="11"/>
                      <w:position w:val="0"/>
                      <w:sz w:val="21"/>
                      <w:szCs w:val="21"/>
                    </w:rPr>
                  </w:pPr>
                  <w:r>
                    <w:rPr>
                      <w:color w:val="auto"/>
                      <w:spacing w:val="11"/>
                      <w:position w:val="0"/>
                      <w:sz w:val="21"/>
                      <w:szCs w:val="21"/>
                    </w:rPr>
                    <w:t>类别</w:t>
                  </w:r>
                </w:p>
              </w:tc>
              <w:tc>
                <w:tcPr>
                  <w:tcW w:w="886" w:type="pct"/>
                  <w:tcBorders>
                    <w:tl2br w:val="nil"/>
                    <w:tr2bl w:val="nil"/>
                  </w:tcBorders>
                  <w:vAlign w:val="center"/>
                </w:tcPr>
                <w:p w14:paraId="725B36E4">
                  <w:pPr>
                    <w:spacing w:line="240" w:lineRule="auto"/>
                    <w:ind w:firstLine="0" w:firstLineChars="0"/>
                    <w:jc w:val="center"/>
                    <w:rPr>
                      <w:rFonts w:hint="default" w:eastAsia="宋体"/>
                      <w:color w:val="auto"/>
                      <w:spacing w:val="11"/>
                      <w:position w:val="0"/>
                      <w:sz w:val="21"/>
                      <w:szCs w:val="21"/>
                      <w:lang w:val="en-US" w:eastAsia="zh-CN"/>
                    </w:rPr>
                  </w:pPr>
                  <w:r>
                    <w:rPr>
                      <w:rFonts w:hint="eastAsia"/>
                      <w:color w:val="auto"/>
                      <w:spacing w:val="11"/>
                      <w:position w:val="0"/>
                      <w:sz w:val="21"/>
                      <w:szCs w:val="21"/>
                      <w:lang w:val="en-US" w:eastAsia="zh-CN"/>
                    </w:rPr>
                    <w:t>指标名称</w:t>
                  </w:r>
                </w:p>
              </w:tc>
              <w:tc>
                <w:tcPr>
                  <w:tcW w:w="1121" w:type="pct"/>
                  <w:tcBorders>
                    <w:tl2br w:val="nil"/>
                    <w:tr2bl w:val="nil"/>
                  </w:tcBorders>
                  <w:vAlign w:val="center"/>
                </w:tcPr>
                <w:p w14:paraId="5FD7B391">
                  <w:pPr>
                    <w:spacing w:line="240" w:lineRule="auto"/>
                    <w:ind w:firstLine="0" w:firstLineChars="0"/>
                    <w:jc w:val="center"/>
                    <w:rPr>
                      <w:rFonts w:hint="default" w:eastAsia="宋体"/>
                      <w:color w:val="auto"/>
                      <w:spacing w:val="11"/>
                      <w:position w:val="0"/>
                      <w:sz w:val="21"/>
                      <w:szCs w:val="21"/>
                      <w:lang w:val="en-US" w:eastAsia="zh-CN"/>
                    </w:rPr>
                  </w:pPr>
                  <w:r>
                    <w:rPr>
                      <w:rFonts w:hint="eastAsia"/>
                      <w:color w:val="auto"/>
                      <w:spacing w:val="11"/>
                      <w:position w:val="0"/>
                      <w:sz w:val="21"/>
                      <w:szCs w:val="21"/>
                      <w:lang w:val="en-US" w:eastAsia="zh-CN"/>
                    </w:rPr>
                    <w:t>污染物浓度mg/L</w:t>
                  </w:r>
                </w:p>
              </w:tc>
              <w:tc>
                <w:tcPr>
                  <w:tcW w:w="1002" w:type="pct"/>
                  <w:tcBorders>
                    <w:tl2br w:val="nil"/>
                    <w:tr2bl w:val="nil"/>
                  </w:tcBorders>
                  <w:vAlign w:val="center"/>
                </w:tcPr>
                <w:p w14:paraId="64B421B5">
                  <w:pPr>
                    <w:spacing w:line="240" w:lineRule="auto"/>
                    <w:ind w:firstLine="0" w:firstLineChars="0"/>
                    <w:jc w:val="center"/>
                    <w:rPr>
                      <w:rFonts w:hint="default"/>
                      <w:color w:val="auto"/>
                      <w:spacing w:val="11"/>
                      <w:position w:val="0"/>
                      <w:sz w:val="21"/>
                      <w:szCs w:val="21"/>
                      <w:lang w:val="en-US" w:eastAsia="zh-CN"/>
                    </w:rPr>
                  </w:pPr>
                  <w:r>
                    <w:rPr>
                      <w:rFonts w:hint="eastAsia"/>
                      <w:color w:val="auto"/>
                      <w:spacing w:val="11"/>
                      <w:position w:val="0"/>
                      <w:sz w:val="21"/>
                      <w:szCs w:val="21"/>
                      <w:lang w:val="en-US" w:eastAsia="zh-CN"/>
                    </w:rPr>
                    <w:t>排放总量t/a</w:t>
                  </w:r>
                </w:p>
              </w:tc>
              <w:tc>
                <w:tcPr>
                  <w:tcW w:w="1011" w:type="pct"/>
                  <w:tcBorders>
                    <w:tl2br w:val="nil"/>
                    <w:tr2bl w:val="nil"/>
                  </w:tcBorders>
                  <w:vAlign w:val="center"/>
                </w:tcPr>
                <w:p w14:paraId="4CC69DDC">
                  <w:pPr>
                    <w:spacing w:line="240" w:lineRule="auto"/>
                    <w:ind w:firstLine="0" w:firstLineChars="0"/>
                    <w:jc w:val="center"/>
                    <w:rPr>
                      <w:rFonts w:hint="default"/>
                      <w:color w:val="auto"/>
                      <w:spacing w:val="11"/>
                      <w:position w:val="0"/>
                      <w:sz w:val="21"/>
                      <w:szCs w:val="21"/>
                      <w:lang w:val="en-US" w:eastAsia="zh-CN"/>
                    </w:rPr>
                  </w:pPr>
                  <w:r>
                    <w:rPr>
                      <w:rFonts w:hint="eastAsia"/>
                      <w:color w:val="auto"/>
                      <w:spacing w:val="11"/>
                      <w:position w:val="0"/>
                      <w:sz w:val="21"/>
                      <w:szCs w:val="21"/>
                      <w:lang w:val="en-US" w:eastAsia="zh-CN"/>
                    </w:rPr>
                    <w:t>总量建议值t/a</w:t>
                  </w:r>
                </w:p>
              </w:tc>
            </w:tr>
            <w:tr w14:paraId="073614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6" w:type="pct"/>
                  <w:vMerge w:val="restart"/>
                  <w:tcBorders>
                    <w:tl2br w:val="nil"/>
                    <w:tr2bl w:val="nil"/>
                  </w:tcBorders>
                  <w:vAlign w:val="center"/>
                </w:tcPr>
                <w:p w14:paraId="194D9B7D">
                  <w:pPr>
                    <w:spacing w:line="240" w:lineRule="auto"/>
                    <w:ind w:firstLine="0" w:firstLineChars="0"/>
                    <w:jc w:val="center"/>
                    <w:rPr>
                      <w:rFonts w:hint="default" w:eastAsia="宋体"/>
                      <w:color w:val="auto"/>
                      <w:spacing w:val="11"/>
                      <w:position w:val="0"/>
                      <w:sz w:val="21"/>
                      <w:szCs w:val="21"/>
                      <w:lang w:val="en-US" w:eastAsia="zh-CN"/>
                    </w:rPr>
                  </w:pPr>
                  <w:r>
                    <w:rPr>
                      <w:rFonts w:hint="eastAsia"/>
                      <w:color w:val="auto"/>
                      <w:spacing w:val="11"/>
                      <w:position w:val="0"/>
                      <w:sz w:val="21"/>
                      <w:szCs w:val="21"/>
                      <w:lang w:val="en-US" w:eastAsia="zh-CN"/>
                    </w:rPr>
                    <w:t>废水</w:t>
                  </w:r>
                </w:p>
              </w:tc>
              <w:tc>
                <w:tcPr>
                  <w:tcW w:w="886" w:type="pct"/>
                  <w:tcBorders>
                    <w:tl2br w:val="nil"/>
                    <w:tr2bl w:val="nil"/>
                  </w:tcBorders>
                  <w:vAlign w:val="center"/>
                </w:tcPr>
                <w:p w14:paraId="3EFF8226">
                  <w:pPr>
                    <w:spacing w:line="240" w:lineRule="auto"/>
                    <w:ind w:firstLine="0" w:firstLineChars="0"/>
                    <w:jc w:val="center"/>
                    <w:rPr>
                      <w:color w:val="auto"/>
                      <w:spacing w:val="11"/>
                      <w:position w:val="0"/>
                      <w:sz w:val="21"/>
                      <w:szCs w:val="21"/>
                    </w:rPr>
                  </w:pPr>
                  <w:r>
                    <w:rPr>
                      <w:rFonts w:hint="eastAsia"/>
                      <w:color w:val="auto"/>
                      <w:spacing w:val="11"/>
                      <w:position w:val="0"/>
                      <w:sz w:val="21"/>
                      <w:szCs w:val="21"/>
                      <w:lang w:val="en-US" w:eastAsia="zh-CN"/>
                    </w:rPr>
                    <w:t>COD</w:t>
                  </w:r>
                </w:p>
              </w:tc>
              <w:tc>
                <w:tcPr>
                  <w:tcW w:w="1121" w:type="pct"/>
                  <w:tcBorders>
                    <w:tl2br w:val="nil"/>
                    <w:tr2bl w:val="nil"/>
                  </w:tcBorders>
                  <w:vAlign w:val="center"/>
                </w:tcPr>
                <w:p w14:paraId="3846CD45">
                  <w:pPr>
                    <w:spacing w:line="240" w:lineRule="auto"/>
                    <w:ind w:firstLine="0" w:firstLineChars="0"/>
                    <w:jc w:val="center"/>
                    <w:rPr>
                      <w:rFonts w:hint="default"/>
                      <w:color w:val="auto"/>
                      <w:spacing w:val="11"/>
                      <w:position w:val="0"/>
                      <w:sz w:val="21"/>
                      <w:szCs w:val="21"/>
                      <w:lang w:val="en-US"/>
                    </w:rPr>
                  </w:pPr>
                  <w:r>
                    <w:rPr>
                      <w:rFonts w:hint="default"/>
                      <w:color w:val="auto"/>
                      <w:spacing w:val="11"/>
                      <w:position w:val="0"/>
                      <w:sz w:val="21"/>
                      <w:szCs w:val="21"/>
                      <w:lang w:val="en-US"/>
                    </w:rPr>
                    <w:t>50</w:t>
                  </w:r>
                </w:p>
              </w:tc>
              <w:tc>
                <w:tcPr>
                  <w:tcW w:w="1002" w:type="pct"/>
                  <w:tcBorders>
                    <w:tl2br w:val="nil"/>
                    <w:tr2bl w:val="nil"/>
                  </w:tcBorders>
                  <w:vAlign w:val="center"/>
                </w:tcPr>
                <w:p w14:paraId="6149B8DC">
                  <w:pPr>
                    <w:spacing w:line="240" w:lineRule="auto"/>
                    <w:ind w:firstLine="0" w:firstLineChars="0"/>
                    <w:jc w:val="center"/>
                    <w:rPr>
                      <w:rFonts w:hint="default" w:ascii="Times New Roman" w:eastAsia="宋体"/>
                      <w:color w:val="auto"/>
                      <w:spacing w:val="11"/>
                      <w:position w:val="0"/>
                      <w:sz w:val="21"/>
                      <w:szCs w:val="21"/>
                      <w:lang w:val="en-US" w:eastAsia="zh-CN"/>
                    </w:rPr>
                  </w:pPr>
                  <w:r>
                    <w:rPr>
                      <w:rFonts w:hint="eastAsia"/>
                      <w:color w:val="auto"/>
                      <w:spacing w:val="11"/>
                      <w:position w:val="0"/>
                      <w:sz w:val="21"/>
                      <w:szCs w:val="21"/>
                      <w:lang w:val="en-US" w:eastAsia="zh-CN"/>
                    </w:rPr>
                    <w:t>5.84</w:t>
                  </w:r>
                </w:p>
              </w:tc>
              <w:tc>
                <w:tcPr>
                  <w:tcW w:w="1011" w:type="pct"/>
                  <w:tcBorders>
                    <w:tl2br w:val="nil"/>
                    <w:tr2bl w:val="nil"/>
                  </w:tcBorders>
                  <w:shd w:val="clear" w:color="auto" w:fill="auto"/>
                  <w:vAlign w:val="center"/>
                </w:tcPr>
                <w:p w14:paraId="752FA172">
                  <w:pPr>
                    <w:spacing w:line="240" w:lineRule="auto"/>
                    <w:ind w:firstLine="0" w:firstLineChars="0"/>
                    <w:jc w:val="center"/>
                    <w:rPr>
                      <w:rFonts w:hint="eastAsia" w:ascii="Times New Roman" w:hAnsi="Times New Roman" w:eastAsia="宋体" w:cs="Times New Roman"/>
                      <w:color w:val="auto"/>
                      <w:spacing w:val="11"/>
                      <w:kern w:val="2"/>
                      <w:position w:val="0"/>
                      <w:sz w:val="21"/>
                      <w:szCs w:val="21"/>
                      <w:lang w:val="en-US" w:eastAsia="zh-CN" w:bidi="ar-SA"/>
                    </w:rPr>
                  </w:pPr>
                  <w:r>
                    <w:rPr>
                      <w:rFonts w:hint="eastAsia"/>
                      <w:color w:val="auto"/>
                      <w:spacing w:val="11"/>
                      <w:position w:val="0"/>
                      <w:sz w:val="21"/>
                      <w:szCs w:val="21"/>
                      <w:lang w:val="en-US" w:eastAsia="zh-CN"/>
                    </w:rPr>
                    <w:t>5.84</w:t>
                  </w:r>
                </w:p>
              </w:tc>
            </w:tr>
            <w:tr w14:paraId="7CA993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6" w:type="pct"/>
                  <w:vMerge w:val="continue"/>
                  <w:tcBorders>
                    <w:tl2br w:val="nil"/>
                    <w:tr2bl w:val="nil"/>
                  </w:tcBorders>
                  <w:vAlign w:val="center"/>
                </w:tcPr>
                <w:p w14:paraId="79E26EBB">
                  <w:pPr>
                    <w:spacing w:line="240" w:lineRule="auto"/>
                    <w:ind w:firstLine="0" w:firstLineChars="0"/>
                    <w:jc w:val="center"/>
                    <w:rPr>
                      <w:rFonts w:hint="eastAsia"/>
                      <w:color w:val="auto"/>
                      <w:spacing w:val="11"/>
                      <w:position w:val="0"/>
                      <w:sz w:val="21"/>
                      <w:szCs w:val="21"/>
                      <w:lang w:val="en-US" w:eastAsia="zh-CN"/>
                    </w:rPr>
                  </w:pPr>
                </w:p>
              </w:tc>
              <w:tc>
                <w:tcPr>
                  <w:tcW w:w="886" w:type="pct"/>
                  <w:tcBorders>
                    <w:tl2br w:val="nil"/>
                    <w:tr2bl w:val="nil"/>
                  </w:tcBorders>
                  <w:vAlign w:val="center"/>
                </w:tcPr>
                <w:p w14:paraId="61A6C325">
                  <w:pPr>
                    <w:spacing w:line="240" w:lineRule="auto"/>
                    <w:ind w:firstLine="0" w:firstLineChars="0"/>
                    <w:jc w:val="center"/>
                    <w:rPr>
                      <w:rFonts w:hint="eastAsia"/>
                      <w:color w:val="auto"/>
                      <w:spacing w:val="11"/>
                      <w:position w:val="0"/>
                      <w:sz w:val="21"/>
                      <w:szCs w:val="21"/>
                      <w:lang w:val="en-US" w:eastAsia="zh-CN"/>
                    </w:rPr>
                  </w:pPr>
                  <w:r>
                    <w:rPr>
                      <w:rFonts w:hint="eastAsia"/>
                      <w:color w:val="auto"/>
                      <w:spacing w:val="11"/>
                      <w:position w:val="0"/>
                      <w:sz w:val="21"/>
                      <w:szCs w:val="21"/>
                      <w:lang w:val="en-US" w:eastAsia="zh-CN"/>
                    </w:rPr>
                    <w:t>NH</w:t>
                  </w:r>
                  <w:r>
                    <w:rPr>
                      <w:rFonts w:hint="eastAsia"/>
                      <w:color w:val="auto"/>
                      <w:spacing w:val="11"/>
                      <w:position w:val="0"/>
                      <w:sz w:val="21"/>
                      <w:szCs w:val="21"/>
                      <w:vertAlign w:val="subscript"/>
                      <w:lang w:val="en-US" w:eastAsia="zh-CN"/>
                    </w:rPr>
                    <w:t>3</w:t>
                  </w:r>
                  <w:r>
                    <w:rPr>
                      <w:rFonts w:hint="eastAsia"/>
                      <w:color w:val="auto"/>
                      <w:spacing w:val="11"/>
                      <w:position w:val="0"/>
                      <w:sz w:val="21"/>
                      <w:szCs w:val="21"/>
                      <w:lang w:val="en-US" w:eastAsia="zh-CN"/>
                    </w:rPr>
                    <w:t>-N</w:t>
                  </w:r>
                </w:p>
              </w:tc>
              <w:tc>
                <w:tcPr>
                  <w:tcW w:w="1121" w:type="pct"/>
                  <w:tcBorders>
                    <w:tl2br w:val="nil"/>
                    <w:tr2bl w:val="nil"/>
                  </w:tcBorders>
                  <w:vAlign w:val="center"/>
                </w:tcPr>
                <w:p w14:paraId="574208DF">
                  <w:pPr>
                    <w:spacing w:line="240" w:lineRule="auto"/>
                    <w:ind w:firstLine="0" w:firstLineChars="0"/>
                    <w:jc w:val="center"/>
                    <w:rPr>
                      <w:rFonts w:hint="default"/>
                      <w:color w:val="auto"/>
                      <w:spacing w:val="11"/>
                      <w:position w:val="0"/>
                      <w:sz w:val="21"/>
                      <w:szCs w:val="21"/>
                      <w:lang w:val="en-US"/>
                    </w:rPr>
                  </w:pPr>
                  <w:r>
                    <w:rPr>
                      <w:rFonts w:hint="eastAsia"/>
                      <w:color w:val="auto"/>
                      <w:spacing w:val="11"/>
                      <w:position w:val="0"/>
                      <w:sz w:val="21"/>
                      <w:szCs w:val="21"/>
                      <w:lang w:val="en-US" w:eastAsia="zh-CN"/>
                    </w:rPr>
                    <w:t>5</w:t>
                  </w:r>
                </w:p>
              </w:tc>
              <w:tc>
                <w:tcPr>
                  <w:tcW w:w="1002" w:type="pct"/>
                  <w:tcBorders>
                    <w:tl2br w:val="nil"/>
                    <w:tr2bl w:val="nil"/>
                  </w:tcBorders>
                  <w:vAlign w:val="center"/>
                </w:tcPr>
                <w:p w14:paraId="238C5701">
                  <w:pPr>
                    <w:spacing w:line="240" w:lineRule="auto"/>
                    <w:ind w:firstLine="0" w:firstLineChars="0"/>
                    <w:jc w:val="center"/>
                    <w:rPr>
                      <w:rFonts w:hint="default" w:ascii="Times New Roman" w:eastAsia="宋体"/>
                      <w:color w:val="auto"/>
                      <w:spacing w:val="11"/>
                      <w:position w:val="0"/>
                      <w:sz w:val="21"/>
                      <w:szCs w:val="21"/>
                      <w:lang w:val="en-US" w:eastAsia="zh-CN"/>
                    </w:rPr>
                  </w:pPr>
                  <w:r>
                    <w:rPr>
                      <w:rFonts w:hint="eastAsia"/>
                      <w:color w:val="auto"/>
                      <w:spacing w:val="11"/>
                      <w:position w:val="0"/>
                      <w:sz w:val="21"/>
                      <w:szCs w:val="21"/>
                      <w:lang w:val="en-US" w:eastAsia="zh-CN"/>
                    </w:rPr>
                    <w:t>0.58</w:t>
                  </w:r>
                </w:p>
              </w:tc>
              <w:tc>
                <w:tcPr>
                  <w:tcW w:w="1011" w:type="pct"/>
                  <w:tcBorders>
                    <w:tl2br w:val="nil"/>
                    <w:tr2bl w:val="nil"/>
                  </w:tcBorders>
                  <w:shd w:val="clear" w:color="auto" w:fill="auto"/>
                  <w:vAlign w:val="center"/>
                </w:tcPr>
                <w:p w14:paraId="15723251">
                  <w:pPr>
                    <w:spacing w:line="240" w:lineRule="auto"/>
                    <w:ind w:firstLine="0" w:firstLineChars="0"/>
                    <w:jc w:val="center"/>
                    <w:rPr>
                      <w:rFonts w:hint="eastAsia" w:ascii="Times New Roman" w:hAnsi="Times New Roman" w:eastAsia="宋体" w:cs="Times New Roman"/>
                      <w:color w:val="auto"/>
                      <w:spacing w:val="11"/>
                      <w:kern w:val="2"/>
                      <w:position w:val="0"/>
                      <w:sz w:val="21"/>
                      <w:szCs w:val="21"/>
                      <w:lang w:val="en-US" w:eastAsia="zh-CN" w:bidi="ar-SA"/>
                    </w:rPr>
                  </w:pPr>
                  <w:r>
                    <w:rPr>
                      <w:rFonts w:hint="eastAsia"/>
                      <w:color w:val="auto"/>
                      <w:spacing w:val="11"/>
                      <w:position w:val="0"/>
                      <w:sz w:val="21"/>
                      <w:szCs w:val="21"/>
                      <w:lang w:val="en-US" w:eastAsia="zh-CN"/>
                    </w:rPr>
                    <w:t>0.58</w:t>
                  </w:r>
                </w:p>
              </w:tc>
            </w:tr>
            <w:tr w14:paraId="1140D3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tcBorders>
                    <w:tl2br w:val="nil"/>
                    <w:tr2bl w:val="nil"/>
                  </w:tcBorders>
                  <w:vAlign w:val="center"/>
                </w:tcPr>
                <w:p w14:paraId="35D169D6">
                  <w:pPr>
                    <w:spacing w:line="240" w:lineRule="auto"/>
                    <w:ind w:firstLine="0" w:firstLineChars="0"/>
                    <w:jc w:val="left"/>
                    <w:rPr>
                      <w:rFonts w:hint="default"/>
                      <w:color w:val="auto"/>
                      <w:spacing w:val="11"/>
                      <w:position w:val="0"/>
                      <w:sz w:val="21"/>
                      <w:szCs w:val="21"/>
                      <w:lang w:val="en-US" w:eastAsia="zh-CN"/>
                    </w:rPr>
                  </w:pPr>
                  <w:r>
                    <w:rPr>
                      <w:rFonts w:hint="eastAsia"/>
                      <w:color w:val="auto"/>
                      <w:spacing w:val="11"/>
                      <w:position w:val="0"/>
                      <w:sz w:val="21"/>
                      <w:szCs w:val="21"/>
                      <w:lang w:val="en-US" w:eastAsia="zh-CN"/>
                    </w:rPr>
                    <w:t>注：污染物浓度参照《城镇污水处理厂污染物排放标准》（GB18919-2002）中一级A标准限值（新田县污水处理厂排放标准）。</w:t>
                  </w:r>
                </w:p>
              </w:tc>
            </w:tr>
          </w:tbl>
          <w:p w14:paraId="395312C4">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color w:val="auto"/>
                <w:spacing w:val="11"/>
                <w:sz w:val="24"/>
                <w:highlight w:val="yellow"/>
                <w:u w:val="single" w:color="auto"/>
                <w:lang w:val="en-US" w:eastAsia="zh-CN"/>
              </w:rPr>
            </w:pPr>
          </w:p>
        </w:tc>
      </w:tr>
    </w:tbl>
    <w:p w14:paraId="0EFB779E">
      <w:pPr>
        <w:pStyle w:val="19"/>
        <w:rPr>
          <w:rFonts w:hint="default" w:ascii="Times New Roman" w:hAnsi="Times New Roman" w:cs="Times New Roman" w:eastAsiaTheme="minorEastAsia"/>
          <w:color w:val="auto"/>
          <w:spacing w:val="11"/>
          <w:position w:val="0"/>
          <w:highlight w:val="none"/>
          <w:u w:val="none" w:color="auto"/>
          <w:lang w:val="en-US" w:eastAsia="zh-CN"/>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22070DD9">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Chars="0"/>
        <w:jc w:val="center"/>
        <w:textAlignment w:val="auto"/>
        <w:rPr>
          <w:rFonts w:hint="default" w:ascii="Times New Roman" w:hAnsi="Times New Roman" w:cs="Times New Roman" w:eastAsiaTheme="minorEastAsia"/>
          <w:color w:val="auto"/>
          <w:spacing w:val="11"/>
          <w:position w:val="0"/>
          <w:highlight w:val="none"/>
          <w:u w:val="none" w:color="auto"/>
          <w:lang w:val="en-US" w:eastAsia="zh-CN"/>
        </w:rPr>
      </w:pPr>
      <w:bookmarkStart w:id="9" w:name="_Toc2643"/>
      <w:r>
        <w:rPr>
          <w:rFonts w:hint="default" w:ascii="Times New Roman" w:hAnsi="Times New Roman" w:cs="Times New Roman" w:eastAsiaTheme="minorEastAsia"/>
          <w:b/>
          <w:color w:val="auto"/>
          <w:spacing w:val="11"/>
          <w:position w:val="0"/>
          <w:sz w:val="36"/>
          <w:szCs w:val="36"/>
          <w:highlight w:val="none"/>
          <w:u w:val="none" w:color="auto"/>
          <w:lang w:val="en-US" w:eastAsia="zh-CN"/>
        </w:rPr>
        <w:t>四、主要环境影响和保护措施</w:t>
      </w:r>
      <w:bookmarkEnd w:id="9"/>
    </w:p>
    <w:tbl>
      <w:tblPr>
        <w:tblStyle w:val="25"/>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7"/>
        <w:gridCol w:w="9163"/>
      </w:tblGrid>
      <w:tr w14:paraId="576390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00" w:type="pct"/>
            <w:tcBorders>
              <w:tl2br w:val="nil"/>
              <w:tr2bl w:val="nil"/>
            </w:tcBorders>
            <w:shd w:val="clear" w:color="auto" w:fill="auto"/>
            <w:vAlign w:val="center"/>
          </w:tcPr>
          <w:p w14:paraId="5C867B6C">
            <w:pPr>
              <w:pStyle w:val="21"/>
              <w:spacing w:before="0" w:beforeAutospacing="0" w:after="0" w:afterAutospacing="0"/>
              <w:ind w:firstLine="0" w:firstLineChars="0"/>
              <w:jc w:val="center"/>
              <w:rPr>
                <w:rFonts w:ascii="Times New Roman" w:hAnsi="Times New Roman"/>
                <w:color w:val="auto"/>
                <w:spacing w:val="11"/>
                <w:kern w:val="2"/>
                <w:position w:val="0"/>
                <w:szCs w:val="24"/>
                <w:u w:val="single"/>
              </w:rPr>
            </w:pPr>
            <w:r>
              <w:rPr>
                <w:rFonts w:ascii="Times New Roman" w:hAnsi="Times New Roman"/>
                <w:color w:val="auto"/>
                <w:spacing w:val="11"/>
                <w:kern w:val="2"/>
                <w:position w:val="0"/>
                <w:szCs w:val="24"/>
                <w:u w:val="single"/>
              </w:rPr>
              <w:t>施工</w:t>
            </w:r>
          </w:p>
          <w:p w14:paraId="4D7D5267">
            <w:pPr>
              <w:pStyle w:val="21"/>
              <w:spacing w:before="0" w:beforeAutospacing="0" w:after="0" w:afterAutospacing="0"/>
              <w:ind w:firstLine="0" w:firstLineChars="0"/>
              <w:jc w:val="center"/>
              <w:rPr>
                <w:rFonts w:ascii="Times New Roman" w:hAnsi="Times New Roman"/>
                <w:color w:val="auto"/>
                <w:spacing w:val="11"/>
                <w:kern w:val="2"/>
                <w:position w:val="0"/>
                <w:szCs w:val="24"/>
                <w:u w:val="single"/>
              </w:rPr>
            </w:pPr>
            <w:r>
              <w:rPr>
                <w:rFonts w:ascii="Times New Roman" w:hAnsi="Times New Roman"/>
                <w:color w:val="auto"/>
                <w:spacing w:val="11"/>
                <w:kern w:val="2"/>
                <w:position w:val="0"/>
                <w:szCs w:val="24"/>
                <w:u w:val="single"/>
              </w:rPr>
              <w:t>期环</w:t>
            </w:r>
          </w:p>
          <w:p w14:paraId="6F9F1D94">
            <w:pPr>
              <w:pStyle w:val="21"/>
              <w:spacing w:before="0" w:beforeAutospacing="0" w:after="0" w:afterAutospacing="0"/>
              <w:ind w:firstLine="0" w:firstLineChars="0"/>
              <w:jc w:val="center"/>
              <w:rPr>
                <w:rFonts w:ascii="Times New Roman" w:hAnsi="Times New Roman"/>
                <w:color w:val="auto"/>
                <w:spacing w:val="11"/>
                <w:kern w:val="2"/>
                <w:position w:val="0"/>
                <w:szCs w:val="24"/>
                <w:u w:val="single"/>
              </w:rPr>
            </w:pPr>
            <w:r>
              <w:rPr>
                <w:rFonts w:ascii="Times New Roman" w:hAnsi="Times New Roman"/>
                <w:color w:val="auto"/>
                <w:spacing w:val="11"/>
                <w:kern w:val="2"/>
                <w:position w:val="0"/>
                <w:szCs w:val="24"/>
                <w:u w:val="single"/>
              </w:rPr>
              <w:t>境保</w:t>
            </w:r>
          </w:p>
          <w:p w14:paraId="152226E5">
            <w:pPr>
              <w:pStyle w:val="21"/>
              <w:spacing w:before="0" w:beforeAutospacing="0" w:after="0" w:afterAutospacing="0"/>
              <w:ind w:firstLine="0" w:firstLineChars="0"/>
              <w:jc w:val="center"/>
              <w:rPr>
                <w:rFonts w:ascii="Times New Roman" w:hAnsi="Times New Roman"/>
                <w:color w:val="auto"/>
                <w:spacing w:val="11"/>
                <w:kern w:val="2"/>
                <w:position w:val="0"/>
                <w:szCs w:val="24"/>
                <w:u w:val="single"/>
              </w:rPr>
            </w:pPr>
            <w:r>
              <w:rPr>
                <w:rFonts w:ascii="Times New Roman" w:hAnsi="Times New Roman"/>
                <w:color w:val="auto"/>
                <w:spacing w:val="11"/>
                <w:kern w:val="2"/>
                <w:position w:val="0"/>
                <w:szCs w:val="24"/>
                <w:u w:val="single"/>
              </w:rPr>
              <w:t>护措</w:t>
            </w:r>
          </w:p>
          <w:p w14:paraId="5BAE2B32">
            <w:pPr>
              <w:pStyle w:val="21"/>
              <w:spacing w:before="0" w:beforeAutospacing="0" w:after="0" w:afterAutospacing="0"/>
              <w:ind w:firstLine="0" w:firstLineChars="0"/>
              <w:jc w:val="center"/>
              <w:rPr>
                <w:rFonts w:hint="default" w:ascii="Times New Roman" w:hAnsi="Times New Roman" w:eastAsia="宋体" w:cs="Times New Roman"/>
                <w:bCs/>
                <w:color w:val="auto"/>
                <w:spacing w:val="11"/>
                <w:kern w:val="2"/>
                <w:position w:val="0"/>
                <w:sz w:val="24"/>
                <w:szCs w:val="24"/>
                <w:u w:val="single"/>
                <w:lang w:val="en-US" w:eastAsia="zh-CN" w:bidi="ar-SA"/>
              </w:rPr>
            </w:pPr>
            <w:r>
              <w:rPr>
                <w:rFonts w:ascii="Times New Roman" w:hAnsi="Times New Roman"/>
                <w:color w:val="auto"/>
                <w:spacing w:val="11"/>
                <w:kern w:val="2"/>
                <w:position w:val="0"/>
                <w:szCs w:val="24"/>
                <w:u w:val="single"/>
              </w:rPr>
              <w:t>施</w:t>
            </w:r>
          </w:p>
        </w:tc>
        <w:tc>
          <w:tcPr>
            <w:tcW w:w="4599" w:type="pct"/>
            <w:tcBorders>
              <w:tl2br w:val="nil"/>
              <w:tr2bl w:val="nil"/>
            </w:tcBorders>
            <w:shd w:val="clear" w:color="auto" w:fill="auto"/>
            <w:vAlign w:val="center"/>
          </w:tcPr>
          <w:p w14:paraId="61721F74">
            <w:pPr>
              <w:keepNext w:val="0"/>
              <w:keepLines w:val="0"/>
              <w:pageBreakBefore w:val="0"/>
              <w:widowControl w:val="0"/>
              <w:kinsoku/>
              <w:wordWrap/>
              <w:overflowPunct/>
              <w:topLinePunct w:val="0"/>
              <w:autoSpaceDE/>
              <w:autoSpaceDN/>
              <w:bidi w:val="0"/>
              <w:adjustRightInd w:val="0"/>
              <w:snapToGrid w:val="0"/>
              <w:spacing w:beforeLines="50"/>
              <w:ind w:firstLine="0" w:firstLineChars="0"/>
              <w:textAlignment w:val="auto"/>
              <w:rPr>
                <w:rFonts w:hint="default" w:ascii="Times New Roman" w:hAnsi="Times New Roman" w:eastAsia="宋体" w:cs="Times New Roman"/>
                <w:b/>
                <w:color w:val="auto"/>
                <w:spacing w:val="11"/>
                <w:position w:val="0"/>
                <w:sz w:val="28"/>
                <w:szCs w:val="28"/>
                <w:highlight w:val="yellow"/>
                <w:u w:val="single"/>
                <w:lang w:val="en-US" w:eastAsia="zh-CN"/>
              </w:rPr>
            </w:pPr>
            <w:r>
              <w:rPr>
                <w:rFonts w:hint="eastAsia" w:ascii="Times New Roman" w:hAnsi="Times New Roman" w:eastAsia="宋体" w:cs="Times New Roman"/>
                <w:b/>
                <w:color w:val="auto"/>
                <w:spacing w:val="11"/>
                <w:position w:val="0"/>
                <w:sz w:val="28"/>
                <w:szCs w:val="28"/>
                <w:highlight w:val="none"/>
                <w:u w:val="single"/>
                <w:lang w:val="en-US" w:eastAsia="zh-CN"/>
              </w:rPr>
              <w:t>施工</w:t>
            </w:r>
            <w:r>
              <w:rPr>
                <w:rFonts w:ascii="Times New Roman" w:hAnsi="Times New Roman" w:eastAsia="宋体" w:cs="Times New Roman"/>
                <w:b/>
                <w:color w:val="auto"/>
                <w:spacing w:val="11"/>
                <w:position w:val="0"/>
                <w:sz w:val="28"/>
                <w:szCs w:val="28"/>
                <w:highlight w:val="none"/>
                <w:u w:val="single"/>
              </w:rPr>
              <w:t>期环境影响分析</w:t>
            </w:r>
          </w:p>
          <w:p w14:paraId="5A14420B">
            <w:pPr>
              <w:ind w:firstLine="526" w:firstLineChars="200"/>
              <w:rPr>
                <w:b/>
                <w:bCs/>
                <w:color w:val="auto"/>
                <w:spacing w:val="11"/>
                <w:position w:val="0"/>
                <w:u w:val="single"/>
              </w:rPr>
            </w:pPr>
            <w:r>
              <w:rPr>
                <w:b/>
                <w:bCs/>
                <w:color w:val="auto"/>
                <w:spacing w:val="11"/>
                <w:position w:val="0"/>
                <w:u w:val="single"/>
              </w:rPr>
              <w:t>1、</w:t>
            </w:r>
            <w:r>
              <w:rPr>
                <w:rFonts w:hint="eastAsia"/>
                <w:b/>
                <w:bCs/>
                <w:color w:val="auto"/>
                <w:spacing w:val="11"/>
                <w:position w:val="0"/>
                <w:u w:val="single"/>
              </w:rPr>
              <w:t>施工期水环境影响分析及保护措施</w:t>
            </w:r>
          </w:p>
          <w:p w14:paraId="2395D268">
            <w:pPr>
              <w:ind w:firstLine="480"/>
              <w:rPr>
                <w:color w:val="auto"/>
                <w:spacing w:val="11"/>
                <w:position w:val="0"/>
                <w:u w:val="single"/>
              </w:rPr>
            </w:pPr>
            <w:r>
              <w:rPr>
                <w:color w:val="auto"/>
                <w:spacing w:val="11"/>
                <w:position w:val="0"/>
                <w:u w:val="single"/>
              </w:rPr>
              <w:t xml:space="preserve">本项目施工期间废水主要为生活污水和生产废水。 </w:t>
            </w:r>
          </w:p>
          <w:p w14:paraId="28BFBF21">
            <w:pPr>
              <w:ind w:firstLine="480"/>
              <w:rPr>
                <w:color w:val="auto"/>
                <w:spacing w:val="11"/>
                <w:position w:val="0"/>
                <w:u w:val="single"/>
              </w:rPr>
            </w:pPr>
            <w:r>
              <w:rPr>
                <w:color w:val="auto"/>
                <w:spacing w:val="11"/>
                <w:position w:val="0"/>
                <w:u w:val="single"/>
              </w:rPr>
              <w:t>项目不设施工人员宿舍，施工人员主要来自附近居民，依托</w:t>
            </w:r>
            <w:r>
              <w:rPr>
                <w:rFonts w:hint="eastAsia"/>
                <w:color w:val="auto"/>
                <w:spacing w:val="11"/>
                <w:position w:val="0"/>
                <w:u w:val="single"/>
                <w:lang w:val="en-US" w:eastAsia="zh-CN"/>
              </w:rPr>
              <w:t>现有项目</w:t>
            </w:r>
            <w:r>
              <w:rPr>
                <w:color w:val="auto"/>
                <w:spacing w:val="11"/>
                <w:position w:val="0"/>
                <w:u w:val="single"/>
              </w:rPr>
              <w:t>厕所使用。</w:t>
            </w:r>
          </w:p>
          <w:p w14:paraId="2AE90D0E">
            <w:pPr>
              <w:ind w:firstLine="480"/>
              <w:rPr>
                <w:color w:val="auto"/>
                <w:spacing w:val="11"/>
                <w:position w:val="0"/>
                <w:u w:val="single"/>
              </w:rPr>
            </w:pPr>
            <w:r>
              <w:rPr>
                <w:color w:val="auto"/>
                <w:spacing w:val="11"/>
                <w:position w:val="0"/>
                <w:u w:val="single"/>
              </w:rPr>
              <w:t>施工废水主要为各种施工机械设备运转的冷却水及洗涤用水和施工现场清洗、建材清洗、混凝土养护、设备水压试验等产生的废水，这部分废水含有一定量的油污和泥沙。</w:t>
            </w:r>
          </w:p>
          <w:p w14:paraId="3B19E520">
            <w:pPr>
              <w:ind w:firstLine="480"/>
              <w:rPr>
                <w:color w:val="auto"/>
                <w:spacing w:val="11"/>
                <w:position w:val="0"/>
                <w:u w:val="single"/>
              </w:rPr>
            </w:pPr>
            <w:r>
              <w:rPr>
                <w:color w:val="auto"/>
                <w:spacing w:val="11"/>
                <w:position w:val="0"/>
                <w:u w:val="single"/>
              </w:rPr>
              <w:t xml:space="preserve">施工期废水的产生量与工地管理水平关系极大，如果管理不善，施工现场污水横流，对工地周围的环境会造成一定的影响。 </w:t>
            </w:r>
          </w:p>
          <w:p w14:paraId="2A828B02">
            <w:pPr>
              <w:ind w:firstLine="480"/>
              <w:rPr>
                <w:color w:val="auto"/>
                <w:spacing w:val="11"/>
                <w:position w:val="0"/>
                <w:u w:val="single"/>
              </w:rPr>
            </w:pPr>
            <w:r>
              <w:rPr>
                <w:color w:val="auto"/>
                <w:spacing w:val="11"/>
                <w:position w:val="0"/>
                <w:u w:val="single"/>
              </w:rPr>
              <w:t>针对以上施工期废水的特点，提出以下施工期废水污染防治措施∶</w:t>
            </w:r>
          </w:p>
          <w:p w14:paraId="5FE2C8F7">
            <w:pPr>
              <w:ind w:firstLine="480"/>
              <w:rPr>
                <w:color w:val="auto"/>
                <w:spacing w:val="11"/>
                <w:position w:val="0"/>
                <w:u w:val="single"/>
              </w:rPr>
            </w:pPr>
            <w:r>
              <w:rPr>
                <w:color w:val="auto"/>
                <w:spacing w:val="11"/>
                <w:position w:val="0"/>
                <w:u w:val="single"/>
              </w:rPr>
              <w:t>（</w:t>
            </w:r>
            <w:r>
              <w:rPr>
                <w:rFonts w:hint="eastAsia"/>
                <w:color w:val="auto"/>
                <w:spacing w:val="11"/>
                <w:position w:val="0"/>
                <w:u w:val="single"/>
              </w:rPr>
              <w:t>1</w:t>
            </w:r>
            <w:r>
              <w:rPr>
                <w:color w:val="auto"/>
                <w:spacing w:val="11"/>
                <w:position w:val="0"/>
                <w:u w:val="single"/>
              </w:rPr>
              <w:t>）对施工流动机械的冲洗设固定场所，冲洗水进入临时设置的沉淀池处理后用于场地</w:t>
            </w:r>
            <w:r>
              <w:rPr>
                <w:rFonts w:hint="eastAsia"/>
                <w:color w:val="auto"/>
                <w:spacing w:val="11"/>
                <w:position w:val="0"/>
                <w:u w:val="single"/>
                <w:lang w:val="en-US" w:eastAsia="zh-CN"/>
              </w:rPr>
              <w:t>泼洒</w:t>
            </w:r>
            <w:r>
              <w:rPr>
                <w:color w:val="auto"/>
                <w:spacing w:val="11"/>
                <w:position w:val="0"/>
                <w:u w:val="single"/>
              </w:rPr>
              <w:t>抑尘</w:t>
            </w:r>
            <w:r>
              <w:rPr>
                <w:rFonts w:hint="eastAsia"/>
                <w:color w:val="auto"/>
                <w:spacing w:val="11"/>
                <w:position w:val="0"/>
                <w:u w:val="single"/>
              </w:rPr>
              <w:t>；</w:t>
            </w:r>
          </w:p>
          <w:p w14:paraId="63D9EC59">
            <w:pPr>
              <w:ind w:firstLine="480"/>
              <w:rPr>
                <w:color w:val="auto"/>
                <w:spacing w:val="11"/>
                <w:position w:val="0"/>
                <w:u w:val="single"/>
              </w:rPr>
            </w:pPr>
            <w:r>
              <w:rPr>
                <w:color w:val="auto"/>
                <w:spacing w:val="11"/>
                <w:position w:val="0"/>
                <w:u w:val="single"/>
              </w:rPr>
              <w:t>（</w:t>
            </w:r>
            <w:r>
              <w:rPr>
                <w:rFonts w:hint="eastAsia"/>
                <w:color w:val="auto"/>
                <w:spacing w:val="11"/>
                <w:position w:val="0"/>
                <w:u w:val="single"/>
              </w:rPr>
              <w:t>2</w:t>
            </w:r>
            <w:r>
              <w:rPr>
                <w:color w:val="auto"/>
                <w:spacing w:val="11"/>
                <w:position w:val="0"/>
                <w:u w:val="single"/>
              </w:rPr>
              <w:t>）场地设沉淀池，将场地废水收集沉淀后回用于施工现场的洒水降尘，</w:t>
            </w:r>
            <w:r>
              <w:rPr>
                <w:rFonts w:hint="eastAsia"/>
                <w:color w:val="auto"/>
                <w:spacing w:val="11"/>
                <w:position w:val="0"/>
                <w:u w:val="single"/>
              </w:rPr>
              <w:t>物</w:t>
            </w:r>
            <w:r>
              <w:rPr>
                <w:color w:val="auto"/>
                <w:spacing w:val="11"/>
                <w:position w:val="0"/>
                <w:u w:val="single"/>
              </w:rPr>
              <w:t>料清洗废水经沉淀处理后循环使用，多余部分可用作低标号砂浆搅和用水。在施工完成后，不得闲置土地，应尽快对建设区进行主体工程、水土保持设施和环境绿化工程等建设，使场地土面及时得到绿化覆盖，避免水土流失，美化环境</w:t>
            </w:r>
            <w:r>
              <w:rPr>
                <w:rFonts w:hint="eastAsia"/>
                <w:color w:val="auto"/>
                <w:spacing w:val="11"/>
                <w:position w:val="0"/>
                <w:u w:val="single"/>
              </w:rPr>
              <w:t>；</w:t>
            </w:r>
          </w:p>
          <w:p w14:paraId="6D1C5513">
            <w:pPr>
              <w:ind w:firstLine="480"/>
              <w:rPr>
                <w:rFonts w:hint="eastAsia"/>
                <w:color w:val="auto"/>
                <w:spacing w:val="11"/>
                <w:position w:val="0"/>
                <w:u w:val="single"/>
                <w:lang w:eastAsia="zh-CN"/>
              </w:rPr>
            </w:pPr>
            <w:r>
              <w:rPr>
                <w:color w:val="auto"/>
                <w:spacing w:val="11"/>
                <w:position w:val="0"/>
                <w:u w:val="single"/>
              </w:rPr>
              <w:t>（</w:t>
            </w:r>
            <w:r>
              <w:rPr>
                <w:rFonts w:hint="eastAsia"/>
                <w:color w:val="auto"/>
                <w:spacing w:val="11"/>
                <w:position w:val="0"/>
                <w:u w:val="single"/>
              </w:rPr>
              <w:t>3</w:t>
            </w:r>
            <w:r>
              <w:rPr>
                <w:color w:val="auto"/>
                <w:spacing w:val="11"/>
                <w:position w:val="0"/>
                <w:u w:val="single"/>
              </w:rPr>
              <w:t>）加强施工期工地用水管理</w:t>
            </w:r>
            <w:r>
              <w:rPr>
                <w:rFonts w:hint="eastAsia" w:ascii="宋体" w:hAnsi="宋体" w:eastAsia="宋体" w:cs="宋体"/>
                <w:color w:val="auto"/>
                <w:spacing w:val="11"/>
                <w:position w:val="0"/>
                <w:u w:val="single"/>
              </w:rPr>
              <w:t>，节约用水，尽可能避免施工用水过程中的“跑、冒、滴、漏”，贯彻“一水多用、重复利用、节约用水”的原</w:t>
            </w:r>
            <w:r>
              <w:rPr>
                <w:color w:val="auto"/>
                <w:spacing w:val="11"/>
                <w:position w:val="0"/>
                <w:u w:val="single"/>
              </w:rPr>
              <w:t>则，尽量减少废水的排放量，减轻废水排放对周围环境的影响</w:t>
            </w:r>
            <w:r>
              <w:rPr>
                <w:rFonts w:hint="eastAsia"/>
                <w:color w:val="auto"/>
                <w:spacing w:val="11"/>
                <w:position w:val="0"/>
                <w:u w:val="single"/>
                <w:lang w:eastAsia="zh-CN"/>
              </w:rPr>
              <w:t>；</w:t>
            </w:r>
          </w:p>
          <w:p w14:paraId="6BCD27EE">
            <w:pPr>
              <w:ind w:firstLine="480"/>
              <w:rPr>
                <w:rFonts w:hint="eastAsia"/>
                <w:color w:val="auto"/>
                <w:spacing w:val="11"/>
                <w:position w:val="0"/>
                <w:u w:val="single"/>
                <w:lang w:eastAsia="zh-CN"/>
              </w:rPr>
            </w:pPr>
            <w:r>
              <w:rPr>
                <w:rFonts w:hint="eastAsia"/>
                <w:color w:val="auto"/>
                <w:spacing w:val="11"/>
                <w:position w:val="0"/>
                <w:u w:val="single"/>
                <w:lang w:eastAsia="zh-CN"/>
              </w:rPr>
              <w:t>（</w:t>
            </w:r>
            <w:r>
              <w:rPr>
                <w:rFonts w:hint="eastAsia"/>
                <w:color w:val="auto"/>
                <w:spacing w:val="11"/>
                <w:position w:val="0"/>
                <w:u w:val="single"/>
                <w:lang w:val="en-US" w:eastAsia="zh-CN"/>
              </w:rPr>
              <w:t>4</w:t>
            </w:r>
            <w:r>
              <w:rPr>
                <w:rFonts w:hint="eastAsia"/>
                <w:color w:val="auto"/>
                <w:spacing w:val="11"/>
                <w:position w:val="0"/>
                <w:u w:val="single"/>
                <w:lang w:eastAsia="zh-CN"/>
              </w:rPr>
              <w:t>）施工期间产生的大量泥浆水和雨水中含有浓度很高的悬浮物，施工区设置完善的配套排水系统、泥浆沉淀设施，泥浆废水经沉淀处理后回用，不得直接对外排放；合理选择施工机械、施工方法、施工场界。项目必须使用商品混凝土，且不在现场搅拌，以避免混凝土搅拌过程中产生的水泥浆水，减轻污染；</w:t>
            </w:r>
          </w:p>
          <w:p w14:paraId="1DCAAD4E">
            <w:pPr>
              <w:ind w:firstLine="480"/>
              <w:rPr>
                <w:rFonts w:hint="eastAsia"/>
                <w:color w:val="auto"/>
                <w:spacing w:val="11"/>
                <w:position w:val="0"/>
                <w:u w:val="single"/>
                <w:lang w:eastAsia="zh-CN"/>
              </w:rPr>
            </w:pPr>
            <w:r>
              <w:rPr>
                <w:rFonts w:hint="eastAsia"/>
                <w:color w:val="auto"/>
                <w:spacing w:val="11"/>
                <w:position w:val="0"/>
                <w:u w:val="single"/>
                <w:lang w:eastAsia="zh-CN"/>
              </w:rPr>
              <w:t>（</w:t>
            </w:r>
            <w:r>
              <w:rPr>
                <w:rFonts w:hint="eastAsia"/>
                <w:color w:val="auto"/>
                <w:spacing w:val="11"/>
                <w:position w:val="0"/>
                <w:u w:val="single"/>
                <w:lang w:val="en-US" w:eastAsia="zh-CN"/>
              </w:rPr>
              <w:t>5</w:t>
            </w:r>
            <w:r>
              <w:rPr>
                <w:rFonts w:hint="eastAsia"/>
                <w:color w:val="auto"/>
                <w:spacing w:val="11"/>
                <w:position w:val="0"/>
                <w:u w:val="single"/>
                <w:lang w:eastAsia="zh-CN"/>
              </w:rPr>
              <w:t>）工程施工机械、运输车辆在运行和维修中都可能有油污滴漏，进入表土和水体，从而对局部水环境造成石油类污染。为减少石油类污染，项目施工设备不得在施工现场进行大修，必须拖入专业维修厂进行维修。车辆及机械设备保养的废油属于危险废物，必须集中妥善处置，不得随意排放，以减少石油类对表土和水环境的污染；</w:t>
            </w:r>
          </w:p>
          <w:p w14:paraId="60922070">
            <w:pPr>
              <w:ind w:firstLine="480"/>
              <w:rPr>
                <w:color w:val="auto"/>
                <w:spacing w:val="11"/>
                <w:position w:val="0"/>
                <w:u w:val="single"/>
              </w:rPr>
            </w:pPr>
            <w:r>
              <w:rPr>
                <w:rFonts w:hint="eastAsia"/>
                <w:color w:val="auto"/>
                <w:spacing w:val="11"/>
                <w:position w:val="0"/>
                <w:u w:val="single"/>
                <w:lang w:eastAsia="zh-CN"/>
              </w:rPr>
              <w:t>（</w:t>
            </w:r>
            <w:r>
              <w:rPr>
                <w:rFonts w:hint="eastAsia"/>
                <w:color w:val="auto"/>
                <w:spacing w:val="11"/>
                <w:position w:val="0"/>
                <w:u w:val="single"/>
                <w:lang w:val="en-US" w:eastAsia="zh-CN"/>
              </w:rPr>
              <w:t>6</w:t>
            </w:r>
            <w:r>
              <w:rPr>
                <w:rFonts w:hint="eastAsia"/>
                <w:color w:val="auto"/>
                <w:spacing w:val="11"/>
                <w:position w:val="0"/>
                <w:u w:val="single"/>
                <w:lang w:eastAsia="zh-CN"/>
              </w:rPr>
              <w:t>）施工材料运输车辆应有防雨设备，施工材料堆放场地应防止大风暴雨冲刷造成渗漏进入水体造成污染</w:t>
            </w:r>
            <w:r>
              <w:rPr>
                <w:color w:val="auto"/>
                <w:spacing w:val="11"/>
                <w:position w:val="0"/>
                <w:u w:val="single"/>
              </w:rPr>
              <w:t>。</w:t>
            </w:r>
          </w:p>
          <w:p w14:paraId="648EF7C2">
            <w:pPr>
              <w:ind w:firstLine="480"/>
              <w:rPr>
                <w:color w:val="auto"/>
                <w:spacing w:val="11"/>
                <w:position w:val="0"/>
                <w:u w:val="single"/>
              </w:rPr>
            </w:pPr>
            <w:r>
              <w:rPr>
                <w:color w:val="auto"/>
                <w:spacing w:val="11"/>
                <w:position w:val="0"/>
                <w:u w:val="single"/>
              </w:rPr>
              <w:t>综上所述，施工期环境影响是短期的，且受人为、自然条件影响较大，只要加强现场施工管理，并采取以上防护措施，施工期废水不外排。因此，本项目施工期废水排放对项目所在区域的地下水环境影响很小。施工期间废水的排放随着施工期的结束，亦会随之消失。</w:t>
            </w:r>
          </w:p>
          <w:p w14:paraId="5AB70EAD">
            <w:pPr>
              <w:ind w:firstLine="526" w:firstLineChars="200"/>
              <w:rPr>
                <w:b/>
                <w:bCs/>
                <w:color w:val="auto"/>
                <w:spacing w:val="11"/>
                <w:position w:val="0"/>
                <w:u w:val="single"/>
              </w:rPr>
            </w:pPr>
            <w:r>
              <w:rPr>
                <w:rFonts w:hint="eastAsia"/>
                <w:b/>
                <w:bCs/>
                <w:color w:val="auto"/>
                <w:spacing w:val="11"/>
                <w:position w:val="0"/>
                <w:u w:val="single"/>
              </w:rPr>
              <w:t>2</w:t>
            </w:r>
            <w:r>
              <w:rPr>
                <w:b/>
                <w:bCs/>
                <w:color w:val="auto"/>
                <w:spacing w:val="11"/>
                <w:position w:val="0"/>
                <w:u w:val="single"/>
              </w:rPr>
              <w:t>、</w:t>
            </w:r>
            <w:r>
              <w:rPr>
                <w:rFonts w:hint="eastAsia"/>
                <w:b/>
                <w:bCs/>
                <w:color w:val="auto"/>
                <w:spacing w:val="11"/>
                <w:position w:val="0"/>
                <w:u w:val="single"/>
              </w:rPr>
              <w:t>施工大气环境影响和保护措施</w:t>
            </w:r>
          </w:p>
          <w:p w14:paraId="51353D6B">
            <w:pPr>
              <w:ind w:firstLine="480"/>
              <w:rPr>
                <w:rFonts w:hint="eastAsia"/>
                <w:color w:val="auto"/>
                <w:spacing w:val="11"/>
                <w:position w:val="0"/>
                <w:u w:val="single"/>
              </w:rPr>
            </w:pPr>
            <w:r>
              <w:rPr>
                <w:rFonts w:hint="eastAsia"/>
                <w:color w:val="auto"/>
                <w:spacing w:val="11"/>
                <w:position w:val="0"/>
                <w:u w:val="single"/>
              </w:rPr>
              <w:t>施工期的大气污染源主要为各类扬尘，主要产生于</w:t>
            </w:r>
            <w:r>
              <w:rPr>
                <w:rFonts w:hint="eastAsia"/>
                <w:color w:val="auto"/>
                <w:spacing w:val="11"/>
                <w:position w:val="0"/>
                <w:u w:val="single"/>
                <w:lang w:val="en-US" w:eastAsia="zh-CN"/>
              </w:rPr>
              <w:t>拆</w:t>
            </w:r>
            <w:r>
              <w:rPr>
                <w:rFonts w:hint="eastAsia"/>
                <w:color w:val="auto"/>
                <w:spacing w:val="11"/>
                <w:position w:val="0"/>
                <w:u w:val="single"/>
              </w:rPr>
              <w:t>除原有建筑、土地开挖、房屋建筑、装饰过程、安装工程、运输车辆的行驶、混凝土制备加料、施工材料的运输和装卸。</w:t>
            </w:r>
          </w:p>
          <w:p w14:paraId="70CC2C13">
            <w:pPr>
              <w:ind w:firstLine="480"/>
              <w:rPr>
                <w:rFonts w:hint="eastAsia"/>
                <w:color w:val="auto"/>
                <w:spacing w:val="11"/>
                <w:position w:val="0"/>
                <w:u w:val="single"/>
              </w:rPr>
            </w:pPr>
            <w:r>
              <w:rPr>
                <w:rFonts w:hint="eastAsia"/>
                <w:color w:val="auto"/>
                <w:spacing w:val="11"/>
                <w:position w:val="0"/>
                <w:u w:val="single"/>
              </w:rPr>
              <w:t>项目建设过程中，如果不采取任何环保措施，施工期扬尘对区域环境空气带来一定的影响，影响范围基本在施工场界 200m 之内。各种施工活动中，以车辆运输道路扬尘为主，对施工场界下风向 100m 之内的影响比较明显。所以若不采取措施，该项目施工期扬尘对环境影响较明显。</w:t>
            </w:r>
          </w:p>
          <w:p w14:paraId="7918F74A">
            <w:pPr>
              <w:ind w:firstLine="480"/>
              <w:rPr>
                <w:rFonts w:hint="eastAsia"/>
                <w:color w:val="auto"/>
                <w:spacing w:val="11"/>
                <w:position w:val="0"/>
                <w:u w:val="single"/>
              </w:rPr>
            </w:pPr>
            <w:r>
              <w:rPr>
                <w:rFonts w:hint="eastAsia"/>
                <w:color w:val="auto"/>
                <w:spacing w:val="11"/>
                <w:position w:val="0"/>
                <w:u w:val="single"/>
              </w:rPr>
              <w:t xml:space="preserve">减轻粉尘和扬尘污染程度和影响范围的主要对策有∶ </w:t>
            </w:r>
          </w:p>
          <w:p w14:paraId="713B5B97">
            <w:pPr>
              <w:ind w:firstLine="480"/>
              <w:rPr>
                <w:rFonts w:hint="eastAsia"/>
                <w:color w:val="auto"/>
                <w:spacing w:val="11"/>
                <w:position w:val="0"/>
                <w:u w:val="single"/>
              </w:rPr>
            </w:pPr>
            <w:r>
              <w:rPr>
                <w:rFonts w:hint="eastAsia"/>
                <w:color w:val="auto"/>
                <w:spacing w:val="11"/>
                <w:position w:val="0"/>
                <w:u w:val="single"/>
              </w:rPr>
              <w:t>（1）施工场地定时洒水，每日4-6次，防止扬尘产生；对重点扬尘点（如</w:t>
            </w:r>
          </w:p>
          <w:p w14:paraId="2767DEFB">
            <w:pPr>
              <w:ind w:left="0" w:leftChars="0" w:firstLine="0" w:firstLineChars="0"/>
              <w:rPr>
                <w:rFonts w:hint="eastAsia"/>
                <w:color w:val="auto"/>
                <w:spacing w:val="11"/>
                <w:position w:val="0"/>
                <w:u w:val="single"/>
              </w:rPr>
            </w:pPr>
            <w:r>
              <w:rPr>
                <w:rFonts w:hint="eastAsia"/>
                <w:color w:val="auto"/>
                <w:spacing w:val="11"/>
                <w:position w:val="0"/>
                <w:u w:val="single"/>
              </w:rPr>
              <w:t>挖、填土方、装运土等处）应进行局部降尘；施工场地内运输通道及时清扫、冲洗，以减少汽车行驶扬尘；</w:t>
            </w:r>
          </w:p>
          <w:p w14:paraId="0E3FA57B">
            <w:pPr>
              <w:ind w:firstLine="480"/>
              <w:rPr>
                <w:rFonts w:hint="eastAsia"/>
                <w:color w:val="auto"/>
                <w:spacing w:val="11"/>
                <w:position w:val="0"/>
                <w:u w:val="single"/>
              </w:rPr>
            </w:pPr>
            <w:r>
              <w:rPr>
                <w:rFonts w:hint="eastAsia"/>
                <w:color w:val="auto"/>
                <w:spacing w:val="11"/>
                <w:position w:val="0"/>
                <w:u w:val="single"/>
              </w:rPr>
              <w:t>（2）建筑施工现场扬尘污染防控措施需全面落实到位。全面落实建筑施工工地“8个100%”抑尘措施：施工工地现场围挡和外架防护100%全封闭，围</w:t>
            </w:r>
          </w:p>
          <w:p w14:paraId="22507B0B">
            <w:pPr>
              <w:ind w:left="0" w:leftChars="0" w:firstLine="0" w:firstLineChars="0"/>
              <w:rPr>
                <w:rFonts w:hint="eastAsia"/>
                <w:color w:val="auto"/>
                <w:spacing w:val="11"/>
                <w:position w:val="0"/>
                <w:u w:val="single"/>
              </w:rPr>
            </w:pPr>
            <w:r>
              <w:rPr>
                <w:rFonts w:hint="eastAsia"/>
                <w:color w:val="auto"/>
                <w:spacing w:val="11"/>
                <w:position w:val="0"/>
                <w:u w:val="single"/>
              </w:rPr>
              <w:t>挡保持整洁美观，外架安全网无破损；施工现场出入口及车行道路100%硬化；施工现场出入口100%设置车辆冲洗设施；易起扬尘作业面100%湿法施工；裸露黄土及易起尘物料100%覆盖；渣土实施100%密封运输；建筑垃圾100%规范管理，必须集中堆放、及时清运，严禁高空抛洒和焚烧；非道路移动工程机械尾气排放100%达标，严禁使用劣质油品，严禁冒烟作业”。</w:t>
            </w:r>
          </w:p>
          <w:p w14:paraId="6290DFD5">
            <w:pPr>
              <w:ind w:firstLine="480"/>
              <w:rPr>
                <w:rFonts w:hint="eastAsia"/>
                <w:color w:val="auto"/>
                <w:spacing w:val="11"/>
                <w:position w:val="0"/>
                <w:u w:val="single"/>
              </w:rPr>
            </w:pPr>
            <w:r>
              <w:rPr>
                <w:rFonts w:hint="eastAsia"/>
                <w:color w:val="auto"/>
                <w:spacing w:val="11"/>
                <w:position w:val="0"/>
                <w:u w:val="single"/>
              </w:rPr>
              <w:t>（3）施工单位必须使用污染物排放符合国家标准的运输车辆和施工设备，</w:t>
            </w:r>
          </w:p>
          <w:p w14:paraId="4C5370FF">
            <w:pPr>
              <w:ind w:left="0" w:leftChars="0" w:firstLine="0" w:firstLineChars="0"/>
              <w:rPr>
                <w:rFonts w:hint="eastAsia"/>
                <w:color w:val="auto"/>
                <w:spacing w:val="11"/>
                <w:position w:val="0"/>
                <w:u w:val="single"/>
              </w:rPr>
            </w:pPr>
            <w:r>
              <w:rPr>
                <w:rFonts w:hint="eastAsia"/>
                <w:color w:val="auto"/>
                <w:spacing w:val="11"/>
                <w:position w:val="0"/>
                <w:u w:val="single"/>
              </w:rPr>
              <w:t xml:space="preserve">同时加强机械设备的保养与合理操作，减少其废气的排放量。 </w:t>
            </w:r>
          </w:p>
          <w:p w14:paraId="02F64CB2">
            <w:pPr>
              <w:ind w:firstLine="480"/>
              <w:rPr>
                <w:rFonts w:hint="eastAsia"/>
                <w:color w:val="auto"/>
                <w:spacing w:val="11"/>
                <w:position w:val="0"/>
                <w:u w:val="single"/>
              </w:rPr>
            </w:pPr>
            <w:r>
              <w:rPr>
                <w:rFonts w:hint="eastAsia"/>
                <w:color w:val="auto"/>
                <w:spacing w:val="11"/>
                <w:position w:val="0"/>
                <w:u w:val="single"/>
              </w:rPr>
              <w:t xml:space="preserve">（4）文明施工，严格管理。按渣土管理相关规定，运输应采用密闭式运输车辆，避免沿途撒落。 </w:t>
            </w:r>
          </w:p>
          <w:p w14:paraId="43AA2F67">
            <w:pPr>
              <w:ind w:firstLine="480"/>
              <w:rPr>
                <w:rFonts w:hint="eastAsia"/>
                <w:color w:val="auto"/>
                <w:spacing w:val="11"/>
                <w:position w:val="0"/>
                <w:u w:val="single"/>
              </w:rPr>
            </w:pPr>
            <w:r>
              <w:rPr>
                <w:rFonts w:hint="eastAsia"/>
                <w:color w:val="auto"/>
                <w:spacing w:val="11"/>
                <w:position w:val="0"/>
                <w:u w:val="single"/>
              </w:rPr>
              <w:t xml:space="preserve">（5）谨防运输车辆装载过满，不得超出车厢板高度，并采取遮盖、密闭措施减少沿途抛洒、散落；及时清扫散落在路面上的泥土和建筑材料，定期冲洗轮胎，车辆不得带泥砂出现场。 </w:t>
            </w:r>
          </w:p>
          <w:p w14:paraId="37B7C83B">
            <w:pPr>
              <w:ind w:firstLine="480"/>
              <w:rPr>
                <w:rFonts w:hint="eastAsia"/>
                <w:color w:val="auto"/>
                <w:spacing w:val="11"/>
                <w:position w:val="0"/>
                <w:u w:val="single"/>
              </w:rPr>
            </w:pPr>
            <w:r>
              <w:rPr>
                <w:rFonts w:hint="eastAsia"/>
                <w:color w:val="auto"/>
                <w:spacing w:val="11"/>
                <w:position w:val="0"/>
                <w:u w:val="single"/>
              </w:rPr>
              <w:t>（6）开挖的土方作为绿化场地的抬高土要及时进行利用，以防因长期堆放表面干燥而起尘，对作业面和材料、建筑垃圾等堆放场地定期洒水，使其保持一定的湿度，以减少扬尘量。</w:t>
            </w:r>
          </w:p>
          <w:p w14:paraId="1185B1A5">
            <w:pPr>
              <w:ind w:firstLine="480"/>
              <w:rPr>
                <w:rFonts w:hint="eastAsia"/>
                <w:color w:val="auto"/>
                <w:spacing w:val="11"/>
                <w:position w:val="0"/>
                <w:u w:val="single"/>
                <w:lang w:eastAsia="zh-CN"/>
              </w:rPr>
            </w:pPr>
            <w:r>
              <w:rPr>
                <w:rFonts w:hint="eastAsia"/>
                <w:color w:val="auto"/>
                <w:spacing w:val="11"/>
                <w:position w:val="0"/>
                <w:u w:val="single"/>
                <w:lang w:eastAsia="zh-CN"/>
              </w:rPr>
              <w:t>（</w:t>
            </w:r>
            <w:r>
              <w:rPr>
                <w:rFonts w:hint="eastAsia"/>
                <w:color w:val="auto"/>
                <w:spacing w:val="11"/>
                <w:position w:val="0"/>
                <w:u w:val="single"/>
                <w:lang w:val="en-US" w:eastAsia="zh-CN"/>
              </w:rPr>
              <w:t>7</w:t>
            </w:r>
            <w:r>
              <w:rPr>
                <w:rFonts w:hint="eastAsia"/>
                <w:color w:val="auto"/>
                <w:spacing w:val="11"/>
                <w:position w:val="0"/>
                <w:u w:val="single"/>
                <w:lang w:eastAsia="zh-CN"/>
              </w:rPr>
              <w:t>）施工现场进行围栏，将施工区非施工区隔离，当出现风速过大或不利天气状况时应停止施工作业，并对堆存的砂粉建筑材料进行遮盖。</w:t>
            </w:r>
          </w:p>
          <w:p w14:paraId="679C1FDE">
            <w:pPr>
              <w:ind w:firstLine="480"/>
              <w:rPr>
                <w:rFonts w:hint="eastAsia"/>
                <w:color w:val="auto"/>
                <w:spacing w:val="11"/>
                <w:position w:val="0"/>
                <w:u w:val="single"/>
              </w:rPr>
            </w:pPr>
            <w:r>
              <w:rPr>
                <w:rFonts w:hint="eastAsia"/>
                <w:color w:val="auto"/>
                <w:spacing w:val="11"/>
                <w:position w:val="0"/>
                <w:u w:val="single"/>
                <w:lang w:eastAsia="zh-CN"/>
              </w:rPr>
              <w:t>（</w:t>
            </w:r>
            <w:r>
              <w:rPr>
                <w:rFonts w:hint="eastAsia"/>
                <w:color w:val="auto"/>
                <w:spacing w:val="11"/>
                <w:position w:val="0"/>
                <w:u w:val="single"/>
                <w:lang w:val="en-US" w:eastAsia="zh-CN"/>
              </w:rPr>
              <w:t>8</w:t>
            </w:r>
            <w:r>
              <w:rPr>
                <w:rFonts w:hint="eastAsia"/>
                <w:color w:val="auto"/>
                <w:spacing w:val="11"/>
                <w:position w:val="0"/>
                <w:u w:val="single"/>
                <w:lang w:eastAsia="zh-CN"/>
              </w:rPr>
              <w:t>）</w:t>
            </w:r>
            <w:r>
              <w:rPr>
                <w:rFonts w:hint="eastAsia"/>
                <w:color w:val="auto"/>
                <w:spacing w:val="11"/>
                <w:position w:val="0"/>
                <w:u w:val="single"/>
              </w:rPr>
              <w:t>合理安排工期，尽可能地加快施工速度，减少雨季施工</w:t>
            </w:r>
            <w:r>
              <w:rPr>
                <w:rFonts w:hint="eastAsia"/>
                <w:color w:val="auto"/>
                <w:spacing w:val="11"/>
                <w:position w:val="0"/>
                <w:u w:val="single"/>
                <w:lang w:eastAsia="zh-CN"/>
              </w:rPr>
              <w:t>。施工结束时，应及时对施工占用场地恢复地面植被</w:t>
            </w:r>
            <w:r>
              <w:rPr>
                <w:rFonts w:hint="eastAsia"/>
                <w:color w:val="auto"/>
                <w:spacing w:val="11"/>
                <w:position w:val="0"/>
                <w:u w:val="single"/>
              </w:rPr>
              <w:t>。</w:t>
            </w:r>
          </w:p>
          <w:p w14:paraId="766D4A73">
            <w:pPr>
              <w:ind w:firstLine="480"/>
              <w:rPr>
                <w:color w:val="auto"/>
                <w:spacing w:val="11"/>
                <w:position w:val="0"/>
                <w:u w:val="single"/>
              </w:rPr>
            </w:pPr>
            <w:r>
              <w:rPr>
                <w:rFonts w:hint="eastAsia"/>
                <w:color w:val="auto"/>
                <w:spacing w:val="11"/>
                <w:position w:val="0"/>
                <w:u w:val="single"/>
              </w:rPr>
              <w:t>施工期所采取的污染防治措施均为常规防护措施，技术应用可靠，简单易行，主要通过加强施工人员管理实现，采取上述措施施工现场防尘效果显著，这些措施在经济、技术上都是可行的，</w:t>
            </w:r>
            <w:r>
              <w:rPr>
                <w:color w:val="auto"/>
                <w:spacing w:val="11"/>
                <w:position w:val="0"/>
                <w:u w:val="single"/>
              </w:rPr>
              <w:t>对周围环境空气影响小。</w:t>
            </w:r>
          </w:p>
          <w:p w14:paraId="7AE6B0E5">
            <w:pPr>
              <w:ind w:firstLine="526" w:firstLineChars="200"/>
              <w:rPr>
                <w:b/>
                <w:bCs/>
                <w:color w:val="auto"/>
                <w:spacing w:val="11"/>
                <w:position w:val="0"/>
                <w:u w:val="single"/>
              </w:rPr>
            </w:pPr>
            <w:r>
              <w:rPr>
                <w:rFonts w:hint="eastAsia"/>
                <w:b/>
                <w:bCs/>
                <w:color w:val="auto"/>
                <w:spacing w:val="11"/>
                <w:position w:val="0"/>
                <w:u w:val="single"/>
              </w:rPr>
              <w:t>3</w:t>
            </w:r>
            <w:r>
              <w:rPr>
                <w:b/>
                <w:bCs/>
                <w:color w:val="auto"/>
                <w:spacing w:val="11"/>
                <w:position w:val="0"/>
                <w:u w:val="single"/>
              </w:rPr>
              <w:t>、</w:t>
            </w:r>
            <w:r>
              <w:rPr>
                <w:rFonts w:hint="eastAsia"/>
                <w:b/>
                <w:bCs/>
                <w:color w:val="auto"/>
                <w:spacing w:val="11"/>
                <w:position w:val="0"/>
                <w:u w:val="single"/>
              </w:rPr>
              <w:t>施工期噪声环境影响分析及保护措施</w:t>
            </w:r>
          </w:p>
          <w:p w14:paraId="51AFFE37">
            <w:pPr>
              <w:ind w:firstLine="480"/>
              <w:rPr>
                <w:color w:val="auto"/>
                <w:spacing w:val="11"/>
                <w:position w:val="0"/>
                <w:u w:val="single"/>
              </w:rPr>
            </w:pPr>
            <w:r>
              <w:rPr>
                <w:color w:val="auto"/>
                <w:spacing w:val="11"/>
                <w:position w:val="0"/>
                <w:u w:val="single"/>
              </w:rPr>
              <w:t>建筑施工期的噪声源主要为施工机械和车辆，其特点是间歇或突发性的，并具备流动性、噪声较高等特征。在施工过程中，这些施工机械又往往是同时作业，噪声源辐射量的相互叠加，声级值将更高，辐射范围也更大</w:t>
            </w:r>
            <w:r>
              <w:rPr>
                <w:rFonts w:hint="eastAsia"/>
                <w:color w:val="auto"/>
                <w:spacing w:val="11"/>
                <w:position w:val="0"/>
                <w:u w:val="single"/>
                <w:lang w:eastAsia="zh-CN"/>
              </w:rPr>
              <w:t>，机械设备振动产生的噪声，声压级介于80~95dB(A)之间且随距离的衰减较快，其影响范围较小</w:t>
            </w:r>
            <w:r>
              <w:rPr>
                <w:color w:val="auto"/>
                <w:spacing w:val="11"/>
                <w:position w:val="0"/>
                <w:u w:val="single"/>
              </w:rPr>
              <w:t>。</w:t>
            </w:r>
          </w:p>
          <w:p w14:paraId="7AE61EBB">
            <w:pPr>
              <w:ind w:firstLine="480"/>
              <w:rPr>
                <w:color w:val="auto"/>
                <w:spacing w:val="11"/>
                <w:position w:val="0"/>
                <w:u w:val="single"/>
              </w:rPr>
            </w:pPr>
            <w:r>
              <w:rPr>
                <w:color w:val="auto"/>
                <w:spacing w:val="11"/>
                <w:position w:val="0"/>
                <w:u w:val="single"/>
              </w:rPr>
              <w:t xml:space="preserve">为减少噪声影响，建议项目在施工期间采取以下措施： </w:t>
            </w:r>
          </w:p>
          <w:p w14:paraId="0F5A4689">
            <w:pPr>
              <w:ind w:firstLine="480"/>
              <w:rPr>
                <w:color w:val="auto"/>
                <w:spacing w:val="11"/>
                <w:position w:val="0"/>
                <w:u w:val="single"/>
              </w:rPr>
            </w:pPr>
            <w:r>
              <w:rPr>
                <w:color w:val="auto"/>
                <w:spacing w:val="11"/>
                <w:position w:val="0"/>
                <w:u w:val="single"/>
              </w:rPr>
              <w:t>（1）施工现场必须沿施工区域四周连续设置稳固、整齐、美观的围挡作为临时隔声屏障，围挡高度2.5m。同时合理布局施工场地，避免在同一地点同时使用大量动力机械设备，从而避免局部声级过高。</w:t>
            </w:r>
          </w:p>
          <w:p w14:paraId="3A6AED6B">
            <w:pPr>
              <w:ind w:firstLine="480"/>
              <w:rPr>
                <w:color w:val="auto"/>
                <w:spacing w:val="11"/>
                <w:position w:val="0"/>
                <w:u w:val="single"/>
              </w:rPr>
            </w:pPr>
            <w:r>
              <w:rPr>
                <w:color w:val="auto"/>
                <w:spacing w:val="11"/>
                <w:position w:val="0"/>
                <w:u w:val="single"/>
              </w:rPr>
              <w:t>（2）加强施工管理，合理安排施工时间，严禁在中午12</w:t>
            </w:r>
            <w:r>
              <w:rPr>
                <w:rFonts w:hint="eastAsia"/>
                <w:color w:val="auto"/>
                <w:spacing w:val="11"/>
                <w:position w:val="0"/>
                <w:u w:val="single"/>
              </w:rPr>
              <w:t>：</w:t>
            </w:r>
            <w:r>
              <w:rPr>
                <w:color w:val="auto"/>
                <w:spacing w:val="11"/>
                <w:position w:val="0"/>
                <w:u w:val="single"/>
              </w:rPr>
              <w:t>00-14</w:t>
            </w:r>
            <w:r>
              <w:rPr>
                <w:rFonts w:hint="eastAsia"/>
                <w:color w:val="auto"/>
                <w:spacing w:val="11"/>
                <w:position w:val="0"/>
                <w:u w:val="single"/>
              </w:rPr>
              <w:t>：</w:t>
            </w:r>
            <w:r>
              <w:rPr>
                <w:color w:val="auto"/>
                <w:spacing w:val="11"/>
                <w:position w:val="0"/>
                <w:u w:val="single"/>
              </w:rPr>
              <w:t>00、夜间22</w:t>
            </w:r>
            <w:r>
              <w:rPr>
                <w:rFonts w:hint="eastAsia"/>
                <w:color w:val="auto"/>
                <w:spacing w:val="11"/>
                <w:position w:val="0"/>
                <w:u w:val="single"/>
              </w:rPr>
              <w:t>：</w:t>
            </w:r>
            <w:r>
              <w:rPr>
                <w:color w:val="auto"/>
                <w:spacing w:val="11"/>
                <w:position w:val="0"/>
                <w:u w:val="single"/>
              </w:rPr>
              <w:t>00-6</w:t>
            </w:r>
            <w:r>
              <w:rPr>
                <w:rFonts w:hint="eastAsia"/>
                <w:color w:val="auto"/>
                <w:spacing w:val="11"/>
                <w:position w:val="0"/>
                <w:u w:val="single"/>
              </w:rPr>
              <w:t>：</w:t>
            </w:r>
            <w:r>
              <w:rPr>
                <w:color w:val="auto"/>
                <w:spacing w:val="11"/>
                <w:position w:val="0"/>
                <w:u w:val="single"/>
              </w:rPr>
              <w:t>00期间进行施工。制订施工计划时，应尽可能避免大量高噪声设备同时施工。如有特殊需要必须连续作业的，应报当地环保部门批准，办理施工许可证，并公告附近居民。</w:t>
            </w:r>
          </w:p>
          <w:p w14:paraId="774D8F9D">
            <w:pPr>
              <w:ind w:firstLine="480"/>
              <w:rPr>
                <w:color w:val="auto"/>
                <w:spacing w:val="11"/>
                <w:position w:val="0"/>
                <w:u w:val="single"/>
              </w:rPr>
            </w:pPr>
            <w:r>
              <w:rPr>
                <w:color w:val="auto"/>
                <w:spacing w:val="11"/>
                <w:position w:val="0"/>
                <w:u w:val="single"/>
              </w:rPr>
              <w:t>（3）设备选型上尽量采用低噪声设备，如以液压机械代替燃油机械，振捣器采用高频振捣器等，使用商品混凝土，避免混凝土搅拌机等噪声影响。固定机械设备与挖土、运土机械，如挖掘机、推土机等，可通过排气管消音器和隔离发动机振动部件的方法降低噪声，对动力机械设备和运输车辆进行定期维修和养护。</w:t>
            </w:r>
          </w:p>
          <w:p w14:paraId="47A0C9BA">
            <w:pPr>
              <w:ind w:firstLine="480"/>
              <w:rPr>
                <w:color w:val="auto"/>
                <w:spacing w:val="11"/>
                <w:position w:val="0"/>
                <w:u w:val="single"/>
              </w:rPr>
            </w:pPr>
            <w:r>
              <w:rPr>
                <w:color w:val="auto"/>
                <w:spacing w:val="11"/>
                <w:position w:val="0"/>
                <w:u w:val="single"/>
              </w:rPr>
              <w:t xml:space="preserve">（4）加强运输车辆的管理，运输尽量在白天进行，限制车速并控制车辆鸣笛。项目建设所需水泥、沙石等物料运入、弃土弃渣等施工垃圾的运出均采用汽车运输，施工期间应合理安排运输时间和运输路线，经过敏感区时应减速慢行，禁止略笛，尽量减少交通噪声影响。 </w:t>
            </w:r>
          </w:p>
          <w:p w14:paraId="1AA71800">
            <w:pPr>
              <w:ind w:firstLine="480"/>
              <w:rPr>
                <w:color w:val="auto"/>
                <w:spacing w:val="11"/>
                <w:position w:val="0"/>
                <w:u w:val="single"/>
              </w:rPr>
            </w:pPr>
            <w:r>
              <w:rPr>
                <w:color w:val="auto"/>
                <w:spacing w:val="11"/>
                <w:position w:val="0"/>
                <w:u w:val="single"/>
              </w:rPr>
              <w:t>通过采取有效措施，加强施工过程管理，可使施工期产生的噪声对周围环境影响降小。</w:t>
            </w:r>
          </w:p>
          <w:p w14:paraId="12AB2DAD">
            <w:pPr>
              <w:ind w:firstLine="526" w:firstLineChars="200"/>
              <w:rPr>
                <w:b/>
                <w:bCs/>
                <w:color w:val="auto"/>
                <w:spacing w:val="11"/>
                <w:position w:val="0"/>
                <w:u w:val="single"/>
              </w:rPr>
            </w:pPr>
            <w:r>
              <w:rPr>
                <w:b/>
                <w:bCs/>
                <w:color w:val="auto"/>
                <w:spacing w:val="11"/>
                <w:position w:val="0"/>
                <w:u w:val="single"/>
              </w:rPr>
              <w:t>4、施工期固体废物影响分析及保护措施</w:t>
            </w:r>
          </w:p>
          <w:p w14:paraId="1D47FEE5">
            <w:pPr>
              <w:ind w:firstLine="480"/>
              <w:rPr>
                <w:color w:val="auto"/>
                <w:spacing w:val="11"/>
                <w:position w:val="0"/>
                <w:u w:val="single"/>
              </w:rPr>
            </w:pPr>
            <w:r>
              <w:rPr>
                <w:color w:val="auto"/>
                <w:spacing w:val="11"/>
                <w:position w:val="0"/>
                <w:u w:val="single"/>
              </w:rPr>
              <w:t>固体废物主要来源于施工期的建筑垃圾</w:t>
            </w:r>
            <w:r>
              <w:rPr>
                <w:rFonts w:hint="eastAsia"/>
                <w:color w:val="auto"/>
                <w:spacing w:val="11"/>
                <w:position w:val="0"/>
                <w:u w:val="single"/>
                <w:lang w:eastAsia="zh-CN"/>
              </w:rPr>
              <w:t>、</w:t>
            </w:r>
            <w:r>
              <w:rPr>
                <w:color w:val="auto"/>
                <w:spacing w:val="11"/>
                <w:position w:val="0"/>
                <w:u w:val="single"/>
              </w:rPr>
              <w:t>施工人员产生的生活垃圾</w:t>
            </w:r>
            <w:r>
              <w:rPr>
                <w:rFonts w:hint="eastAsia"/>
                <w:color w:val="auto"/>
                <w:spacing w:val="11"/>
                <w:position w:val="0"/>
                <w:u w:val="single"/>
                <w:lang w:val="en-US" w:eastAsia="zh-CN"/>
              </w:rPr>
              <w:t>以及拆除建筑中的药品</w:t>
            </w:r>
            <w:r>
              <w:rPr>
                <w:color w:val="auto"/>
                <w:spacing w:val="11"/>
                <w:position w:val="0"/>
                <w:u w:val="single"/>
              </w:rPr>
              <w:t xml:space="preserve">。建筑垃圾和生活垃圾若不妥善处置，不仅会影响城市景观、占用宝贵的土地资源，还易产生扬尘等环境污染。 </w:t>
            </w:r>
          </w:p>
          <w:p w14:paraId="4A6A7954">
            <w:pPr>
              <w:ind w:firstLine="480"/>
              <w:rPr>
                <w:color w:val="auto"/>
                <w:spacing w:val="11"/>
                <w:position w:val="0"/>
                <w:u w:val="single"/>
              </w:rPr>
            </w:pPr>
            <w:r>
              <w:rPr>
                <w:color w:val="auto"/>
                <w:spacing w:val="11"/>
                <w:position w:val="0"/>
                <w:u w:val="single"/>
              </w:rPr>
              <w:t>建筑垃圾主要是砂石、石灰、混凝土、废砖、土石方等，为一般固体废物。本项目施工过程中</w:t>
            </w:r>
            <w:r>
              <w:rPr>
                <w:rFonts w:hint="eastAsia"/>
                <w:color w:val="auto"/>
                <w:spacing w:val="11"/>
                <w:position w:val="0"/>
                <w:u w:val="single"/>
              </w:rPr>
              <w:t>建设单位拟对建筑垃圾进行分类，能回收利用外卖给废品回收部门回收利用，不能回收利用的可以作为场地回填土回填处理，不能回填委托</w:t>
            </w:r>
            <w:r>
              <w:rPr>
                <w:rFonts w:hint="eastAsia"/>
                <w:color w:val="auto"/>
                <w:spacing w:val="11"/>
                <w:position w:val="0"/>
                <w:u w:val="single"/>
                <w:lang w:val="en-US" w:eastAsia="zh-CN"/>
              </w:rPr>
              <w:t>施工方进行</w:t>
            </w:r>
            <w:r>
              <w:rPr>
                <w:rFonts w:hint="eastAsia"/>
                <w:color w:val="auto"/>
                <w:spacing w:val="11"/>
                <w:position w:val="0"/>
                <w:u w:val="single"/>
              </w:rPr>
              <w:t>处理，经过处理后对环境影响小。</w:t>
            </w:r>
          </w:p>
          <w:p w14:paraId="6FDA107D">
            <w:pPr>
              <w:ind w:firstLine="480"/>
              <w:rPr>
                <w:rFonts w:hint="default" w:eastAsia="宋体"/>
                <w:color w:val="auto"/>
                <w:spacing w:val="11"/>
                <w:position w:val="0"/>
                <w:u w:val="single"/>
                <w:lang w:val="en-US" w:eastAsia="zh-CN"/>
              </w:rPr>
            </w:pPr>
            <w:r>
              <w:rPr>
                <w:rFonts w:hint="eastAsia"/>
                <w:color w:val="auto"/>
                <w:spacing w:val="11"/>
                <w:position w:val="0"/>
                <w:u w:val="single"/>
                <w:lang w:val="en-US" w:eastAsia="zh-CN"/>
              </w:rPr>
              <w:t>本项目拆除建筑中的失效、变质、不合格、伪劣的药物和药品作为医疗废物交由有资质单位进行处理。</w:t>
            </w:r>
          </w:p>
          <w:p w14:paraId="54328077">
            <w:pPr>
              <w:ind w:firstLine="480"/>
              <w:rPr>
                <w:color w:val="auto"/>
                <w:spacing w:val="11"/>
                <w:position w:val="0"/>
                <w:u w:val="single"/>
              </w:rPr>
            </w:pPr>
            <w:r>
              <w:rPr>
                <w:color w:val="auto"/>
                <w:spacing w:val="11"/>
                <w:position w:val="0"/>
                <w:u w:val="single"/>
              </w:rPr>
              <w:t xml:space="preserve">施工人员均为周边居民，所以施工期间不产生施工人员生活垃圾。 </w:t>
            </w:r>
          </w:p>
          <w:p w14:paraId="351A3EB7">
            <w:pPr>
              <w:ind w:firstLine="480"/>
              <w:rPr>
                <w:color w:val="auto"/>
                <w:spacing w:val="11"/>
                <w:position w:val="0"/>
                <w:u w:val="single"/>
              </w:rPr>
            </w:pPr>
            <w:r>
              <w:rPr>
                <w:color w:val="auto"/>
                <w:spacing w:val="11"/>
                <w:position w:val="0"/>
                <w:u w:val="single"/>
              </w:rPr>
              <w:t>综上所述，本项目固体废物组成成分相对简单，施工产生的固体废物均能得到妥善处置，不会对周围环境产生明显影响。在施工过程中要注意对施工周体废物妥善堆存，暂存点要采取必要的防渗、防水土流失措施。因此在暂存、堆置及相应处理处置方式合理的条件下，本项目施工中产生的固体废物对当地环境影响较小。</w:t>
            </w:r>
          </w:p>
          <w:p w14:paraId="4CD4D881">
            <w:pPr>
              <w:ind w:firstLine="526" w:firstLineChars="200"/>
              <w:rPr>
                <w:b/>
                <w:bCs/>
                <w:color w:val="auto"/>
                <w:spacing w:val="11"/>
                <w:position w:val="0"/>
                <w:u w:val="single"/>
              </w:rPr>
            </w:pPr>
            <w:r>
              <w:rPr>
                <w:b/>
                <w:bCs/>
                <w:color w:val="auto"/>
                <w:spacing w:val="11"/>
                <w:position w:val="0"/>
                <w:u w:val="single"/>
              </w:rPr>
              <w:t>5、施工期生态影响分析及保护措施</w:t>
            </w:r>
          </w:p>
          <w:p w14:paraId="0BD3D734">
            <w:pPr>
              <w:ind w:firstLine="480"/>
              <w:rPr>
                <w:color w:val="auto"/>
                <w:spacing w:val="11"/>
                <w:position w:val="0"/>
                <w:u w:val="single"/>
              </w:rPr>
            </w:pPr>
            <w:r>
              <w:rPr>
                <w:color w:val="auto"/>
                <w:spacing w:val="11"/>
                <w:position w:val="0"/>
                <w:u w:val="single"/>
              </w:rPr>
              <w:t>工程施工过程中开挖土方，可能对陆地现有地表结构造成破坏，改变土壤结构。同时可能导致水土流失，破坏当地的生态环境。</w:t>
            </w:r>
          </w:p>
          <w:p w14:paraId="2549C16F">
            <w:pPr>
              <w:ind w:firstLine="480"/>
              <w:rPr>
                <w:color w:val="auto"/>
                <w:spacing w:val="11"/>
                <w:position w:val="0"/>
                <w:u w:val="single"/>
              </w:rPr>
            </w:pPr>
            <w:r>
              <w:rPr>
                <w:color w:val="auto"/>
                <w:spacing w:val="11"/>
                <w:position w:val="0"/>
                <w:u w:val="single"/>
              </w:rPr>
              <w:t>项目施工期时间比较短，工程建设中的开挖、填筑、取弃土虽然会造成一定的水土流失，但这种影响是暂时的，加上施工期间采取边坡防护等水土流失防治措施，水土流失现象较轻。项目建成后恢复绿化及硬化，可对原生态环境进行补偿，因此项目的建设对区域生态环境影响较小</w:t>
            </w:r>
            <w:r>
              <w:rPr>
                <w:rFonts w:hint="eastAsia"/>
                <w:color w:val="auto"/>
                <w:spacing w:val="11"/>
                <w:position w:val="0"/>
                <w:u w:val="single"/>
              </w:rPr>
              <w:t>。</w:t>
            </w:r>
          </w:p>
          <w:p w14:paraId="307E1B7C">
            <w:pPr>
              <w:ind w:firstLine="526" w:firstLineChars="200"/>
              <w:rPr>
                <w:b/>
                <w:bCs/>
                <w:color w:val="auto"/>
                <w:spacing w:val="11"/>
                <w:position w:val="0"/>
                <w:u w:val="single"/>
              </w:rPr>
            </w:pPr>
            <w:r>
              <w:rPr>
                <w:rFonts w:hint="eastAsia"/>
                <w:b/>
                <w:bCs/>
                <w:color w:val="auto"/>
                <w:spacing w:val="11"/>
                <w:position w:val="0"/>
                <w:u w:val="single"/>
              </w:rPr>
              <w:t>6、</w:t>
            </w:r>
            <w:r>
              <w:rPr>
                <w:b/>
                <w:bCs/>
                <w:color w:val="auto"/>
                <w:spacing w:val="11"/>
                <w:position w:val="0"/>
                <w:u w:val="single"/>
              </w:rPr>
              <w:t>水土流失影响分析及保护措施</w:t>
            </w:r>
          </w:p>
          <w:p w14:paraId="4DB2C8FE">
            <w:pPr>
              <w:ind w:firstLine="480"/>
              <w:rPr>
                <w:color w:val="auto"/>
                <w:spacing w:val="11"/>
                <w:position w:val="0"/>
                <w:u w:val="single"/>
              </w:rPr>
            </w:pPr>
            <w:r>
              <w:rPr>
                <w:rFonts w:hint="eastAsia"/>
                <w:color w:val="auto"/>
                <w:spacing w:val="11"/>
                <w:position w:val="0"/>
                <w:u w:val="single"/>
              </w:rPr>
              <w:t>（1）水土流失量</w:t>
            </w:r>
          </w:p>
          <w:p w14:paraId="21BC6B1D">
            <w:pPr>
              <w:ind w:firstLine="480"/>
              <w:rPr>
                <w:color w:val="auto"/>
                <w:spacing w:val="11"/>
                <w:position w:val="0"/>
                <w:u w:val="single"/>
              </w:rPr>
            </w:pPr>
            <w:r>
              <w:rPr>
                <w:color w:val="auto"/>
                <w:spacing w:val="11"/>
                <w:position w:val="0"/>
                <w:u w:val="single"/>
              </w:rPr>
              <w:t>项目建设过程中，将造成部分土地裸露，导致不同程度的水土流失现象，尤其是在雨季或暴雨天气会变得更为突出。</w:t>
            </w:r>
          </w:p>
          <w:p w14:paraId="6ABD99F0">
            <w:pPr>
              <w:ind w:firstLine="480"/>
              <w:rPr>
                <w:color w:val="auto"/>
                <w:spacing w:val="11"/>
                <w:position w:val="0"/>
                <w:u w:val="single"/>
              </w:rPr>
            </w:pPr>
            <w:r>
              <w:rPr>
                <w:color w:val="auto"/>
                <w:spacing w:val="11"/>
                <w:position w:val="0"/>
                <w:u w:val="single"/>
              </w:rPr>
              <w:t>对施工区的水土流失量采用专家估算法进行预测，经估算确定施</w:t>
            </w:r>
            <w:r>
              <w:rPr>
                <w:color w:val="auto"/>
                <w:spacing w:val="11"/>
                <w:kern w:val="0"/>
                <w:position w:val="0"/>
                <w:u w:val="single"/>
                <w:lang w:val="zh-CN"/>
              </w:rPr>
              <w:t>工期各施工单元土壤侵蚀模数4000~7500t/km</w:t>
            </w:r>
            <w:r>
              <w:rPr>
                <w:color w:val="auto"/>
                <w:spacing w:val="11"/>
                <w:kern w:val="0"/>
                <w:position w:val="0"/>
                <w:u w:val="single"/>
                <w:vertAlign w:val="superscript"/>
                <w:lang w:val="zh-CN"/>
              </w:rPr>
              <w:t>2</w:t>
            </w:r>
            <w:r>
              <w:rPr>
                <w:color w:val="auto"/>
                <w:spacing w:val="11"/>
                <w:kern w:val="0"/>
                <w:position w:val="0"/>
                <w:u w:val="single"/>
                <w:lang w:val="zh-CN"/>
              </w:rPr>
              <w:t>.a，</w:t>
            </w:r>
            <w:r>
              <w:rPr>
                <w:color w:val="auto"/>
                <w:spacing w:val="11"/>
                <w:position w:val="0"/>
                <w:u w:val="single"/>
              </w:rPr>
              <w:t>根据《土壤侵蚀分类分级标准》（SL190-2007），本项目所在区域属于南方红壤丘陵区，该区域容许土壤流失量为500t/（km</w:t>
            </w:r>
            <w:r>
              <w:rPr>
                <w:color w:val="auto"/>
                <w:spacing w:val="11"/>
                <w:position w:val="0"/>
                <w:u w:val="single"/>
                <w:vertAlign w:val="superscript"/>
              </w:rPr>
              <w:t>2</w:t>
            </w:r>
            <w:r>
              <w:rPr>
                <w:color w:val="auto"/>
                <w:spacing w:val="11"/>
                <w:position w:val="0"/>
                <w:u w:val="single"/>
              </w:rPr>
              <w:t>.a）</w:t>
            </w:r>
            <w:r>
              <w:rPr>
                <w:color w:val="auto"/>
                <w:spacing w:val="11"/>
                <w:kern w:val="0"/>
                <w:position w:val="0"/>
                <w:u w:val="single"/>
                <w:lang w:val="zh-CN"/>
              </w:rPr>
              <w:t>。结合本项目的实际情况，确定施工期土壤侵蚀模数的取值为</w:t>
            </w:r>
            <w:r>
              <w:rPr>
                <w:rFonts w:hint="eastAsia"/>
                <w:color w:val="auto"/>
                <w:spacing w:val="11"/>
                <w:kern w:val="0"/>
                <w:position w:val="0"/>
                <w:u w:val="single"/>
                <w:lang w:val="en-US" w:eastAsia="zh-CN"/>
              </w:rPr>
              <w:t>2750</w:t>
            </w:r>
            <w:r>
              <w:rPr>
                <w:color w:val="auto"/>
                <w:spacing w:val="11"/>
                <w:position w:val="0"/>
                <w:u w:val="single"/>
              </w:rPr>
              <w:t>t/km</w:t>
            </w:r>
            <w:r>
              <w:rPr>
                <w:color w:val="auto"/>
                <w:spacing w:val="11"/>
                <w:position w:val="0"/>
                <w:u w:val="single"/>
                <w:vertAlign w:val="superscript"/>
              </w:rPr>
              <w:t>2</w:t>
            </w:r>
            <w:r>
              <w:rPr>
                <w:color w:val="auto"/>
                <w:spacing w:val="11"/>
                <w:position w:val="0"/>
                <w:u w:val="single"/>
              </w:rPr>
              <w:t>·a。</w:t>
            </w:r>
            <w:r>
              <w:rPr>
                <w:rFonts w:hAnsi="宋体"/>
                <w:color w:val="auto"/>
                <w:spacing w:val="11"/>
                <w:position w:val="0"/>
                <w:u w:val="single"/>
              </w:rPr>
              <w:t>工程建设开挖扰动可能产生的水土流失区域为整个施工现场等，造成的水土流失面积共计</w:t>
            </w:r>
            <w:r>
              <w:rPr>
                <w:color w:val="auto"/>
                <w:spacing w:val="11"/>
                <w:position w:val="0"/>
                <w:u w:val="single"/>
              </w:rPr>
              <w:t>0.00</w:t>
            </w:r>
            <w:r>
              <w:rPr>
                <w:rFonts w:hint="eastAsia"/>
                <w:color w:val="auto"/>
                <w:spacing w:val="11"/>
                <w:position w:val="0"/>
                <w:u w:val="single"/>
                <w:lang w:val="en-US" w:eastAsia="zh-CN"/>
              </w:rPr>
              <w:t>63</w:t>
            </w:r>
            <w:r>
              <w:rPr>
                <w:color w:val="auto"/>
                <w:spacing w:val="11"/>
                <w:position w:val="0"/>
                <w:u w:val="single"/>
              </w:rPr>
              <w:t>km</w:t>
            </w:r>
            <w:r>
              <w:rPr>
                <w:color w:val="auto"/>
                <w:spacing w:val="11"/>
                <w:position w:val="0"/>
                <w:u w:val="single"/>
                <w:vertAlign w:val="superscript"/>
              </w:rPr>
              <w:t>2</w:t>
            </w:r>
            <w:r>
              <w:rPr>
                <w:rFonts w:hAnsi="宋体"/>
                <w:color w:val="auto"/>
                <w:spacing w:val="11"/>
                <w:position w:val="0"/>
                <w:u w:val="single"/>
              </w:rPr>
              <w:t>。本环评采用侵蚀模数法对施工期水土流失量进行预测，预测计算公式如下：</w:t>
            </w:r>
          </w:p>
          <w:p w14:paraId="4D23765A">
            <w:pPr>
              <w:ind w:firstLine="480" w:firstLineChars="0"/>
              <w:jc w:val="center"/>
              <w:rPr>
                <w:color w:val="auto"/>
                <w:spacing w:val="11"/>
                <w:position w:val="0"/>
                <w:u w:val="single"/>
                <w:lang w:val="de-DE"/>
              </w:rPr>
            </w:pPr>
            <w:r>
              <w:rPr>
                <w:color w:val="auto"/>
                <w:spacing w:val="11"/>
                <w:position w:val="0"/>
                <w:u w:val="single"/>
                <w:lang w:val="de-DE"/>
              </w:rPr>
              <w:t>W=</w:t>
            </w:r>
            <w:r>
              <w:rPr>
                <w:color w:val="auto"/>
                <w:spacing w:val="11"/>
                <w:position w:val="0"/>
                <w:u w:val="single"/>
              </w:rPr>
              <w:t>Σ</w:t>
            </w:r>
            <w:r>
              <w:rPr>
                <w:rFonts w:hAnsi="宋体"/>
                <w:color w:val="auto"/>
                <w:spacing w:val="11"/>
                <w:position w:val="0"/>
                <w:u w:val="single"/>
                <w:lang w:val="de-DE"/>
              </w:rPr>
              <w:t>（</w:t>
            </w:r>
            <w:r>
              <w:rPr>
                <w:color w:val="auto"/>
                <w:spacing w:val="11"/>
                <w:position w:val="0"/>
                <w:u w:val="single"/>
                <w:lang w:val="de-DE"/>
              </w:rPr>
              <w:t>F</w:t>
            </w:r>
            <w:r>
              <w:rPr>
                <w:color w:val="auto"/>
                <w:spacing w:val="11"/>
                <w:position w:val="0"/>
                <w:u w:val="single"/>
                <w:vertAlign w:val="subscript"/>
                <w:lang w:val="de-DE"/>
              </w:rPr>
              <w:t>i</w:t>
            </w:r>
            <w:r>
              <w:rPr>
                <w:color w:val="auto"/>
                <w:spacing w:val="11"/>
                <w:position w:val="0"/>
                <w:u w:val="single"/>
                <w:lang w:val="de-DE"/>
              </w:rPr>
              <w:t>×M</w:t>
            </w:r>
            <w:r>
              <w:rPr>
                <w:color w:val="auto"/>
                <w:spacing w:val="11"/>
                <w:position w:val="0"/>
                <w:u w:val="single"/>
                <w:vertAlign w:val="subscript"/>
                <w:lang w:val="de-DE"/>
              </w:rPr>
              <w:t>i</w:t>
            </w:r>
            <w:r>
              <w:rPr>
                <w:color w:val="auto"/>
                <w:spacing w:val="11"/>
                <w:position w:val="0"/>
                <w:u w:val="single"/>
                <w:lang w:val="de-DE"/>
              </w:rPr>
              <w:t>×T</w:t>
            </w:r>
            <w:r>
              <w:rPr>
                <w:color w:val="auto"/>
                <w:spacing w:val="11"/>
                <w:position w:val="0"/>
                <w:u w:val="single"/>
                <w:vertAlign w:val="subscript"/>
                <w:lang w:val="de-DE"/>
              </w:rPr>
              <w:t>i</w:t>
            </w:r>
            <w:r>
              <w:rPr>
                <w:rFonts w:hAnsi="宋体"/>
                <w:color w:val="auto"/>
                <w:spacing w:val="11"/>
                <w:position w:val="0"/>
                <w:u w:val="single"/>
                <w:lang w:val="de-DE"/>
              </w:rPr>
              <w:t>）</w:t>
            </w:r>
          </w:p>
          <w:p w14:paraId="79533636">
            <w:pPr>
              <w:ind w:firstLine="0" w:firstLineChars="0"/>
              <w:rPr>
                <w:color w:val="auto"/>
                <w:spacing w:val="11"/>
                <w:position w:val="0"/>
                <w:u w:val="single"/>
                <w:lang w:val="de-DE"/>
              </w:rPr>
            </w:pPr>
            <w:r>
              <w:rPr>
                <w:rFonts w:hAnsi="宋体"/>
                <w:color w:val="auto"/>
                <w:spacing w:val="11"/>
                <w:position w:val="0"/>
                <w:u w:val="single"/>
              </w:rPr>
              <w:t>式中</w:t>
            </w:r>
            <w:r>
              <w:rPr>
                <w:rFonts w:hAnsi="宋体"/>
                <w:color w:val="auto"/>
                <w:spacing w:val="11"/>
                <w:position w:val="0"/>
                <w:u w:val="single"/>
                <w:lang w:val="de-DE"/>
              </w:rPr>
              <w:t>：</w:t>
            </w:r>
            <w:r>
              <w:rPr>
                <w:color w:val="auto"/>
                <w:spacing w:val="11"/>
                <w:position w:val="0"/>
                <w:u w:val="single"/>
                <w:lang w:val="de-DE"/>
              </w:rPr>
              <w:t>W—</w:t>
            </w:r>
            <w:r>
              <w:rPr>
                <w:rFonts w:hAnsi="宋体"/>
                <w:color w:val="auto"/>
                <w:spacing w:val="11"/>
                <w:position w:val="0"/>
                <w:u w:val="single"/>
              </w:rPr>
              <w:t>扰动地表流失量</w:t>
            </w:r>
            <w:r>
              <w:rPr>
                <w:rFonts w:hAnsi="宋体"/>
                <w:color w:val="auto"/>
                <w:spacing w:val="11"/>
                <w:position w:val="0"/>
                <w:u w:val="single"/>
                <w:lang w:val="de-DE"/>
              </w:rPr>
              <w:t>，</w:t>
            </w:r>
            <w:r>
              <w:rPr>
                <w:color w:val="auto"/>
                <w:spacing w:val="11"/>
                <w:position w:val="0"/>
                <w:u w:val="single"/>
                <w:lang w:val="de-DE"/>
              </w:rPr>
              <w:t>t</w:t>
            </w:r>
          </w:p>
          <w:p w14:paraId="7618DC33">
            <w:pPr>
              <w:ind w:firstLine="786" w:firstLineChars="300"/>
              <w:rPr>
                <w:color w:val="auto"/>
                <w:spacing w:val="11"/>
                <w:position w:val="0"/>
                <w:u w:val="single"/>
                <w:lang w:val="de-DE"/>
              </w:rPr>
            </w:pPr>
            <w:r>
              <w:rPr>
                <w:color w:val="auto"/>
                <w:spacing w:val="11"/>
                <w:position w:val="0"/>
                <w:u w:val="single"/>
                <w:lang w:val="de-DE"/>
              </w:rPr>
              <w:t>F</w:t>
            </w:r>
            <w:r>
              <w:rPr>
                <w:color w:val="auto"/>
                <w:spacing w:val="11"/>
                <w:position w:val="0"/>
                <w:u w:val="single"/>
                <w:vertAlign w:val="subscript"/>
                <w:lang w:val="de-DE"/>
              </w:rPr>
              <w:t>i</w:t>
            </w:r>
            <w:r>
              <w:rPr>
                <w:color w:val="auto"/>
                <w:spacing w:val="11"/>
                <w:position w:val="0"/>
                <w:u w:val="single"/>
                <w:lang w:val="de-DE"/>
              </w:rPr>
              <w:t>—</w:t>
            </w:r>
            <w:r>
              <w:rPr>
                <w:rFonts w:hAnsi="宋体"/>
                <w:color w:val="auto"/>
                <w:spacing w:val="11"/>
                <w:position w:val="0"/>
                <w:u w:val="single"/>
              </w:rPr>
              <w:t>扰动地表面积</w:t>
            </w:r>
            <w:r>
              <w:rPr>
                <w:rFonts w:hAnsi="宋体"/>
                <w:color w:val="auto"/>
                <w:spacing w:val="11"/>
                <w:position w:val="0"/>
                <w:u w:val="single"/>
                <w:lang w:val="de-DE"/>
              </w:rPr>
              <w:t>，</w:t>
            </w:r>
            <w:r>
              <w:rPr>
                <w:rFonts w:hint="eastAsia"/>
                <w:color w:val="auto"/>
                <w:spacing w:val="11"/>
                <w:position w:val="0"/>
                <w:u w:val="single"/>
                <w:lang w:val="de-DE"/>
              </w:rPr>
              <w:t>0.00</w:t>
            </w:r>
            <w:r>
              <w:rPr>
                <w:rFonts w:hint="eastAsia"/>
                <w:color w:val="auto"/>
                <w:spacing w:val="11"/>
                <w:position w:val="0"/>
                <w:u w:val="single"/>
                <w:lang w:val="en-US" w:eastAsia="zh-CN"/>
              </w:rPr>
              <w:t>63</w:t>
            </w:r>
            <w:r>
              <w:rPr>
                <w:color w:val="auto"/>
                <w:spacing w:val="11"/>
                <w:position w:val="0"/>
                <w:u w:val="single"/>
                <w:lang w:val="de-DE"/>
              </w:rPr>
              <w:t>km</w:t>
            </w:r>
            <w:r>
              <w:rPr>
                <w:color w:val="auto"/>
                <w:spacing w:val="11"/>
                <w:position w:val="0"/>
                <w:u w:val="single"/>
                <w:vertAlign w:val="superscript"/>
                <w:lang w:val="de-DE"/>
              </w:rPr>
              <w:t>2</w:t>
            </w:r>
          </w:p>
          <w:p w14:paraId="71B4C94D">
            <w:pPr>
              <w:ind w:firstLine="786" w:firstLineChars="300"/>
              <w:rPr>
                <w:color w:val="auto"/>
                <w:spacing w:val="11"/>
                <w:position w:val="0"/>
                <w:u w:val="single"/>
                <w:lang w:val="de-DE"/>
              </w:rPr>
            </w:pPr>
            <w:r>
              <w:rPr>
                <w:color w:val="auto"/>
                <w:spacing w:val="11"/>
                <w:position w:val="0"/>
                <w:u w:val="single"/>
                <w:lang w:val="de-DE"/>
              </w:rPr>
              <w:t>M</w:t>
            </w:r>
            <w:r>
              <w:rPr>
                <w:color w:val="auto"/>
                <w:spacing w:val="11"/>
                <w:position w:val="0"/>
                <w:u w:val="single"/>
                <w:vertAlign w:val="subscript"/>
                <w:lang w:val="de-DE"/>
              </w:rPr>
              <w:t>i</w:t>
            </w:r>
            <w:r>
              <w:rPr>
                <w:color w:val="auto"/>
                <w:spacing w:val="11"/>
                <w:position w:val="0"/>
                <w:u w:val="single"/>
                <w:lang w:val="de-DE"/>
              </w:rPr>
              <w:t>—</w:t>
            </w:r>
            <w:r>
              <w:rPr>
                <w:rFonts w:hAnsi="宋体"/>
                <w:color w:val="auto"/>
                <w:spacing w:val="11"/>
                <w:position w:val="0"/>
                <w:u w:val="single"/>
              </w:rPr>
              <w:t>扰动后土壤侵蚀模数</w:t>
            </w:r>
            <w:r>
              <w:rPr>
                <w:rFonts w:hAnsi="宋体"/>
                <w:color w:val="auto"/>
                <w:spacing w:val="11"/>
                <w:position w:val="0"/>
                <w:u w:val="single"/>
                <w:lang w:val="de-DE"/>
              </w:rPr>
              <w:t>，</w:t>
            </w:r>
            <w:r>
              <w:rPr>
                <w:rFonts w:hint="eastAsia"/>
                <w:color w:val="auto"/>
                <w:spacing w:val="11"/>
                <w:position w:val="0"/>
                <w:u w:val="single"/>
                <w:lang w:val="en-US" w:eastAsia="zh-CN"/>
              </w:rPr>
              <w:t>2750</w:t>
            </w:r>
            <w:r>
              <w:rPr>
                <w:color w:val="auto"/>
                <w:spacing w:val="11"/>
                <w:position w:val="0"/>
                <w:u w:val="single"/>
                <w:lang w:val="de-DE"/>
              </w:rPr>
              <w:t>t/km</w:t>
            </w:r>
            <w:r>
              <w:rPr>
                <w:color w:val="auto"/>
                <w:spacing w:val="11"/>
                <w:position w:val="0"/>
                <w:u w:val="single"/>
                <w:vertAlign w:val="superscript"/>
                <w:lang w:val="de-DE"/>
              </w:rPr>
              <w:t>2</w:t>
            </w:r>
            <w:r>
              <w:rPr>
                <w:color w:val="auto"/>
                <w:spacing w:val="11"/>
                <w:position w:val="0"/>
                <w:u w:val="single"/>
                <w:lang w:val="de-DE"/>
              </w:rPr>
              <w:t>.a</w:t>
            </w:r>
          </w:p>
          <w:p w14:paraId="334C2818">
            <w:pPr>
              <w:ind w:firstLine="786" w:firstLineChars="300"/>
              <w:rPr>
                <w:color w:val="auto"/>
                <w:spacing w:val="11"/>
                <w:position w:val="0"/>
                <w:u w:val="single"/>
                <w:lang w:val="de-DE"/>
              </w:rPr>
            </w:pPr>
            <w:r>
              <w:rPr>
                <w:color w:val="auto"/>
                <w:spacing w:val="11"/>
                <w:position w:val="0"/>
                <w:u w:val="single"/>
                <w:lang w:val="de-DE"/>
              </w:rPr>
              <w:t>Ti—</w:t>
            </w:r>
            <w:r>
              <w:rPr>
                <w:color w:val="auto"/>
                <w:spacing w:val="11"/>
                <w:position w:val="0"/>
                <w:u w:val="single"/>
              </w:rPr>
              <w:t>水土流失预测时段</w:t>
            </w:r>
            <w:r>
              <w:rPr>
                <w:color w:val="auto"/>
                <w:spacing w:val="11"/>
                <w:position w:val="0"/>
                <w:u w:val="single"/>
                <w:lang w:val="de-DE"/>
              </w:rPr>
              <w:t>，</w:t>
            </w:r>
            <w:r>
              <w:rPr>
                <w:rFonts w:hint="eastAsia"/>
                <w:color w:val="auto"/>
                <w:spacing w:val="11"/>
                <w:position w:val="0"/>
                <w:u w:val="single"/>
                <w:lang w:val="en-US" w:eastAsia="zh-CN"/>
              </w:rPr>
              <w:t>2.5</w:t>
            </w:r>
            <w:r>
              <w:rPr>
                <w:color w:val="auto"/>
                <w:spacing w:val="11"/>
                <w:position w:val="0"/>
                <w:u w:val="single"/>
                <w:lang w:val="de-DE"/>
              </w:rPr>
              <w:t>a</w:t>
            </w:r>
          </w:p>
          <w:p w14:paraId="6CC25E31">
            <w:pPr>
              <w:ind w:firstLine="480"/>
              <w:rPr>
                <w:color w:val="auto"/>
                <w:spacing w:val="11"/>
                <w:position w:val="0"/>
                <w:u w:val="single"/>
                <w:lang w:val="de-DE"/>
              </w:rPr>
            </w:pPr>
            <w:r>
              <w:rPr>
                <w:color w:val="auto"/>
                <w:spacing w:val="11"/>
                <w:position w:val="0"/>
                <w:u w:val="single"/>
              </w:rPr>
              <w:t>由此计算出项目区施工期可能造成的新增水土流失量为</w:t>
            </w:r>
            <w:r>
              <w:rPr>
                <w:rFonts w:hint="eastAsia"/>
                <w:color w:val="auto"/>
                <w:spacing w:val="11"/>
                <w:position w:val="0"/>
                <w:u w:val="single"/>
                <w:lang w:val="en-US" w:eastAsia="zh-CN"/>
              </w:rPr>
              <w:t>17.325</w:t>
            </w:r>
            <w:r>
              <w:rPr>
                <w:color w:val="auto"/>
                <w:spacing w:val="11"/>
                <w:position w:val="0"/>
                <w:u w:val="single"/>
                <w:lang w:val="de-DE"/>
              </w:rPr>
              <w:t>t/a</w:t>
            </w:r>
            <w:r>
              <w:rPr>
                <w:color w:val="auto"/>
                <w:spacing w:val="11"/>
                <w:position w:val="0"/>
                <w:u w:val="single"/>
              </w:rPr>
              <w:t>。</w:t>
            </w:r>
          </w:p>
          <w:p w14:paraId="5ABDE7E7">
            <w:pPr>
              <w:ind w:firstLine="480"/>
              <w:rPr>
                <w:color w:val="auto"/>
                <w:spacing w:val="11"/>
                <w:position w:val="0"/>
                <w:u w:val="single"/>
              </w:rPr>
            </w:pPr>
            <w:r>
              <w:rPr>
                <w:rFonts w:hint="eastAsia"/>
                <w:color w:val="auto"/>
                <w:spacing w:val="11"/>
                <w:position w:val="0"/>
                <w:u w:val="single"/>
              </w:rPr>
              <w:t>（2）防治措施</w:t>
            </w:r>
          </w:p>
          <w:p w14:paraId="5E7FAFF3">
            <w:pPr>
              <w:ind w:firstLine="480"/>
              <w:rPr>
                <w:color w:val="auto"/>
                <w:spacing w:val="11"/>
                <w:position w:val="0"/>
                <w:u w:val="single"/>
              </w:rPr>
            </w:pPr>
            <w:r>
              <w:rPr>
                <w:rFonts w:hint="eastAsia" w:ascii="宋体" w:hAnsi="宋体"/>
                <w:color w:val="auto"/>
                <w:spacing w:val="11"/>
                <w:position w:val="0"/>
                <w:u w:val="single"/>
              </w:rPr>
              <w:t>①</w:t>
            </w:r>
            <w:r>
              <w:rPr>
                <w:color w:val="auto"/>
                <w:spacing w:val="11"/>
                <w:position w:val="0"/>
                <w:u w:val="single"/>
              </w:rPr>
              <w:t>合理选择施工期</w:t>
            </w:r>
            <w:r>
              <w:rPr>
                <w:rFonts w:hint="eastAsia"/>
                <w:color w:val="auto"/>
                <w:spacing w:val="11"/>
                <w:position w:val="0"/>
                <w:u w:val="single"/>
              </w:rPr>
              <w:t>以及科学的施工方式。</w:t>
            </w:r>
            <w:r>
              <w:rPr>
                <w:color w:val="auto"/>
                <w:spacing w:val="11"/>
                <w:position w:val="0"/>
                <w:u w:val="single"/>
              </w:rPr>
              <w:t>避免在</w:t>
            </w:r>
            <w:r>
              <w:rPr>
                <w:rFonts w:hint="eastAsia"/>
                <w:color w:val="auto"/>
                <w:spacing w:val="11"/>
                <w:position w:val="0"/>
                <w:u w:val="single"/>
              </w:rPr>
              <w:t>强</w:t>
            </w:r>
            <w:r>
              <w:rPr>
                <w:color w:val="auto"/>
                <w:spacing w:val="11"/>
                <w:position w:val="0"/>
                <w:u w:val="single"/>
              </w:rPr>
              <w:t>暴雨</w:t>
            </w:r>
            <w:r>
              <w:rPr>
                <w:rFonts w:hint="eastAsia"/>
                <w:color w:val="auto"/>
                <w:spacing w:val="11"/>
                <w:position w:val="0"/>
                <w:u w:val="single"/>
              </w:rPr>
              <w:t>季节施工</w:t>
            </w:r>
            <w:r>
              <w:rPr>
                <w:color w:val="auto"/>
                <w:spacing w:val="11"/>
                <w:position w:val="0"/>
                <w:u w:val="single"/>
              </w:rPr>
              <w:t>；雨季施工时，应备有防雨布覆盖开挖面和土堆，防治汛期造成水土流失，平时应尽量保持表面平整，减少雨水冲刷；</w:t>
            </w:r>
          </w:p>
          <w:p w14:paraId="6B8C8A98">
            <w:pPr>
              <w:ind w:firstLine="480"/>
              <w:rPr>
                <w:color w:val="auto"/>
                <w:spacing w:val="11"/>
                <w:position w:val="0"/>
                <w:u w:val="single"/>
              </w:rPr>
            </w:pPr>
            <w:r>
              <w:rPr>
                <w:rFonts w:hint="eastAsia" w:ascii="宋体" w:hAnsi="宋体"/>
                <w:color w:val="auto"/>
                <w:spacing w:val="11"/>
                <w:position w:val="0"/>
                <w:u w:val="single"/>
              </w:rPr>
              <w:t>②</w:t>
            </w:r>
            <w:r>
              <w:rPr>
                <w:color w:val="auto"/>
                <w:spacing w:val="11"/>
                <w:position w:val="0"/>
                <w:u w:val="single"/>
              </w:rPr>
              <w:t>施工中</w:t>
            </w:r>
            <w:r>
              <w:rPr>
                <w:rFonts w:hint="eastAsia"/>
                <w:color w:val="auto"/>
                <w:spacing w:val="11"/>
                <w:position w:val="0"/>
                <w:u w:val="single"/>
              </w:rPr>
              <w:t>应首先选择在厂区四周设置截洪沟、挡土墙的修建，避免暴雨时雨水直接冲涮项目区域</w:t>
            </w:r>
            <w:r>
              <w:rPr>
                <w:color w:val="auto"/>
                <w:spacing w:val="11"/>
                <w:position w:val="0"/>
                <w:u w:val="single"/>
              </w:rPr>
              <w:t>，确保暴雨时不出现大量水土流失。</w:t>
            </w:r>
          </w:p>
          <w:p w14:paraId="66EAB5C3">
            <w:pPr>
              <w:ind w:firstLine="524" w:firstLineChars="200"/>
              <w:rPr>
                <w:rFonts w:hint="eastAsia" w:ascii="Times New Roman" w:hAnsi="Times New Roman" w:eastAsia="宋体" w:cs="Times New Roman"/>
                <w:color w:val="auto"/>
                <w:spacing w:val="11"/>
                <w:kern w:val="2"/>
                <w:position w:val="0"/>
                <w:sz w:val="24"/>
                <w:szCs w:val="21"/>
                <w:u w:val="single"/>
                <w:lang w:val="en-US" w:eastAsia="zh-CN" w:bidi="ar-SA"/>
              </w:rPr>
            </w:pPr>
            <w:r>
              <w:rPr>
                <w:rFonts w:hint="eastAsia" w:ascii="宋体" w:hAnsi="宋体"/>
                <w:color w:val="auto"/>
                <w:spacing w:val="11"/>
                <w:position w:val="0"/>
                <w:u w:val="single"/>
              </w:rPr>
              <w:t>③</w:t>
            </w:r>
            <w:r>
              <w:rPr>
                <w:color w:val="auto"/>
                <w:spacing w:val="11"/>
                <w:position w:val="0"/>
                <w:u w:val="single"/>
              </w:rPr>
              <w:t>设备堆放场、材料堆放场的防径流措施应加强，废土、废渣应及时运出填埋，防止出现废土、渣处置不妥而导致的水土流失</w:t>
            </w:r>
            <w:r>
              <w:rPr>
                <w:rFonts w:hint="eastAsia"/>
                <w:color w:val="auto"/>
                <w:spacing w:val="11"/>
                <w:position w:val="0"/>
                <w:u w:val="single"/>
              </w:rPr>
              <w:t>。</w:t>
            </w:r>
            <w:r>
              <w:rPr>
                <w:rFonts w:hint="eastAsia"/>
                <w:color w:val="auto"/>
                <w:spacing w:val="11"/>
                <w:position w:val="0"/>
                <w:u w:val="single"/>
                <w:lang w:val="en-US" w:eastAsia="zh-CN"/>
              </w:rPr>
              <w:t xml:space="preserve"> </w:t>
            </w:r>
          </w:p>
        </w:tc>
      </w:tr>
      <w:tr w14:paraId="361C9A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9" w:hRule="atLeast"/>
        </w:trPr>
        <w:tc>
          <w:tcPr>
            <w:tcW w:w="400" w:type="pct"/>
            <w:tcBorders>
              <w:tl2br w:val="nil"/>
              <w:tr2bl w:val="nil"/>
            </w:tcBorders>
            <w:vAlign w:val="center"/>
          </w:tcPr>
          <w:p w14:paraId="1F5BBE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运营期环境影响和保护措施</w:t>
            </w:r>
          </w:p>
        </w:tc>
        <w:tc>
          <w:tcPr>
            <w:tcW w:w="4599" w:type="pct"/>
            <w:tcBorders>
              <w:tl2br w:val="nil"/>
              <w:tr2bl w:val="nil"/>
            </w:tcBorders>
            <w:vAlign w:val="center"/>
          </w:tcPr>
          <w:p w14:paraId="0EB5F1EE">
            <w:pPr>
              <w:keepNext w:val="0"/>
              <w:keepLines w:val="0"/>
              <w:pageBreakBefore w:val="0"/>
              <w:widowControl w:val="0"/>
              <w:kinsoku/>
              <w:wordWrap/>
              <w:overflowPunct/>
              <w:topLinePunct w:val="0"/>
              <w:autoSpaceDE/>
              <w:autoSpaceDN/>
              <w:bidi w:val="0"/>
              <w:adjustRightInd w:val="0"/>
              <w:snapToGrid w:val="0"/>
              <w:spacing w:beforeLines="50"/>
              <w:ind w:firstLine="0" w:firstLineChars="0"/>
              <w:textAlignment w:val="auto"/>
              <w:rPr>
                <w:rFonts w:ascii="Times New Roman" w:hAnsi="Times New Roman" w:eastAsia="宋体" w:cs="Times New Roman"/>
                <w:b/>
                <w:color w:val="auto"/>
                <w:spacing w:val="11"/>
                <w:position w:val="0"/>
                <w:sz w:val="28"/>
                <w:szCs w:val="28"/>
                <w:highlight w:val="none"/>
                <w:u w:val="none" w:color="auto"/>
              </w:rPr>
            </w:pPr>
            <w:r>
              <w:rPr>
                <w:rFonts w:ascii="Times New Roman" w:hAnsi="Times New Roman" w:eastAsia="宋体" w:cs="Times New Roman"/>
                <w:b/>
                <w:color w:val="auto"/>
                <w:spacing w:val="11"/>
                <w:position w:val="0"/>
                <w:sz w:val="28"/>
                <w:szCs w:val="28"/>
                <w:highlight w:val="none"/>
                <w:u w:val="none" w:color="auto"/>
              </w:rPr>
              <w:t>营运期环境影响分析</w:t>
            </w:r>
          </w:p>
          <w:p w14:paraId="5A10DE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textAlignment w:val="auto"/>
              <w:rPr>
                <w:rFonts w:hint="eastAsia" w:ascii="Times New Roman" w:hAnsi="Times New Roman" w:cs="Times New Roman"/>
                <w:b/>
                <w:bCs/>
                <w:color w:val="auto"/>
                <w:spacing w:val="11"/>
                <w:position w:val="0"/>
                <w:sz w:val="24"/>
                <w:szCs w:val="24"/>
                <w:highlight w:val="none"/>
                <w:u w:val="none" w:color="auto"/>
                <w:lang w:val="en-US" w:eastAsia="zh-CN"/>
              </w:rPr>
            </w:pPr>
            <w:r>
              <w:rPr>
                <w:rFonts w:hint="eastAsia" w:cs="Times New Roman"/>
                <w:b/>
                <w:bCs/>
                <w:color w:val="auto"/>
                <w:spacing w:val="11"/>
                <w:position w:val="0"/>
                <w:sz w:val="24"/>
                <w:szCs w:val="24"/>
                <w:highlight w:val="none"/>
                <w:u w:val="none" w:color="auto"/>
                <w:lang w:val="en-US" w:eastAsia="zh-CN"/>
              </w:rPr>
              <w:t>1</w:t>
            </w:r>
            <w:r>
              <w:rPr>
                <w:rFonts w:hint="eastAsia" w:ascii="Times New Roman" w:hAnsi="Times New Roman" w:cs="Times New Roman"/>
                <w:b/>
                <w:bCs/>
                <w:color w:val="auto"/>
                <w:spacing w:val="11"/>
                <w:position w:val="0"/>
                <w:sz w:val="24"/>
                <w:szCs w:val="24"/>
                <w:highlight w:val="none"/>
                <w:u w:val="none" w:color="auto"/>
                <w:lang w:val="en-US" w:eastAsia="zh-CN"/>
              </w:rPr>
              <w:t>大气环境影响分析</w:t>
            </w:r>
          </w:p>
          <w:p w14:paraId="7CBB8A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524" w:firstLineChars="200"/>
              <w:textAlignment w:val="auto"/>
              <w:rPr>
                <w:rFonts w:hint="default" w:cs="Times New Roman" w:eastAsiaTheme="minorEastAsia"/>
                <w:color w:val="auto"/>
                <w:spacing w:val="11"/>
                <w:position w:val="0"/>
                <w:sz w:val="24"/>
                <w:highlight w:val="none"/>
                <w:u w:val="none" w:color="auto"/>
                <w:lang w:val="en-US" w:eastAsia="zh-CN"/>
              </w:rPr>
            </w:pPr>
            <w:r>
              <w:rPr>
                <w:rFonts w:hint="eastAsia" w:cs="Times New Roman" w:eastAsiaTheme="minorEastAsia"/>
                <w:color w:val="auto"/>
                <w:spacing w:val="11"/>
                <w:position w:val="0"/>
                <w:sz w:val="24"/>
                <w:highlight w:val="none"/>
                <w:u w:val="none" w:color="auto"/>
                <w:lang w:val="en-US" w:eastAsia="zh-CN"/>
              </w:rPr>
              <w:t>项目大气污染物主要是污水处理设施产生的恶臭气体、中药煎药异味、汽车尾气以及检验科废气。</w:t>
            </w:r>
          </w:p>
          <w:p w14:paraId="307BB70A">
            <w:pPr>
              <w:ind w:left="0" w:leftChars="0" w:firstLine="0" w:firstLineChars="0"/>
              <w:rPr>
                <w:rFonts w:hint="eastAsia" w:ascii="Times New Roman" w:hAnsi="Times New Roman" w:cs="Times New Roman" w:eastAsiaTheme="minorEastAsia"/>
                <w:b/>
                <w:bCs/>
                <w:color w:val="auto"/>
                <w:spacing w:val="11"/>
                <w:position w:val="0"/>
                <w:highlight w:val="none"/>
                <w:u w:val="none" w:color="auto"/>
              </w:rPr>
            </w:pPr>
            <w:r>
              <w:rPr>
                <w:rFonts w:hint="eastAsia" w:ascii="Times New Roman" w:hAnsi="Times New Roman" w:cs="Times New Roman" w:eastAsiaTheme="minorEastAsia"/>
                <w:b/>
                <w:bCs/>
                <w:color w:val="auto"/>
                <w:spacing w:val="11"/>
                <w:position w:val="0"/>
                <w:highlight w:val="none"/>
                <w:u w:val="none" w:color="auto"/>
                <w:lang w:val="en-US" w:eastAsia="zh-CN"/>
              </w:rPr>
              <w:t>1</w:t>
            </w:r>
            <w:r>
              <w:rPr>
                <w:rFonts w:hint="eastAsia" w:ascii="Times New Roman" w:hAnsi="Times New Roman" w:cs="Times New Roman" w:eastAsiaTheme="minorEastAsia"/>
                <w:b/>
                <w:bCs/>
                <w:color w:val="auto"/>
                <w:spacing w:val="11"/>
                <w:position w:val="0"/>
                <w:highlight w:val="none"/>
                <w:u w:val="none" w:color="auto"/>
              </w:rPr>
              <w:t>.1废气产生源强</w:t>
            </w:r>
          </w:p>
          <w:p w14:paraId="638D25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524" w:firstLineChars="200"/>
              <w:textAlignment w:val="auto"/>
              <w:rPr>
                <w:rFonts w:hint="default" w:ascii="Times New Roman" w:hAnsi="Times New Roman" w:cs="Times New Roman" w:eastAsiaTheme="minorEastAsia"/>
                <w:color w:val="auto"/>
                <w:spacing w:val="11"/>
                <w:position w:val="0"/>
                <w:sz w:val="24"/>
                <w:highlight w:val="none"/>
                <w:u w:val="none" w:color="auto"/>
                <w:lang w:val="en-US" w:eastAsia="zh-CN"/>
              </w:rPr>
            </w:pPr>
            <w:r>
              <w:rPr>
                <w:rFonts w:hint="eastAsia" w:ascii="Times New Roman" w:hAnsi="Times New Roman" w:cs="Times New Roman" w:eastAsiaTheme="minorEastAsia"/>
                <w:color w:val="auto"/>
                <w:spacing w:val="11"/>
                <w:position w:val="0"/>
                <w:sz w:val="24"/>
                <w:highlight w:val="none"/>
                <w:u w:val="none" w:color="auto"/>
                <w:lang w:val="en-US" w:eastAsia="zh-CN"/>
              </w:rPr>
              <w:t>（1）污水处理设施恶臭气体</w:t>
            </w:r>
          </w:p>
          <w:p w14:paraId="262F40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524" w:firstLineChars="200"/>
              <w:textAlignment w:val="auto"/>
              <w:rPr>
                <w:rFonts w:hint="default" w:ascii="Times New Roman" w:hAnsi="Times New Roman" w:cs="Times New Roman" w:eastAsiaTheme="minorEastAsia"/>
                <w:color w:val="auto"/>
                <w:spacing w:val="11"/>
                <w:position w:val="0"/>
                <w:sz w:val="24"/>
                <w:highlight w:val="none"/>
                <w:u w:val="none" w:color="auto"/>
                <w:lang w:val="en-US" w:eastAsia="zh-CN"/>
              </w:rPr>
            </w:pPr>
            <w:r>
              <w:rPr>
                <w:rFonts w:hint="eastAsia" w:ascii="Times New Roman" w:hAnsi="Times New Roman" w:cs="Times New Roman" w:eastAsiaTheme="minorEastAsia"/>
                <w:color w:val="auto"/>
                <w:spacing w:val="11"/>
                <w:position w:val="0"/>
                <w:sz w:val="24"/>
                <w:highlight w:val="none"/>
                <w:u w:val="none" w:color="auto"/>
                <w:lang w:val="en-US" w:eastAsia="zh-CN"/>
              </w:rPr>
              <w:t>本项目拟建设一座</w:t>
            </w:r>
            <w:r>
              <w:rPr>
                <w:rFonts w:hint="eastAsia" w:cs="Times New Roman" w:eastAsiaTheme="minorEastAsia"/>
                <w:color w:val="auto"/>
                <w:spacing w:val="11"/>
                <w:position w:val="0"/>
                <w:sz w:val="24"/>
                <w:highlight w:val="none"/>
                <w:u w:val="none" w:color="auto"/>
                <w:lang w:val="en-US" w:eastAsia="zh-CN"/>
              </w:rPr>
              <w:t>预处理池</w:t>
            </w:r>
            <w:r>
              <w:rPr>
                <w:rFonts w:hint="eastAsia" w:ascii="Times New Roman" w:hAnsi="Times New Roman" w:cs="Times New Roman" w:eastAsiaTheme="minorEastAsia"/>
                <w:color w:val="auto"/>
                <w:spacing w:val="11"/>
                <w:position w:val="0"/>
                <w:sz w:val="24"/>
                <w:highlight w:val="none"/>
                <w:u w:val="none" w:color="auto"/>
                <w:lang w:val="en-US" w:eastAsia="zh-CN"/>
              </w:rPr>
              <w:t>处理项目</w:t>
            </w:r>
            <w:r>
              <w:rPr>
                <w:rFonts w:hint="eastAsia" w:cs="Times New Roman" w:eastAsiaTheme="minorEastAsia"/>
                <w:color w:val="auto"/>
                <w:spacing w:val="11"/>
                <w:position w:val="0"/>
                <w:sz w:val="24"/>
                <w:highlight w:val="none"/>
                <w:u w:val="none" w:color="auto"/>
                <w:lang w:val="en-US" w:eastAsia="zh-CN"/>
              </w:rPr>
              <w:t>口腔科、检验科</w:t>
            </w:r>
            <w:r>
              <w:rPr>
                <w:rFonts w:hint="eastAsia" w:ascii="Times New Roman" w:hAnsi="Times New Roman" w:cs="Times New Roman" w:eastAsiaTheme="minorEastAsia"/>
                <w:color w:val="auto"/>
                <w:spacing w:val="11"/>
                <w:position w:val="0"/>
                <w:sz w:val="24"/>
                <w:highlight w:val="none"/>
                <w:u w:val="none" w:color="auto"/>
                <w:lang w:val="en-US" w:eastAsia="zh-CN"/>
              </w:rPr>
              <w:t>产生的废水</w:t>
            </w:r>
            <w:r>
              <w:rPr>
                <w:rFonts w:hint="eastAsia" w:cs="Times New Roman" w:eastAsiaTheme="minorEastAsia"/>
                <w:color w:val="auto"/>
                <w:spacing w:val="11"/>
                <w:position w:val="0"/>
                <w:sz w:val="24"/>
                <w:highlight w:val="none"/>
                <w:u w:val="none" w:color="auto"/>
                <w:lang w:val="en-US" w:eastAsia="zh-CN"/>
              </w:rPr>
              <w:t>，预处理池</w:t>
            </w:r>
            <w:r>
              <w:rPr>
                <w:rFonts w:hint="eastAsia" w:ascii="Times New Roman" w:hAnsi="Times New Roman" w:cs="Times New Roman" w:eastAsiaTheme="minorEastAsia"/>
                <w:color w:val="auto"/>
                <w:spacing w:val="11"/>
                <w:position w:val="0"/>
                <w:sz w:val="24"/>
                <w:highlight w:val="none"/>
                <w:u w:val="none" w:color="auto"/>
                <w:lang w:val="en-US" w:eastAsia="zh-CN"/>
              </w:rPr>
              <w:t>工作机房建于地埋式预处理池上方，预处理池采用一级消毒（活性氧消毒剂消毒）工艺，所有构筑物均处于地下，将水处理加盖板密闭起来，运行过程中定期清理污泥等。废水在处理过程中会产生恶臭，恶臭是多组分低浓度的混合气体，其成分可达到几十到几百种，主要为H</w:t>
            </w:r>
            <w:r>
              <w:rPr>
                <w:rFonts w:hint="eastAsia" w:ascii="Times New Roman" w:hAnsi="Times New Roman" w:cs="Times New Roman" w:eastAsiaTheme="minorEastAsia"/>
                <w:color w:val="auto"/>
                <w:spacing w:val="11"/>
                <w:position w:val="0"/>
                <w:sz w:val="24"/>
                <w:highlight w:val="none"/>
                <w:u w:val="none" w:color="auto"/>
                <w:vertAlign w:val="subscript"/>
                <w:lang w:val="en-US" w:eastAsia="zh-CN"/>
              </w:rPr>
              <w:t>2</w:t>
            </w:r>
            <w:r>
              <w:rPr>
                <w:rFonts w:hint="eastAsia" w:ascii="Times New Roman" w:hAnsi="Times New Roman" w:cs="Times New Roman" w:eastAsiaTheme="minorEastAsia"/>
                <w:color w:val="auto"/>
                <w:spacing w:val="11"/>
                <w:position w:val="0"/>
                <w:sz w:val="24"/>
                <w:highlight w:val="none"/>
                <w:u w:val="none" w:color="auto"/>
                <w:lang w:val="en-US" w:eastAsia="zh-CN"/>
              </w:rPr>
              <w:t>S和NH</w:t>
            </w:r>
            <w:r>
              <w:rPr>
                <w:rFonts w:hint="eastAsia" w:ascii="Times New Roman" w:hAnsi="Times New Roman" w:cs="Times New Roman" w:eastAsiaTheme="minorEastAsia"/>
                <w:color w:val="auto"/>
                <w:spacing w:val="11"/>
                <w:position w:val="0"/>
                <w:sz w:val="24"/>
                <w:highlight w:val="none"/>
                <w:u w:val="none" w:color="auto"/>
                <w:vertAlign w:val="subscript"/>
                <w:lang w:val="en-US" w:eastAsia="zh-CN"/>
              </w:rPr>
              <w:t>3</w:t>
            </w:r>
            <w:r>
              <w:rPr>
                <w:rFonts w:hint="eastAsia" w:ascii="Times New Roman" w:hAnsi="Times New Roman" w:cs="Times New Roman" w:eastAsiaTheme="minorEastAsia"/>
                <w:color w:val="auto"/>
                <w:spacing w:val="11"/>
                <w:position w:val="0"/>
                <w:sz w:val="24"/>
                <w:highlight w:val="none"/>
                <w:u w:val="none" w:color="auto"/>
                <w:lang w:val="en-US" w:eastAsia="zh-CN"/>
              </w:rPr>
              <w:t>等，根据美国EPA对城市污水处理厂恶臭污染物产生情况的研究，每处理1g的BOD</w:t>
            </w:r>
            <w:r>
              <w:rPr>
                <w:rFonts w:hint="eastAsia" w:ascii="Times New Roman" w:hAnsi="Times New Roman" w:cs="Times New Roman" w:eastAsiaTheme="minorEastAsia"/>
                <w:color w:val="auto"/>
                <w:spacing w:val="11"/>
                <w:position w:val="0"/>
                <w:sz w:val="24"/>
                <w:highlight w:val="none"/>
                <w:u w:val="none" w:color="auto"/>
                <w:vertAlign w:val="subscript"/>
                <w:lang w:val="en-US" w:eastAsia="zh-CN"/>
              </w:rPr>
              <w:t>5</w:t>
            </w:r>
            <w:r>
              <w:rPr>
                <w:rFonts w:hint="eastAsia" w:ascii="Times New Roman" w:hAnsi="Times New Roman" w:cs="Times New Roman" w:eastAsiaTheme="minorEastAsia"/>
                <w:color w:val="auto"/>
                <w:spacing w:val="11"/>
                <w:position w:val="0"/>
                <w:sz w:val="24"/>
                <w:highlight w:val="none"/>
                <w:u w:val="none" w:color="auto"/>
                <w:lang w:val="en-US" w:eastAsia="zh-CN"/>
              </w:rPr>
              <w:t>，可产生0.0031g的NH</w:t>
            </w:r>
            <w:r>
              <w:rPr>
                <w:rFonts w:hint="eastAsia" w:ascii="Times New Roman" w:hAnsi="Times New Roman" w:cs="Times New Roman" w:eastAsiaTheme="minorEastAsia"/>
                <w:color w:val="auto"/>
                <w:spacing w:val="11"/>
                <w:position w:val="0"/>
                <w:sz w:val="24"/>
                <w:highlight w:val="none"/>
                <w:u w:val="none" w:color="auto"/>
                <w:vertAlign w:val="subscript"/>
                <w:lang w:val="en-US" w:eastAsia="zh-CN"/>
              </w:rPr>
              <w:t>3</w:t>
            </w:r>
            <w:r>
              <w:rPr>
                <w:rFonts w:hint="eastAsia" w:ascii="Times New Roman" w:hAnsi="Times New Roman" w:cs="Times New Roman" w:eastAsiaTheme="minorEastAsia"/>
                <w:color w:val="auto"/>
                <w:spacing w:val="11"/>
                <w:position w:val="0"/>
                <w:sz w:val="24"/>
                <w:highlight w:val="none"/>
                <w:u w:val="none" w:color="auto"/>
                <w:lang w:val="en-US" w:eastAsia="zh-CN"/>
              </w:rPr>
              <w:t>和0.00012g的H</w:t>
            </w:r>
            <w:r>
              <w:rPr>
                <w:rFonts w:hint="eastAsia" w:ascii="Times New Roman" w:hAnsi="Times New Roman" w:cs="Times New Roman" w:eastAsiaTheme="minorEastAsia"/>
                <w:color w:val="auto"/>
                <w:spacing w:val="11"/>
                <w:position w:val="0"/>
                <w:sz w:val="24"/>
                <w:highlight w:val="none"/>
                <w:u w:val="none" w:color="auto"/>
                <w:vertAlign w:val="subscript"/>
                <w:lang w:val="en-US" w:eastAsia="zh-CN"/>
              </w:rPr>
              <w:t>2</w:t>
            </w:r>
            <w:r>
              <w:rPr>
                <w:rFonts w:hint="eastAsia" w:ascii="Times New Roman" w:hAnsi="Times New Roman" w:cs="Times New Roman" w:eastAsiaTheme="minorEastAsia"/>
                <w:color w:val="auto"/>
                <w:spacing w:val="11"/>
                <w:position w:val="0"/>
                <w:sz w:val="24"/>
                <w:highlight w:val="none"/>
                <w:u w:val="none" w:color="auto"/>
                <w:lang w:val="en-US" w:eastAsia="zh-CN"/>
              </w:rPr>
              <w:t>S</w:t>
            </w:r>
            <w:r>
              <w:rPr>
                <w:rFonts w:hint="eastAsia" w:cs="Times New Roman" w:eastAsiaTheme="minorEastAsia"/>
                <w:color w:val="auto"/>
                <w:spacing w:val="11"/>
                <w:position w:val="0"/>
                <w:sz w:val="24"/>
                <w:highlight w:val="none"/>
                <w:u w:val="none" w:color="auto"/>
                <w:lang w:val="en-US" w:eastAsia="zh-CN"/>
              </w:rPr>
              <w:t>，本项目</w:t>
            </w:r>
            <w:r>
              <w:rPr>
                <w:rFonts w:hint="eastAsia" w:ascii="Times New Roman" w:hAnsi="Times New Roman" w:cs="Times New Roman" w:eastAsiaTheme="minorEastAsia"/>
                <w:color w:val="auto"/>
                <w:spacing w:val="11"/>
                <w:position w:val="0"/>
                <w:sz w:val="24"/>
                <w:highlight w:val="none"/>
                <w:u w:val="none" w:color="auto"/>
                <w:lang w:val="en-US" w:eastAsia="zh-CN"/>
              </w:rPr>
              <w:t>BOD</w:t>
            </w:r>
            <w:r>
              <w:rPr>
                <w:rFonts w:hint="eastAsia" w:ascii="Times New Roman" w:hAnsi="Times New Roman" w:cs="Times New Roman" w:eastAsiaTheme="minorEastAsia"/>
                <w:color w:val="auto"/>
                <w:spacing w:val="11"/>
                <w:position w:val="0"/>
                <w:sz w:val="24"/>
                <w:highlight w:val="none"/>
                <w:u w:val="none" w:color="auto"/>
                <w:vertAlign w:val="subscript"/>
                <w:lang w:val="en-US" w:eastAsia="zh-CN"/>
              </w:rPr>
              <w:t>5</w:t>
            </w:r>
            <w:r>
              <w:rPr>
                <w:rFonts w:hint="eastAsia" w:cs="Times New Roman" w:eastAsiaTheme="minorEastAsia"/>
                <w:color w:val="auto"/>
                <w:spacing w:val="11"/>
                <w:position w:val="0"/>
                <w:sz w:val="24"/>
                <w:highlight w:val="none"/>
                <w:u w:val="none" w:color="auto"/>
                <w:lang w:val="en-US" w:eastAsia="zh-CN"/>
              </w:rPr>
              <w:t>处理量为16.44t/a。</w:t>
            </w:r>
          </w:p>
          <w:p w14:paraId="2945E91C">
            <w:pPr>
              <w:widowControl/>
              <w:ind w:firstLine="480"/>
              <w:rPr>
                <w:rFonts w:hint="eastAsia" w:eastAsia="宋体"/>
                <w:color w:val="auto"/>
                <w:spacing w:val="11"/>
                <w:szCs w:val="24"/>
                <w:highlight w:val="none"/>
              </w:rPr>
            </w:pPr>
            <w:r>
              <w:rPr>
                <w:rFonts w:hint="eastAsia" w:eastAsia="宋体"/>
                <w:color w:val="auto"/>
                <w:spacing w:val="11"/>
                <w:szCs w:val="24"/>
                <w:highlight w:val="none"/>
                <w:lang w:val="en-US" w:eastAsia="zh-CN"/>
              </w:rPr>
              <w:t>本项目污水处理设施废气产排污情况详见表4-6。</w:t>
            </w:r>
          </w:p>
          <w:p w14:paraId="7ABCEFC4">
            <w:pPr>
              <w:adjustRightInd/>
              <w:snapToGrid/>
              <w:spacing w:line="240" w:lineRule="auto"/>
              <w:ind w:firstLine="0" w:firstLineChars="0"/>
              <w:jc w:val="center"/>
              <w:rPr>
                <w:rFonts w:ascii="Times New Roman" w:hAnsi="Times New Roman" w:eastAsia="宋体" w:cs="Times New Roman"/>
                <w:b/>
                <w:bCs/>
                <w:color w:val="auto"/>
                <w:spacing w:val="11"/>
                <w:sz w:val="21"/>
                <w:szCs w:val="21"/>
                <w:highlight w:val="none"/>
              </w:rPr>
            </w:pPr>
            <w:r>
              <w:rPr>
                <w:rFonts w:ascii="Times New Roman" w:hAnsi="Times New Roman" w:eastAsia="宋体" w:cs="Times New Roman"/>
                <w:b/>
                <w:bCs/>
                <w:color w:val="auto"/>
                <w:spacing w:val="11"/>
                <w:sz w:val="21"/>
                <w:szCs w:val="21"/>
                <w:highlight w:val="none"/>
              </w:rPr>
              <w:t>表4-</w:t>
            </w:r>
            <w:r>
              <w:rPr>
                <w:rFonts w:hint="eastAsia" w:eastAsia="宋体" w:cs="Times New Roman"/>
                <w:b/>
                <w:bCs/>
                <w:color w:val="auto"/>
                <w:spacing w:val="11"/>
                <w:sz w:val="21"/>
                <w:szCs w:val="21"/>
                <w:highlight w:val="none"/>
                <w:lang w:val="en-US" w:eastAsia="zh-CN"/>
              </w:rPr>
              <w:t>6</w:t>
            </w:r>
            <w:r>
              <w:rPr>
                <w:rFonts w:ascii="Times New Roman" w:hAnsi="Times New Roman" w:eastAsia="宋体" w:cs="Times New Roman"/>
                <w:b/>
                <w:bCs/>
                <w:color w:val="auto"/>
                <w:spacing w:val="11"/>
                <w:sz w:val="21"/>
                <w:szCs w:val="21"/>
                <w:highlight w:val="none"/>
              </w:rPr>
              <w:t xml:space="preserve">  </w:t>
            </w:r>
            <w:r>
              <w:rPr>
                <w:rFonts w:hint="eastAsia" w:ascii="Times New Roman" w:hAnsi="Times New Roman" w:eastAsia="宋体" w:cs="Times New Roman"/>
                <w:b/>
                <w:bCs/>
                <w:color w:val="auto"/>
                <w:spacing w:val="11"/>
                <w:sz w:val="21"/>
                <w:szCs w:val="21"/>
                <w:highlight w:val="none"/>
                <w:lang w:val="en-US" w:eastAsia="zh-CN"/>
              </w:rPr>
              <w:t>项目污水处理设施废气污染源产排污情况一览表</w:t>
            </w:r>
          </w:p>
          <w:tbl>
            <w:tblPr>
              <w:tblStyle w:val="24"/>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814"/>
              <w:gridCol w:w="820"/>
              <w:gridCol w:w="1079"/>
              <w:gridCol w:w="1296"/>
              <w:gridCol w:w="2059"/>
              <w:gridCol w:w="1418"/>
              <w:gridCol w:w="1458"/>
            </w:tblGrid>
            <w:tr w14:paraId="0F3315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455" w:type="pct"/>
                  <w:vMerge w:val="restart"/>
                  <w:tcBorders>
                    <w:tl2br w:val="nil"/>
                    <w:tr2bl w:val="nil"/>
                  </w:tcBorders>
                  <w:vAlign w:val="center"/>
                </w:tcPr>
                <w:p w14:paraId="6579335A">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r>
                    <w:rPr>
                      <w:rFonts w:hint="eastAsia" w:ascii="Times New Roman" w:hAnsi="Times New Roman" w:eastAsia="宋体" w:cs="Times New Roman"/>
                      <w:color w:val="auto"/>
                      <w:spacing w:val="11"/>
                      <w:kern w:val="0"/>
                      <w:sz w:val="21"/>
                      <w:szCs w:val="21"/>
                      <w:highlight w:val="none"/>
                      <w:lang w:val="en-US" w:eastAsia="zh-CN"/>
                    </w:rPr>
                    <w:t>产污环节</w:t>
                  </w:r>
                </w:p>
              </w:tc>
              <w:tc>
                <w:tcPr>
                  <w:tcW w:w="458" w:type="pct"/>
                  <w:vMerge w:val="restart"/>
                  <w:tcBorders>
                    <w:tl2br w:val="nil"/>
                    <w:tr2bl w:val="nil"/>
                  </w:tcBorders>
                  <w:vAlign w:val="center"/>
                </w:tcPr>
                <w:p w14:paraId="745A9AB4">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r>
                    <w:rPr>
                      <w:rFonts w:ascii="Times New Roman" w:hAnsi="Times New Roman" w:eastAsia="宋体" w:cs="Times New Roman"/>
                      <w:color w:val="auto"/>
                      <w:spacing w:val="11"/>
                      <w:kern w:val="0"/>
                      <w:sz w:val="21"/>
                      <w:szCs w:val="21"/>
                      <w:highlight w:val="none"/>
                    </w:rPr>
                    <w:t>污染物指标</w:t>
                  </w:r>
                </w:p>
              </w:tc>
              <w:tc>
                <w:tcPr>
                  <w:tcW w:w="1327" w:type="pct"/>
                  <w:gridSpan w:val="2"/>
                  <w:tcBorders>
                    <w:tl2br w:val="nil"/>
                    <w:tr2bl w:val="nil"/>
                  </w:tcBorders>
                  <w:vAlign w:val="center"/>
                </w:tcPr>
                <w:p w14:paraId="04D2E1E9">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ascii="Times New Roman" w:hAnsi="Times New Roman" w:eastAsia="宋体" w:cs="Times New Roman"/>
                      <w:color w:val="auto"/>
                      <w:spacing w:val="11"/>
                      <w:kern w:val="0"/>
                      <w:sz w:val="21"/>
                      <w:szCs w:val="21"/>
                      <w:highlight w:val="none"/>
                    </w:rPr>
                    <w:t>产生情况</w:t>
                  </w:r>
                </w:p>
              </w:tc>
              <w:tc>
                <w:tcPr>
                  <w:tcW w:w="1151" w:type="pct"/>
                  <w:vMerge w:val="restart"/>
                  <w:tcBorders>
                    <w:tl2br w:val="nil"/>
                    <w:tr2bl w:val="nil"/>
                  </w:tcBorders>
                  <w:vAlign w:val="center"/>
                </w:tcPr>
                <w:p w14:paraId="7CCFC85A">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r>
                    <w:rPr>
                      <w:rFonts w:ascii="Times New Roman" w:hAnsi="Times New Roman" w:eastAsia="宋体" w:cs="Times New Roman"/>
                      <w:color w:val="auto"/>
                      <w:spacing w:val="11"/>
                      <w:kern w:val="0"/>
                      <w:sz w:val="21"/>
                      <w:szCs w:val="21"/>
                      <w:highlight w:val="none"/>
                    </w:rPr>
                    <w:t>治理措施</w:t>
                  </w:r>
                </w:p>
              </w:tc>
              <w:tc>
                <w:tcPr>
                  <w:tcW w:w="1607" w:type="pct"/>
                  <w:gridSpan w:val="2"/>
                  <w:tcBorders>
                    <w:tl2br w:val="nil"/>
                    <w:tr2bl w:val="nil"/>
                  </w:tcBorders>
                  <w:vAlign w:val="center"/>
                </w:tcPr>
                <w:p w14:paraId="7F2BC050">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ascii="Times New Roman" w:hAnsi="Times New Roman" w:eastAsia="宋体" w:cs="Times New Roman"/>
                      <w:color w:val="auto"/>
                      <w:spacing w:val="11"/>
                      <w:kern w:val="0"/>
                      <w:sz w:val="21"/>
                      <w:szCs w:val="21"/>
                      <w:highlight w:val="none"/>
                    </w:rPr>
                    <w:t>排放情况</w:t>
                  </w:r>
                </w:p>
              </w:tc>
            </w:tr>
            <w:tr w14:paraId="7CC6F5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455" w:type="pct"/>
                  <w:vMerge w:val="continue"/>
                  <w:tcBorders>
                    <w:tl2br w:val="nil"/>
                    <w:tr2bl w:val="nil"/>
                  </w:tcBorders>
                  <w:vAlign w:val="center"/>
                </w:tcPr>
                <w:p w14:paraId="20BD6DAD">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p>
              </w:tc>
              <w:tc>
                <w:tcPr>
                  <w:tcW w:w="458" w:type="pct"/>
                  <w:vMerge w:val="continue"/>
                  <w:tcBorders>
                    <w:tl2br w:val="nil"/>
                    <w:tr2bl w:val="nil"/>
                  </w:tcBorders>
                  <w:vAlign w:val="center"/>
                </w:tcPr>
                <w:p w14:paraId="0F923220">
                  <w:pPr>
                    <w:adjustRightInd/>
                    <w:snapToGrid/>
                    <w:spacing w:line="240" w:lineRule="auto"/>
                    <w:ind w:firstLine="0" w:firstLineChars="0"/>
                    <w:jc w:val="center"/>
                    <w:rPr>
                      <w:rFonts w:ascii="Times New Roman" w:hAnsi="Times New Roman" w:eastAsia="宋体" w:cs="Times New Roman"/>
                      <w:color w:val="auto"/>
                      <w:spacing w:val="11"/>
                      <w:sz w:val="21"/>
                      <w:szCs w:val="21"/>
                      <w:highlight w:val="none"/>
                    </w:rPr>
                  </w:pPr>
                </w:p>
              </w:tc>
              <w:tc>
                <w:tcPr>
                  <w:tcW w:w="603" w:type="pct"/>
                  <w:tcBorders>
                    <w:tl2br w:val="nil"/>
                    <w:tr2bl w:val="nil"/>
                  </w:tcBorders>
                  <w:vAlign w:val="center"/>
                </w:tcPr>
                <w:p w14:paraId="3C3206DA">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r>
                    <w:rPr>
                      <w:rFonts w:ascii="Times New Roman" w:hAnsi="Times New Roman" w:eastAsia="宋体" w:cs="Times New Roman"/>
                      <w:color w:val="auto"/>
                      <w:spacing w:val="11"/>
                      <w:kern w:val="0"/>
                      <w:sz w:val="21"/>
                      <w:szCs w:val="21"/>
                      <w:highlight w:val="none"/>
                    </w:rPr>
                    <w:t>产生量(</w:t>
                  </w:r>
                  <w:r>
                    <w:rPr>
                      <w:rFonts w:hint="eastAsia" w:cs="Times New Roman"/>
                      <w:color w:val="auto"/>
                      <w:spacing w:val="11"/>
                      <w:kern w:val="0"/>
                      <w:sz w:val="21"/>
                      <w:szCs w:val="21"/>
                      <w:highlight w:val="none"/>
                      <w:lang w:val="en-US" w:eastAsia="zh-CN"/>
                    </w:rPr>
                    <w:t>kg</w:t>
                  </w:r>
                  <w:r>
                    <w:rPr>
                      <w:rFonts w:ascii="Times New Roman" w:hAnsi="Times New Roman" w:eastAsia="宋体" w:cs="Times New Roman"/>
                      <w:color w:val="auto"/>
                      <w:spacing w:val="11"/>
                      <w:kern w:val="0"/>
                      <w:sz w:val="21"/>
                      <w:szCs w:val="21"/>
                      <w:highlight w:val="none"/>
                    </w:rPr>
                    <w:t>/a)</w:t>
                  </w:r>
                </w:p>
              </w:tc>
              <w:tc>
                <w:tcPr>
                  <w:tcW w:w="724" w:type="pct"/>
                  <w:tcBorders>
                    <w:tl2br w:val="nil"/>
                    <w:tr2bl w:val="nil"/>
                  </w:tcBorders>
                  <w:vAlign w:val="center"/>
                </w:tcPr>
                <w:p w14:paraId="61125988">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hint="eastAsia" w:ascii="Times New Roman" w:hAnsi="Times New Roman" w:eastAsia="宋体" w:cs="Times New Roman"/>
                      <w:color w:val="auto"/>
                      <w:spacing w:val="11"/>
                      <w:sz w:val="21"/>
                      <w:szCs w:val="21"/>
                      <w:highlight w:val="none"/>
                    </w:rPr>
                    <w:t>产生速率（kg/h）</w:t>
                  </w:r>
                </w:p>
              </w:tc>
              <w:tc>
                <w:tcPr>
                  <w:tcW w:w="1151" w:type="pct"/>
                  <w:vMerge w:val="continue"/>
                  <w:tcBorders>
                    <w:tl2br w:val="nil"/>
                    <w:tr2bl w:val="nil"/>
                  </w:tcBorders>
                  <w:vAlign w:val="center"/>
                </w:tcPr>
                <w:p w14:paraId="2A164A22">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p>
              </w:tc>
              <w:tc>
                <w:tcPr>
                  <w:tcW w:w="792" w:type="pct"/>
                  <w:tcBorders>
                    <w:tl2br w:val="nil"/>
                    <w:tr2bl w:val="nil"/>
                  </w:tcBorders>
                  <w:vAlign w:val="center"/>
                </w:tcPr>
                <w:p w14:paraId="4648746A">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hint="eastAsia" w:ascii="Times New Roman" w:hAnsi="Times New Roman" w:eastAsia="宋体" w:cs="Times New Roman"/>
                      <w:color w:val="auto"/>
                      <w:spacing w:val="11"/>
                      <w:kern w:val="0"/>
                      <w:sz w:val="21"/>
                      <w:szCs w:val="21"/>
                      <w:highlight w:val="none"/>
                    </w:rPr>
                    <w:t>排放</w:t>
                  </w:r>
                  <w:r>
                    <w:rPr>
                      <w:rFonts w:ascii="Times New Roman" w:hAnsi="Times New Roman" w:eastAsia="宋体" w:cs="Times New Roman"/>
                      <w:color w:val="auto"/>
                      <w:spacing w:val="11"/>
                      <w:kern w:val="0"/>
                      <w:sz w:val="21"/>
                      <w:szCs w:val="21"/>
                      <w:highlight w:val="none"/>
                    </w:rPr>
                    <w:t>量</w:t>
                  </w:r>
                </w:p>
                <w:p w14:paraId="45F3C2FA">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r>
                    <w:rPr>
                      <w:rFonts w:ascii="Times New Roman" w:hAnsi="Times New Roman" w:eastAsia="宋体" w:cs="Times New Roman"/>
                      <w:color w:val="auto"/>
                      <w:spacing w:val="11"/>
                      <w:kern w:val="0"/>
                      <w:sz w:val="21"/>
                      <w:szCs w:val="21"/>
                      <w:highlight w:val="none"/>
                    </w:rPr>
                    <w:t>(</w:t>
                  </w:r>
                  <w:r>
                    <w:rPr>
                      <w:rFonts w:hint="eastAsia" w:ascii="Times New Roman" w:hAnsi="Times New Roman" w:eastAsia="宋体" w:cs="Times New Roman"/>
                      <w:color w:val="auto"/>
                      <w:spacing w:val="11"/>
                      <w:kern w:val="0"/>
                      <w:sz w:val="21"/>
                      <w:szCs w:val="21"/>
                      <w:highlight w:val="none"/>
                      <w:lang w:val="en-US" w:eastAsia="zh-CN"/>
                    </w:rPr>
                    <w:t>kg</w:t>
                  </w:r>
                  <w:r>
                    <w:rPr>
                      <w:rFonts w:ascii="Times New Roman" w:hAnsi="Times New Roman" w:eastAsia="宋体" w:cs="Times New Roman"/>
                      <w:color w:val="auto"/>
                      <w:spacing w:val="11"/>
                      <w:kern w:val="0"/>
                      <w:sz w:val="21"/>
                      <w:szCs w:val="21"/>
                      <w:highlight w:val="none"/>
                    </w:rPr>
                    <w:t>/a)</w:t>
                  </w:r>
                </w:p>
              </w:tc>
              <w:tc>
                <w:tcPr>
                  <w:tcW w:w="815" w:type="pct"/>
                  <w:tcBorders>
                    <w:tl2br w:val="nil"/>
                    <w:tr2bl w:val="nil"/>
                  </w:tcBorders>
                  <w:vAlign w:val="center"/>
                </w:tcPr>
                <w:p w14:paraId="4AC13909">
                  <w:pPr>
                    <w:widowControl/>
                    <w:adjustRightInd/>
                    <w:snapToGrid/>
                    <w:spacing w:line="240" w:lineRule="auto"/>
                    <w:ind w:firstLine="0" w:firstLineChars="0"/>
                    <w:jc w:val="center"/>
                    <w:textAlignment w:val="center"/>
                    <w:rPr>
                      <w:rFonts w:hint="eastAsia" w:ascii="Times New Roman" w:hAnsi="Times New Roman" w:eastAsia="宋体" w:cs="Times New Roman"/>
                      <w:color w:val="auto"/>
                      <w:spacing w:val="11"/>
                      <w:sz w:val="21"/>
                      <w:szCs w:val="21"/>
                      <w:highlight w:val="none"/>
                    </w:rPr>
                  </w:pPr>
                  <w:r>
                    <w:rPr>
                      <w:rFonts w:hint="eastAsia" w:ascii="Times New Roman" w:hAnsi="Times New Roman" w:eastAsia="宋体" w:cs="Times New Roman"/>
                      <w:color w:val="auto"/>
                      <w:spacing w:val="11"/>
                      <w:sz w:val="21"/>
                      <w:szCs w:val="21"/>
                      <w:highlight w:val="none"/>
                    </w:rPr>
                    <w:t>排放速率</w:t>
                  </w:r>
                </w:p>
                <w:p w14:paraId="1B0CAFA7">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hint="eastAsia" w:ascii="Times New Roman" w:hAnsi="Times New Roman" w:eastAsia="宋体" w:cs="Times New Roman"/>
                      <w:color w:val="auto"/>
                      <w:spacing w:val="11"/>
                      <w:sz w:val="21"/>
                      <w:szCs w:val="21"/>
                      <w:highlight w:val="none"/>
                    </w:rPr>
                    <w:t>（kg/h）</w:t>
                  </w:r>
                </w:p>
              </w:tc>
            </w:tr>
            <w:tr w14:paraId="27191C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455" w:type="pct"/>
                  <w:vMerge w:val="restart"/>
                  <w:tcBorders>
                    <w:tl2br w:val="nil"/>
                    <w:tr2bl w:val="nil"/>
                  </w:tcBorders>
                  <w:vAlign w:val="center"/>
                </w:tcPr>
                <w:p w14:paraId="5E8108CA">
                  <w:pPr>
                    <w:adjustRightInd/>
                    <w:snapToGrid/>
                    <w:spacing w:line="240" w:lineRule="auto"/>
                    <w:ind w:firstLine="0" w:firstLineChars="0"/>
                    <w:jc w:val="center"/>
                    <w:rPr>
                      <w:rFonts w:ascii="Times New Roman" w:hAnsi="Times New Roman" w:eastAsia="宋体" w:cs="Times New Roman"/>
                      <w:color w:val="auto"/>
                      <w:spacing w:val="11"/>
                      <w:sz w:val="21"/>
                      <w:szCs w:val="21"/>
                      <w:highlight w:val="none"/>
                    </w:rPr>
                  </w:pPr>
                  <w:r>
                    <w:rPr>
                      <w:rFonts w:hint="eastAsia" w:ascii="Times New Roman" w:hAnsi="Times New Roman" w:eastAsia="宋体" w:cs="Times New Roman"/>
                      <w:color w:val="auto"/>
                      <w:spacing w:val="11"/>
                      <w:kern w:val="0"/>
                      <w:sz w:val="21"/>
                      <w:szCs w:val="21"/>
                      <w:highlight w:val="none"/>
                      <w:lang w:val="en-US" w:eastAsia="zh-CN"/>
                    </w:rPr>
                    <w:t>污水处理设施</w:t>
                  </w:r>
                </w:p>
              </w:tc>
              <w:tc>
                <w:tcPr>
                  <w:tcW w:w="458" w:type="pct"/>
                  <w:tcBorders>
                    <w:tl2br w:val="nil"/>
                    <w:tr2bl w:val="nil"/>
                  </w:tcBorders>
                  <w:vAlign w:val="center"/>
                </w:tcPr>
                <w:p w14:paraId="6DA9F092">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hint="eastAsia" w:ascii="Times New Roman" w:hAnsi="Times New Roman" w:eastAsia="宋体" w:cs="Times New Roman"/>
                      <w:color w:val="auto"/>
                      <w:spacing w:val="11"/>
                      <w:kern w:val="0"/>
                      <w:sz w:val="21"/>
                      <w:szCs w:val="21"/>
                      <w:highlight w:val="none"/>
                    </w:rPr>
                    <w:t>NH</w:t>
                  </w:r>
                  <w:r>
                    <w:rPr>
                      <w:rFonts w:hint="eastAsia" w:ascii="Times New Roman" w:hAnsi="Times New Roman" w:eastAsia="宋体" w:cs="Times New Roman"/>
                      <w:color w:val="auto"/>
                      <w:spacing w:val="11"/>
                      <w:kern w:val="0"/>
                      <w:sz w:val="21"/>
                      <w:szCs w:val="21"/>
                      <w:highlight w:val="none"/>
                      <w:vertAlign w:val="subscript"/>
                    </w:rPr>
                    <w:t>3</w:t>
                  </w:r>
                </w:p>
              </w:tc>
              <w:tc>
                <w:tcPr>
                  <w:tcW w:w="603" w:type="pct"/>
                  <w:tcBorders>
                    <w:tl2br w:val="nil"/>
                    <w:tr2bl w:val="nil"/>
                  </w:tcBorders>
                  <w:shd w:val="clear" w:color="auto" w:fill="auto"/>
                  <w:vAlign w:val="center"/>
                </w:tcPr>
                <w:p w14:paraId="6723EAA9">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50.964</w:t>
                  </w:r>
                </w:p>
              </w:tc>
              <w:tc>
                <w:tcPr>
                  <w:tcW w:w="724" w:type="pct"/>
                  <w:tcBorders>
                    <w:tl2br w:val="nil"/>
                    <w:tr2bl w:val="nil"/>
                  </w:tcBorders>
                  <w:shd w:val="clear" w:color="auto" w:fill="auto"/>
                  <w:vAlign w:val="center"/>
                </w:tcPr>
                <w:p w14:paraId="33CEEC69">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0.0058</w:t>
                  </w:r>
                </w:p>
              </w:tc>
              <w:tc>
                <w:tcPr>
                  <w:tcW w:w="1151" w:type="pct"/>
                  <w:vMerge w:val="restart"/>
                  <w:tcBorders>
                    <w:tl2br w:val="nil"/>
                    <w:tr2bl w:val="nil"/>
                  </w:tcBorders>
                  <w:vAlign w:val="center"/>
                </w:tcPr>
                <w:p w14:paraId="34B2E82C">
                  <w:pPr>
                    <w:adjustRightInd/>
                    <w:snapToGrid/>
                    <w:spacing w:line="240" w:lineRule="auto"/>
                    <w:ind w:firstLine="0" w:firstLineChars="0"/>
                    <w:jc w:val="center"/>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加强管理</w:t>
                  </w:r>
                  <w:r>
                    <w:rPr>
                      <w:rFonts w:hint="eastAsia" w:cs="Times New Roman"/>
                      <w:color w:val="auto"/>
                      <w:spacing w:val="11"/>
                      <w:sz w:val="21"/>
                      <w:szCs w:val="21"/>
                      <w:highlight w:val="none"/>
                      <w:lang w:val="en-US" w:eastAsia="zh-CN"/>
                    </w:rPr>
                    <w:t>，地埋式设计，</w:t>
                  </w:r>
                  <w:r>
                    <w:rPr>
                      <w:rFonts w:hint="eastAsia" w:ascii="Times New Roman" w:hAnsi="Times New Roman" w:eastAsia="宋体" w:cs="Times New Roman"/>
                      <w:color w:val="auto"/>
                      <w:spacing w:val="11"/>
                      <w:sz w:val="21"/>
                      <w:szCs w:val="21"/>
                      <w:highlight w:val="none"/>
                      <w:lang w:val="en-US" w:eastAsia="zh-CN"/>
                    </w:rPr>
                    <w:t>增加污水处理设施周边绿化，投放除臭剂</w:t>
                  </w:r>
                </w:p>
              </w:tc>
              <w:tc>
                <w:tcPr>
                  <w:tcW w:w="792" w:type="pct"/>
                  <w:tcBorders>
                    <w:tl2br w:val="nil"/>
                    <w:tr2bl w:val="nil"/>
                  </w:tcBorders>
                  <w:shd w:val="clear" w:color="auto" w:fill="auto"/>
                  <w:vAlign w:val="center"/>
                </w:tcPr>
                <w:p w14:paraId="1FF59EBE">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kern w:val="2"/>
                      <w:sz w:val="21"/>
                      <w:szCs w:val="21"/>
                      <w:highlight w:val="none"/>
                      <w:lang w:val="en-US" w:eastAsia="zh-CN" w:bidi="ar-SA"/>
                    </w:rPr>
                    <w:t>30.58</w:t>
                  </w:r>
                </w:p>
              </w:tc>
              <w:tc>
                <w:tcPr>
                  <w:tcW w:w="815" w:type="pct"/>
                  <w:tcBorders>
                    <w:tl2br w:val="nil"/>
                    <w:tr2bl w:val="nil"/>
                  </w:tcBorders>
                  <w:shd w:val="clear" w:color="auto" w:fill="auto"/>
                  <w:vAlign w:val="center"/>
                </w:tcPr>
                <w:p w14:paraId="7E7F9DF3">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kern w:val="2"/>
                      <w:sz w:val="21"/>
                      <w:szCs w:val="21"/>
                      <w:highlight w:val="none"/>
                      <w:lang w:val="en-US" w:eastAsia="zh-CN" w:bidi="ar-SA"/>
                    </w:rPr>
                    <w:t>0.0035</w:t>
                  </w:r>
                </w:p>
              </w:tc>
            </w:tr>
            <w:tr w14:paraId="3C8B25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455" w:type="pct"/>
                  <w:vMerge w:val="continue"/>
                  <w:tcBorders>
                    <w:tl2br w:val="nil"/>
                    <w:tr2bl w:val="nil"/>
                  </w:tcBorders>
                  <w:vAlign w:val="center"/>
                </w:tcPr>
                <w:p w14:paraId="24D0CE01">
                  <w:pPr>
                    <w:adjustRightInd/>
                    <w:snapToGrid/>
                    <w:spacing w:line="240" w:lineRule="auto"/>
                    <w:ind w:firstLine="0" w:firstLineChars="0"/>
                    <w:jc w:val="center"/>
                    <w:rPr>
                      <w:rFonts w:ascii="Times New Roman" w:hAnsi="Times New Roman" w:eastAsia="宋体" w:cs="Times New Roman"/>
                      <w:color w:val="auto"/>
                      <w:spacing w:val="11"/>
                      <w:sz w:val="21"/>
                      <w:szCs w:val="21"/>
                      <w:highlight w:val="none"/>
                    </w:rPr>
                  </w:pPr>
                </w:p>
              </w:tc>
              <w:tc>
                <w:tcPr>
                  <w:tcW w:w="458" w:type="pct"/>
                  <w:tcBorders>
                    <w:tl2br w:val="nil"/>
                    <w:tr2bl w:val="nil"/>
                  </w:tcBorders>
                  <w:vAlign w:val="center"/>
                </w:tcPr>
                <w:p w14:paraId="27A9F7F1">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hint="eastAsia" w:ascii="Times New Roman" w:hAnsi="Times New Roman" w:eastAsia="宋体" w:cs="Times New Roman"/>
                      <w:color w:val="auto"/>
                      <w:spacing w:val="11"/>
                      <w:kern w:val="0"/>
                      <w:sz w:val="21"/>
                      <w:szCs w:val="21"/>
                      <w:highlight w:val="none"/>
                    </w:rPr>
                    <w:t>H</w:t>
                  </w:r>
                  <w:r>
                    <w:rPr>
                      <w:rFonts w:hint="eastAsia" w:ascii="Times New Roman" w:hAnsi="Times New Roman" w:eastAsia="宋体" w:cs="Times New Roman"/>
                      <w:color w:val="auto"/>
                      <w:spacing w:val="11"/>
                      <w:kern w:val="0"/>
                      <w:sz w:val="21"/>
                      <w:szCs w:val="21"/>
                      <w:highlight w:val="none"/>
                      <w:vertAlign w:val="subscript"/>
                    </w:rPr>
                    <w:t>2</w:t>
                  </w:r>
                  <w:r>
                    <w:rPr>
                      <w:rFonts w:hint="eastAsia" w:ascii="Times New Roman" w:hAnsi="Times New Roman" w:eastAsia="宋体" w:cs="Times New Roman"/>
                      <w:color w:val="auto"/>
                      <w:spacing w:val="11"/>
                      <w:kern w:val="0"/>
                      <w:sz w:val="21"/>
                      <w:szCs w:val="21"/>
                      <w:highlight w:val="none"/>
                    </w:rPr>
                    <w:t>S</w:t>
                  </w:r>
                </w:p>
              </w:tc>
              <w:tc>
                <w:tcPr>
                  <w:tcW w:w="603" w:type="pct"/>
                  <w:tcBorders>
                    <w:tl2br w:val="nil"/>
                    <w:tr2bl w:val="nil"/>
                  </w:tcBorders>
                  <w:shd w:val="clear" w:color="auto" w:fill="auto"/>
                  <w:vAlign w:val="center"/>
                </w:tcPr>
                <w:p w14:paraId="7B2D795C">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1.973</w:t>
                  </w:r>
                </w:p>
              </w:tc>
              <w:tc>
                <w:tcPr>
                  <w:tcW w:w="724" w:type="pct"/>
                  <w:tcBorders>
                    <w:tl2br w:val="nil"/>
                    <w:tr2bl w:val="nil"/>
                  </w:tcBorders>
                  <w:shd w:val="clear" w:color="auto" w:fill="auto"/>
                  <w:vAlign w:val="center"/>
                </w:tcPr>
                <w:p w14:paraId="3373A6D9">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0.00023</w:t>
                  </w:r>
                </w:p>
              </w:tc>
              <w:tc>
                <w:tcPr>
                  <w:tcW w:w="1151" w:type="pct"/>
                  <w:vMerge w:val="continue"/>
                  <w:tcBorders>
                    <w:tl2br w:val="nil"/>
                    <w:tr2bl w:val="nil"/>
                  </w:tcBorders>
                  <w:vAlign w:val="center"/>
                </w:tcPr>
                <w:p w14:paraId="04AA89B6">
                  <w:pPr>
                    <w:adjustRightInd/>
                    <w:snapToGrid/>
                    <w:spacing w:line="240" w:lineRule="auto"/>
                    <w:ind w:firstLine="0" w:firstLineChars="0"/>
                    <w:jc w:val="center"/>
                    <w:rPr>
                      <w:rFonts w:ascii="Times New Roman" w:hAnsi="Times New Roman" w:eastAsia="宋体" w:cs="Times New Roman"/>
                      <w:color w:val="auto"/>
                      <w:spacing w:val="11"/>
                      <w:sz w:val="21"/>
                      <w:szCs w:val="21"/>
                      <w:highlight w:val="none"/>
                    </w:rPr>
                  </w:pPr>
                </w:p>
              </w:tc>
              <w:tc>
                <w:tcPr>
                  <w:tcW w:w="792" w:type="pct"/>
                  <w:tcBorders>
                    <w:tl2br w:val="nil"/>
                    <w:tr2bl w:val="nil"/>
                  </w:tcBorders>
                  <w:shd w:val="clear" w:color="auto" w:fill="auto"/>
                  <w:vAlign w:val="center"/>
                </w:tcPr>
                <w:p w14:paraId="38DC3CC1">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kern w:val="2"/>
                      <w:sz w:val="21"/>
                      <w:szCs w:val="21"/>
                      <w:highlight w:val="none"/>
                      <w:lang w:val="en-US" w:eastAsia="zh-CN" w:bidi="ar-SA"/>
                    </w:rPr>
                    <w:t>1.18</w:t>
                  </w:r>
                </w:p>
              </w:tc>
              <w:tc>
                <w:tcPr>
                  <w:tcW w:w="815" w:type="pct"/>
                  <w:tcBorders>
                    <w:tl2br w:val="nil"/>
                    <w:tr2bl w:val="nil"/>
                  </w:tcBorders>
                  <w:shd w:val="clear" w:color="auto" w:fill="auto"/>
                  <w:vAlign w:val="center"/>
                </w:tcPr>
                <w:p w14:paraId="2CDEF4AE">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kern w:val="2"/>
                      <w:sz w:val="21"/>
                      <w:szCs w:val="21"/>
                      <w:highlight w:val="none"/>
                      <w:lang w:val="en-US" w:eastAsia="zh-CN" w:bidi="ar-SA"/>
                    </w:rPr>
                    <w:t>0.00013</w:t>
                  </w:r>
                </w:p>
              </w:tc>
            </w:tr>
          </w:tbl>
          <w:p w14:paraId="1961D168">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right="0" w:firstLine="524" w:firstLineChars="200"/>
              <w:textAlignment w:val="auto"/>
              <w:rPr>
                <w:rFonts w:hint="eastAsia" w:ascii="Times New Roman" w:hAnsi="Times New Roman" w:cs="Times New Roman" w:eastAsiaTheme="minorEastAsia"/>
                <w:color w:val="auto"/>
                <w:spacing w:val="11"/>
                <w:position w:val="0"/>
                <w:sz w:val="24"/>
                <w:highlight w:val="none"/>
                <w:u w:val="none" w:color="auto"/>
                <w:lang w:val="en-US" w:eastAsia="zh-CN"/>
              </w:rPr>
            </w:pPr>
            <w:r>
              <w:rPr>
                <w:rFonts w:hint="eastAsia" w:ascii="Times New Roman" w:hAnsi="Times New Roman" w:cs="Times New Roman" w:eastAsiaTheme="minorEastAsia"/>
                <w:color w:val="auto"/>
                <w:spacing w:val="11"/>
                <w:position w:val="0"/>
                <w:sz w:val="24"/>
                <w:highlight w:val="none"/>
                <w:u w:val="none" w:color="auto"/>
                <w:lang w:val="en-US" w:eastAsia="zh-CN"/>
              </w:rPr>
              <w:t>本项目NH</w:t>
            </w:r>
            <w:r>
              <w:rPr>
                <w:rFonts w:hint="eastAsia" w:ascii="Times New Roman" w:hAnsi="Times New Roman" w:cs="Times New Roman" w:eastAsiaTheme="minorEastAsia"/>
                <w:color w:val="auto"/>
                <w:spacing w:val="11"/>
                <w:position w:val="0"/>
                <w:sz w:val="24"/>
                <w:highlight w:val="none"/>
                <w:u w:val="none" w:color="auto"/>
                <w:vertAlign w:val="subscript"/>
                <w:lang w:val="en-US" w:eastAsia="zh-CN"/>
              </w:rPr>
              <w:t>3</w:t>
            </w:r>
            <w:r>
              <w:rPr>
                <w:rFonts w:hint="eastAsia" w:ascii="Times New Roman" w:hAnsi="Times New Roman" w:cs="Times New Roman" w:eastAsiaTheme="minorEastAsia"/>
                <w:color w:val="auto"/>
                <w:spacing w:val="11"/>
                <w:position w:val="0"/>
                <w:sz w:val="24"/>
                <w:highlight w:val="none"/>
                <w:u w:val="none" w:color="auto"/>
                <w:lang w:val="en-US" w:eastAsia="zh-CN"/>
              </w:rPr>
              <w:t>、H</w:t>
            </w:r>
            <w:r>
              <w:rPr>
                <w:rFonts w:hint="eastAsia" w:ascii="Times New Roman" w:hAnsi="Times New Roman" w:cs="Times New Roman" w:eastAsiaTheme="minorEastAsia"/>
                <w:color w:val="auto"/>
                <w:spacing w:val="11"/>
                <w:position w:val="0"/>
                <w:sz w:val="24"/>
                <w:highlight w:val="none"/>
                <w:u w:val="none" w:color="auto"/>
                <w:vertAlign w:val="subscript"/>
                <w:lang w:val="en-US" w:eastAsia="zh-CN"/>
              </w:rPr>
              <w:t>2</w:t>
            </w:r>
            <w:r>
              <w:rPr>
                <w:rFonts w:hint="eastAsia" w:ascii="Times New Roman" w:hAnsi="Times New Roman" w:cs="Times New Roman" w:eastAsiaTheme="minorEastAsia"/>
                <w:color w:val="auto"/>
                <w:spacing w:val="11"/>
                <w:position w:val="0"/>
                <w:sz w:val="24"/>
                <w:highlight w:val="none"/>
                <w:u w:val="none" w:color="auto"/>
                <w:lang w:val="en-US" w:eastAsia="zh-CN"/>
              </w:rPr>
              <w:t>S的排放速率很小，恶臭污染物</w:t>
            </w:r>
            <w:r>
              <w:rPr>
                <w:rFonts w:hint="eastAsia" w:cs="Times New Roman" w:eastAsiaTheme="minorEastAsia"/>
                <w:color w:val="auto"/>
                <w:spacing w:val="11"/>
                <w:position w:val="0"/>
                <w:sz w:val="24"/>
                <w:highlight w:val="none"/>
                <w:u w:val="none" w:color="auto"/>
                <w:lang w:val="en-US" w:eastAsia="zh-CN"/>
              </w:rPr>
              <w:t>为</w:t>
            </w:r>
            <w:r>
              <w:rPr>
                <w:rFonts w:hint="eastAsia" w:ascii="Times New Roman" w:hAnsi="Times New Roman" w:cs="Times New Roman" w:eastAsiaTheme="minorEastAsia"/>
                <w:color w:val="auto"/>
                <w:spacing w:val="11"/>
                <w:position w:val="0"/>
                <w:sz w:val="24"/>
                <w:highlight w:val="none"/>
                <w:u w:val="none" w:color="auto"/>
                <w:lang w:val="en-US" w:eastAsia="zh-CN"/>
              </w:rPr>
              <w:t>无组织排放，</w:t>
            </w:r>
            <w:r>
              <w:rPr>
                <w:rFonts w:hint="eastAsia" w:cs="Times New Roman" w:eastAsiaTheme="minorEastAsia"/>
                <w:color w:val="auto"/>
                <w:spacing w:val="11"/>
                <w:position w:val="0"/>
                <w:sz w:val="24"/>
                <w:highlight w:val="none"/>
                <w:u w:val="none" w:color="auto"/>
                <w:lang w:val="en-US" w:eastAsia="zh-CN"/>
              </w:rPr>
              <w:t>预处理池</w:t>
            </w:r>
            <w:r>
              <w:rPr>
                <w:rFonts w:hint="eastAsia" w:ascii="Times New Roman" w:hAnsi="Times New Roman" w:cs="Times New Roman" w:eastAsiaTheme="minorEastAsia"/>
                <w:color w:val="auto"/>
                <w:spacing w:val="11"/>
                <w:position w:val="0"/>
                <w:sz w:val="24"/>
                <w:highlight w:val="none"/>
                <w:u w:val="none" w:color="auto"/>
                <w:lang w:val="en-US" w:eastAsia="zh-CN"/>
              </w:rPr>
              <w:t>采用地理式设计，各污水处理构筑物均设密封盖板，池体上方做地面硬化，污水、污泥的气味不直接向外扩散</w:t>
            </w:r>
            <w:r>
              <w:rPr>
                <w:rFonts w:hint="eastAsia" w:cs="Times New Roman" w:eastAsiaTheme="minorEastAsia"/>
                <w:color w:val="auto"/>
                <w:spacing w:val="11"/>
                <w:position w:val="0"/>
                <w:sz w:val="24"/>
                <w:highlight w:val="none"/>
                <w:u w:val="none" w:color="auto"/>
                <w:lang w:val="en-US" w:eastAsia="zh-CN"/>
              </w:rPr>
              <w:t>，</w:t>
            </w:r>
            <w:r>
              <w:rPr>
                <w:rFonts w:hint="eastAsia" w:ascii="Times New Roman" w:hAnsi="Times New Roman" w:cs="Times New Roman" w:eastAsiaTheme="minorEastAsia"/>
                <w:color w:val="auto"/>
                <w:spacing w:val="11"/>
                <w:position w:val="0"/>
                <w:sz w:val="24"/>
                <w:highlight w:val="none"/>
                <w:u w:val="none" w:color="auto"/>
                <w:lang w:val="en-US" w:eastAsia="zh-CN"/>
              </w:rPr>
              <w:t>同时，污水经过消毒后，恶臭气体受到抑制。在正常运行工况下，预处理池周边大气污染物均可满足《医疗机构水污染物排放标准》（GB18466-2005）表3污水处理站周边大气污染物最高允许浓度。预处理池位于项目</w:t>
            </w:r>
            <w:r>
              <w:rPr>
                <w:rFonts w:hint="eastAsia" w:cs="Times New Roman" w:eastAsiaTheme="minorEastAsia"/>
                <w:color w:val="auto"/>
                <w:spacing w:val="11"/>
                <w:position w:val="0"/>
                <w:sz w:val="24"/>
                <w:highlight w:val="none"/>
                <w:u w:val="none" w:color="auto"/>
                <w:lang w:val="en-US" w:eastAsia="zh-CN"/>
              </w:rPr>
              <w:t>北侧，临近生态停车场</w:t>
            </w:r>
            <w:r>
              <w:rPr>
                <w:rFonts w:hint="eastAsia" w:ascii="Times New Roman" w:hAnsi="Times New Roman" w:cs="Times New Roman" w:eastAsiaTheme="minorEastAsia"/>
                <w:color w:val="auto"/>
                <w:spacing w:val="11"/>
                <w:position w:val="0"/>
                <w:sz w:val="24"/>
                <w:highlight w:val="none"/>
                <w:u w:val="none" w:color="auto"/>
                <w:lang w:val="en-US" w:eastAsia="zh-CN"/>
              </w:rPr>
              <w:t>，经过院内树木、草地阻隔吸收后对周边空气环境影响较小</w:t>
            </w:r>
            <w:r>
              <w:rPr>
                <w:rFonts w:hint="eastAsia" w:cs="Times New Roman" w:eastAsiaTheme="minorEastAsia"/>
                <w:color w:val="auto"/>
                <w:spacing w:val="11"/>
                <w:position w:val="0"/>
                <w:sz w:val="24"/>
                <w:highlight w:val="none"/>
                <w:u w:val="none" w:color="auto"/>
                <w:lang w:val="en-US" w:eastAsia="zh-CN"/>
              </w:rPr>
              <w:t>，本项目采取的除臭效率按40%计。</w:t>
            </w:r>
            <w:r>
              <w:rPr>
                <w:rFonts w:hint="eastAsia" w:ascii="Times New Roman" w:hAnsi="Times New Roman" w:cs="Times New Roman" w:eastAsiaTheme="minorEastAsia"/>
                <w:color w:val="auto"/>
                <w:spacing w:val="11"/>
                <w:position w:val="0"/>
                <w:sz w:val="24"/>
                <w:highlight w:val="none"/>
                <w:u w:val="none" w:color="auto"/>
                <w:lang w:val="en-US" w:eastAsia="zh-CN"/>
              </w:rPr>
              <w:t>本次环评建议建设单位加强管理、增加预处理池周边绿化，进一步减小恶臭对周围空气环境的影响。</w:t>
            </w:r>
          </w:p>
          <w:p w14:paraId="28BB6322">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default"/>
                <w:color w:val="auto"/>
                <w:spacing w:val="11"/>
                <w:position w:val="0"/>
                <w:highlight w:val="yellow"/>
                <w:u w:val="none" w:color="auto"/>
                <w:lang w:val="en-US" w:eastAsia="zh-CN"/>
              </w:rPr>
            </w:pPr>
            <w:r>
              <w:rPr>
                <w:rFonts w:hint="eastAsia"/>
                <w:color w:val="auto"/>
                <w:spacing w:val="11"/>
                <w:position w:val="0"/>
                <w:u w:val="none" w:color="auto"/>
                <w:lang w:eastAsia="zh-CN"/>
              </w:rPr>
              <w:t>（</w:t>
            </w:r>
            <w:r>
              <w:rPr>
                <w:rFonts w:hint="eastAsia"/>
                <w:color w:val="auto"/>
                <w:spacing w:val="11"/>
                <w:position w:val="0"/>
                <w:u w:val="none" w:color="auto"/>
                <w:lang w:val="en-US" w:eastAsia="zh-CN"/>
              </w:rPr>
              <w:t>2</w:t>
            </w:r>
            <w:r>
              <w:rPr>
                <w:rFonts w:hint="eastAsia"/>
                <w:color w:val="auto"/>
                <w:spacing w:val="11"/>
                <w:position w:val="0"/>
                <w:u w:val="none" w:color="auto"/>
                <w:lang w:eastAsia="zh-CN"/>
              </w:rPr>
              <w:t>）</w:t>
            </w:r>
            <w:r>
              <w:rPr>
                <w:rFonts w:hint="eastAsia"/>
                <w:color w:val="auto"/>
                <w:spacing w:val="11"/>
                <w:position w:val="0"/>
                <w:u w:val="none" w:color="auto"/>
                <w:lang w:val="en-US" w:eastAsia="zh-CN"/>
              </w:rPr>
              <w:t>中药煎药异味</w:t>
            </w:r>
          </w:p>
          <w:p w14:paraId="4D8327A4">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eastAsia"/>
                <w:color w:val="auto"/>
                <w:spacing w:val="11"/>
                <w:position w:val="0"/>
                <w:u w:val="none" w:color="auto"/>
                <w:lang w:eastAsia="zh-CN"/>
              </w:rPr>
            </w:pPr>
            <w:r>
              <w:rPr>
                <w:rFonts w:hint="eastAsia"/>
                <w:color w:val="auto"/>
                <w:spacing w:val="11"/>
                <w:position w:val="0"/>
                <w:u w:val="none" w:color="auto"/>
                <w:lang w:val="en-US" w:eastAsia="zh-CN"/>
              </w:rPr>
              <w:t>本项目</w:t>
            </w:r>
            <w:r>
              <w:rPr>
                <w:rFonts w:hint="eastAsia"/>
                <w:color w:val="auto"/>
                <w:spacing w:val="11"/>
                <w:position w:val="0"/>
                <w:u w:val="none" w:color="auto"/>
                <w:lang w:eastAsia="zh-CN"/>
              </w:rPr>
              <w:t>在</w:t>
            </w:r>
            <w:r>
              <w:rPr>
                <w:rFonts w:hint="eastAsia"/>
                <w:color w:val="auto"/>
                <w:spacing w:val="11"/>
                <w:position w:val="0"/>
                <w:u w:val="none" w:color="auto"/>
                <w:lang w:val="en-US" w:eastAsia="zh-CN"/>
              </w:rPr>
              <w:t>一楼</w:t>
            </w:r>
            <w:r>
              <w:rPr>
                <w:rFonts w:hint="eastAsia"/>
                <w:color w:val="auto"/>
                <w:spacing w:val="11"/>
                <w:position w:val="0"/>
                <w:u w:val="none" w:color="auto"/>
                <w:lang w:eastAsia="zh-CN"/>
              </w:rPr>
              <w:t>设有一个煎药室，煎煮中药使用自动煎药机，自动煎药机为电加热设备。项目煎药中药过程中有少量中药气味产生，医院煎药室为封闭房间，中药液日加工量较少，且采用电煎密闭性煎药机进行煎制，产生的中药异味较小，对周边产生影响较小。</w:t>
            </w:r>
            <w:r>
              <w:rPr>
                <w:rFonts w:hint="eastAsia"/>
                <w:color w:val="auto"/>
                <w:spacing w:val="11"/>
                <w:position w:val="0"/>
                <w:u w:val="none" w:color="auto"/>
                <w:lang w:val="en-US" w:eastAsia="zh-CN"/>
              </w:rPr>
              <w:t>但</w:t>
            </w:r>
            <w:r>
              <w:rPr>
                <w:rFonts w:hint="eastAsia"/>
                <w:color w:val="auto"/>
                <w:spacing w:val="11"/>
                <w:position w:val="0"/>
                <w:u w:val="none" w:color="auto"/>
                <w:lang w:eastAsia="zh-CN"/>
              </w:rPr>
              <w:t>考虑到本项目距离学校、居民点比较近，</w:t>
            </w:r>
            <w:r>
              <w:rPr>
                <w:rFonts w:hint="eastAsia"/>
                <w:color w:val="auto"/>
                <w:spacing w:val="11"/>
                <w:position w:val="0"/>
                <w:u w:val="none" w:color="auto"/>
                <w:lang w:val="en-US" w:eastAsia="zh-CN"/>
              </w:rPr>
              <w:t>因此建设单位拟</w:t>
            </w:r>
            <w:r>
              <w:rPr>
                <w:rFonts w:hint="eastAsia"/>
                <w:color w:val="auto"/>
                <w:spacing w:val="11"/>
                <w:position w:val="0"/>
                <w:u w:val="none" w:color="auto"/>
                <w:lang w:eastAsia="zh-CN"/>
              </w:rPr>
              <w:t>在煎药室屋顶上方设置抽风口，</w:t>
            </w:r>
            <w:r>
              <w:rPr>
                <w:rFonts w:hint="eastAsia"/>
                <w:color w:val="auto"/>
                <w:spacing w:val="11"/>
                <w:position w:val="0"/>
                <w:u w:val="none" w:color="auto"/>
                <w:lang w:val="en-US" w:eastAsia="zh-CN"/>
              </w:rPr>
              <w:t>将废气引至楼顶排放</w:t>
            </w:r>
            <w:r>
              <w:rPr>
                <w:rFonts w:hint="eastAsia"/>
                <w:color w:val="auto"/>
                <w:spacing w:val="11"/>
                <w:position w:val="0"/>
                <w:u w:val="none" w:color="auto"/>
                <w:lang w:eastAsia="zh-CN"/>
              </w:rPr>
              <w:t>。</w:t>
            </w:r>
          </w:p>
          <w:p w14:paraId="3DF0DF58">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eastAsia" w:eastAsia="宋体"/>
                <w:color w:val="auto"/>
                <w:spacing w:val="11"/>
                <w:position w:val="0"/>
                <w:u w:val="none" w:color="auto"/>
                <w:lang w:eastAsia="zh-CN"/>
              </w:rPr>
            </w:pPr>
            <w:r>
              <w:rPr>
                <w:rFonts w:hint="eastAsia"/>
                <w:color w:val="auto"/>
                <w:spacing w:val="11"/>
                <w:position w:val="0"/>
                <w:u w:val="none" w:color="auto"/>
                <w:lang w:eastAsia="zh-CN"/>
              </w:rPr>
              <w:t>（</w:t>
            </w:r>
            <w:r>
              <w:rPr>
                <w:rFonts w:hint="eastAsia"/>
                <w:color w:val="auto"/>
                <w:spacing w:val="11"/>
                <w:position w:val="0"/>
                <w:u w:val="none" w:color="auto"/>
                <w:lang w:val="en-US" w:eastAsia="zh-CN"/>
              </w:rPr>
              <w:t>3</w:t>
            </w:r>
            <w:r>
              <w:rPr>
                <w:rFonts w:hint="eastAsia"/>
                <w:color w:val="auto"/>
                <w:spacing w:val="11"/>
                <w:position w:val="0"/>
                <w:u w:val="none" w:color="auto"/>
                <w:lang w:eastAsia="zh-CN"/>
              </w:rPr>
              <w:t>）</w:t>
            </w:r>
            <w:r>
              <w:rPr>
                <w:rFonts w:hint="eastAsia"/>
                <w:color w:val="auto"/>
                <w:spacing w:val="11"/>
                <w:position w:val="0"/>
                <w:u w:val="none" w:color="auto"/>
                <w:lang w:val="en-US" w:eastAsia="zh-CN"/>
              </w:rPr>
              <w:t>汽车尾气</w:t>
            </w:r>
          </w:p>
          <w:p w14:paraId="51BE2A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524" w:firstLineChars="200"/>
              <w:textAlignment w:val="auto"/>
              <w:rPr>
                <w:rFonts w:hint="eastAsia"/>
                <w:color w:val="auto"/>
                <w:spacing w:val="11"/>
                <w:position w:val="0"/>
                <w:u w:val="none" w:color="auto"/>
              </w:rPr>
            </w:pPr>
            <w:r>
              <w:rPr>
                <w:rFonts w:hint="eastAsia"/>
                <w:color w:val="auto"/>
                <w:spacing w:val="11"/>
                <w:position w:val="0"/>
                <w:u w:val="none" w:color="auto"/>
                <w:lang w:val="en-US" w:eastAsia="zh-CN"/>
              </w:rPr>
              <w:t>本项目车辆出入门诊综合楼时主要污染物为汽车尾气，其主要成分为CO、非甲烷总烃和NO</w:t>
            </w:r>
            <w:r>
              <w:rPr>
                <w:rFonts w:hint="eastAsia"/>
                <w:color w:val="auto"/>
                <w:spacing w:val="11"/>
                <w:position w:val="0"/>
                <w:u w:val="none" w:color="auto"/>
                <w:vertAlign w:val="subscript"/>
                <w:lang w:val="en-US" w:eastAsia="zh-CN"/>
              </w:rPr>
              <w:t>2</w:t>
            </w:r>
            <w:r>
              <w:rPr>
                <w:rFonts w:hint="eastAsia"/>
                <w:color w:val="auto"/>
                <w:spacing w:val="11"/>
                <w:position w:val="0"/>
                <w:u w:val="none" w:color="auto"/>
                <w:lang w:val="en-US" w:eastAsia="zh-CN"/>
              </w:rPr>
              <w:t>。一般在汽车启动或怠速时污染物的浓度较高，尾气排放为间歇式、不定时排放，本项目地下停车场设置了机械通风系统，有效地排除汽车废气。地下停车场通风次数不少于6次/h，扩散条件较好，有利于汽车尾气的扩散。</w:t>
            </w:r>
          </w:p>
          <w:p w14:paraId="6FFCED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524" w:firstLineChars="200"/>
              <w:textAlignment w:val="auto"/>
              <w:rPr>
                <w:rFonts w:hint="eastAsia" w:eastAsia="宋体"/>
                <w:color w:val="auto"/>
                <w:spacing w:val="11"/>
                <w:position w:val="0"/>
                <w:u w:val="none" w:color="auto"/>
                <w:lang w:eastAsia="zh-CN"/>
              </w:rPr>
            </w:pPr>
            <w:r>
              <w:rPr>
                <w:rFonts w:hint="eastAsia"/>
                <w:color w:val="auto"/>
                <w:spacing w:val="11"/>
                <w:position w:val="0"/>
                <w:u w:val="none" w:color="auto"/>
                <w:lang w:eastAsia="zh-CN"/>
              </w:rPr>
              <w:t>（</w:t>
            </w:r>
            <w:r>
              <w:rPr>
                <w:rFonts w:hint="eastAsia"/>
                <w:color w:val="auto"/>
                <w:spacing w:val="11"/>
                <w:position w:val="0"/>
                <w:u w:val="none" w:color="auto"/>
                <w:lang w:val="en-US" w:eastAsia="zh-CN"/>
              </w:rPr>
              <w:t>4</w:t>
            </w:r>
            <w:r>
              <w:rPr>
                <w:rFonts w:hint="eastAsia"/>
                <w:color w:val="auto"/>
                <w:spacing w:val="11"/>
                <w:position w:val="0"/>
                <w:u w:val="none" w:color="auto"/>
                <w:lang w:eastAsia="zh-CN"/>
              </w:rPr>
              <w:t>）</w:t>
            </w:r>
            <w:r>
              <w:rPr>
                <w:rFonts w:hint="eastAsia"/>
                <w:color w:val="auto"/>
                <w:spacing w:val="11"/>
                <w:position w:val="0"/>
                <w:u w:val="none" w:color="auto"/>
                <w:lang w:val="en-US" w:eastAsia="zh-CN"/>
              </w:rPr>
              <w:t>检验科等其他废气</w:t>
            </w:r>
          </w:p>
          <w:p w14:paraId="64C3AA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524" w:firstLineChars="200"/>
              <w:textAlignment w:val="auto"/>
              <w:rPr>
                <w:rFonts w:hint="eastAsia"/>
                <w:color w:val="auto"/>
                <w:spacing w:val="11"/>
                <w:position w:val="0"/>
                <w:u w:val="none" w:color="auto"/>
              </w:rPr>
            </w:pPr>
            <w:r>
              <w:rPr>
                <w:rFonts w:hint="eastAsia"/>
                <w:color w:val="auto"/>
                <w:spacing w:val="11"/>
                <w:position w:val="0"/>
                <w:u w:val="none" w:color="auto"/>
                <w:lang w:val="en-US" w:eastAsia="zh-CN"/>
              </w:rPr>
              <w:t>本项目营运期还将产生检验科废气、病理科废气、医疗设备换气等，此类废气量极小，本项目室内拟设置机械排风系统，废气经收集由废气净化系统处理后于屋顶高空排放。</w:t>
            </w:r>
          </w:p>
          <w:p w14:paraId="5ABE715C">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firstLine="0" w:firstLineChars="0"/>
              <w:textAlignment w:val="auto"/>
              <w:rPr>
                <w:rFonts w:hint="eastAsia" w:ascii="Times New Roman" w:hAnsi="Times New Roman" w:eastAsia="宋体" w:cs="Times New Roman"/>
                <w:b/>
                <w:bCs/>
                <w:color w:val="auto"/>
                <w:spacing w:val="11"/>
                <w:position w:val="0"/>
                <w:highlight w:val="none"/>
                <w:u w:val="none" w:color="auto"/>
                <w:lang w:val="en-US" w:eastAsia="zh-CN"/>
              </w:rPr>
            </w:pPr>
            <w:r>
              <w:rPr>
                <w:rFonts w:hint="eastAsia" w:ascii="Times New Roman" w:hAnsi="Times New Roman" w:eastAsia="宋体" w:cs="Times New Roman"/>
                <w:b/>
                <w:bCs/>
                <w:color w:val="auto"/>
                <w:spacing w:val="11"/>
                <w:position w:val="0"/>
                <w:highlight w:val="none"/>
                <w:u w:val="none" w:color="auto"/>
                <w:lang w:val="en-US" w:eastAsia="zh-CN"/>
              </w:rPr>
              <w:t>1.2环境影响及污染防治措施可行性分析</w:t>
            </w:r>
          </w:p>
          <w:p w14:paraId="10BC9A0D">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eastAsia" w:ascii="Times New Roman" w:hAnsi="Times New Roman" w:eastAsia="宋体" w:cs="Times New Roman"/>
                <w:color w:val="auto"/>
                <w:spacing w:val="11"/>
                <w:position w:val="0"/>
                <w:highlight w:val="none"/>
                <w:u w:val="single" w:color="auto"/>
                <w:lang w:val="en-US" w:eastAsia="zh-CN"/>
              </w:rPr>
            </w:pPr>
            <w:r>
              <w:rPr>
                <w:rFonts w:hint="eastAsia" w:ascii="Times New Roman" w:hAnsi="Times New Roman" w:eastAsia="宋体" w:cs="Times New Roman"/>
                <w:color w:val="auto"/>
                <w:spacing w:val="11"/>
                <w:position w:val="0"/>
                <w:highlight w:val="none"/>
                <w:u w:val="single" w:color="auto"/>
                <w:lang w:val="en-US" w:eastAsia="zh-CN"/>
              </w:rPr>
              <w:t>（1）对周边环境的影响分析</w:t>
            </w:r>
          </w:p>
          <w:p w14:paraId="059ADCE7">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default" w:ascii="Times New Roman" w:hAnsi="Times New Roman" w:eastAsia="宋体" w:cs="Times New Roman"/>
                <w:color w:val="auto"/>
                <w:spacing w:val="11"/>
                <w:position w:val="0"/>
                <w:highlight w:val="none"/>
                <w:u w:val="single" w:color="auto"/>
                <w:lang w:val="en-US" w:eastAsia="zh-CN"/>
              </w:rPr>
            </w:pPr>
            <w:r>
              <w:rPr>
                <w:rFonts w:hint="eastAsia" w:ascii="Times New Roman" w:hAnsi="Times New Roman" w:eastAsia="宋体" w:cs="Times New Roman"/>
                <w:color w:val="auto"/>
                <w:spacing w:val="11"/>
                <w:position w:val="0"/>
                <w:highlight w:val="none"/>
                <w:u w:val="single" w:color="auto"/>
                <w:lang w:val="en-US" w:eastAsia="zh-CN"/>
              </w:rPr>
              <w:t>根据永州市生态环境局发布的《关于2023年12月份全市环境质量状况的通报》（永环函[2024]4号）可知，项目周边大气环境质量较好，属于达标区</w:t>
            </w:r>
            <w:r>
              <w:rPr>
                <w:rFonts w:hint="eastAsia" w:cs="Times New Roman"/>
                <w:color w:val="auto"/>
                <w:spacing w:val="11"/>
                <w:position w:val="0"/>
                <w:highlight w:val="none"/>
                <w:u w:val="single" w:color="auto"/>
                <w:lang w:val="en-US" w:eastAsia="zh-CN"/>
              </w:rPr>
              <w:t>。</w:t>
            </w:r>
            <w:r>
              <w:rPr>
                <w:rFonts w:hint="eastAsia" w:ascii="Times New Roman" w:hAnsi="Times New Roman" w:eastAsia="宋体" w:cs="Times New Roman"/>
                <w:color w:val="auto"/>
                <w:spacing w:val="11"/>
                <w:position w:val="0"/>
                <w:highlight w:val="none"/>
                <w:u w:val="single" w:color="auto"/>
                <w:lang w:val="en-US" w:eastAsia="zh-CN"/>
              </w:rPr>
              <w:t>项目</w:t>
            </w:r>
            <w:r>
              <w:rPr>
                <w:rFonts w:hint="eastAsia" w:cs="Times New Roman"/>
                <w:color w:val="auto"/>
                <w:spacing w:val="11"/>
                <w:position w:val="0"/>
                <w:highlight w:val="none"/>
                <w:u w:val="single" w:color="auto"/>
                <w:lang w:val="en-US" w:eastAsia="zh-CN"/>
              </w:rPr>
              <w:t>预处理池</w:t>
            </w:r>
            <w:r>
              <w:rPr>
                <w:rFonts w:hint="eastAsia" w:ascii="Times New Roman" w:hAnsi="Times New Roman" w:eastAsia="宋体" w:cs="Times New Roman"/>
                <w:color w:val="auto"/>
                <w:spacing w:val="11"/>
                <w:position w:val="0"/>
                <w:highlight w:val="none"/>
                <w:u w:val="single" w:color="auto"/>
                <w:lang w:val="en-US" w:eastAsia="zh-CN"/>
              </w:rPr>
              <w:t>为地埋式</w:t>
            </w:r>
            <w:r>
              <w:rPr>
                <w:rFonts w:hint="eastAsia" w:cs="Times New Roman"/>
                <w:color w:val="auto"/>
                <w:spacing w:val="11"/>
                <w:position w:val="0"/>
                <w:highlight w:val="none"/>
                <w:u w:val="single" w:color="auto"/>
                <w:lang w:val="en-US" w:eastAsia="zh-CN"/>
              </w:rPr>
              <w:t>，经加强管理、增加预处理池周边绿化后，预处理池周边大气污染物均可满足《医疗机构水污染物排放标准》（GB18466-2005）表3污水处理站周边大气污染物最高允许浓度；煎药室设置抽风口，将中药煎药异味废气引至楼顶排放，项目边界恶臭气体污染物排放浓度可满足《恶臭气体污染物排放标准》（GB 14554-93）表1二级新扩改建排放标准</w:t>
            </w:r>
            <w:r>
              <w:rPr>
                <w:rFonts w:hint="eastAsia" w:ascii="Times New Roman" w:hAnsi="Times New Roman" w:eastAsia="宋体" w:cs="Times New Roman"/>
                <w:color w:val="auto"/>
                <w:spacing w:val="11"/>
                <w:position w:val="0"/>
                <w:highlight w:val="none"/>
                <w:u w:val="single" w:color="auto"/>
                <w:lang w:val="en-US" w:eastAsia="zh-CN"/>
              </w:rPr>
              <w:t>，综上所述，本项目产生的废气对周边影响较小。</w:t>
            </w:r>
          </w:p>
          <w:p w14:paraId="195D961B">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eastAsia" w:ascii="Times New Roman" w:hAnsi="Times New Roman" w:cs="Times New Roman" w:eastAsiaTheme="minorEastAsia"/>
                <w:b w:val="0"/>
                <w:bCs w:val="0"/>
                <w:color w:val="auto"/>
                <w:spacing w:val="11"/>
                <w:position w:val="0"/>
                <w:sz w:val="24"/>
                <w:highlight w:val="none"/>
                <w:u w:val="none" w:color="auto"/>
                <w:lang w:val="en-US" w:eastAsia="zh-CN"/>
              </w:rPr>
            </w:pPr>
            <w:r>
              <w:rPr>
                <w:rFonts w:hint="eastAsia" w:ascii="Times New Roman" w:hAnsi="Times New Roman" w:cs="Times New Roman" w:eastAsiaTheme="minorEastAsia"/>
                <w:b w:val="0"/>
                <w:bCs w:val="0"/>
                <w:color w:val="auto"/>
                <w:spacing w:val="11"/>
                <w:position w:val="0"/>
                <w:sz w:val="24"/>
                <w:highlight w:val="none"/>
                <w:u w:val="none" w:color="auto"/>
                <w:lang w:val="en-US" w:eastAsia="zh-CN"/>
              </w:rPr>
              <w:t>（</w:t>
            </w:r>
            <w:r>
              <w:rPr>
                <w:rFonts w:hint="eastAsia" w:cs="Times New Roman" w:eastAsiaTheme="minorEastAsia"/>
                <w:b w:val="0"/>
                <w:bCs w:val="0"/>
                <w:color w:val="auto"/>
                <w:spacing w:val="11"/>
                <w:position w:val="0"/>
                <w:sz w:val="24"/>
                <w:highlight w:val="none"/>
                <w:u w:val="none" w:color="auto"/>
                <w:lang w:val="en-US" w:eastAsia="zh-CN"/>
              </w:rPr>
              <w:t>2</w:t>
            </w:r>
            <w:r>
              <w:rPr>
                <w:rFonts w:hint="eastAsia" w:ascii="Times New Roman" w:hAnsi="Times New Roman" w:cs="Times New Roman" w:eastAsiaTheme="minorEastAsia"/>
                <w:b w:val="0"/>
                <w:bCs w:val="0"/>
                <w:color w:val="auto"/>
                <w:spacing w:val="11"/>
                <w:position w:val="0"/>
                <w:sz w:val="24"/>
                <w:highlight w:val="none"/>
                <w:u w:val="none" w:color="auto"/>
                <w:lang w:val="en-US" w:eastAsia="zh-CN"/>
              </w:rPr>
              <w:t>）废气防治措施技术可行性分析</w:t>
            </w:r>
          </w:p>
          <w:p w14:paraId="0F14AD78">
            <w:pPr>
              <w:ind w:firstLine="720"/>
              <w:rPr>
                <w:rFonts w:hint="default" w:ascii="Times New Roman" w:hAnsi="Times New Roman" w:eastAsia="宋体" w:cs="Times New Roman"/>
                <w:color w:val="auto"/>
                <w:spacing w:val="11"/>
                <w:kern w:val="0"/>
                <w:position w:val="0"/>
                <w:sz w:val="24"/>
                <w:szCs w:val="24"/>
                <w:highlight w:val="none"/>
                <w:u w:val="none" w:color="auto"/>
                <w:lang w:val="en-US" w:eastAsia="zh-CN" w:bidi="ar"/>
              </w:rPr>
            </w:pPr>
            <w:r>
              <w:rPr>
                <w:rFonts w:hint="default" w:ascii="Times New Roman" w:hAnsi="Times New Roman" w:eastAsia="宋体" w:cs="Times New Roman"/>
                <w:color w:val="auto"/>
                <w:spacing w:val="11"/>
                <w:kern w:val="0"/>
                <w:position w:val="0"/>
                <w:sz w:val="24"/>
                <w:szCs w:val="24"/>
                <w:highlight w:val="none"/>
                <w:u w:val="none" w:color="auto"/>
                <w:lang w:val="en-US" w:eastAsia="zh-CN" w:bidi="ar"/>
              </w:rPr>
              <w:t>根据《排污许可证申请与核发技术规范 医疗机构》（HJ1106-2020），排污单位废气污染防治可行技术参考</w:t>
            </w:r>
            <w:r>
              <w:rPr>
                <w:rFonts w:hint="eastAsia" w:cs="Times New Roman"/>
                <w:color w:val="auto"/>
                <w:spacing w:val="11"/>
                <w:kern w:val="0"/>
                <w:position w:val="0"/>
                <w:sz w:val="24"/>
                <w:szCs w:val="24"/>
                <w:highlight w:val="none"/>
                <w:u w:val="none" w:color="auto"/>
                <w:lang w:val="en-US" w:eastAsia="zh-CN" w:bidi="ar"/>
              </w:rPr>
              <w:t>详见下表</w:t>
            </w:r>
            <w:r>
              <w:rPr>
                <w:rFonts w:hint="default" w:ascii="Times New Roman" w:hAnsi="Times New Roman" w:eastAsia="宋体" w:cs="Times New Roman"/>
                <w:color w:val="auto"/>
                <w:spacing w:val="11"/>
                <w:kern w:val="0"/>
                <w:position w:val="0"/>
                <w:sz w:val="24"/>
                <w:szCs w:val="24"/>
                <w:highlight w:val="none"/>
                <w:u w:val="none" w:color="auto"/>
                <w:lang w:val="en-US" w:eastAsia="zh-CN" w:bidi="ar"/>
              </w:rPr>
              <w:t>。</w:t>
            </w:r>
          </w:p>
          <w:p w14:paraId="6F83D2A8">
            <w:pPr>
              <w:adjustRightInd/>
              <w:snapToGrid/>
              <w:spacing w:line="240" w:lineRule="auto"/>
              <w:ind w:firstLine="0" w:firstLineChars="0"/>
              <w:jc w:val="center"/>
              <w:rPr>
                <w:rFonts w:ascii="Times New Roman" w:hAnsi="Times New Roman" w:eastAsia="宋体" w:cs="Times New Roman"/>
                <w:b/>
                <w:bCs/>
                <w:color w:val="auto"/>
                <w:spacing w:val="11"/>
                <w:sz w:val="21"/>
                <w:szCs w:val="21"/>
                <w:highlight w:val="none"/>
              </w:rPr>
            </w:pPr>
            <w:r>
              <w:rPr>
                <w:rFonts w:ascii="Times New Roman" w:hAnsi="Times New Roman" w:eastAsia="宋体" w:cs="Times New Roman"/>
                <w:b/>
                <w:bCs/>
                <w:color w:val="auto"/>
                <w:spacing w:val="11"/>
                <w:sz w:val="21"/>
                <w:szCs w:val="21"/>
                <w:highlight w:val="none"/>
              </w:rPr>
              <w:t>表4-</w:t>
            </w:r>
            <w:r>
              <w:rPr>
                <w:rFonts w:hint="eastAsia" w:eastAsia="宋体" w:cs="Times New Roman"/>
                <w:b/>
                <w:bCs/>
                <w:color w:val="auto"/>
                <w:spacing w:val="11"/>
                <w:sz w:val="21"/>
                <w:szCs w:val="21"/>
                <w:highlight w:val="none"/>
                <w:lang w:val="en-US" w:eastAsia="zh-CN"/>
              </w:rPr>
              <w:t>7</w:t>
            </w:r>
            <w:r>
              <w:rPr>
                <w:rFonts w:ascii="Times New Roman" w:hAnsi="Times New Roman" w:eastAsia="宋体" w:cs="Times New Roman"/>
                <w:b/>
                <w:bCs/>
                <w:color w:val="auto"/>
                <w:spacing w:val="11"/>
                <w:sz w:val="21"/>
                <w:szCs w:val="21"/>
                <w:highlight w:val="none"/>
              </w:rPr>
              <w:t xml:space="preserve">  </w:t>
            </w:r>
            <w:r>
              <w:rPr>
                <w:rFonts w:hint="eastAsia" w:ascii="Times New Roman" w:hAnsi="Times New Roman" w:eastAsia="宋体" w:cs="Times New Roman"/>
                <w:b/>
                <w:bCs/>
                <w:color w:val="auto"/>
                <w:spacing w:val="11"/>
                <w:sz w:val="21"/>
                <w:szCs w:val="21"/>
                <w:highlight w:val="none"/>
                <w:lang w:val="en-US" w:eastAsia="zh-CN"/>
              </w:rPr>
              <w:t>废气可行技术参考表</w:t>
            </w:r>
          </w:p>
          <w:tbl>
            <w:tblPr>
              <w:tblStyle w:val="24"/>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1457"/>
              <w:gridCol w:w="1478"/>
              <w:gridCol w:w="2505"/>
              <w:gridCol w:w="1494"/>
              <w:gridCol w:w="2009"/>
            </w:tblGrid>
            <w:tr w14:paraId="2E7251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817" w:hRule="atLeast"/>
                <w:jc w:val="center"/>
              </w:trPr>
              <w:tc>
                <w:tcPr>
                  <w:tcW w:w="814" w:type="pct"/>
                  <w:tcBorders>
                    <w:tl2br w:val="nil"/>
                    <w:tr2bl w:val="nil"/>
                  </w:tcBorders>
                  <w:vAlign w:val="center"/>
                </w:tcPr>
                <w:p w14:paraId="452B0583">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r>
                    <w:rPr>
                      <w:rFonts w:hint="eastAsia" w:ascii="Times New Roman" w:hAnsi="Times New Roman" w:eastAsia="宋体" w:cs="Times New Roman"/>
                      <w:color w:val="auto"/>
                      <w:spacing w:val="11"/>
                      <w:kern w:val="0"/>
                      <w:sz w:val="21"/>
                      <w:szCs w:val="21"/>
                      <w:highlight w:val="none"/>
                      <w:lang w:val="en-US" w:eastAsia="zh-CN"/>
                    </w:rPr>
                    <w:t>污染物产生设施</w:t>
                  </w:r>
                </w:p>
              </w:tc>
              <w:tc>
                <w:tcPr>
                  <w:tcW w:w="826" w:type="pct"/>
                  <w:tcBorders>
                    <w:tl2br w:val="nil"/>
                    <w:tr2bl w:val="nil"/>
                  </w:tcBorders>
                  <w:vAlign w:val="center"/>
                </w:tcPr>
                <w:p w14:paraId="368F5D0D">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r>
                    <w:rPr>
                      <w:rFonts w:hint="eastAsia" w:ascii="Times New Roman" w:hAnsi="Times New Roman" w:eastAsia="宋体" w:cs="Times New Roman"/>
                      <w:color w:val="auto"/>
                      <w:spacing w:val="11"/>
                      <w:kern w:val="0"/>
                      <w:sz w:val="21"/>
                      <w:szCs w:val="21"/>
                      <w:highlight w:val="none"/>
                      <w:lang w:val="en-US" w:eastAsia="zh-CN"/>
                    </w:rPr>
                    <w:t>废气产污环节</w:t>
                  </w:r>
                </w:p>
              </w:tc>
              <w:tc>
                <w:tcPr>
                  <w:tcW w:w="1400" w:type="pct"/>
                  <w:tcBorders>
                    <w:tl2br w:val="nil"/>
                    <w:tr2bl w:val="nil"/>
                  </w:tcBorders>
                  <w:vAlign w:val="center"/>
                </w:tcPr>
                <w:p w14:paraId="5807AA3E">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r>
                    <w:rPr>
                      <w:rFonts w:hint="eastAsia" w:ascii="Times New Roman" w:hAnsi="Times New Roman" w:eastAsia="宋体" w:cs="Times New Roman"/>
                      <w:color w:val="auto"/>
                      <w:spacing w:val="11"/>
                      <w:kern w:val="0"/>
                      <w:sz w:val="21"/>
                      <w:szCs w:val="21"/>
                      <w:highlight w:val="none"/>
                      <w:lang w:val="en-US" w:eastAsia="zh-CN"/>
                    </w:rPr>
                    <w:t>污染物种类</w:t>
                  </w:r>
                </w:p>
              </w:tc>
              <w:tc>
                <w:tcPr>
                  <w:tcW w:w="835" w:type="pct"/>
                  <w:tcBorders>
                    <w:tl2br w:val="nil"/>
                    <w:tr2bl w:val="nil"/>
                  </w:tcBorders>
                  <w:vAlign w:val="center"/>
                </w:tcPr>
                <w:p w14:paraId="21C8A31C">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hint="eastAsia" w:ascii="Times New Roman" w:hAnsi="Times New Roman" w:eastAsia="宋体" w:cs="Times New Roman"/>
                      <w:color w:val="auto"/>
                      <w:spacing w:val="11"/>
                      <w:kern w:val="0"/>
                      <w:sz w:val="21"/>
                      <w:szCs w:val="21"/>
                      <w:highlight w:val="none"/>
                      <w:lang w:val="en-US" w:eastAsia="zh-CN"/>
                    </w:rPr>
                    <w:t>排放形式</w:t>
                  </w:r>
                </w:p>
              </w:tc>
              <w:tc>
                <w:tcPr>
                  <w:tcW w:w="1122" w:type="pct"/>
                  <w:tcBorders>
                    <w:tl2br w:val="nil"/>
                    <w:tr2bl w:val="nil"/>
                  </w:tcBorders>
                  <w:vAlign w:val="center"/>
                </w:tcPr>
                <w:p w14:paraId="28A42CC2">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hint="eastAsia" w:ascii="Times New Roman" w:hAnsi="Times New Roman" w:eastAsia="宋体" w:cs="Times New Roman"/>
                      <w:color w:val="auto"/>
                      <w:spacing w:val="11"/>
                      <w:kern w:val="0"/>
                      <w:sz w:val="21"/>
                      <w:szCs w:val="21"/>
                      <w:highlight w:val="none"/>
                      <w:lang w:val="en-US" w:eastAsia="zh-CN"/>
                    </w:rPr>
                    <w:t>可行技术</w:t>
                  </w:r>
                </w:p>
              </w:tc>
            </w:tr>
            <w:tr w14:paraId="233B8B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814" w:type="pct"/>
                  <w:tcBorders>
                    <w:tl2br w:val="nil"/>
                    <w:tr2bl w:val="nil"/>
                  </w:tcBorders>
                  <w:vAlign w:val="center"/>
                </w:tcPr>
                <w:p w14:paraId="172144A8">
                  <w:pPr>
                    <w:adjustRightInd/>
                    <w:snapToGrid/>
                    <w:spacing w:line="240" w:lineRule="auto"/>
                    <w:ind w:firstLine="0" w:firstLineChars="0"/>
                    <w:jc w:val="center"/>
                    <w:rPr>
                      <w:rFonts w:ascii="Times New Roman" w:hAnsi="Times New Roman" w:eastAsia="宋体" w:cs="Times New Roman"/>
                      <w:color w:val="auto"/>
                      <w:spacing w:val="11"/>
                      <w:sz w:val="21"/>
                      <w:szCs w:val="21"/>
                      <w:highlight w:val="none"/>
                    </w:rPr>
                  </w:pPr>
                  <w:r>
                    <w:rPr>
                      <w:rFonts w:hint="eastAsia" w:ascii="Times New Roman" w:hAnsi="Times New Roman" w:eastAsia="宋体" w:cs="Times New Roman"/>
                      <w:color w:val="auto"/>
                      <w:spacing w:val="11"/>
                      <w:kern w:val="0"/>
                      <w:sz w:val="21"/>
                      <w:szCs w:val="21"/>
                      <w:highlight w:val="none"/>
                      <w:lang w:val="en-US" w:eastAsia="zh-CN"/>
                    </w:rPr>
                    <w:t>污水处理站</w:t>
                  </w:r>
                </w:p>
              </w:tc>
              <w:tc>
                <w:tcPr>
                  <w:tcW w:w="826" w:type="pct"/>
                  <w:tcBorders>
                    <w:tl2br w:val="nil"/>
                    <w:tr2bl w:val="nil"/>
                  </w:tcBorders>
                  <w:vAlign w:val="center"/>
                </w:tcPr>
                <w:p w14:paraId="764B154B">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hint="eastAsia" w:ascii="Times New Roman" w:hAnsi="Times New Roman" w:eastAsia="宋体" w:cs="Times New Roman"/>
                      <w:color w:val="auto"/>
                      <w:spacing w:val="11"/>
                      <w:kern w:val="0"/>
                      <w:sz w:val="21"/>
                      <w:szCs w:val="21"/>
                      <w:highlight w:val="none"/>
                      <w:lang w:val="en-US" w:eastAsia="zh-CN"/>
                    </w:rPr>
                    <w:t>污水处理、污泥干化和堆放废气</w:t>
                  </w:r>
                </w:p>
              </w:tc>
              <w:tc>
                <w:tcPr>
                  <w:tcW w:w="1400" w:type="pct"/>
                  <w:tcBorders>
                    <w:tl2br w:val="nil"/>
                    <w:tr2bl w:val="nil"/>
                  </w:tcBorders>
                  <w:vAlign w:val="center"/>
                </w:tcPr>
                <w:p w14:paraId="62F465FE">
                  <w:pPr>
                    <w:adjustRightInd/>
                    <w:snapToGrid/>
                    <w:spacing w:line="240" w:lineRule="auto"/>
                    <w:ind w:firstLine="0" w:firstLineChars="0"/>
                    <w:jc w:val="center"/>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氨、硫化氢、臭气浓度、甲烷（指处理站内最高体积百分数）、氯气</w:t>
                  </w:r>
                </w:p>
              </w:tc>
              <w:tc>
                <w:tcPr>
                  <w:tcW w:w="835" w:type="pct"/>
                  <w:tcBorders>
                    <w:tl2br w:val="nil"/>
                    <w:tr2bl w:val="nil"/>
                  </w:tcBorders>
                  <w:vAlign w:val="center"/>
                </w:tcPr>
                <w:p w14:paraId="501A1A06">
                  <w:pPr>
                    <w:adjustRightInd/>
                    <w:snapToGrid/>
                    <w:spacing w:line="240" w:lineRule="auto"/>
                    <w:ind w:firstLine="0" w:firstLineChars="0"/>
                    <w:jc w:val="center"/>
                    <w:rPr>
                      <w:rFonts w:hint="eastAsia"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无组织</w:t>
                  </w:r>
                </w:p>
              </w:tc>
              <w:tc>
                <w:tcPr>
                  <w:tcW w:w="1122" w:type="pct"/>
                  <w:tcBorders>
                    <w:tl2br w:val="nil"/>
                    <w:tr2bl w:val="nil"/>
                  </w:tcBorders>
                  <w:vAlign w:val="center"/>
                </w:tcPr>
                <w:p w14:paraId="13A03F56">
                  <w:pPr>
                    <w:adjustRightInd/>
                    <w:snapToGrid/>
                    <w:spacing w:line="240" w:lineRule="auto"/>
                    <w:ind w:firstLine="0" w:firstLineChars="0"/>
                    <w:jc w:val="center"/>
                    <w:rPr>
                      <w:rFonts w:hint="eastAsia"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产生恶臭区域加罩或加盖，投放除臭剂</w:t>
                  </w:r>
                </w:p>
              </w:tc>
            </w:tr>
          </w:tbl>
          <w:p w14:paraId="10955D49">
            <w:pPr>
              <w:keepNext w:val="0"/>
              <w:keepLines w:val="0"/>
              <w:pageBreakBefore w:val="0"/>
              <w:widowControl w:val="0"/>
              <w:kinsoku/>
              <w:wordWrap/>
              <w:overflowPunct/>
              <w:topLinePunct w:val="0"/>
              <w:autoSpaceDE/>
              <w:autoSpaceDN/>
              <w:bidi w:val="0"/>
              <w:adjustRightInd w:val="0"/>
              <w:snapToGrid w:val="0"/>
              <w:spacing w:before="167" w:beforeLines="50"/>
              <w:ind w:firstLine="720"/>
              <w:textAlignment w:val="auto"/>
              <w:rPr>
                <w:rFonts w:hint="default" w:ascii="Times New Roman" w:hAnsi="Times New Roman" w:eastAsia="宋体" w:cs="Times New Roman"/>
                <w:color w:val="auto"/>
                <w:spacing w:val="11"/>
                <w:kern w:val="0"/>
                <w:position w:val="0"/>
                <w:sz w:val="24"/>
                <w:szCs w:val="24"/>
                <w:highlight w:val="none"/>
                <w:u w:val="none" w:color="auto"/>
                <w:lang w:val="en-US" w:eastAsia="zh-CN" w:bidi="ar"/>
              </w:rPr>
            </w:pPr>
            <w:r>
              <w:rPr>
                <w:rFonts w:hint="eastAsia" w:eastAsia="宋体"/>
                <w:color w:val="auto"/>
                <w:spacing w:val="11"/>
                <w:szCs w:val="24"/>
                <w:highlight w:val="none"/>
                <w:u w:val="none"/>
                <w:lang w:val="en-US" w:eastAsia="zh-CN"/>
              </w:rPr>
              <w:t>本项目污水处理设施各池体设置为地埋式，只留必要的检修孔，消毒设备设置在密闭房间内</w:t>
            </w:r>
            <w:r>
              <w:rPr>
                <w:rFonts w:hint="eastAsia"/>
                <w:color w:val="auto"/>
                <w:spacing w:val="11"/>
                <w:szCs w:val="24"/>
                <w:highlight w:val="none"/>
                <w:u w:val="none"/>
                <w:lang w:val="en-US" w:eastAsia="zh-CN"/>
              </w:rPr>
              <w:t>，定期投放除臭剂</w:t>
            </w:r>
            <w:r>
              <w:rPr>
                <w:rFonts w:hint="eastAsia" w:eastAsia="宋体"/>
                <w:color w:val="auto"/>
                <w:spacing w:val="11"/>
                <w:szCs w:val="24"/>
                <w:highlight w:val="none"/>
                <w:u w:val="none"/>
                <w:lang w:val="en-US" w:eastAsia="zh-CN"/>
              </w:rPr>
              <w:t>，属于无组织排污许可中可行性技术，且经工程分析可知项目废气产生量较小，对周围环境空气质量影响较小，废气治理措施可行。</w:t>
            </w:r>
          </w:p>
          <w:p w14:paraId="05CC3495">
            <w:pPr>
              <w:tabs>
                <w:tab w:val="left" w:pos="0"/>
                <w:tab w:val="left" w:pos="870"/>
                <w:tab w:val="left" w:pos="3150"/>
              </w:tabs>
              <w:autoSpaceDE w:val="0"/>
              <w:autoSpaceDN w:val="0"/>
              <w:ind w:left="0" w:leftChars="0" w:firstLine="0" w:firstLineChars="0"/>
              <w:rPr>
                <w:rFonts w:ascii="Times New Roman" w:hAnsi="Times New Roman" w:cs="Times New Roman" w:eastAsiaTheme="minorEastAsia"/>
                <w:b/>
                <w:bCs/>
                <w:color w:val="auto"/>
                <w:spacing w:val="11"/>
                <w:position w:val="0"/>
                <w:szCs w:val="24"/>
                <w:highlight w:val="none"/>
                <w:u w:val="none" w:color="auto"/>
              </w:rPr>
            </w:pPr>
            <w:r>
              <w:rPr>
                <w:rFonts w:hint="eastAsia" w:ascii="Times New Roman" w:hAnsi="Times New Roman" w:cs="Times New Roman" w:eastAsiaTheme="minorEastAsia"/>
                <w:b/>
                <w:bCs/>
                <w:color w:val="auto"/>
                <w:spacing w:val="11"/>
                <w:position w:val="0"/>
                <w:szCs w:val="22"/>
                <w:highlight w:val="none"/>
                <w:u w:val="none" w:color="auto"/>
                <w:lang w:val="en-US" w:eastAsia="zh-CN"/>
              </w:rPr>
              <w:t>1.3</w:t>
            </w:r>
            <w:r>
              <w:rPr>
                <w:rFonts w:hint="eastAsia" w:ascii="Times New Roman" w:hAnsi="Times New Roman" w:cs="Times New Roman" w:eastAsiaTheme="minorEastAsia"/>
                <w:b/>
                <w:bCs/>
                <w:color w:val="auto"/>
                <w:spacing w:val="11"/>
                <w:position w:val="0"/>
                <w:szCs w:val="24"/>
                <w:highlight w:val="none"/>
                <w:u w:val="none" w:color="auto"/>
              </w:rPr>
              <w:t>环境监测计划</w:t>
            </w:r>
          </w:p>
          <w:p w14:paraId="2E90B44C">
            <w:pPr>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ascii="Times New Roman" w:hAnsi="Times New Roman" w:cs="Times New Roman" w:eastAsiaTheme="minorEastAsia"/>
                <w:b/>
                <w:color w:val="auto"/>
                <w:spacing w:val="11"/>
                <w:position w:val="0"/>
                <w:sz w:val="21"/>
                <w:szCs w:val="21"/>
                <w:highlight w:val="none"/>
                <w:u w:val="none" w:color="auto"/>
                <w:lang w:val="en-US" w:eastAsia="zh-CN"/>
              </w:rPr>
            </w:pPr>
            <w:r>
              <w:rPr>
                <w:rFonts w:hint="default" w:ascii="Times New Roman" w:hAnsi="Times New Roman" w:cs="Times New Roman" w:eastAsiaTheme="minorEastAsia"/>
                <w:color w:val="auto"/>
                <w:spacing w:val="11"/>
                <w:position w:val="0"/>
                <w:sz w:val="24"/>
                <w:szCs w:val="22"/>
                <w:highlight w:val="none"/>
                <w:u w:val="none" w:color="auto"/>
              </w:rPr>
              <w:t>为及时了解污染源情况，项目要经常开展污染源和环境质量的监测工作，及时发现环境污染问题，并加以控制和解决。</w:t>
            </w:r>
            <w:r>
              <w:rPr>
                <w:rFonts w:hint="default" w:ascii="Times New Roman" w:hAnsi="Times New Roman" w:cs="Times New Roman" w:eastAsiaTheme="minorEastAsia"/>
                <w:color w:val="auto"/>
                <w:spacing w:val="11"/>
                <w:position w:val="0"/>
                <w:sz w:val="24"/>
                <w:szCs w:val="22"/>
                <w:highlight w:val="none"/>
                <w:u w:val="none" w:color="auto"/>
                <w:lang w:val="en-US" w:eastAsia="zh-CN"/>
              </w:rPr>
              <w:t>建设单位应委托有相应监检测资质的第三方检测机构定期对项目的污染源进行采样检测，并形成管理台账</w:t>
            </w:r>
            <w:r>
              <w:rPr>
                <w:rFonts w:hint="eastAsia" w:ascii="Times New Roman" w:hAnsi="Times New Roman" w:cs="Times New Roman" w:eastAsiaTheme="minorEastAsia"/>
                <w:color w:val="auto"/>
                <w:spacing w:val="11"/>
                <w:position w:val="0"/>
                <w:sz w:val="24"/>
                <w:szCs w:val="22"/>
                <w:highlight w:val="none"/>
                <w:u w:val="none" w:color="auto"/>
                <w:lang w:eastAsia="zh-CN"/>
              </w:rPr>
              <w:t>。</w:t>
            </w:r>
            <w:r>
              <w:rPr>
                <w:rFonts w:hint="eastAsia" w:ascii="Times New Roman" w:hAnsi="Times New Roman" w:eastAsia="宋体" w:cs="Times New Roman"/>
                <w:color w:val="auto"/>
                <w:spacing w:val="11"/>
                <w:position w:val="0"/>
                <w:sz w:val="24"/>
                <w:szCs w:val="24"/>
                <w:highlight w:val="none"/>
                <w:u w:val="none" w:color="auto"/>
                <w:lang w:val="en-US" w:eastAsia="zh-CN"/>
              </w:rPr>
              <w:t>参照《排污许可证申请与核发技术规范医疗机构》（HJ1105-2020），</w:t>
            </w:r>
            <w:r>
              <w:rPr>
                <w:rFonts w:hint="default" w:ascii="Times New Roman" w:hAnsi="Times New Roman" w:cs="Times New Roman" w:eastAsiaTheme="minorEastAsia"/>
                <w:color w:val="auto"/>
                <w:spacing w:val="11"/>
                <w:position w:val="0"/>
                <w:sz w:val="24"/>
                <w:szCs w:val="22"/>
                <w:highlight w:val="none"/>
                <w:u w:val="none" w:color="auto"/>
              </w:rPr>
              <w:t>根据本项目污染物排放实际情况，项目常规监测工作计划见表</w:t>
            </w:r>
            <w:r>
              <w:rPr>
                <w:rFonts w:hint="default" w:ascii="Times New Roman" w:hAnsi="Times New Roman" w:cs="Times New Roman" w:eastAsiaTheme="minorEastAsia"/>
                <w:color w:val="auto"/>
                <w:spacing w:val="11"/>
                <w:position w:val="0"/>
                <w:sz w:val="24"/>
                <w:szCs w:val="22"/>
                <w:highlight w:val="none"/>
                <w:u w:val="none" w:color="auto"/>
                <w:lang w:val="en-US" w:eastAsia="zh-CN"/>
              </w:rPr>
              <w:t>4-</w:t>
            </w:r>
            <w:r>
              <w:rPr>
                <w:rFonts w:hint="eastAsia" w:cs="Times New Roman" w:eastAsiaTheme="minorEastAsia"/>
                <w:color w:val="auto"/>
                <w:spacing w:val="11"/>
                <w:position w:val="0"/>
                <w:sz w:val="24"/>
                <w:szCs w:val="22"/>
                <w:highlight w:val="none"/>
                <w:u w:val="none" w:color="auto"/>
                <w:lang w:val="en-US" w:eastAsia="zh-CN"/>
              </w:rPr>
              <w:t>8</w:t>
            </w:r>
            <w:r>
              <w:rPr>
                <w:rFonts w:hint="default" w:ascii="Times New Roman" w:hAnsi="Times New Roman" w:cs="Times New Roman" w:eastAsiaTheme="minorEastAsia"/>
                <w:color w:val="auto"/>
                <w:spacing w:val="11"/>
                <w:position w:val="0"/>
                <w:sz w:val="24"/>
                <w:szCs w:val="22"/>
                <w:highlight w:val="none"/>
                <w:u w:val="none" w:color="auto"/>
              </w:rPr>
              <w:t>。</w:t>
            </w:r>
          </w:p>
          <w:p w14:paraId="63D41AE0">
            <w:pPr>
              <w:spacing w:line="240" w:lineRule="auto"/>
              <w:ind w:left="0" w:leftChars="0" w:firstLine="0" w:firstLineChars="0"/>
              <w:jc w:val="center"/>
              <w:rPr>
                <w:rFonts w:hint="default" w:ascii="Times New Roman" w:hAnsi="Times New Roman" w:cs="Times New Roman" w:eastAsiaTheme="minorEastAsia"/>
                <w:b/>
                <w:color w:val="auto"/>
                <w:spacing w:val="11"/>
                <w:position w:val="0"/>
                <w:sz w:val="21"/>
                <w:szCs w:val="21"/>
                <w:highlight w:val="none"/>
                <w:u w:val="none" w:color="auto"/>
              </w:rPr>
            </w:pPr>
            <w:r>
              <w:rPr>
                <w:rFonts w:hint="default" w:ascii="Times New Roman" w:hAnsi="Times New Roman" w:cs="Times New Roman" w:eastAsiaTheme="minorEastAsia"/>
                <w:b/>
                <w:color w:val="auto"/>
                <w:spacing w:val="11"/>
                <w:position w:val="0"/>
                <w:sz w:val="21"/>
                <w:szCs w:val="21"/>
                <w:highlight w:val="none"/>
                <w:u w:val="none" w:color="auto"/>
              </w:rPr>
              <w:t>表</w:t>
            </w:r>
            <w:r>
              <w:rPr>
                <w:rFonts w:hint="default" w:ascii="Times New Roman" w:hAnsi="Times New Roman" w:cs="Times New Roman" w:eastAsiaTheme="minorEastAsia"/>
                <w:b/>
                <w:color w:val="auto"/>
                <w:spacing w:val="11"/>
                <w:position w:val="0"/>
                <w:sz w:val="21"/>
                <w:szCs w:val="21"/>
                <w:highlight w:val="none"/>
                <w:u w:val="none" w:color="auto"/>
                <w:lang w:val="en-US" w:eastAsia="zh-CN"/>
              </w:rPr>
              <w:t>4-</w:t>
            </w:r>
            <w:r>
              <w:rPr>
                <w:rFonts w:hint="eastAsia" w:cs="Times New Roman" w:eastAsiaTheme="minorEastAsia"/>
                <w:b/>
                <w:color w:val="auto"/>
                <w:spacing w:val="11"/>
                <w:position w:val="0"/>
                <w:sz w:val="21"/>
                <w:szCs w:val="21"/>
                <w:highlight w:val="none"/>
                <w:u w:val="none" w:color="auto"/>
                <w:lang w:val="en-US" w:eastAsia="zh-CN"/>
              </w:rPr>
              <w:t xml:space="preserve">8 </w:t>
            </w:r>
            <w:r>
              <w:rPr>
                <w:rFonts w:hint="default" w:ascii="Times New Roman" w:hAnsi="Times New Roman" w:cs="Times New Roman" w:eastAsiaTheme="minorEastAsia"/>
                <w:b/>
                <w:color w:val="auto"/>
                <w:spacing w:val="11"/>
                <w:position w:val="0"/>
                <w:sz w:val="21"/>
                <w:szCs w:val="21"/>
                <w:highlight w:val="none"/>
                <w:u w:val="none" w:color="auto"/>
              </w:rPr>
              <w:t xml:space="preserve"> </w:t>
            </w:r>
            <w:r>
              <w:rPr>
                <w:rFonts w:hint="default" w:ascii="Times New Roman" w:hAnsi="Times New Roman" w:cs="Times New Roman" w:eastAsiaTheme="minorEastAsia"/>
                <w:b/>
                <w:color w:val="auto"/>
                <w:spacing w:val="11"/>
                <w:position w:val="0"/>
                <w:sz w:val="21"/>
                <w:szCs w:val="21"/>
                <w:highlight w:val="none"/>
                <w:u w:val="none" w:color="auto"/>
                <w:lang w:val="en-US" w:eastAsia="zh-CN"/>
              </w:rPr>
              <w:t>项目建成后</w:t>
            </w:r>
            <w:r>
              <w:rPr>
                <w:rFonts w:hint="eastAsia" w:cs="Times New Roman" w:eastAsiaTheme="minorEastAsia"/>
                <w:b/>
                <w:color w:val="auto"/>
                <w:spacing w:val="11"/>
                <w:position w:val="0"/>
                <w:sz w:val="21"/>
                <w:szCs w:val="21"/>
                <w:highlight w:val="none"/>
                <w:u w:val="none" w:color="auto"/>
                <w:lang w:val="en-US" w:eastAsia="zh-CN"/>
              </w:rPr>
              <w:t>废气</w:t>
            </w:r>
            <w:r>
              <w:rPr>
                <w:rFonts w:hint="default" w:ascii="Times New Roman" w:hAnsi="Times New Roman" w:cs="Times New Roman" w:eastAsiaTheme="minorEastAsia"/>
                <w:b/>
                <w:color w:val="auto"/>
                <w:spacing w:val="11"/>
                <w:position w:val="0"/>
                <w:sz w:val="21"/>
                <w:szCs w:val="21"/>
                <w:highlight w:val="none"/>
                <w:u w:val="none" w:color="auto"/>
              </w:rPr>
              <w:t>污染源监测计划</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47"/>
              <w:gridCol w:w="2531"/>
              <w:gridCol w:w="1265"/>
              <w:gridCol w:w="3399"/>
            </w:tblGrid>
            <w:tr w14:paraId="068760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76" w:type="pct"/>
                  <w:tcBorders>
                    <w:tl2br w:val="nil"/>
                    <w:tr2bl w:val="nil"/>
                  </w:tcBorders>
                  <w:noWrap w:val="0"/>
                  <w:vAlign w:val="center"/>
                </w:tcPr>
                <w:p w14:paraId="32EBF0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vertAlign w:val="baseline"/>
                      <w:lang w:val="en-US" w:eastAsia="zh-CN"/>
                    </w:rPr>
                  </w:pPr>
                  <w:r>
                    <w:rPr>
                      <w:rFonts w:hint="eastAsia" w:ascii="Times New Roman" w:hAnsi="Times New Roman" w:cs="Times New Roman"/>
                      <w:b w:val="0"/>
                      <w:bCs w:val="0"/>
                      <w:color w:val="auto"/>
                      <w:spacing w:val="11"/>
                      <w:position w:val="0"/>
                      <w:sz w:val="21"/>
                      <w:szCs w:val="21"/>
                      <w:highlight w:val="none"/>
                      <w:u w:val="none" w:color="auto"/>
                      <w:vertAlign w:val="baseline"/>
                      <w:lang w:val="en-US" w:eastAsia="zh-CN"/>
                    </w:rPr>
                    <w:t>监测位置</w:t>
                  </w:r>
                </w:p>
              </w:tc>
              <w:tc>
                <w:tcPr>
                  <w:tcW w:w="1415" w:type="pct"/>
                  <w:tcBorders>
                    <w:tl2br w:val="nil"/>
                    <w:tr2bl w:val="nil"/>
                  </w:tcBorders>
                  <w:noWrap w:val="0"/>
                  <w:vAlign w:val="center"/>
                </w:tcPr>
                <w:p w14:paraId="57B3B8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vertAlign w:val="baseline"/>
                      <w:lang w:val="en-US" w:eastAsia="zh-CN"/>
                    </w:rPr>
                  </w:pPr>
                  <w:r>
                    <w:rPr>
                      <w:rFonts w:hint="eastAsia" w:ascii="Times New Roman" w:hAnsi="Times New Roman" w:cs="Times New Roman"/>
                      <w:b w:val="0"/>
                      <w:bCs w:val="0"/>
                      <w:color w:val="auto"/>
                      <w:spacing w:val="11"/>
                      <w:position w:val="0"/>
                      <w:sz w:val="21"/>
                      <w:szCs w:val="21"/>
                      <w:highlight w:val="none"/>
                      <w:u w:val="none" w:color="auto"/>
                      <w:vertAlign w:val="baseline"/>
                      <w:lang w:val="en-US" w:eastAsia="zh-CN"/>
                    </w:rPr>
                    <w:t>监测指标</w:t>
                  </w:r>
                </w:p>
              </w:tc>
              <w:tc>
                <w:tcPr>
                  <w:tcW w:w="707" w:type="pct"/>
                  <w:tcBorders>
                    <w:tl2br w:val="nil"/>
                    <w:tr2bl w:val="nil"/>
                  </w:tcBorders>
                  <w:noWrap w:val="0"/>
                  <w:vAlign w:val="center"/>
                </w:tcPr>
                <w:p w14:paraId="4C42C9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vertAlign w:val="baseline"/>
                      <w:lang w:val="en-US" w:eastAsia="zh-CN"/>
                    </w:rPr>
                  </w:pPr>
                  <w:r>
                    <w:rPr>
                      <w:rFonts w:hint="eastAsia" w:ascii="Times New Roman" w:hAnsi="Times New Roman" w:cs="Times New Roman"/>
                      <w:b w:val="0"/>
                      <w:bCs w:val="0"/>
                      <w:color w:val="auto"/>
                      <w:spacing w:val="11"/>
                      <w:position w:val="0"/>
                      <w:sz w:val="21"/>
                      <w:szCs w:val="21"/>
                      <w:highlight w:val="none"/>
                      <w:u w:val="none" w:color="auto"/>
                      <w:vertAlign w:val="baseline"/>
                      <w:lang w:val="en-US" w:eastAsia="zh-CN"/>
                    </w:rPr>
                    <w:t>监测频次</w:t>
                  </w:r>
                </w:p>
              </w:tc>
              <w:tc>
                <w:tcPr>
                  <w:tcW w:w="1900" w:type="pct"/>
                  <w:tcBorders>
                    <w:tl2br w:val="nil"/>
                    <w:tr2bl w:val="nil"/>
                  </w:tcBorders>
                  <w:noWrap w:val="0"/>
                  <w:vAlign w:val="center"/>
                </w:tcPr>
                <w:p w14:paraId="4467F4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vertAlign w:val="baseline"/>
                      <w:lang w:val="en-US" w:eastAsia="zh-CN"/>
                    </w:rPr>
                  </w:pPr>
                  <w:r>
                    <w:rPr>
                      <w:rFonts w:hint="eastAsia" w:ascii="Times New Roman" w:hAnsi="Times New Roman" w:cs="Times New Roman"/>
                      <w:b w:val="0"/>
                      <w:bCs w:val="0"/>
                      <w:color w:val="auto"/>
                      <w:spacing w:val="11"/>
                      <w:position w:val="0"/>
                      <w:sz w:val="21"/>
                      <w:szCs w:val="21"/>
                      <w:highlight w:val="none"/>
                      <w:u w:val="none" w:color="auto"/>
                      <w:vertAlign w:val="baseline"/>
                      <w:lang w:val="en-US" w:eastAsia="zh-CN"/>
                    </w:rPr>
                    <w:t>执行标准</w:t>
                  </w:r>
                </w:p>
              </w:tc>
            </w:tr>
            <w:tr w14:paraId="1F5F9F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76" w:type="pct"/>
                  <w:tcBorders>
                    <w:tl2br w:val="nil"/>
                    <w:tr2bl w:val="nil"/>
                  </w:tcBorders>
                  <w:noWrap w:val="0"/>
                  <w:vAlign w:val="center"/>
                </w:tcPr>
                <w:p w14:paraId="61170D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vertAlign w:val="baseline"/>
                      <w:lang w:val="en-US" w:eastAsia="zh-CN"/>
                    </w:rPr>
                  </w:pPr>
                  <w:r>
                    <w:rPr>
                      <w:rFonts w:hint="eastAsia" w:cs="Times New Roman"/>
                      <w:b w:val="0"/>
                      <w:bCs w:val="0"/>
                      <w:color w:val="auto"/>
                      <w:spacing w:val="11"/>
                      <w:position w:val="0"/>
                      <w:sz w:val="21"/>
                      <w:szCs w:val="21"/>
                      <w:highlight w:val="none"/>
                      <w:u w:val="none" w:color="auto"/>
                      <w:vertAlign w:val="baseline"/>
                      <w:lang w:val="en-US" w:eastAsia="zh-CN"/>
                    </w:rPr>
                    <w:t>污水处理站周界</w:t>
                  </w:r>
                </w:p>
              </w:tc>
              <w:tc>
                <w:tcPr>
                  <w:tcW w:w="1415" w:type="pct"/>
                  <w:tcBorders>
                    <w:tl2br w:val="nil"/>
                    <w:tr2bl w:val="nil"/>
                  </w:tcBorders>
                  <w:noWrap w:val="0"/>
                  <w:vAlign w:val="center"/>
                </w:tcPr>
                <w:p w14:paraId="09E1E8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vertAlign w:val="baseline"/>
                      <w:lang w:val="en-US" w:eastAsia="zh-CN"/>
                    </w:rPr>
                  </w:pPr>
                  <w:r>
                    <w:rPr>
                      <w:rFonts w:hint="eastAsia" w:cs="Times New Roman"/>
                      <w:b w:val="0"/>
                      <w:bCs w:val="0"/>
                      <w:color w:val="auto"/>
                      <w:spacing w:val="11"/>
                      <w:position w:val="0"/>
                      <w:sz w:val="21"/>
                      <w:szCs w:val="21"/>
                      <w:highlight w:val="none"/>
                      <w:u w:val="none" w:color="auto"/>
                      <w:vertAlign w:val="baseline"/>
                      <w:lang w:val="en-US" w:eastAsia="zh-CN"/>
                    </w:rPr>
                    <w:t>氨、硫化氢、臭气浓度、氯气、甲烷（指处理站内最高体积百分数）</w:t>
                  </w:r>
                </w:p>
              </w:tc>
              <w:tc>
                <w:tcPr>
                  <w:tcW w:w="707" w:type="pct"/>
                  <w:tcBorders>
                    <w:tl2br w:val="nil"/>
                    <w:tr2bl w:val="nil"/>
                  </w:tcBorders>
                  <w:shd w:val="clear" w:color="auto" w:fill="auto"/>
                  <w:noWrap w:val="0"/>
                  <w:vAlign w:val="center"/>
                </w:tcPr>
                <w:p w14:paraId="41FF0A5A">
                  <w:pPr>
                    <w:spacing w:line="240" w:lineRule="auto"/>
                    <w:ind w:firstLine="0" w:firstLineChars="0"/>
                    <w:jc w:val="center"/>
                    <w:rPr>
                      <w:rFonts w:hint="default" w:ascii="Times New Roman" w:hAnsi="Times New Roman" w:eastAsia="宋体" w:cs="Times New Roman"/>
                      <w:color w:val="auto"/>
                      <w:spacing w:val="11"/>
                      <w:kern w:val="0"/>
                      <w:sz w:val="21"/>
                      <w:szCs w:val="20"/>
                      <w:highlight w:val="none"/>
                      <w:u w:val="none"/>
                      <w:lang w:val="en-US" w:eastAsia="zh-CN" w:bidi="ar-SA"/>
                    </w:rPr>
                  </w:pPr>
                  <w:r>
                    <w:rPr>
                      <w:rFonts w:hint="eastAsia"/>
                      <w:color w:val="auto"/>
                      <w:spacing w:val="11"/>
                      <w:kern w:val="0"/>
                      <w:sz w:val="21"/>
                      <w:szCs w:val="20"/>
                      <w:highlight w:val="none"/>
                      <w:u w:val="none"/>
                    </w:rPr>
                    <w:t>1次/</w:t>
                  </w:r>
                  <w:r>
                    <w:rPr>
                      <w:rFonts w:hint="eastAsia"/>
                      <w:color w:val="auto"/>
                      <w:spacing w:val="11"/>
                      <w:kern w:val="0"/>
                      <w:sz w:val="21"/>
                      <w:szCs w:val="20"/>
                      <w:highlight w:val="none"/>
                      <w:u w:val="none"/>
                      <w:lang w:val="en-US" w:eastAsia="zh-CN"/>
                    </w:rPr>
                    <w:t>季</w:t>
                  </w:r>
                </w:p>
              </w:tc>
              <w:tc>
                <w:tcPr>
                  <w:tcW w:w="1900" w:type="pct"/>
                  <w:tcBorders>
                    <w:tl2br w:val="nil"/>
                    <w:tr2bl w:val="nil"/>
                  </w:tcBorders>
                  <w:shd w:val="clear" w:color="auto" w:fill="auto"/>
                  <w:noWrap w:val="0"/>
                  <w:vAlign w:val="center"/>
                </w:tcPr>
                <w:p w14:paraId="5EE45F46">
                  <w:pPr>
                    <w:spacing w:line="240" w:lineRule="auto"/>
                    <w:ind w:firstLine="0" w:firstLineChars="0"/>
                    <w:jc w:val="center"/>
                    <w:rPr>
                      <w:rFonts w:hint="default" w:ascii="Times New Roman" w:hAnsi="Times New Roman" w:eastAsia="宋体" w:cs="Times New Roman"/>
                      <w:color w:val="auto"/>
                      <w:spacing w:val="11"/>
                      <w:kern w:val="0"/>
                      <w:sz w:val="21"/>
                      <w:szCs w:val="20"/>
                      <w:highlight w:val="none"/>
                      <w:u w:val="none"/>
                      <w:lang w:val="en-US" w:eastAsia="zh-CN" w:bidi="ar-SA"/>
                    </w:rPr>
                  </w:pPr>
                  <w:r>
                    <w:rPr>
                      <w:rFonts w:hint="eastAsia"/>
                      <w:color w:val="auto"/>
                      <w:spacing w:val="11"/>
                      <w:kern w:val="0"/>
                      <w:sz w:val="21"/>
                      <w:szCs w:val="20"/>
                      <w:highlight w:val="none"/>
                      <w:u w:val="none"/>
                    </w:rPr>
                    <w:t>《医疗机构水污染物排放标准》（GB18466－2005）中表</w:t>
                  </w:r>
                  <w:r>
                    <w:rPr>
                      <w:rFonts w:hint="eastAsia"/>
                      <w:color w:val="auto"/>
                      <w:spacing w:val="11"/>
                      <w:kern w:val="0"/>
                      <w:sz w:val="21"/>
                      <w:szCs w:val="20"/>
                      <w:highlight w:val="none"/>
                      <w:u w:val="none"/>
                      <w:lang w:val="en-US" w:eastAsia="zh-CN"/>
                    </w:rPr>
                    <w:t>3</w:t>
                  </w:r>
                  <w:r>
                    <w:rPr>
                      <w:rFonts w:hint="eastAsia"/>
                      <w:color w:val="auto"/>
                      <w:spacing w:val="11"/>
                      <w:kern w:val="0"/>
                      <w:sz w:val="21"/>
                      <w:szCs w:val="20"/>
                      <w:highlight w:val="none"/>
                      <w:u w:val="none"/>
                    </w:rPr>
                    <w:t>污水处理站周边大气污染物最高允许浓度</w:t>
                  </w:r>
                </w:p>
              </w:tc>
            </w:tr>
          </w:tbl>
          <w:p w14:paraId="66AED8EA">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Autospacing="0" w:line="360" w:lineRule="auto"/>
              <w:ind w:left="0" w:leftChars="0" w:right="0" w:firstLine="0" w:firstLineChars="0"/>
              <w:textAlignment w:val="auto"/>
              <w:rPr>
                <w:rFonts w:hint="eastAsia" w:cs="Times New Roman"/>
                <w:b/>
                <w:bCs/>
                <w:color w:val="auto"/>
                <w:spacing w:val="11"/>
                <w:position w:val="0"/>
                <w:sz w:val="24"/>
                <w:szCs w:val="24"/>
                <w:highlight w:val="none"/>
                <w:u w:val="none" w:color="auto"/>
                <w:lang w:val="en-US" w:eastAsia="zh-CN"/>
              </w:rPr>
            </w:pPr>
            <w:r>
              <w:rPr>
                <w:rFonts w:hint="eastAsia" w:cs="Times New Roman"/>
                <w:b/>
                <w:bCs/>
                <w:color w:val="auto"/>
                <w:spacing w:val="11"/>
                <w:position w:val="0"/>
                <w:sz w:val="24"/>
                <w:szCs w:val="24"/>
                <w:highlight w:val="none"/>
                <w:u w:val="none" w:color="auto"/>
                <w:lang w:val="en-US" w:eastAsia="zh-CN"/>
              </w:rPr>
              <w:t>2水环境影响分析</w:t>
            </w:r>
          </w:p>
          <w:p w14:paraId="2364C8E2">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524" w:firstLineChars="200"/>
              <w:textAlignment w:val="auto"/>
              <w:rPr>
                <w:rFonts w:hint="default" w:ascii="Times New Roman" w:hAnsi="Times New Roman" w:cs="Times New Roman" w:eastAsiaTheme="minorEastAsia"/>
                <w:color w:val="auto"/>
                <w:spacing w:val="11"/>
                <w:position w:val="0"/>
                <w:sz w:val="24"/>
                <w:highlight w:val="none"/>
                <w:u w:val="none" w:color="auto"/>
                <w:lang w:val="en-US" w:eastAsia="zh-CN"/>
              </w:rPr>
            </w:pPr>
            <w:r>
              <w:rPr>
                <w:rFonts w:hint="default" w:ascii="Times New Roman" w:hAnsi="Times New Roman" w:cs="Times New Roman" w:eastAsiaTheme="minorEastAsia"/>
                <w:color w:val="auto"/>
                <w:spacing w:val="11"/>
                <w:position w:val="0"/>
                <w:sz w:val="24"/>
                <w:highlight w:val="none"/>
                <w:u w:val="none" w:color="auto"/>
                <w:lang w:val="en-US" w:eastAsia="zh-CN"/>
              </w:rPr>
              <w:t>本项目排水实行“雨污分流”制，雨水经收集后排入市政雨水管网</w:t>
            </w:r>
            <w:r>
              <w:rPr>
                <w:rFonts w:hint="eastAsia" w:cs="Times New Roman" w:eastAsiaTheme="minorEastAsia"/>
                <w:color w:val="auto"/>
                <w:spacing w:val="11"/>
                <w:position w:val="0"/>
                <w:sz w:val="24"/>
                <w:highlight w:val="none"/>
                <w:u w:val="none" w:color="auto"/>
                <w:lang w:val="en-US" w:eastAsia="zh-CN"/>
              </w:rPr>
              <w:t>，</w:t>
            </w:r>
            <w:r>
              <w:rPr>
                <w:rFonts w:hint="default" w:ascii="Times New Roman" w:hAnsi="Times New Roman" w:cs="Times New Roman" w:eastAsiaTheme="minorEastAsia"/>
                <w:color w:val="auto"/>
                <w:spacing w:val="11"/>
                <w:position w:val="0"/>
                <w:sz w:val="24"/>
                <w:highlight w:val="none"/>
                <w:u w:val="none" w:color="auto"/>
                <w:lang w:val="en-US" w:eastAsia="zh-CN"/>
              </w:rPr>
              <w:t>项目产生的废水主要为医护人员日常产生的生活污水</w:t>
            </w:r>
            <w:r>
              <w:rPr>
                <w:rFonts w:hint="eastAsia" w:cs="Times New Roman" w:eastAsiaTheme="minorEastAsia"/>
                <w:color w:val="auto"/>
                <w:spacing w:val="11"/>
                <w:position w:val="0"/>
                <w:sz w:val="24"/>
                <w:highlight w:val="none"/>
                <w:u w:val="none" w:color="auto"/>
                <w:lang w:val="en-US" w:eastAsia="zh-CN"/>
              </w:rPr>
              <w:t>以及</w:t>
            </w:r>
            <w:r>
              <w:rPr>
                <w:rFonts w:hint="default" w:ascii="Times New Roman" w:hAnsi="Times New Roman" w:cs="Times New Roman" w:eastAsiaTheme="minorEastAsia"/>
                <w:color w:val="auto"/>
                <w:spacing w:val="11"/>
                <w:position w:val="0"/>
                <w:sz w:val="24"/>
                <w:highlight w:val="none"/>
                <w:u w:val="none" w:color="auto"/>
                <w:lang w:val="en-US" w:eastAsia="zh-CN"/>
              </w:rPr>
              <w:t>医疗废水（主要包括病房用水、门诊用水、检验科废水）</w:t>
            </w:r>
            <w:r>
              <w:rPr>
                <w:rFonts w:hint="eastAsia" w:cs="Times New Roman" w:eastAsiaTheme="minorEastAsia"/>
                <w:color w:val="auto"/>
                <w:spacing w:val="11"/>
                <w:position w:val="0"/>
                <w:sz w:val="24"/>
                <w:highlight w:val="none"/>
                <w:u w:val="none" w:color="auto"/>
                <w:lang w:val="en-US" w:eastAsia="zh-CN"/>
              </w:rPr>
              <w:t>。本医院口腔科只制作牙座模具，假牙等将委托外单位制作，医院仅进行假牙等的安装不产生含汞及含铬污水。</w:t>
            </w:r>
          </w:p>
          <w:p w14:paraId="67E813CE">
            <w:pPr>
              <w:ind w:left="0" w:leftChars="0" w:firstLine="0" w:firstLineChars="0"/>
              <w:rPr>
                <w:rFonts w:hint="default" w:ascii="Times New Roman" w:hAnsi="Times New Roman" w:eastAsia="宋体" w:cs="Times New Roman"/>
                <w:color w:val="auto"/>
                <w:spacing w:val="11"/>
                <w:position w:val="0"/>
                <w:szCs w:val="24"/>
                <w:highlight w:val="yellow"/>
                <w:u w:val="none" w:color="auto"/>
                <w:lang w:val="en-US"/>
              </w:rPr>
            </w:pPr>
            <w:r>
              <w:rPr>
                <w:rFonts w:hint="eastAsia" w:ascii="Times New Roman" w:hAnsi="Times New Roman" w:eastAsia="宋体" w:cs="Times New Roman"/>
                <w:b/>
                <w:bCs/>
                <w:color w:val="auto"/>
                <w:spacing w:val="11"/>
                <w:position w:val="0"/>
                <w:szCs w:val="24"/>
                <w:highlight w:val="none"/>
                <w:u w:val="none" w:color="auto"/>
                <w:lang w:val="en-US" w:eastAsia="zh-CN"/>
              </w:rPr>
              <w:t>2.1废水产生源强</w:t>
            </w:r>
          </w:p>
          <w:p w14:paraId="30F996F4">
            <w:pPr>
              <w:ind w:firstLine="480"/>
              <w:rPr>
                <w:rFonts w:ascii="Times New Roman" w:hAnsi="Times New Roman" w:eastAsia="宋体" w:cs="Times New Roman"/>
                <w:color w:val="auto"/>
                <w:spacing w:val="11"/>
                <w:position w:val="0"/>
                <w:szCs w:val="24"/>
                <w:highlight w:val="none"/>
                <w:u w:val="single" w:color="auto"/>
              </w:rPr>
            </w:pPr>
            <w:r>
              <w:rPr>
                <w:rFonts w:ascii="Times New Roman" w:hAnsi="Times New Roman" w:eastAsia="宋体" w:cs="Times New Roman"/>
                <w:color w:val="auto"/>
                <w:spacing w:val="11"/>
                <w:position w:val="0"/>
                <w:szCs w:val="24"/>
                <w:highlight w:val="none"/>
                <w:u w:val="single" w:color="auto"/>
              </w:rPr>
              <w:t>（</w:t>
            </w:r>
            <w:r>
              <w:rPr>
                <w:rFonts w:hint="eastAsia" w:cs="Times New Roman"/>
                <w:color w:val="auto"/>
                <w:spacing w:val="11"/>
                <w:position w:val="0"/>
                <w:szCs w:val="24"/>
                <w:highlight w:val="none"/>
                <w:u w:val="single" w:color="auto"/>
                <w:lang w:val="en-US" w:eastAsia="zh-CN"/>
              </w:rPr>
              <w:t>1</w:t>
            </w:r>
            <w:r>
              <w:rPr>
                <w:rFonts w:ascii="Times New Roman" w:hAnsi="Times New Roman" w:eastAsia="宋体" w:cs="Times New Roman"/>
                <w:color w:val="auto"/>
                <w:spacing w:val="11"/>
                <w:position w:val="0"/>
                <w:szCs w:val="24"/>
                <w:highlight w:val="none"/>
                <w:u w:val="single" w:color="auto"/>
              </w:rPr>
              <w:t>）生活污水</w:t>
            </w:r>
          </w:p>
          <w:p w14:paraId="7DD6616A">
            <w:pPr>
              <w:ind w:firstLine="480"/>
              <w:rPr>
                <w:rFonts w:eastAsia="宋体"/>
                <w:bCs/>
                <w:color w:val="auto"/>
                <w:spacing w:val="11"/>
                <w:szCs w:val="24"/>
                <w:highlight w:val="none"/>
                <w:u w:val="single" w:color="auto"/>
              </w:rPr>
            </w:pPr>
            <w:r>
              <w:rPr>
                <w:rFonts w:eastAsia="宋体"/>
                <w:bCs/>
                <w:color w:val="auto"/>
                <w:spacing w:val="11"/>
                <w:szCs w:val="24"/>
                <w:highlight w:val="none"/>
                <w:u w:val="single" w:color="auto"/>
              </w:rPr>
              <w:t>本项目</w:t>
            </w:r>
            <w:r>
              <w:rPr>
                <w:rFonts w:hint="eastAsia"/>
                <w:bCs/>
                <w:color w:val="auto"/>
                <w:spacing w:val="11"/>
                <w:szCs w:val="24"/>
                <w:highlight w:val="none"/>
                <w:u w:val="single" w:color="auto"/>
                <w:lang w:val="en-US" w:eastAsia="zh-CN"/>
              </w:rPr>
              <w:t>建成后，共配备210名医务工作人员，从院内调动，不新增工作人员，</w:t>
            </w:r>
            <w:r>
              <w:rPr>
                <w:rFonts w:eastAsia="宋体"/>
                <w:bCs/>
                <w:color w:val="auto"/>
                <w:spacing w:val="11"/>
                <w:szCs w:val="24"/>
                <w:highlight w:val="none"/>
                <w:u w:val="single" w:color="auto"/>
              </w:rPr>
              <w:t>生活污水主要来自</w:t>
            </w:r>
            <w:r>
              <w:rPr>
                <w:rFonts w:hint="eastAsia" w:eastAsia="宋体"/>
                <w:bCs/>
                <w:color w:val="auto"/>
                <w:spacing w:val="11"/>
                <w:szCs w:val="24"/>
                <w:highlight w:val="none"/>
                <w:u w:val="single" w:color="auto"/>
                <w:lang w:val="en-US" w:eastAsia="zh-CN"/>
              </w:rPr>
              <w:t>医务工作人员</w:t>
            </w:r>
            <w:r>
              <w:rPr>
                <w:rFonts w:eastAsia="宋体"/>
                <w:bCs/>
                <w:color w:val="auto"/>
                <w:spacing w:val="11"/>
                <w:szCs w:val="24"/>
                <w:highlight w:val="none"/>
                <w:u w:val="single" w:color="auto"/>
              </w:rPr>
              <w:t>的</w:t>
            </w:r>
            <w:r>
              <w:rPr>
                <w:rFonts w:hint="eastAsia" w:eastAsia="宋体"/>
                <w:bCs/>
                <w:color w:val="auto"/>
                <w:spacing w:val="11"/>
                <w:szCs w:val="24"/>
                <w:highlight w:val="none"/>
                <w:u w:val="single" w:color="auto"/>
                <w:lang w:val="en-US" w:eastAsia="zh-CN"/>
              </w:rPr>
              <w:t>日常</w:t>
            </w:r>
            <w:r>
              <w:rPr>
                <w:rFonts w:eastAsia="宋体"/>
                <w:bCs/>
                <w:color w:val="auto"/>
                <w:spacing w:val="11"/>
                <w:szCs w:val="24"/>
                <w:highlight w:val="none"/>
                <w:u w:val="single" w:color="auto"/>
              </w:rPr>
              <w:t>生活污水。根据</w:t>
            </w:r>
            <w:r>
              <w:rPr>
                <w:rFonts w:hint="eastAsia" w:eastAsia="宋体"/>
                <w:bCs/>
                <w:color w:val="auto"/>
                <w:spacing w:val="11"/>
                <w:szCs w:val="24"/>
                <w:highlight w:val="none"/>
                <w:u w:val="single" w:color="auto"/>
              </w:rPr>
              <w:t>《湖南省用水定额》（DB43/T 388-2020）</w:t>
            </w:r>
            <w:r>
              <w:rPr>
                <w:rFonts w:eastAsia="宋体"/>
                <w:bCs/>
                <w:color w:val="auto"/>
                <w:spacing w:val="11"/>
                <w:szCs w:val="24"/>
                <w:highlight w:val="none"/>
                <w:u w:val="single" w:color="auto"/>
              </w:rPr>
              <w:t>，员工生活用水量按</w:t>
            </w:r>
            <w:r>
              <w:rPr>
                <w:rFonts w:hint="eastAsia" w:eastAsia="宋体"/>
                <w:bCs/>
                <w:color w:val="auto"/>
                <w:spacing w:val="11"/>
                <w:szCs w:val="24"/>
                <w:highlight w:val="none"/>
                <w:u w:val="single" w:color="auto"/>
                <w:lang w:val="en-US" w:eastAsia="zh-CN"/>
              </w:rPr>
              <w:t>120</w:t>
            </w:r>
            <w:r>
              <w:rPr>
                <w:rFonts w:eastAsia="宋体"/>
                <w:bCs/>
                <w:color w:val="auto"/>
                <w:spacing w:val="11"/>
                <w:szCs w:val="24"/>
                <w:highlight w:val="none"/>
                <w:u w:val="single" w:color="auto"/>
              </w:rPr>
              <w:t>L/人·d计算，则生活用水量为</w:t>
            </w:r>
            <w:r>
              <w:rPr>
                <w:rFonts w:hint="eastAsia"/>
                <w:bCs/>
                <w:color w:val="auto"/>
                <w:spacing w:val="11"/>
                <w:szCs w:val="24"/>
                <w:highlight w:val="none"/>
                <w:u w:val="single" w:color="auto"/>
                <w:lang w:val="en-US" w:eastAsia="zh-CN"/>
              </w:rPr>
              <w:t>25.2</w:t>
            </w:r>
            <w:r>
              <w:rPr>
                <w:rFonts w:eastAsia="宋体"/>
                <w:bCs/>
                <w:color w:val="auto"/>
                <w:spacing w:val="11"/>
                <w:szCs w:val="24"/>
                <w:highlight w:val="none"/>
                <w:u w:val="single" w:color="auto"/>
              </w:rPr>
              <w:t>m</w:t>
            </w:r>
            <w:r>
              <w:rPr>
                <w:rFonts w:eastAsia="宋体"/>
                <w:bCs/>
                <w:color w:val="auto"/>
                <w:spacing w:val="11"/>
                <w:szCs w:val="24"/>
                <w:highlight w:val="none"/>
                <w:u w:val="single" w:color="auto"/>
                <w:vertAlign w:val="superscript"/>
              </w:rPr>
              <w:t>3</w:t>
            </w:r>
            <w:r>
              <w:rPr>
                <w:rFonts w:eastAsia="宋体"/>
                <w:bCs/>
                <w:color w:val="auto"/>
                <w:spacing w:val="11"/>
                <w:szCs w:val="24"/>
                <w:highlight w:val="none"/>
                <w:u w:val="single" w:color="auto"/>
              </w:rPr>
              <w:t>/d（</w:t>
            </w:r>
            <w:r>
              <w:rPr>
                <w:rFonts w:hint="eastAsia"/>
                <w:bCs/>
                <w:color w:val="auto"/>
                <w:spacing w:val="11"/>
                <w:szCs w:val="24"/>
                <w:highlight w:val="none"/>
                <w:u w:val="single" w:color="auto"/>
                <w:lang w:val="en-US" w:eastAsia="zh-CN"/>
              </w:rPr>
              <w:t>9198</w:t>
            </w:r>
            <w:r>
              <w:rPr>
                <w:rFonts w:eastAsia="宋体"/>
                <w:color w:val="auto"/>
                <w:spacing w:val="11"/>
                <w:szCs w:val="24"/>
                <w:highlight w:val="none"/>
                <w:u w:val="single" w:color="auto"/>
              </w:rPr>
              <w:t>m</w:t>
            </w:r>
            <w:r>
              <w:rPr>
                <w:rFonts w:eastAsia="宋体"/>
                <w:color w:val="auto"/>
                <w:spacing w:val="11"/>
                <w:szCs w:val="24"/>
                <w:highlight w:val="none"/>
                <w:u w:val="single" w:color="auto"/>
                <w:vertAlign w:val="superscript"/>
              </w:rPr>
              <w:t>3</w:t>
            </w:r>
            <w:r>
              <w:rPr>
                <w:rFonts w:eastAsia="宋体"/>
                <w:color w:val="auto"/>
                <w:spacing w:val="11"/>
                <w:kern w:val="0"/>
                <w:szCs w:val="24"/>
                <w:highlight w:val="none"/>
                <w:u w:val="single" w:color="auto"/>
              </w:rPr>
              <w:t>/a</w:t>
            </w:r>
            <w:r>
              <w:rPr>
                <w:rFonts w:eastAsia="宋体"/>
                <w:bCs/>
                <w:color w:val="auto"/>
                <w:spacing w:val="11"/>
                <w:szCs w:val="24"/>
                <w:highlight w:val="none"/>
                <w:u w:val="single" w:color="auto"/>
              </w:rPr>
              <w:t>），废水产生量按用水量的80%计算，则员工</w:t>
            </w:r>
            <w:r>
              <w:rPr>
                <w:rFonts w:eastAsia="宋体"/>
                <w:color w:val="auto"/>
                <w:spacing w:val="11"/>
                <w:kern w:val="0"/>
                <w:szCs w:val="24"/>
                <w:highlight w:val="none"/>
                <w:u w:val="single" w:color="auto"/>
              </w:rPr>
              <w:t>生活污水</w:t>
            </w:r>
            <w:r>
              <w:rPr>
                <w:rFonts w:hint="eastAsia" w:eastAsia="宋体"/>
                <w:color w:val="auto"/>
                <w:spacing w:val="11"/>
                <w:kern w:val="0"/>
                <w:szCs w:val="24"/>
                <w:highlight w:val="none"/>
                <w:u w:val="single" w:color="auto"/>
                <w:lang w:val="en-US" w:eastAsia="zh-CN"/>
              </w:rPr>
              <w:t>排放</w:t>
            </w:r>
            <w:r>
              <w:rPr>
                <w:rFonts w:eastAsia="宋体"/>
                <w:color w:val="auto"/>
                <w:spacing w:val="11"/>
                <w:kern w:val="0"/>
                <w:szCs w:val="24"/>
                <w:highlight w:val="none"/>
                <w:u w:val="single" w:color="auto"/>
              </w:rPr>
              <w:t>量为</w:t>
            </w:r>
            <w:r>
              <w:rPr>
                <w:rFonts w:hint="eastAsia"/>
                <w:color w:val="auto"/>
                <w:spacing w:val="11"/>
                <w:kern w:val="0"/>
                <w:szCs w:val="24"/>
                <w:highlight w:val="none"/>
                <w:u w:val="single" w:color="auto"/>
                <w:lang w:val="en-US" w:eastAsia="zh-CN"/>
              </w:rPr>
              <w:t>20.16</w:t>
            </w:r>
            <w:r>
              <w:rPr>
                <w:rFonts w:hint="eastAsia" w:ascii="Times New Roman" w:eastAsia="宋体"/>
                <w:color w:val="auto"/>
                <w:spacing w:val="11"/>
                <w:kern w:val="0"/>
                <w:szCs w:val="24"/>
                <w:highlight w:val="none"/>
                <w:u w:val="single" w:color="auto"/>
                <w:lang w:val="en-US" w:eastAsia="zh-CN"/>
              </w:rPr>
              <w:t>‬</w:t>
            </w:r>
            <w:r>
              <w:rPr>
                <w:rFonts w:eastAsia="宋体"/>
                <w:color w:val="auto"/>
                <w:spacing w:val="11"/>
                <w:szCs w:val="24"/>
                <w:highlight w:val="none"/>
                <w:u w:val="single" w:color="auto"/>
              </w:rPr>
              <w:t>m</w:t>
            </w:r>
            <w:r>
              <w:rPr>
                <w:rFonts w:eastAsia="宋体"/>
                <w:color w:val="auto"/>
                <w:spacing w:val="11"/>
                <w:szCs w:val="24"/>
                <w:highlight w:val="none"/>
                <w:u w:val="single" w:color="auto"/>
                <w:vertAlign w:val="superscript"/>
              </w:rPr>
              <w:t>3</w:t>
            </w:r>
            <w:r>
              <w:rPr>
                <w:rFonts w:eastAsia="宋体"/>
                <w:color w:val="auto"/>
                <w:spacing w:val="11"/>
                <w:kern w:val="0"/>
                <w:szCs w:val="24"/>
                <w:highlight w:val="none"/>
                <w:u w:val="single" w:color="auto"/>
              </w:rPr>
              <w:t>/</w:t>
            </w:r>
            <w:r>
              <w:rPr>
                <w:rFonts w:eastAsia="宋体"/>
                <w:color w:val="auto"/>
                <w:spacing w:val="11"/>
                <w:szCs w:val="24"/>
                <w:highlight w:val="none"/>
                <w:u w:val="single" w:color="auto"/>
              </w:rPr>
              <w:t>d（</w:t>
            </w:r>
            <w:r>
              <w:rPr>
                <w:rFonts w:hint="eastAsia"/>
                <w:color w:val="auto"/>
                <w:spacing w:val="11"/>
                <w:szCs w:val="24"/>
                <w:highlight w:val="none"/>
                <w:u w:val="single" w:color="auto"/>
                <w:lang w:val="en-US" w:eastAsia="zh-CN"/>
              </w:rPr>
              <w:t>7358.4</w:t>
            </w:r>
            <w:r>
              <w:rPr>
                <w:rFonts w:eastAsia="宋体"/>
                <w:color w:val="auto"/>
                <w:spacing w:val="11"/>
                <w:szCs w:val="24"/>
                <w:highlight w:val="none"/>
                <w:u w:val="single" w:color="auto"/>
              </w:rPr>
              <w:t>m</w:t>
            </w:r>
            <w:r>
              <w:rPr>
                <w:rFonts w:eastAsia="宋体"/>
                <w:color w:val="auto"/>
                <w:spacing w:val="11"/>
                <w:szCs w:val="24"/>
                <w:highlight w:val="none"/>
                <w:u w:val="single" w:color="auto"/>
                <w:vertAlign w:val="superscript"/>
              </w:rPr>
              <w:t>3</w:t>
            </w:r>
            <w:r>
              <w:rPr>
                <w:rFonts w:eastAsia="宋体"/>
                <w:color w:val="auto"/>
                <w:spacing w:val="11"/>
                <w:kern w:val="0"/>
                <w:szCs w:val="24"/>
                <w:highlight w:val="none"/>
                <w:u w:val="single" w:color="auto"/>
              </w:rPr>
              <w:t>/a</w:t>
            </w:r>
            <w:r>
              <w:rPr>
                <w:rFonts w:eastAsia="宋体"/>
                <w:color w:val="auto"/>
                <w:spacing w:val="11"/>
                <w:szCs w:val="24"/>
                <w:highlight w:val="none"/>
                <w:u w:val="single" w:color="auto"/>
              </w:rPr>
              <w:t>）</w:t>
            </w:r>
            <w:r>
              <w:rPr>
                <w:rFonts w:eastAsia="宋体"/>
                <w:bCs/>
                <w:color w:val="auto"/>
                <w:spacing w:val="11"/>
                <w:szCs w:val="24"/>
                <w:highlight w:val="none"/>
                <w:u w:val="single" w:color="auto"/>
              </w:rPr>
              <w:t>。废水中主要的污染因子有COD、BOD</w:t>
            </w:r>
            <w:r>
              <w:rPr>
                <w:rFonts w:hint="eastAsia" w:eastAsia="宋体"/>
                <w:bCs/>
                <w:color w:val="auto"/>
                <w:spacing w:val="11"/>
                <w:szCs w:val="24"/>
                <w:highlight w:val="none"/>
                <w:u w:val="single" w:color="auto"/>
                <w:vertAlign w:val="subscript"/>
              </w:rPr>
              <w:t>5</w:t>
            </w:r>
            <w:r>
              <w:rPr>
                <w:rFonts w:eastAsia="宋体"/>
                <w:bCs/>
                <w:color w:val="auto"/>
                <w:spacing w:val="11"/>
                <w:szCs w:val="24"/>
                <w:highlight w:val="none"/>
                <w:u w:val="single" w:color="auto"/>
              </w:rPr>
              <w:t>、SS、NH</w:t>
            </w:r>
            <w:r>
              <w:rPr>
                <w:rFonts w:eastAsia="宋体"/>
                <w:bCs/>
                <w:color w:val="auto"/>
                <w:spacing w:val="11"/>
                <w:szCs w:val="24"/>
                <w:highlight w:val="none"/>
                <w:u w:val="single" w:color="auto"/>
                <w:vertAlign w:val="subscript"/>
              </w:rPr>
              <w:t>3</w:t>
            </w:r>
            <w:r>
              <w:rPr>
                <w:rFonts w:eastAsia="宋体"/>
                <w:bCs/>
                <w:color w:val="auto"/>
                <w:spacing w:val="11"/>
                <w:szCs w:val="24"/>
                <w:highlight w:val="none"/>
                <w:u w:val="single" w:color="auto"/>
              </w:rPr>
              <w:t>-N等</w:t>
            </w:r>
            <w:r>
              <w:rPr>
                <w:rFonts w:hint="eastAsia" w:eastAsia="宋体"/>
                <w:bCs/>
                <w:color w:val="auto"/>
                <w:spacing w:val="11"/>
                <w:szCs w:val="24"/>
                <w:highlight w:val="none"/>
                <w:u w:val="single" w:color="auto"/>
                <w:lang w:val="en-US" w:eastAsia="zh-CN"/>
              </w:rPr>
              <w:t>，该部分废水经</w:t>
            </w:r>
            <w:r>
              <w:rPr>
                <w:rFonts w:hint="eastAsia"/>
                <w:bCs/>
                <w:color w:val="auto"/>
                <w:spacing w:val="11"/>
                <w:szCs w:val="24"/>
                <w:highlight w:val="none"/>
                <w:u w:val="single" w:color="auto"/>
                <w:lang w:val="en-US" w:eastAsia="zh-CN"/>
              </w:rPr>
              <w:t>化粪池预处理</w:t>
            </w:r>
            <w:r>
              <w:rPr>
                <w:rFonts w:hint="eastAsia" w:eastAsia="宋体"/>
                <w:bCs/>
                <w:color w:val="auto"/>
                <w:spacing w:val="11"/>
                <w:szCs w:val="24"/>
                <w:highlight w:val="none"/>
                <w:u w:val="single" w:color="auto"/>
                <w:lang w:val="en-US" w:eastAsia="zh-CN"/>
              </w:rPr>
              <w:t>后再汇入院内现有污水处理站</w:t>
            </w:r>
            <w:r>
              <w:rPr>
                <w:rFonts w:eastAsia="宋体"/>
                <w:bCs/>
                <w:color w:val="auto"/>
                <w:spacing w:val="11"/>
                <w:szCs w:val="24"/>
                <w:highlight w:val="none"/>
                <w:u w:val="single" w:color="auto"/>
              </w:rPr>
              <w:t>。</w:t>
            </w:r>
          </w:p>
          <w:p w14:paraId="3BB41CF8">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eastAsia="宋体"/>
                <w:bCs/>
                <w:color w:val="auto"/>
                <w:spacing w:val="11"/>
                <w:szCs w:val="24"/>
                <w:highlight w:val="none"/>
                <w:u w:val="single" w:color="auto"/>
                <w:lang w:eastAsia="zh-CN"/>
              </w:rPr>
            </w:pPr>
            <w:r>
              <w:rPr>
                <w:rFonts w:hint="eastAsia" w:eastAsia="宋体"/>
                <w:bCs/>
                <w:color w:val="auto"/>
                <w:spacing w:val="11"/>
                <w:szCs w:val="24"/>
                <w:highlight w:val="none"/>
                <w:u w:val="single" w:color="auto"/>
                <w:lang w:eastAsia="zh-CN"/>
              </w:rPr>
              <w:t>（</w:t>
            </w:r>
            <w:r>
              <w:rPr>
                <w:rFonts w:hint="eastAsia" w:eastAsia="宋体"/>
                <w:bCs/>
                <w:color w:val="auto"/>
                <w:spacing w:val="11"/>
                <w:szCs w:val="24"/>
                <w:highlight w:val="none"/>
                <w:u w:val="single" w:color="auto"/>
                <w:lang w:val="en-US" w:eastAsia="zh-CN"/>
              </w:rPr>
              <w:t>2</w:t>
            </w:r>
            <w:r>
              <w:rPr>
                <w:rFonts w:hint="eastAsia" w:eastAsia="宋体"/>
                <w:bCs/>
                <w:color w:val="auto"/>
                <w:spacing w:val="11"/>
                <w:szCs w:val="24"/>
                <w:highlight w:val="none"/>
                <w:u w:val="single" w:color="auto"/>
                <w:lang w:eastAsia="zh-CN"/>
              </w:rPr>
              <w:t>）</w:t>
            </w:r>
            <w:r>
              <w:rPr>
                <w:rFonts w:hint="eastAsia" w:eastAsia="宋体"/>
                <w:bCs/>
                <w:color w:val="auto"/>
                <w:spacing w:val="11"/>
                <w:szCs w:val="24"/>
                <w:highlight w:val="none"/>
                <w:u w:val="single" w:color="auto"/>
                <w:lang w:val="en-US" w:eastAsia="zh-CN"/>
              </w:rPr>
              <w:t>病房废水以及门诊废水</w:t>
            </w:r>
          </w:p>
          <w:p w14:paraId="433FB44C">
            <w:pPr>
              <w:ind w:firstLine="480"/>
              <w:rPr>
                <w:rFonts w:hint="eastAsia" w:eastAsia="宋体"/>
                <w:bCs/>
                <w:color w:val="auto"/>
                <w:spacing w:val="11"/>
                <w:sz w:val="24"/>
                <w:szCs w:val="24"/>
                <w:highlight w:val="none"/>
                <w:u w:val="single" w:color="auto"/>
                <w:lang w:val="en-US" w:eastAsia="zh-CN"/>
              </w:rPr>
            </w:pPr>
            <w:r>
              <w:rPr>
                <w:rFonts w:hint="eastAsia" w:eastAsia="宋体"/>
                <w:bCs/>
                <w:color w:val="auto"/>
                <w:spacing w:val="11"/>
                <w:sz w:val="24"/>
                <w:szCs w:val="24"/>
                <w:highlight w:val="none"/>
                <w:u w:val="single" w:color="auto"/>
                <w:lang w:val="en-US" w:eastAsia="zh-CN"/>
              </w:rPr>
              <w:t>本项目一般医疗用水主要包括病房用水以及门诊用水，本项目共设</w:t>
            </w:r>
            <w:r>
              <w:rPr>
                <w:rFonts w:hint="eastAsia"/>
                <w:bCs/>
                <w:color w:val="auto"/>
                <w:spacing w:val="11"/>
                <w:sz w:val="24"/>
                <w:szCs w:val="24"/>
                <w:highlight w:val="none"/>
                <w:u w:val="single" w:color="auto"/>
                <w:lang w:val="en-US" w:eastAsia="zh-CN"/>
              </w:rPr>
              <w:t>360</w:t>
            </w:r>
            <w:r>
              <w:rPr>
                <w:rFonts w:hint="eastAsia" w:eastAsia="宋体"/>
                <w:bCs/>
                <w:color w:val="auto"/>
                <w:spacing w:val="11"/>
                <w:sz w:val="24"/>
                <w:szCs w:val="24"/>
                <w:highlight w:val="none"/>
                <w:u w:val="single" w:color="auto"/>
                <w:lang w:val="en-US" w:eastAsia="zh-CN"/>
              </w:rPr>
              <w:t>张床位，根据《</w:t>
            </w:r>
            <w:r>
              <w:rPr>
                <w:rFonts w:ascii="sans-serif" w:hAnsi="sans-serif" w:eastAsia="sans-serif" w:cs="sans-serif"/>
                <w:color w:val="auto"/>
                <w:spacing w:val="11"/>
                <w:sz w:val="24"/>
                <w:szCs w:val="24"/>
                <w:u w:val="single" w:color="auto"/>
              </w:rPr>
              <w:t>医院污水处理工程技术规范</w:t>
            </w:r>
            <w:r>
              <w:rPr>
                <w:rFonts w:hint="eastAsia" w:eastAsia="宋体"/>
                <w:bCs/>
                <w:color w:val="auto"/>
                <w:spacing w:val="11"/>
                <w:sz w:val="24"/>
                <w:szCs w:val="24"/>
                <w:highlight w:val="none"/>
                <w:u w:val="single" w:color="auto"/>
                <w:lang w:val="en-US" w:eastAsia="zh-CN"/>
              </w:rPr>
              <w:t>》（HJ2029-2013），</w:t>
            </w:r>
            <w:r>
              <w:rPr>
                <w:rFonts w:ascii="sans-serif" w:hAnsi="sans-serif" w:eastAsia="sans-serif" w:cs="sans-serif"/>
                <w:color w:val="auto"/>
                <w:spacing w:val="11"/>
                <w:sz w:val="24"/>
                <w:szCs w:val="24"/>
                <w:u w:val="single" w:color="auto"/>
              </w:rPr>
              <w:t>新建医院污水处理系统设计水量可按日均污水量和日变化系数经验数据计算，计算公式如</w:t>
            </w:r>
            <w:r>
              <w:rPr>
                <w:rFonts w:hint="default" w:ascii="sans-serif" w:hAnsi="sans-serif" w:eastAsia="sans-serif" w:cs="sans-serif"/>
                <w:color w:val="auto"/>
                <w:spacing w:val="11"/>
                <w:sz w:val="24"/>
                <w:szCs w:val="24"/>
                <w:u w:val="single" w:color="auto"/>
              </w:rPr>
              <w:t>下</w:t>
            </w:r>
            <w:r>
              <w:rPr>
                <w:rFonts w:hint="eastAsia" w:ascii="sans-serif" w:hAnsi="sans-serif" w:eastAsia="宋体" w:cs="sans-serif"/>
                <w:color w:val="auto"/>
                <w:spacing w:val="11"/>
                <w:sz w:val="24"/>
                <w:szCs w:val="24"/>
                <w:u w:val="single" w:color="auto"/>
                <w:lang w:eastAsia="zh-CN"/>
              </w:rPr>
              <w:t>：</w:t>
            </w:r>
          </w:p>
          <w:p w14:paraId="706C5230">
            <w:pPr>
              <w:ind w:left="0" w:leftChars="0" w:firstLine="0" w:firstLineChars="0"/>
              <w:jc w:val="center"/>
              <w:rPr>
                <w:rFonts w:eastAsia="宋体"/>
                <w:color w:val="auto"/>
                <w:spacing w:val="11"/>
                <w:szCs w:val="24"/>
                <w:u w:val="single" w:color="auto"/>
              </w:rPr>
            </w:pPr>
            <w:r>
              <w:rPr>
                <w:rFonts w:eastAsia="宋体"/>
                <w:color w:val="auto"/>
                <w:spacing w:val="11"/>
                <w:szCs w:val="24"/>
                <w:u w:val="single" w:color="auto"/>
              </w:rPr>
              <w:drawing>
                <wp:inline distT="0" distB="0" distL="114300" distR="114300">
                  <wp:extent cx="1314450" cy="619125"/>
                  <wp:effectExtent l="0" t="0" r="0" b="952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1314450" cy="619125"/>
                          </a:xfrm>
                          <a:prstGeom prst="rect">
                            <a:avLst/>
                          </a:prstGeom>
                          <a:noFill/>
                          <a:ln>
                            <a:noFill/>
                          </a:ln>
                        </pic:spPr>
                      </pic:pic>
                    </a:graphicData>
                  </a:graphic>
                </wp:inline>
              </w:drawing>
            </w:r>
          </w:p>
          <w:p w14:paraId="3C12048B">
            <w:pPr>
              <w:widowControl/>
              <w:adjustRightInd w:val="0"/>
              <w:snapToGrid w:val="0"/>
              <w:spacing w:line="360" w:lineRule="auto"/>
              <w:ind w:firstLine="504" w:firstLineChars="200"/>
              <w:jc w:val="both"/>
              <w:rPr>
                <w:rFonts w:hint="default" w:ascii="Times New Roman" w:hAnsi="Times New Roman" w:eastAsia="宋体" w:cs="Times New Roman"/>
                <w:color w:val="auto"/>
                <w:spacing w:val="11"/>
                <w:kern w:val="0"/>
                <w:sz w:val="24"/>
                <w:szCs w:val="24"/>
                <w:u w:val="single" w:color="auto"/>
                <w:lang w:val="en-US" w:eastAsia="zh-CN" w:bidi="ar-SA"/>
              </w:rPr>
            </w:pPr>
            <w:r>
              <w:rPr>
                <w:rFonts w:ascii="sans-serif" w:hAnsi="sans-serif" w:eastAsia="sans-serif" w:cs="sans-serif"/>
                <w:color w:val="auto"/>
                <w:spacing w:val="11"/>
                <w:kern w:val="0"/>
                <w:sz w:val="23"/>
                <w:szCs w:val="23"/>
                <w:u w:val="single" w:color="auto"/>
                <w:lang w:val="en-US" w:eastAsia="zh-CN" w:bidi="ar-SA"/>
              </w:rPr>
              <w:t>其中</w:t>
            </w:r>
            <w:r>
              <w:rPr>
                <w:rFonts w:hint="default" w:ascii="Times New Roman" w:hAnsi="Times New Roman" w:eastAsia="sans-serif" w:cs="Times New Roman"/>
                <w:color w:val="auto"/>
                <w:spacing w:val="11"/>
                <w:kern w:val="0"/>
                <w:sz w:val="21"/>
                <w:szCs w:val="21"/>
                <w:u w:val="single" w:color="auto"/>
                <w:lang w:val="en-US" w:eastAsia="zh-CN" w:bidi="ar-SA"/>
              </w:rPr>
              <w:t>：</w:t>
            </w:r>
            <w:r>
              <w:rPr>
                <w:rFonts w:hint="default" w:ascii="Times New Roman" w:hAnsi="Times New Roman" w:eastAsia="sans-serif" w:cs="Times New Roman"/>
                <w:color w:val="auto"/>
                <w:spacing w:val="11"/>
                <w:kern w:val="0"/>
                <w:sz w:val="24"/>
                <w:szCs w:val="24"/>
                <w:u w:val="single" w:color="auto"/>
                <w:lang w:val="en-US" w:eastAsia="zh-CN" w:bidi="ar-SA"/>
              </w:rPr>
              <w:t>Q——医院最高日污水量，m</w:t>
            </w:r>
            <w:r>
              <w:rPr>
                <w:rFonts w:hint="default" w:ascii="Times New Roman" w:hAnsi="Times New Roman" w:eastAsia="sans-serif" w:cs="Times New Roman"/>
                <w:color w:val="auto"/>
                <w:spacing w:val="11"/>
                <w:kern w:val="0"/>
                <w:sz w:val="24"/>
                <w:szCs w:val="24"/>
                <w:u w:val="single" w:color="auto"/>
                <w:vertAlign w:val="superscript"/>
                <w:lang w:val="en-US" w:eastAsia="zh-CN" w:bidi="ar-SA"/>
              </w:rPr>
              <w:t>3</w:t>
            </w:r>
            <w:r>
              <w:rPr>
                <w:rFonts w:hint="default" w:ascii="Times New Roman" w:hAnsi="Times New Roman" w:eastAsia="sans-serif" w:cs="Times New Roman"/>
                <w:color w:val="auto"/>
                <w:spacing w:val="11"/>
                <w:kern w:val="0"/>
                <w:sz w:val="24"/>
                <w:szCs w:val="24"/>
                <w:u w:val="single" w:color="auto"/>
                <w:lang w:val="en-US" w:eastAsia="zh-CN" w:bidi="ar-SA"/>
              </w:rPr>
              <w:t>/s</w:t>
            </w:r>
            <w:r>
              <w:rPr>
                <w:rFonts w:hint="eastAsia" w:ascii="Times New Roman" w:hAnsi="Times New Roman" w:eastAsia="宋体" w:cs="Times New Roman"/>
                <w:color w:val="auto"/>
                <w:spacing w:val="11"/>
                <w:kern w:val="0"/>
                <w:sz w:val="24"/>
                <w:szCs w:val="24"/>
                <w:u w:val="single" w:color="auto"/>
                <w:lang w:val="en-US" w:eastAsia="zh-CN" w:bidi="ar-SA"/>
              </w:rPr>
              <w:t>；</w:t>
            </w:r>
            <w:r>
              <w:rPr>
                <w:rFonts w:hint="eastAsia" w:cs="Times New Roman"/>
                <w:color w:val="auto"/>
                <w:spacing w:val="11"/>
                <w:kern w:val="0"/>
                <w:sz w:val="24"/>
                <w:szCs w:val="24"/>
                <w:u w:val="single" w:color="auto"/>
                <w:lang w:val="en-US" w:eastAsia="zh-CN" w:bidi="ar-SA"/>
              </w:rPr>
              <w:t>4.17</w:t>
            </w:r>
          </w:p>
          <w:p w14:paraId="21D5777D">
            <w:pPr>
              <w:widowControl/>
              <w:adjustRightInd w:val="0"/>
              <w:snapToGrid w:val="0"/>
              <w:spacing w:line="360" w:lineRule="auto"/>
              <w:ind w:firstLine="1310" w:firstLineChars="500"/>
              <w:jc w:val="both"/>
              <w:rPr>
                <w:rFonts w:hint="default" w:ascii="Times New Roman" w:hAnsi="Times New Roman" w:eastAsia="宋体" w:cs="Times New Roman"/>
                <w:color w:val="auto"/>
                <w:spacing w:val="11"/>
                <w:kern w:val="0"/>
                <w:sz w:val="24"/>
                <w:szCs w:val="24"/>
                <w:u w:val="single" w:color="auto"/>
                <w:lang w:val="en-US" w:eastAsia="zh-CN" w:bidi="ar-SA"/>
              </w:rPr>
            </w:pPr>
            <w:r>
              <w:rPr>
                <w:rFonts w:hint="default" w:ascii="Times New Roman" w:hAnsi="Times New Roman" w:eastAsia="宋体" w:cs="Times New Roman"/>
                <w:color w:val="auto"/>
                <w:spacing w:val="11"/>
                <w:kern w:val="0"/>
                <w:sz w:val="24"/>
                <w:szCs w:val="24"/>
                <w:u w:val="single" w:color="auto"/>
                <w:lang w:val="en-US" w:eastAsia="zh-CN" w:bidi="ar-SA"/>
              </w:rPr>
              <w:t>q</w:t>
            </w:r>
            <w:r>
              <w:rPr>
                <w:rFonts w:hint="default" w:ascii="Times New Roman" w:hAnsi="Times New Roman" w:eastAsia="sans-serif" w:cs="Times New Roman"/>
                <w:color w:val="auto"/>
                <w:spacing w:val="11"/>
                <w:kern w:val="0"/>
                <w:sz w:val="24"/>
                <w:szCs w:val="24"/>
                <w:u w:val="single" w:color="auto"/>
                <w:lang w:val="en-US" w:eastAsia="zh-CN" w:bidi="ar-SA"/>
              </w:rPr>
              <w:t>——医院日均单位病床污水排放量，</w:t>
            </w:r>
            <w:r>
              <w:rPr>
                <w:rFonts w:hint="default" w:ascii="Times New Roman" w:hAnsi="Times New Roman" w:eastAsia="宋体" w:cs="Times New Roman"/>
                <w:color w:val="auto"/>
                <w:spacing w:val="11"/>
                <w:kern w:val="0"/>
                <w:sz w:val="24"/>
                <w:szCs w:val="24"/>
                <w:u w:val="single" w:color="auto"/>
                <w:lang w:val="en-US" w:eastAsia="zh-CN" w:bidi="ar-SA"/>
              </w:rPr>
              <w:t>L</w:t>
            </w:r>
            <w:r>
              <w:rPr>
                <w:rFonts w:hint="default" w:ascii="Times New Roman" w:hAnsi="Times New Roman" w:eastAsia="sans-serif" w:cs="Times New Roman"/>
                <w:color w:val="auto"/>
                <w:spacing w:val="11"/>
                <w:kern w:val="0"/>
                <w:sz w:val="24"/>
                <w:szCs w:val="24"/>
                <w:u w:val="single" w:color="auto"/>
                <w:lang w:val="en-US" w:eastAsia="zh-CN" w:bidi="ar-SA"/>
              </w:rPr>
              <w:t>床</w:t>
            </w:r>
            <w:r>
              <w:rPr>
                <w:rFonts w:hint="default" w:ascii="Times New Roman" w:hAnsi="Times New Roman" w:eastAsia="微软雅黑" w:cs="Times New Roman"/>
                <w:color w:val="auto"/>
                <w:spacing w:val="11"/>
                <w:kern w:val="0"/>
                <w:sz w:val="24"/>
                <w:szCs w:val="24"/>
                <w:u w:val="single" w:color="auto"/>
                <w:lang w:val="en-US" w:eastAsia="zh-CN" w:bidi="ar-SA"/>
              </w:rPr>
              <w:t>·</w:t>
            </w:r>
            <w:r>
              <w:rPr>
                <w:rFonts w:hint="default" w:ascii="Times New Roman" w:hAnsi="Times New Roman" w:eastAsia="宋体" w:cs="Times New Roman"/>
                <w:color w:val="auto"/>
                <w:spacing w:val="11"/>
                <w:kern w:val="0"/>
                <w:sz w:val="24"/>
                <w:szCs w:val="24"/>
                <w:u w:val="single" w:color="auto"/>
                <w:lang w:val="en-US" w:eastAsia="zh-CN" w:bidi="ar-SA"/>
              </w:rPr>
              <w:t>d</w:t>
            </w:r>
            <w:r>
              <w:rPr>
                <w:rFonts w:hint="eastAsia" w:ascii="Times New Roman" w:hAnsi="Times New Roman" w:eastAsia="宋体" w:cs="Times New Roman"/>
                <w:color w:val="auto"/>
                <w:spacing w:val="11"/>
                <w:kern w:val="0"/>
                <w:sz w:val="24"/>
                <w:szCs w:val="24"/>
                <w:u w:val="single" w:color="auto"/>
                <w:lang w:val="en-US" w:eastAsia="zh-CN" w:bidi="ar-SA"/>
              </w:rPr>
              <w:t>，取值400</w:t>
            </w:r>
            <w:r>
              <w:rPr>
                <w:rFonts w:hint="default" w:ascii="Times New Roman" w:hAnsi="Times New Roman" w:eastAsia="宋体" w:cs="Times New Roman"/>
                <w:color w:val="auto"/>
                <w:spacing w:val="11"/>
                <w:kern w:val="0"/>
                <w:sz w:val="24"/>
                <w:szCs w:val="24"/>
                <w:u w:val="single" w:color="auto"/>
                <w:lang w:val="en-US" w:eastAsia="zh-CN" w:bidi="ar-SA"/>
              </w:rPr>
              <w:t>L</w:t>
            </w:r>
            <w:r>
              <w:rPr>
                <w:rFonts w:hint="default" w:ascii="Times New Roman" w:hAnsi="Times New Roman" w:eastAsia="sans-serif" w:cs="Times New Roman"/>
                <w:color w:val="auto"/>
                <w:spacing w:val="11"/>
                <w:kern w:val="0"/>
                <w:sz w:val="24"/>
                <w:szCs w:val="24"/>
                <w:u w:val="single" w:color="auto"/>
                <w:lang w:val="en-US" w:eastAsia="zh-CN" w:bidi="ar-SA"/>
              </w:rPr>
              <w:t>床</w:t>
            </w:r>
            <w:r>
              <w:rPr>
                <w:rFonts w:hint="default" w:ascii="Times New Roman" w:hAnsi="Times New Roman" w:eastAsia="微软雅黑" w:cs="Times New Roman"/>
                <w:color w:val="auto"/>
                <w:spacing w:val="11"/>
                <w:kern w:val="0"/>
                <w:sz w:val="24"/>
                <w:szCs w:val="24"/>
                <w:u w:val="single" w:color="auto"/>
                <w:lang w:val="en-US" w:eastAsia="zh-CN" w:bidi="ar-SA"/>
              </w:rPr>
              <w:t>·</w:t>
            </w:r>
            <w:r>
              <w:rPr>
                <w:rFonts w:hint="default" w:ascii="Times New Roman" w:hAnsi="Times New Roman" w:eastAsia="宋体" w:cs="Times New Roman"/>
                <w:color w:val="auto"/>
                <w:spacing w:val="11"/>
                <w:kern w:val="0"/>
                <w:sz w:val="24"/>
                <w:szCs w:val="24"/>
                <w:u w:val="single" w:color="auto"/>
                <w:lang w:val="en-US" w:eastAsia="zh-CN" w:bidi="ar-SA"/>
              </w:rPr>
              <w:t>d</w:t>
            </w:r>
            <w:r>
              <w:rPr>
                <w:rFonts w:hint="eastAsia" w:ascii="Times New Roman" w:hAnsi="Times New Roman" w:eastAsia="宋体" w:cs="Times New Roman"/>
                <w:color w:val="auto"/>
                <w:spacing w:val="11"/>
                <w:kern w:val="0"/>
                <w:sz w:val="24"/>
                <w:szCs w:val="24"/>
                <w:u w:val="single" w:color="auto"/>
                <w:lang w:val="en-US" w:eastAsia="zh-CN" w:bidi="ar-SA"/>
              </w:rPr>
              <w:t>；</w:t>
            </w:r>
          </w:p>
          <w:p w14:paraId="7A86F18F">
            <w:pPr>
              <w:ind w:left="1200" w:leftChars="500" w:firstLine="0" w:firstLineChars="0"/>
              <w:rPr>
                <w:rFonts w:eastAsia="宋体"/>
                <w:bCs/>
                <w:color w:val="auto"/>
                <w:spacing w:val="11"/>
                <w:sz w:val="24"/>
                <w:szCs w:val="24"/>
                <w:highlight w:val="none"/>
                <w:u w:val="single" w:color="auto"/>
              </w:rPr>
            </w:pPr>
            <w:r>
              <w:rPr>
                <w:rFonts w:hint="default" w:eastAsia="宋体"/>
                <w:bCs/>
                <w:color w:val="auto"/>
                <w:spacing w:val="11"/>
                <w:sz w:val="24"/>
                <w:szCs w:val="24"/>
                <w:highlight w:val="none"/>
                <w:u w:val="single" w:color="auto"/>
              </w:rPr>
              <w:t>N</w:t>
            </w:r>
            <w:r>
              <w:rPr>
                <w:rFonts w:eastAsia="宋体"/>
                <w:bCs/>
                <w:color w:val="auto"/>
                <w:spacing w:val="11"/>
                <w:sz w:val="24"/>
                <w:szCs w:val="24"/>
                <w:highlight w:val="none"/>
                <w:u w:val="single" w:color="auto"/>
              </w:rPr>
              <w:t>——医院编制床位数</w:t>
            </w:r>
            <w:r>
              <w:rPr>
                <w:rFonts w:hint="eastAsia" w:ascii="Times New Roman" w:hAnsi="Times New Roman" w:eastAsia="宋体" w:cs="Times New Roman"/>
                <w:color w:val="auto"/>
                <w:spacing w:val="11"/>
                <w:sz w:val="24"/>
                <w:szCs w:val="24"/>
                <w:u w:val="single" w:color="auto"/>
                <w:lang w:val="en-US" w:eastAsia="zh-CN"/>
              </w:rPr>
              <w:t>，取值</w:t>
            </w:r>
            <w:r>
              <w:rPr>
                <w:rFonts w:hint="eastAsia" w:cs="Times New Roman"/>
                <w:color w:val="auto"/>
                <w:spacing w:val="11"/>
                <w:sz w:val="24"/>
                <w:szCs w:val="24"/>
                <w:u w:val="single" w:color="auto"/>
                <w:lang w:val="en-US" w:eastAsia="zh-CN"/>
              </w:rPr>
              <w:t>360</w:t>
            </w:r>
            <w:r>
              <w:rPr>
                <w:rFonts w:hint="eastAsia" w:eastAsia="宋体" w:cs="Times New Roman"/>
                <w:color w:val="auto"/>
                <w:spacing w:val="11"/>
                <w:sz w:val="24"/>
                <w:szCs w:val="24"/>
                <w:u w:val="single" w:color="auto"/>
                <w:lang w:val="en-US" w:eastAsia="zh-CN"/>
              </w:rPr>
              <w:t>；</w:t>
            </w:r>
            <w:r>
              <w:rPr>
                <w:rFonts w:eastAsia="宋体"/>
                <w:bCs/>
                <w:color w:val="auto"/>
                <w:spacing w:val="11"/>
                <w:sz w:val="24"/>
                <w:szCs w:val="24"/>
                <w:highlight w:val="none"/>
                <w:u w:val="single" w:color="auto"/>
              </w:rPr>
              <w:br w:type="textWrapping"/>
            </w:r>
            <w:r>
              <w:rPr>
                <w:rFonts w:hint="default" w:eastAsia="宋体"/>
                <w:bCs/>
                <w:color w:val="auto"/>
                <w:spacing w:val="11"/>
                <w:sz w:val="24"/>
                <w:szCs w:val="24"/>
                <w:highlight w:val="none"/>
                <w:u w:val="single" w:color="auto"/>
              </w:rPr>
              <w:t>K</w:t>
            </w:r>
            <w:r>
              <w:rPr>
                <w:rFonts w:hint="default" w:eastAsia="宋体"/>
                <w:bCs/>
                <w:color w:val="auto"/>
                <w:spacing w:val="11"/>
                <w:sz w:val="24"/>
                <w:szCs w:val="24"/>
                <w:highlight w:val="none"/>
                <w:u w:val="single" w:color="auto"/>
                <w:vertAlign w:val="subscript"/>
              </w:rPr>
              <w:t>d</w:t>
            </w:r>
            <w:r>
              <w:rPr>
                <w:rFonts w:hint="default" w:eastAsia="宋体"/>
                <w:bCs/>
                <w:color w:val="auto"/>
                <w:spacing w:val="11"/>
                <w:sz w:val="24"/>
                <w:szCs w:val="24"/>
                <w:highlight w:val="none"/>
                <w:u w:val="single" w:color="auto"/>
              </w:rPr>
              <w:t>——污水日变化系数。K</w:t>
            </w:r>
            <w:r>
              <w:rPr>
                <w:rFonts w:hint="default" w:eastAsia="宋体"/>
                <w:bCs/>
                <w:color w:val="auto"/>
                <w:spacing w:val="11"/>
                <w:sz w:val="24"/>
                <w:szCs w:val="24"/>
                <w:highlight w:val="none"/>
                <w:u w:val="single" w:color="auto"/>
                <w:vertAlign w:val="subscript"/>
              </w:rPr>
              <w:t>d</w:t>
            </w:r>
            <w:r>
              <w:rPr>
                <w:rFonts w:hint="default" w:eastAsia="宋体"/>
                <w:bCs/>
                <w:color w:val="auto"/>
                <w:spacing w:val="11"/>
                <w:sz w:val="24"/>
                <w:szCs w:val="24"/>
                <w:highlight w:val="none"/>
                <w:u w:val="single" w:color="auto"/>
              </w:rPr>
              <w:t>取值根据医院床位数确定</w:t>
            </w:r>
            <w:r>
              <w:rPr>
                <w:rFonts w:hint="eastAsia" w:ascii="Times New Roman" w:hAnsi="Times New Roman" w:eastAsia="宋体" w:cs="Times New Roman"/>
                <w:color w:val="auto"/>
                <w:spacing w:val="11"/>
                <w:sz w:val="24"/>
                <w:szCs w:val="24"/>
                <w:u w:val="single" w:color="auto"/>
                <w:lang w:val="en-US" w:eastAsia="zh-CN"/>
              </w:rPr>
              <w:t>，取值</w:t>
            </w:r>
            <w:r>
              <w:rPr>
                <w:rFonts w:hint="eastAsia" w:eastAsia="宋体"/>
                <w:bCs/>
                <w:color w:val="auto"/>
                <w:spacing w:val="11"/>
                <w:sz w:val="24"/>
                <w:szCs w:val="24"/>
                <w:highlight w:val="none"/>
                <w:u w:val="single" w:color="auto"/>
                <w:lang w:val="en-US" w:eastAsia="zh-CN"/>
              </w:rPr>
              <w:t>2.5</w:t>
            </w:r>
            <w:r>
              <w:rPr>
                <w:rFonts w:hint="default" w:eastAsia="宋体"/>
                <w:bCs/>
                <w:color w:val="auto"/>
                <w:spacing w:val="11"/>
                <w:sz w:val="24"/>
                <w:szCs w:val="24"/>
                <w:highlight w:val="none"/>
                <w:u w:val="single" w:color="auto"/>
              </w:rPr>
              <w:t>：</w:t>
            </w:r>
          </w:p>
          <w:p w14:paraId="08B100CE">
            <w:pPr>
              <w:numPr>
                <w:ilvl w:val="0"/>
                <w:numId w:val="4"/>
              </w:numPr>
              <w:ind w:firstLine="480"/>
              <w:rPr>
                <w:rFonts w:hint="eastAsia" w:eastAsia="宋体"/>
                <w:bCs/>
                <w:color w:val="auto"/>
                <w:spacing w:val="11"/>
                <w:sz w:val="24"/>
                <w:szCs w:val="24"/>
                <w:highlight w:val="none"/>
                <w:u w:val="single" w:color="auto"/>
                <w:lang w:val="en-US" w:eastAsia="zh-CN"/>
              </w:rPr>
            </w:pPr>
            <w:r>
              <w:rPr>
                <w:rFonts w:hint="eastAsia" w:eastAsia="宋体"/>
                <w:bCs/>
                <w:color w:val="auto"/>
                <w:spacing w:val="11"/>
                <w:sz w:val="24"/>
                <w:szCs w:val="24"/>
                <w:highlight w:val="none"/>
                <w:u w:val="single" w:color="auto"/>
                <w:lang w:val="en-US" w:eastAsia="zh-CN"/>
              </w:rPr>
              <w:t>N≥500床的设备齐全的大型医院，q=400L/床·d～600L/床·d，K</w:t>
            </w:r>
            <w:r>
              <w:rPr>
                <w:rFonts w:hint="eastAsia" w:eastAsia="宋体"/>
                <w:bCs/>
                <w:color w:val="auto"/>
                <w:spacing w:val="11"/>
                <w:sz w:val="24"/>
                <w:szCs w:val="24"/>
                <w:highlight w:val="none"/>
                <w:u w:val="single" w:color="auto"/>
                <w:vertAlign w:val="subscript"/>
                <w:lang w:val="en-US" w:eastAsia="zh-CN"/>
              </w:rPr>
              <w:t>d</w:t>
            </w:r>
            <w:r>
              <w:rPr>
                <w:rFonts w:hint="eastAsia" w:eastAsia="宋体"/>
                <w:bCs/>
                <w:color w:val="auto"/>
                <w:spacing w:val="11"/>
                <w:sz w:val="24"/>
                <w:szCs w:val="24"/>
                <w:highlight w:val="none"/>
                <w:u w:val="single" w:color="auto"/>
                <w:lang w:val="en-US" w:eastAsia="zh-CN"/>
              </w:rPr>
              <w:t>＝2.0～2.2；</w:t>
            </w:r>
          </w:p>
          <w:p w14:paraId="1D2E6916">
            <w:pPr>
              <w:numPr>
                <w:ilvl w:val="0"/>
                <w:numId w:val="0"/>
              </w:numPr>
              <w:ind w:firstLine="524" w:firstLineChars="200"/>
              <w:rPr>
                <w:rFonts w:hint="eastAsia" w:eastAsia="宋体"/>
                <w:bCs/>
                <w:color w:val="auto"/>
                <w:spacing w:val="11"/>
                <w:sz w:val="24"/>
                <w:szCs w:val="24"/>
                <w:highlight w:val="none"/>
                <w:u w:val="single" w:color="auto"/>
                <w:lang w:val="en-US" w:eastAsia="zh-CN"/>
              </w:rPr>
            </w:pPr>
            <w:r>
              <w:rPr>
                <w:rFonts w:hint="eastAsia" w:eastAsia="宋体"/>
                <w:bCs/>
                <w:color w:val="auto"/>
                <w:spacing w:val="11"/>
                <w:sz w:val="24"/>
                <w:szCs w:val="24"/>
                <w:highlight w:val="none"/>
                <w:u w:val="single" w:color="auto"/>
                <w:lang w:val="en-US" w:eastAsia="zh-CN"/>
              </w:rPr>
              <w:t>b）100床＜N≤499床的一般设备的中型医院，q= 300 L/床·d～400L/床·d，K</w:t>
            </w:r>
            <w:r>
              <w:rPr>
                <w:rFonts w:hint="eastAsia" w:eastAsia="宋体"/>
                <w:bCs/>
                <w:color w:val="auto"/>
                <w:spacing w:val="11"/>
                <w:sz w:val="24"/>
                <w:szCs w:val="24"/>
                <w:highlight w:val="none"/>
                <w:u w:val="single" w:color="auto"/>
                <w:vertAlign w:val="subscript"/>
                <w:lang w:val="en-US" w:eastAsia="zh-CN"/>
              </w:rPr>
              <w:t>d</w:t>
            </w:r>
            <w:r>
              <w:rPr>
                <w:rFonts w:hint="eastAsia" w:eastAsia="宋体"/>
                <w:bCs/>
                <w:color w:val="auto"/>
                <w:spacing w:val="11"/>
                <w:sz w:val="24"/>
                <w:szCs w:val="24"/>
                <w:highlight w:val="none"/>
                <w:u w:val="single" w:color="auto"/>
                <w:lang w:val="en-US" w:eastAsia="zh-CN"/>
              </w:rPr>
              <w:t>＝2.2～2.5；</w:t>
            </w:r>
          </w:p>
          <w:p w14:paraId="155870B3">
            <w:pPr>
              <w:numPr>
                <w:ilvl w:val="0"/>
                <w:numId w:val="0"/>
              </w:numPr>
              <w:ind w:firstLine="524" w:firstLineChars="200"/>
              <w:rPr>
                <w:rFonts w:hint="eastAsia" w:eastAsia="宋体"/>
                <w:bCs/>
                <w:color w:val="auto"/>
                <w:spacing w:val="11"/>
                <w:sz w:val="24"/>
                <w:szCs w:val="24"/>
                <w:highlight w:val="none"/>
                <w:u w:val="single" w:color="auto"/>
                <w:lang w:val="en-US" w:eastAsia="zh-CN"/>
              </w:rPr>
            </w:pPr>
            <w:r>
              <w:rPr>
                <w:rFonts w:hint="eastAsia" w:eastAsia="宋体"/>
                <w:bCs/>
                <w:color w:val="auto"/>
                <w:spacing w:val="11"/>
                <w:sz w:val="24"/>
                <w:szCs w:val="24"/>
                <w:highlight w:val="none"/>
                <w:u w:val="single" w:color="auto"/>
                <w:lang w:val="en-US" w:eastAsia="zh-CN"/>
              </w:rPr>
              <w:t>c）N＜100床的小型医院，q= 250 L/床·d～300L/床·d，K</w:t>
            </w:r>
            <w:r>
              <w:rPr>
                <w:rFonts w:hint="eastAsia" w:eastAsia="宋体"/>
                <w:bCs/>
                <w:color w:val="auto"/>
                <w:spacing w:val="11"/>
                <w:sz w:val="24"/>
                <w:szCs w:val="24"/>
                <w:highlight w:val="none"/>
                <w:u w:val="single" w:color="auto"/>
                <w:vertAlign w:val="subscript"/>
                <w:lang w:val="en-US" w:eastAsia="zh-CN"/>
              </w:rPr>
              <w:t>d</w:t>
            </w:r>
            <w:r>
              <w:rPr>
                <w:rFonts w:hint="eastAsia" w:eastAsia="宋体"/>
                <w:bCs/>
                <w:color w:val="auto"/>
                <w:spacing w:val="11"/>
                <w:sz w:val="24"/>
                <w:szCs w:val="24"/>
                <w:highlight w:val="none"/>
                <w:u w:val="single" w:color="auto"/>
                <w:lang w:val="en-US" w:eastAsia="zh-CN"/>
              </w:rPr>
              <w:t>＝2.5。</w:t>
            </w:r>
          </w:p>
          <w:p w14:paraId="2732967D">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eastAsia="宋体"/>
                <w:bCs/>
                <w:color w:val="auto"/>
                <w:spacing w:val="11"/>
                <w:szCs w:val="24"/>
                <w:highlight w:val="none"/>
                <w:u w:val="single" w:color="auto"/>
                <w:lang w:val="en-US" w:eastAsia="zh-CN"/>
              </w:rPr>
            </w:pPr>
            <w:r>
              <w:rPr>
                <w:rFonts w:hint="eastAsia" w:eastAsia="宋体"/>
                <w:bCs/>
                <w:color w:val="auto"/>
                <w:spacing w:val="11"/>
                <w:szCs w:val="24"/>
                <w:highlight w:val="none"/>
                <w:u w:val="single" w:color="auto"/>
                <w:lang w:val="en-US" w:eastAsia="zh-CN"/>
              </w:rPr>
              <w:t>因此本项目一般医疗用水量为</w:t>
            </w:r>
            <w:r>
              <w:rPr>
                <w:rFonts w:hint="eastAsia"/>
                <w:bCs/>
                <w:color w:val="auto"/>
                <w:spacing w:val="11"/>
                <w:szCs w:val="24"/>
                <w:highlight w:val="none"/>
                <w:u w:val="single" w:color="auto"/>
                <w:lang w:val="en-US" w:eastAsia="zh-CN"/>
              </w:rPr>
              <w:t>352.5</w:t>
            </w:r>
            <w:r>
              <w:rPr>
                <w:rFonts w:hint="eastAsia" w:ascii="Times New Roman" w:eastAsia="宋体"/>
                <w:bCs/>
                <w:color w:val="auto"/>
                <w:spacing w:val="11"/>
                <w:szCs w:val="24"/>
                <w:highlight w:val="none"/>
                <w:u w:val="single" w:color="auto"/>
                <w:lang w:val="en-US" w:eastAsia="zh-CN"/>
              </w:rPr>
              <w:t>m</w:t>
            </w:r>
            <w:r>
              <w:rPr>
                <w:rFonts w:hint="eastAsia" w:ascii="Times New Roman" w:eastAsia="宋体"/>
                <w:bCs/>
                <w:color w:val="auto"/>
                <w:spacing w:val="11"/>
                <w:szCs w:val="24"/>
                <w:highlight w:val="none"/>
                <w:u w:val="single" w:color="auto"/>
                <w:vertAlign w:val="superscript"/>
                <w:lang w:val="en-US" w:eastAsia="zh-CN"/>
              </w:rPr>
              <w:t>3</w:t>
            </w:r>
            <w:r>
              <w:rPr>
                <w:rFonts w:hint="eastAsia" w:ascii="Times New Roman" w:eastAsia="宋体"/>
                <w:bCs/>
                <w:color w:val="auto"/>
                <w:spacing w:val="11"/>
                <w:szCs w:val="24"/>
                <w:highlight w:val="none"/>
                <w:u w:val="single" w:color="auto"/>
                <w:lang w:val="en-US" w:eastAsia="zh-CN"/>
              </w:rPr>
              <w:t>/d（</w:t>
            </w:r>
            <w:r>
              <w:rPr>
                <w:rFonts w:hint="eastAsia"/>
                <w:bCs/>
                <w:color w:val="auto"/>
                <w:spacing w:val="11"/>
                <w:szCs w:val="24"/>
                <w:highlight w:val="none"/>
                <w:u w:val="single" w:color="auto"/>
                <w:lang w:val="en-US" w:eastAsia="zh-CN"/>
              </w:rPr>
              <w:t>128662.5</w:t>
            </w:r>
            <w:r>
              <w:rPr>
                <w:rFonts w:hint="eastAsia" w:ascii="Times New Roman" w:eastAsia="宋体"/>
                <w:bCs/>
                <w:color w:val="auto"/>
                <w:spacing w:val="11"/>
                <w:szCs w:val="24"/>
                <w:highlight w:val="none"/>
                <w:u w:val="single" w:color="auto"/>
                <w:lang w:val="en-US" w:eastAsia="zh-CN"/>
              </w:rPr>
              <w:t>m</w:t>
            </w:r>
            <w:r>
              <w:rPr>
                <w:rFonts w:hint="eastAsia" w:ascii="Times New Roman" w:eastAsia="宋体"/>
                <w:bCs/>
                <w:color w:val="auto"/>
                <w:spacing w:val="11"/>
                <w:szCs w:val="24"/>
                <w:highlight w:val="none"/>
                <w:u w:val="single" w:color="auto"/>
                <w:vertAlign w:val="superscript"/>
                <w:lang w:val="en-US" w:eastAsia="zh-CN"/>
              </w:rPr>
              <w:t>3</w:t>
            </w:r>
            <w:r>
              <w:rPr>
                <w:rFonts w:hint="eastAsia" w:ascii="Times New Roman" w:eastAsia="宋体"/>
                <w:bCs/>
                <w:color w:val="auto"/>
                <w:spacing w:val="11"/>
                <w:szCs w:val="24"/>
                <w:highlight w:val="none"/>
                <w:u w:val="single" w:color="auto"/>
                <w:lang w:val="en-US" w:eastAsia="zh-CN"/>
              </w:rPr>
              <w:t>/a）</w:t>
            </w:r>
            <w:r>
              <w:rPr>
                <w:rFonts w:hint="eastAsia" w:eastAsia="宋体"/>
                <w:bCs/>
                <w:color w:val="auto"/>
                <w:spacing w:val="11"/>
                <w:szCs w:val="24"/>
                <w:highlight w:val="none"/>
                <w:u w:val="single" w:color="auto"/>
                <w:lang w:eastAsia="zh-CN"/>
              </w:rPr>
              <w:t>，</w:t>
            </w:r>
            <w:r>
              <w:rPr>
                <w:rFonts w:eastAsia="宋体"/>
                <w:bCs/>
                <w:color w:val="auto"/>
                <w:spacing w:val="11"/>
                <w:szCs w:val="24"/>
                <w:highlight w:val="none"/>
                <w:u w:val="single" w:color="auto"/>
              </w:rPr>
              <w:t>污水排放量按用水量的</w:t>
            </w:r>
            <w:r>
              <w:rPr>
                <w:rFonts w:hint="eastAsia" w:eastAsia="宋体"/>
                <w:bCs/>
                <w:color w:val="auto"/>
                <w:spacing w:val="11"/>
                <w:szCs w:val="24"/>
                <w:highlight w:val="none"/>
                <w:u w:val="single" w:color="auto"/>
                <w:lang w:val="en-US" w:eastAsia="zh-CN"/>
              </w:rPr>
              <w:t>85</w:t>
            </w:r>
            <w:r>
              <w:rPr>
                <w:rFonts w:eastAsia="宋体"/>
                <w:bCs/>
                <w:color w:val="auto"/>
                <w:spacing w:val="11"/>
                <w:szCs w:val="24"/>
                <w:highlight w:val="none"/>
                <w:u w:val="single" w:color="auto"/>
              </w:rPr>
              <w:t>%计，经计算，</w:t>
            </w:r>
            <w:r>
              <w:rPr>
                <w:rFonts w:hint="eastAsia" w:eastAsia="宋体"/>
                <w:bCs/>
                <w:color w:val="auto"/>
                <w:spacing w:val="11"/>
                <w:szCs w:val="24"/>
                <w:highlight w:val="none"/>
                <w:u w:val="single" w:color="auto"/>
                <w:lang w:val="en-US" w:eastAsia="zh-CN"/>
              </w:rPr>
              <w:t>院内医疗废水排放量为</w:t>
            </w:r>
            <w:r>
              <w:rPr>
                <w:rFonts w:hint="eastAsia"/>
                <w:bCs/>
                <w:color w:val="auto"/>
                <w:spacing w:val="11"/>
                <w:szCs w:val="24"/>
                <w:highlight w:val="none"/>
                <w:u w:val="single" w:color="auto"/>
                <w:lang w:val="en-US" w:eastAsia="zh-CN"/>
              </w:rPr>
              <w:t>299.625</w:t>
            </w:r>
            <w:r>
              <w:rPr>
                <w:rFonts w:hint="eastAsia" w:ascii="Times New Roman" w:eastAsia="宋体"/>
                <w:bCs/>
                <w:color w:val="auto"/>
                <w:spacing w:val="11"/>
                <w:szCs w:val="24"/>
                <w:highlight w:val="none"/>
                <w:u w:val="single" w:color="auto"/>
                <w:lang w:val="en-US" w:eastAsia="zh-CN"/>
              </w:rPr>
              <w:t>m</w:t>
            </w:r>
            <w:r>
              <w:rPr>
                <w:rFonts w:hint="eastAsia" w:ascii="Times New Roman" w:eastAsia="宋体"/>
                <w:bCs/>
                <w:color w:val="auto"/>
                <w:spacing w:val="11"/>
                <w:szCs w:val="24"/>
                <w:highlight w:val="none"/>
                <w:u w:val="single" w:color="auto"/>
                <w:vertAlign w:val="superscript"/>
                <w:lang w:val="en-US" w:eastAsia="zh-CN"/>
              </w:rPr>
              <w:t>3</w:t>
            </w:r>
            <w:r>
              <w:rPr>
                <w:rFonts w:hint="eastAsia" w:ascii="Times New Roman" w:eastAsia="宋体"/>
                <w:bCs/>
                <w:color w:val="auto"/>
                <w:spacing w:val="11"/>
                <w:szCs w:val="24"/>
                <w:highlight w:val="none"/>
                <w:u w:val="single" w:color="auto"/>
                <w:lang w:val="en-US" w:eastAsia="zh-CN"/>
              </w:rPr>
              <w:t>/d（</w:t>
            </w:r>
            <w:r>
              <w:rPr>
                <w:rFonts w:hint="eastAsia"/>
                <w:bCs/>
                <w:color w:val="auto"/>
                <w:spacing w:val="11"/>
                <w:szCs w:val="24"/>
                <w:highlight w:val="none"/>
                <w:u w:val="single" w:color="auto"/>
                <w:lang w:val="en-US" w:eastAsia="zh-CN"/>
              </w:rPr>
              <w:t>109363.125</w:t>
            </w:r>
            <w:r>
              <w:rPr>
                <w:rFonts w:hint="eastAsia" w:ascii="Times New Roman" w:eastAsia="宋体"/>
                <w:bCs/>
                <w:color w:val="auto"/>
                <w:spacing w:val="11"/>
                <w:szCs w:val="24"/>
                <w:highlight w:val="none"/>
                <w:u w:val="single" w:color="auto"/>
                <w:lang w:val="en-US" w:eastAsia="zh-CN"/>
              </w:rPr>
              <w:t>m</w:t>
            </w:r>
            <w:r>
              <w:rPr>
                <w:rFonts w:hint="eastAsia" w:ascii="Times New Roman" w:eastAsia="宋体"/>
                <w:bCs/>
                <w:color w:val="auto"/>
                <w:spacing w:val="11"/>
                <w:szCs w:val="24"/>
                <w:highlight w:val="none"/>
                <w:u w:val="single" w:color="auto"/>
                <w:vertAlign w:val="superscript"/>
                <w:lang w:val="en-US" w:eastAsia="zh-CN"/>
              </w:rPr>
              <w:t>3</w:t>
            </w:r>
            <w:r>
              <w:rPr>
                <w:rFonts w:hint="eastAsia" w:ascii="Times New Roman" w:eastAsia="宋体"/>
                <w:bCs/>
                <w:color w:val="auto"/>
                <w:spacing w:val="11"/>
                <w:szCs w:val="24"/>
                <w:highlight w:val="none"/>
                <w:u w:val="single" w:color="auto"/>
                <w:lang w:val="en-US" w:eastAsia="zh-CN"/>
              </w:rPr>
              <w:t>/a）</w:t>
            </w:r>
            <w:r>
              <w:rPr>
                <w:rFonts w:hint="eastAsia"/>
                <w:bCs/>
                <w:color w:val="auto"/>
                <w:spacing w:val="11"/>
                <w:szCs w:val="24"/>
                <w:highlight w:val="none"/>
                <w:u w:val="single" w:color="auto"/>
                <w:lang w:val="en-US" w:eastAsia="zh-CN"/>
              </w:rPr>
              <w:t>，该部分废水经预处理池处理后再汇入院内现有污水处理站</w:t>
            </w:r>
            <w:r>
              <w:rPr>
                <w:rFonts w:hint="eastAsia" w:eastAsia="宋体"/>
                <w:bCs/>
                <w:color w:val="auto"/>
                <w:spacing w:val="11"/>
                <w:szCs w:val="24"/>
                <w:highlight w:val="none"/>
                <w:u w:val="single" w:color="auto"/>
                <w:lang w:val="en-US" w:eastAsia="zh-CN"/>
              </w:rPr>
              <w:t>。</w:t>
            </w:r>
          </w:p>
          <w:p w14:paraId="465F1750">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bCs/>
                <w:color w:val="auto"/>
                <w:spacing w:val="11"/>
                <w:szCs w:val="24"/>
                <w:highlight w:val="yellow"/>
                <w:u w:val="single" w:color="auto"/>
                <w:lang w:val="en-US" w:eastAsia="zh-CN"/>
              </w:rPr>
            </w:pPr>
            <w:r>
              <w:rPr>
                <w:rFonts w:hint="eastAsia" w:ascii="Times New Roman" w:hAnsi="Times New Roman" w:eastAsia="宋体" w:cs="Times New Roman"/>
                <w:bCs/>
                <w:color w:val="auto"/>
                <w:spacing w:val="11"/>
                <w:szCs w:val="24"/>
                <w:highlight w:val="none"/>
                <w:u w:val="single" w:color="auto"/>
                <w:lang w:val="en-US" w:eastAsia="zh-CN"/>
              </w:rPr>
              <w:t>（3）检验科废水</w:t>
            </w:r>
          </w:p>
          <w:p w14:paraId="21B79B55">
            <w:pPr>
              <w:ind w:firstLine="480"/>
              <w:rPr>
                <w:rFonts w:hint="eastAsia" w:ascii="Times New Roman" w:hAnsi="Times New Roman" w:eastAsia="宋体" w:cs="Times New Roman"/>
                <w:bCs/>
                <w:color w:val="auto"/>
                <w:spacing w:val="11"/>
                <w:szCs w:val="24"/>
                <w:highlight w:val="none"/>
                <w:u w:val="single" w:color="auto"/>
                <w:lang w:val="en-US" w:eastAsia="zh-CN"/>
              </w:rPr>
            </w:pPr>
            <w:r>
              <w:rPr>
                <w:rFonts w:hint="eastAsia" w:ascii="Times New Roman" w:hAnsi="Times New Roman" w:eastAsia="宋体" w:cs="Times New Roman"/>
                <w:bCs/>
                <w:color w:val="auto"/>
                <w:spacing w:val="11"/>
                <w:szCs w:val="24"/>
                <w:highlight w:val="none"/>
                <w:u w:val="single" w:color="auto"/>
                <w:lang w:val="en-US" w:eastAsia="zh-CN"/>
              </w:rPr>
              <w:t>检验科的化验废水包括酸性废水、含氰污水和含铬污水。</w:t>
            </w:r>
          </w:p>
          <w:p w14:paraId="649233CB">
            <w:pPr>
              <w:ind w:firstLine="480"/>
              <w:rPr>
                <w:rFonts w:hint="eastAsia" w:ascii="Times New Roman" w:hAnsi="Times New Roman" w:eastAsia="宋体" w:cs="Times New Roman"/>
                <w:bCs/>
                <w:color w:val="auto"/>
                <w:spacing w:val="11"/>
                <w:szCs w:val="24"/>
                <w:highlight w:val="none"/>
                <w:u w:val="single" w:color="auto"/>
                <w:lang w:val="en-US" w:eastAsia="zh-CN"/>
              </w:rPr>
            </w:pPr>
            <w:r>
              <w:rPr>
                <w:rFonts w:hint="eastAsia" w:ascii="Times New Roman" w:hAnsi="Times New Roman" w:eastAsia="宋体" w:cs="Times New Roman"/>
                <w:bCs/>
                <w:color w:val="auto"/>
                <w:spacing w:val="11"/>
                <w:szCs w:val="24"/>
                <w:highlight w:val="none"/>
                <w:u w:val="single" w:color="auto"/>
                <w:lang w:val="en-US" w:eastAsia="zh-CN"/>
              </w:rPr>
              <w:t>酸性废水主要来源于医院检验或制作化学清洗剂时使用硝酸、硫酸、过氯酸、一氯乙酸等酸性物质而产生的污水，检验科采用石灰中和法对酸性废水预处理，中和至pH值7~8后排入</w:t>
            </w:r>
            <w:r>
              <w:rPr>
                <w:rFonts w:hint="eastAsia" w:cs="Times New Roman"/>
                <w:bCs/>
                <w:color w:val="auto"/>
                <w:spacing w:val="11"/>
                <w:szCs w:val="24"/>
                <w:highlight w:val="none"/>
                <w:u w:val="single" w:color="auto"/>
                <w:lang w:val="en-US" w:eastAsia="zh-CN"/>
              </w:rPr>
              <w:t>预处理池</w:t>
            </w:r>
            <w:r>
              <w:rPr>
                <w:rFonts w:hint="eastAsia" w:ascii="Times New Roman" w:hAnsi="Times New Roman" w:eastAsia="宋体" w:cs="Times New Roman"/>
                <w:bCs/>
                <w:color w:val="auto"/>
                <w:spacing w:val="11"/>
                <w:szCs w:val="24"/>
                <w:highlight w:val="none"/>
                <w:u w:val="single" w:color="auto"/>
                <w:lang w:val="en-US" w:eastAsia="zh-CN"/>
              </w:rPr>
              <w:t>，预处理设施设置在检验科内，</w:t>
            </w:r>
            <w:r>
              <w:rPr>
                <w:rFonts w:hint="eastAsia" w:cs="Times New Roman"/>
                <w:bCs/>
                <w:color w:val="auto"/>
                <w:spacing w:val="11"/>
                <w:szCs w:val="24"/>
                <w:highlight w:val="none"/>
                <w:u w:val="single" w:color="auto"/>
                <w:lang w:val="en-US" w:eastAsia="zh-CN"/>
              </w:rPr>
              <w:t>类比本院现有检验科情况，该部分废水产生量为</w:t>
            </w:r>
            <w:r>
              <w:rPr>
                <w:rFonts w:hint="eastAsia" w:ascii="Times New Roman" w:hAnsi="Times New Roman" w:eastAsia="宋体" w:cs="Times New Roman"/>
                <w:bCs/>
                <w:color w:val="auto"/>
                <w:spacing w:val="11"/>
                <w:szCs w:val="24"/>
                <w:highlight w:val="none"/>
                <w:u w:val="single" w:color="auto"/>
                <w:lang w:val="en-US" w:eastAsia="zh-CN"/>
              </w:rPr>
              <w:t>0.2m</w:t>
            </w:r>
            <w:r>
              <w:rPr>
                <w:rFonts w:hint="eastAsia" w:ascii="Times New Roman" w:hAnsi="Times New Roman" w:eastAsia="宋体" w:cs="Times New Roman"/>
                <w:bCs/>
                <w:color w:val="auto"/>
                <w:spacing w:val="11"/>
                <w:szCs w:val="24"/>
                <w:highlight w:val="none"/>
                <w:u w:val="single" w:color="auto"/>
                <w:vertAlign w:val="superscript"/>
                <w:lang w:val="en-US" w:eastAsia="zh-CN"/>
              </w:rPr>
              <w:t>3</w:t>
            </w:r>
            <w:r>
              <w:rPr>
                <w:rFonts w:hint="eastAsia" w:ascii="Times New Roman" w:hAnsi="Times New Roman" w:eastAsia="宋体" w:cs="Times New Roman"/>
                <w:bCs/>
                <w:color w:val="auto"/>
                <w:spacing w:val="11"/>
                <w:szCs w:val="24"/>
                <w:highlight w:val="none"/>
                <w:u w:val="single" w:color="auto"/>
                <w:lang w:val="en-US" w:eastAsia="zh-CN"/>
              </w:rPr>
              <w:t>/d</w:t>
            </w:r>
            <w:r>
              <w:rPr>
                <w:rFonts w:hint="eastAsia" w:cs="Times New Roman"/>
                <w:bCs/>
                <w:color w:val="auto"/>
                <w:spacing w:val="11"/>
                <w:szCs w:val="24"/>
                <w:highlight w:val="none"/>
                <w:u w:val="single" w:color="auto"/>
                <w:lang w:val="en-US" w:eastAsia="zh-CN"/>
              </w:rPr>
              <w:t>（73</w:t>
            </w:r>
            <w:r>
              <w:rPr>
                <w:rFonts w:hint="eastAsia" w:ascii="Times New Roman" w:hAnsi="Times New Roman" w:eastAsia="宋体" w:cs="Times New Roman"/>
                <w:bCs/>
                <w:color w:val="auto"/>
                <w:spacing w:val="11"/>
                <w:szCs w:val="24"/>
                <w:highlight w:val="none"/>
                <w:u w:val="single" w:color="auto"/>
                <w:lang w:val="en-US" w:eastAsia="zh-CN"/>
              </w:rPr>
              <w:t>m</w:t>
            </w:r>
            <w:r>
              <w:rPr>
                <w:rFonts w:hint="eastAsia" w:ascii="Times New Roman" w:hAnsi="Times New Roman" w:eastAsia="宋体" w:cs="Times New Roman"/>
                <w:bCs/>
                <w:color w:val="auto"/>
                <w:spacing w:val="11"/>
                <w:szCs w:val="24"/>
                <w:highlight w:val="none"/>
                <w:u w:val="single" w:color="auto"/>
                <w:vertAlign w:val="superscript"/>
                <w:lang w:val="en-US" w:eastAsia="zh-CN"/>
              </w:rPr>
              <w:t>3</w:t>
            </w:r>
            <w:r>
              <w:rPr>
                <w:rFonts w:hint="eastAsia" w:ascii="Times New Roman" w:hAnsi="Times New Roman" w:eastAsia="宋体" w:cs="Times New Roman"/>
                <w:bCs/>
                <w:color w:val="auto"/>
                <w:spacing w:val="11"/>
                <w:szCs w:val="24"/>
                <w:highlight w:val="none"/>
                <w:u w:val="single" w:color="auto"/>
                <w:lang w:val="en-US" w:eastAsia="zh-CN"/>
              </w:rPr>
              <w:t>/a</w:t>
            </w:r>
            <w:r>
              <w:rPr>
                <w:rFonts w:hint="eastAsia" w:cs="Times New Roman"/>
                <w:bCs/>
                <w:color w:val="auto"/>
                <w:spacing w:val="11"/>
                <w:szCs w:val="24"/>
                <w:highlight w:val="none"/>
                <w:u w:val="single" w:color="auto"/>
                <w:lang w:val="en-US" w:eastAsia="zh-CN"/>
              </w:rPr>
              <w:t>）</w:t>
            </w:r>
            <w:r>
              <w:rPr>
                <w:rFonts w:hint="eastAsia" w:ascii="Times New Roman" w:hAnsi="Times New Roman" w:eastAsia="宋体" w:cs="Times New Roman"/>
                <w:bCs/>
                <w:color w:val="auto"/>
                <w:spacing w:val="11"/>
                <w:szCs w:val="24"/>
                <w:highlight w:val="none"/>
                <w:u w:val="single" w:color="auto"/>
                <w:lang w:val="en-US" w:eastAsia="zh-CN"/>
              </w:rPr>
              <w:t>；</w:t>
            </w:r>
          </w:p>
          <w:p w14:paraId="14E6A3A0">
            <w:pPr>
              <w:ind w:firstLine="480"/>
              <w:rPr>
                <w:rFonts w:hint="eastAsia" w:ascii="Times New Roman" w:hAnsi="Times New Roman" w:eastAsia="宋体" w:cs="Times New Roman"/>
                <w:bCs/>
                <w:color w:val="auto"/>
                <w:spacing w:val="11"/>
                <w:szCs w:val="24"/>
                <w:highlight w:val="none"/>
                <w:u w:val="single" w:color="auto"/>
                <w:lang w:val="en-US" w:eastAsia="zh-CN"/>
              </w:rPr>
            </w:pPr>
            <w:r>
              <w:rPr>
                <w:rFonts w:hint="eastAsia" w:ascii="Times New Roman" w:hAnsi="Times New Roman" w:eastAsia="宋体" w:cs="Times New Roman"/>
                <w:bCs/>
                <w:color w:val="auto"/>
                <w:spacing w:val="11"/>
                <w:szCs w:val="24"/>
                <w:highlight w:val="none"/>
                <w:u w:val="single" w:color="auto"/>
                <w:lang w:val="en-US" w:eastAsia="zh-CN"/>
              </w:rPr>
              <w:t>含氰污水主要来源于医院在血液、血清、细菌和化学检查分析时使用氰化钾、氰化钠、铁氰化钾、亚铁氰化钾等含氰化合物而产生的污水，检验科采用ClO</w:t>
            </w:r>
            <w:r>
              <w:rPr>
                <w:rFonts w:hint="eastAsia" w:ascii="Times New Roman" w:hAnsi="Times New Roman" w:eastAsia="宋体" w:cs="Times New Roman"/>
                <w:bCs/>
                <w:color w:val="auto"/>
                <w:spacing w:val="11"/>
                <w:szCs w:val="24"/>
                <w:highlight w:val="none"/>
                <w:u w:val="single" w:color="auto"/>
                <w:vertAlign w:val="subscript"/>
                <w:lang w:val="en-US" w:eastAsia="zh-CN"/>
              </w:rPr>
              <w:t>2</w:t>
            </w:r>
            <w:r>
              <w:rPr>
                <w:rFonts w:hint="eastAsia" w:ascii="Times New Roman" w:hAnsi="Times New Roman" w:eastAsia="宋体" w:cs="Times New Roman"/>
                <w:bCs/>
                <w:color w:val="auto"/>
                <w:spacing w:val="11"/>
                <w:szCs w:val="24"/>
                <w:highlight w:val="none"/>
                <w:u w:val="single" w:color="auto"/>
                <w:lang w:val="en-US" w:eastAsia="zh-CN"/>
              </w:rPr>
              <w:t>氧化法对含氰污水预处理，处理后CN</w:t>
            </w:r>
            <w:r>
              <w:rPr>
                <w:rFonts w:hint="eastAsia" w:ascii="Times New Roman" w:hAnsi="Times New Roman" w:eastAsia="宋体" w:cs="Times New Roman"/>
                <w:bCs/>
                <w:color w:val="auto"/>
                <w:spacing w:val="11"/>
                <w:szCs w:val="24"/>
                <w:highlight w:val="none"/>
                <w:u w:val="single" w:color="auto"/>
                <w:vertAlign w:val="superscript"/>
                <w:lang w:val="en-US" w:eastAsia="zh-CN"/>
              </w:rPr>
              <w:t>-</w:t>
            </w:r>
            <w:r>
              <w:rPr>
                <w:rFonts w:hint="eastAsia" w:ascii="Times New Roman" w:hAnsi="Times New Roman" w:eastAsia="宋体" w:cs="Times New Roman"/>
                <w:bCs/>
                <w:color w:val="auto"/>
                <w:spacing w:val="11"/>
                <w:szCs w:val="24"/>
                <w:highlight w:val="none"/>
                <w:u w:val="single" w:color="auto"/>
                <w:lang w:val="en-US" w:eastAsia="zh-CN"/>
              </w:rPr>
              <w:t>小于0.5mg/L排入医院污水处理系统，预处理设施设置在检验科内，类比本院现有检验科情况，该部分废水产生量为0.2m</w:t>
            </w:r>
            <w:r>
              <w:rPr>
                <w:rFonts w:hint="eastAsia" w:ascii="Times New Roman" w:hAnsi="Times New Roman" w:eastAsia="宋体" w:cs="Times New Roman"/>
                <w:bCs/>
                <w:color w:val="auto"/>
                <w:spacing w:val="11"/>
                <w:szCs w:val="24"/>
                <w:highlight w:val="none"/>
                <w:u w:val="single" w:color="auto"/>
                <w:vertAlign w:val="superscript"/>
                <w:lang w:val="en-US" w:eastAsia="zh-CN"/>
              </w:rPr>
              <w:t>3</w:t>
            </w:r>
            <w:r>
              <w:rPr>
                <w:rFonts w:hint="eastAsia" w:ascii="Times New Roman" w:hAnsi="Times New Roman" w:eastAsia="宋体" w:cs="Times New Roman"/>
                <w:bCs/>
                <w:color w:val="auto"/>
                <w:spacing w:val="11"/>
                <w:szCs w:val="24"/>
                <w:highlight w:val="none"/>
                <w:u w:val="single" w:color="auto"/>
                <w:lang w:val="en-US" w:eastAsia="zh-CN"/>
              </w:rPr>
              <w:t>/d</w:t>
            </w:r>
            <w:r>
              <w:rPr>
                <w:rFonts w:hint="eastAsia" w:cs="Times New Roman"/>
                <w:bCs/>
                <w:color w:val="auto"/>
                <w:spacing w:val="11"/>
                <w:szCs w:val="24"/>
                <w:highlight w:val="none"/>
                <w:u w:val="single" w:color="auto"/>
                <w:lang w:val="en-US" w:eastAsia="zh-CN"/>
              </w:rPr>
              <w:t>（73</w:t>
            </w:r>
            <w:r>
              <w:rPr>
                <w:rFonts w:hint="eastAsia" w:ascii="Times New Roman" w:hAnsi="Times New Roman" w:eastAsia="宋体" w:cs="Times New Roman"/>
                <w:bCs/>
                <w:color w:val="auto"/>
                <w:spacing w:val="11"/>
                <w:szCs w:val="24"/>
                <w:highlight w:val="none"/>
                <w:u w:val="single" w:color="auto"/>
                <w:lang w:val="en-US" w:eastAsia="zh-CN"/>
              </w:rPr>
              <w:t>m</w:t>
            </w:r>
            <w:r>
              <w:rPr>
                <w:rFonts w:hint="eastAsia" w:ascii="Times New Roman" w:hAnsi="Times New Roman" w:eastAsia="宋体" w:cs="Times New Roman"/>
                <w:bCs/>
                <w:color w:val="auto"/>
                <w:spacing w:val="11"/>
                <w:szCs w:val="24"/>
                <w:highlight w:val="none"/>
                <w:u w:val="single" w:color="auto"/>
                <w:vertAlign w:val="superscript"/>
                <w:lang w:val="en-US" w:eastAsia="zh-CN"/>
              </w:rPr>
              <w:t>3</w:t>
            </w:r>
            <w:r>
              <w:rPr>
                <w:rFonts w:hint="eastAsia" w:ascii="Times New Roman" w:hAnsi="Times New Roman" w:eastAsia="宋体" w:cs="Times New Roman"/>
                <w:bCs/>
                <w:color w:val="auto"/>
                <w:spacing w:val="11"/>
                <w:szCs w:val="24"/>
                <w:highlight w:val="none"/>
                <w:u w:val="single" w:color="auto"/>
                <w:lang w:val="en-US" w:eastAsia="zh-CN"/>
              </w:rPr>
              <w:t>/a</w:t>
            </w:r>
            <w:r>
              <w:rPr>
                <w:rFonts w:hint="eastAsia" w:cs="Times New Roman"/>
                <w:bCs/>
                <w:color w:val="auto"/>
                <w:spacing w:val="11"/>
                <w:szCs w:val="24"/>
                <w:highlight w:val="none"/>
                <w:u w:val="single" w:color="auto"/>
                <w:lang w:val="en-US" w:eastAsia="zh-CN"/>
              </w:rPr>
              <w:t>）</w:t>
            </w:r>
            <w:r>
              <w:rPr>
                <w:rFonts w:hint="eastAsia" w:ascii="Times New Roman" w:hAnsi="Times New Roman" w:eastAsia="宋体" w:cs="Times New Roman"/>
                <w:bCs/>
                <w:color w:val="auto"/>
                <w:spacing w:val="11"/>
                <w:szCs w:val="24"/>
                <w:highlight w:val="none"/>
                <w:u w:val="single" w:color="auto"/>
                <w:lang w:val="en-US" w:eastAsia="zh-CN"/>
              </w:rPr>
              <w:t>；</w:t>
            </w:r>
          </w:p>
          <w:p w14:paraId="6825C1FB">
            <w:pPr>
              <w:ind w:firstLine="480"/>
              <w:rPr>
                <w:rFonts w:hint="default" w:ascii="Times New Roman" w:hAnsi="Times New Roman" w:eastAsia="宋体" w:cs="Times New Roman"/>
                <w:bCs/>
                <w:color w:val="auto"/>
                <w:spacing w:val="11"/>
                <w:szCs w:val="24"/>
                <w:highlight w:val="none"/>
                <w:u w:val="single" w:color="auto"/>
                <w:lang w:val="en-US" w:eastAsia="zh-CN"/>
              </w:rPr>
            </w:pPr>
            <w:r>
              <w:rPr>
                <w:rFonts w:hint="eastAsia" w:ascii="Times New Roman" w:hAnsi="Times New Roman" w:eastAsia="宋体" w:cs="Times New Roman"/>
                <w:bCs/>
                <w:color w:val="auto"/>
                <w:spacing w:val="11"/>
                <w:szCs w:val="24"/>
                <w:highlight w:val="none"/>
                <w:u w:val="single" w:color="auto"/>
                <w:lang w:val="en-US" w:eastAsia="zh-CN"/>
              </w:rPr>
              <w:t>含铬污水来源于医院在病理、血液检查及化验等工作中使用重铬酸钾、三氧化铬、铬酸钾等化学品形成的污水</w:t>
            </w:r>
            <w:r>
              <w:rPr>
                <w:rFonts w:hint="eastAsia" w:cs="Times New Roman"/>
                <w:bCs/>
                <w:color w:val="auto"/>
                <w:spacing w:val="11"/>
                <w:szCs w:val="24"/>
                <w:highlight w:val="none"/>
                <w:u w:val="single" w:color="auto"/>
                <w:lang w:val="en-US" w:eastAsia="zh-CN"/>
              </w:rPr>
              <w:t>。由于该部分废水含重金属，因此本评价要求将该部分废水收集后交由有资质单位进行处理。该部分废水产生量为</w:t>
            </w:r>
            <w:r>
              <w:rPr>
                <w:rFonts w:hint="eastAsia" w:ascii="Times New Roman" w:hAnsi="Times New Roman" w:eastAsia="宋体" w:cs="Times New Roman"/>
                <w:bCs/>
                <w:color w:val="auto"/>
                <w:spacing w:val="11"/>
                <w:szCs w:val="24"/>
                <w:highlight w:val="none"/>
                <w:u w:val="single" w:color="auto"/>
                <w:lang w:val="en-US" w:eastAsia="zh-CN"/>
              </w:rPr>
              <w:t>0.2m</w:t>
            </w:r>
            <w:r>
              <w:rPr>
                <w:rFonts w:hint="eastAsia" w:ascii="Times New Roman" w:hAnsi="Times New Roman" w:eastAsia="宋体" w:cs="Times New Roman"/>
                <w:bCs/>
                <w:color w:val="auto"/>
                <w:spacing w:val="11"/>
                <w:szCs w:val="24"/>
                <w:highlight w:val="none"/>
                <w:u w:val="single" w:color="auto"/>
                <w:vertAlign w:val="superscript"/>
                <w:lang w:val="en-US" w:eastAsia="zh-CN"/>
              </w:rPr>
              <w:t>3</w:t>
            </w:r>
            <w:r>
              <w:rPr>
                <w:rFonts w:hint="eastAsia" w:ascii="Times New Roman" w:hAnsi="Times New Roman" w:eastAsia="宋体" w:cs="Times New Roman"/>
                <w:bCs/>
                <w:color w:val="auto"/>
                <w:spacing w:val="11"/>
                <w:szCs w:val="24"/>
                <w:highlight w:val="none"/>
                <w:u w:val="single" w:color="auto"/>
                <w:lang w:val="en-US" w:eastAsia="zh-CN"/>
              </w:rPr>
              <w:t>/d（</w:t>
            </w:r>
            <w:r>
              <w:rPr>
                <w:rFonts w:hint="eastAsia" w:cs="Times New Roman"/>
                <w:bCs/>
                <w:color w:val="auto"/>
                <w:spacing w:val="11"/>
                <w:szCs w:val="24"/>
                <w:highlight w:val="none"/>
                <w:u w:val="single" w:color="auto"/>
                <w:lang w:val="en-US" w:eastAsia="zh-CN"/>
              </w:rPr>
              <w:t>73</w:t>
            </w:r>
            <w:r>
              <w:rPr>
                <w:rFonts w:hint="eastAsia" w:ascii="Times New Roman" w:hAnsi="Times New Roman" w:eastAsia="宋体" w:cs="Times New Roman"/>
                <w:bCs/>
                <w:color w:val="auto"/>
                <w:spacing w:val="11"/>
                <w:szCs w:val="24"/>
                <w:highlight w:val="none"/>
                <w:u w:val="single" w:color="auto"/>
                <w:lang w:val="en-US" w:eastAsia="zh-CN"/>
              </w:rPr>
              <w:t>m</w:t>
            </w:r>
            <w:r>
              <w:rPr>
                <w:rFonts w:hint="eastAsia" w:ascii="Times New Roman" w:hAnsi="Times New Roman" w:eastAsia="宋体" w:cs="Times New Roman"/>
                <w:bCs/>
                <w:color w:val="auto"/>
                <w:spacing w:val="11"/>
                <w:szCs w:val="24"/>
                <w:highlight w:val="none"/>
                <w:u w:val="single" w:color="auto"/>
                <w:vertAlign w:val="superscript"/>
                <w:lang w:val="en-US" w:eastAsia="zh-CN"/>
              </w:rPr>
              <w:t>3</w:t>
            </w:r>
            <w:r>
              <w:rPr>
                <w:rFonts w:hint="eastAsia" w:ascii="Times New Roman" w:hAnsi="Times New Roman" w:eastAsia="宋体" w:cs="Times New Roman"/>
                <w:bCs/>
                <w:color w:val="auto"/>
                <w:spacing w:val="11"/>
                <w:szCs w:val="24"/>
                <w:highlight w:val="none"/>
                <w:u w:val="single" w:color="auto"/>
                <w:lang w:val="en-US" w:eastAsia="zh-CN"/>
              </w:rPr>
              <w:t>/a）。</w:t>
            </w:r>
          </w:p>
          <w:p w14:paraId="06C74C80">
            <w:pPr>
              <w:ind w:firstLine="480"/>
              <w:rPr>
                <w:rFonts w:hint="eastAsia" w:ascii="Times New Roman" w:hAnsi="Times New Roman" w:eastAsia="宋体" w:cs="Times New Roman"/>
                <w:bCs/>
                <w:color w:val="auto"/>
                <w:spacing w:val="11"/>
                <w:szCs w:val="24"/>
                <w:highlight w:val="none"/>
                <w:u w:val="single" w:color="auto"/>
                <w:lang w:val="en-US" w:eastAsia="zh-CN"/>
              </w:rPr>
            </w:pPr>
            <w:r>
              <w:rPr>
                <w:rFonts w:hint="eastAsia" w:cs="Times New Roman"/>
                <w:bCs/>
                <w:color w:val="auto"/>
                <w:spacing w:val="11"/>
                <w:szCs w:val="24"/>
                <w:highlight w:val="none"/>
                <w:u w:val="single" w:color="auto"/>
                <w:lang w:val="en-US" w:eastAsia="zh-CN"/>
              </w:rPr>
              <w:t>综上，本院检验科化验废水产生量为</w:t>
            </w:r>
            <w:r>
              <w:rPr>
                <w:rFonts w:hint="eastAsia" w:ascii="Times New Roman" w:hAnsi="Times New Roman" w:eastAsia="宋体" w:cs="Times New Roman"/>
                <w:bCs/>
                <w:color w:val="auto"/>
                <w:spacing w:val="11"/>
                <w:szCs w:val="24"/>
                <w:highlight w:val="none"/>
                <w:u w:val="single" w:color="auto"/>
                <w:lang w:val="en-US" w:eastAsia="zh-CN"/>
              </w:rPr>
              <w:t>0</w:t>
            </w:r>
            <w:r>
              <w:rPr>
                <w:rFonts w:hint="eastAsia" w:cs="Times New Roman"/>
                <w:bCs/>
                <w:color w:val="auto"/>
                <w:spacing w:val="11"/>
                <w:szCs w:val="24"/>
                <w:highlight w:val="none"/>
                <w:u w:val="single" w:color="auto"/>
                <w:lang w:val="en-US" w:eastAsia="zh-CN"/>
              </w:rPr>
              <w:t>.4</w:t>
            </w:r>
            <w:r>
              <w:rPr>
                <w:rFonts w:hint="eastAsia" w:ascii="Times New Roman" w:hAnsi="Times New Roman" w:eastAsia="宋体" w:cs="Times New Roman"/>
                <w:bCs/>
                <w:color w:val="auto"/>
                <w:spacing w:val="11"/>
                <w:szCs w:val="24"/>
                <w:highlight w:val="none"/>
                <w:u w:val="single" w:color="auto"/>
                <w:lang w:val="en-US" w:eastAsia="zh-CN"/>
              </w:rPr>
              <w:t>m</w:t>
            </w:r>
            <w:r>
              <w:rPr>
                <w:rFonts w:hint="eastAsia" w:ascii="Times New Roman" w:hAnsi="Times New Roman" w:eastAsia="宋体" w:cs="Times New Roman"/>
                <w:bCs/>
                <w:color w:val="auto"/>
                <w:spacing w:val="11"/>
                <w:szCs w:val="24"/>
                <w:highlight w:val="none"/>
                <w:u w:val="single" w:color="auto"/>
                <w:vertAlign w:val="superscript"/>
                <w:lang w:val="en-US" w:eastAsia="zh-CN"/>
              </w:rPr>
              <w:t>3</w:t>
            </w:r>
            <w:r>
              <w:rPr>
                <w:rFonts w:hint="eastAsia" w:ascii="Times New Roman" w:hAnsi="Times New Roman" w:eastAsia="宋体" w:cs="Times New Roman"/>
                <w:bCs/>
                <w:color w:val="auto"/>
                <w:spacing w:val="11"/>
                <w:szCs w:val="24"/>
                <w:highlight w:val="none"/>
                <w:u w:val="single" w:color="auto"/>
                <w:lang w:val="en-US" w:eastAsia="zh-CN"/>
              </w:rPr>
              <w:t>/d（</w:t>
            </w:r>
            <w:r>
              <w:rPr>
                <w:rFonts w:hint="eastAsia" w:cs="Times New Roman"/>
                <w:bCs/>
                <w:color w:val="auto"/>
                <w:spacing w:val="11"/>
                <w:szCs w:val="24"/>
                <w:highlight w:val="none"/>
                <w:u w:val="single" w:color="auto"/>
                <w:lang w:val="en-US" w:eastAsia="zh-CN"/>
              </w:rPr>
              <w:t>146</w:t>
            </w:r>
            <w:r>
              <w:rPr>
                <w:rFonts w:hint="eastAsia" w:ascii="Times New Roman" w:hAnsi="Times New Roman" w:eastAsia="宋体" w:cs="Times New Roman"/>
                <w:bCs/>
                <w:color w:val="auto"/>
                <w:spacing w:val="11"/>
                <w:szCs w:val="24"/>
                <w:highlight w:val="none"/>
                <w:u w:val="single" w:color="auto"/>
                <w:lang w:val="en-US" w:eastAsia="zh-CN"/>
              </w:rPr>
              <w:t>m</w:t>
            </w:r>
            <w:r>
              <w:rPr>
                <w:rFonts w:hint="eastAsia" w:ascii="Times New Roman" w:hAnsi="Times New Roman" w:eastAsia="宋体" w:cs="Times New Roman"/>
                <w:bCs/>
                <w:color w:val="auto"/>
                <w:spacing w:val="11"/>
                <w:szCs w:val="24"/>
                <w:highlight w:val="none"/>
                <w:u w:val="single" w:color="auto"/>
                <w:vertAlign w:val="superscript"/>
                <w:lang w:val="en-US" w:eastAsia="zh-CN"/>
              </w:rPr>
              <w:t>3</w:t>
            </w:r>
            <w:r>
              <w:rPr>
                <w:rFonts w:hint="eastAsia" w:ascii="Times New Roman" w:hAnsi="Times New Roman" w:eastAsia="宋体" w:cs="Times New Roman"/>
                <w:bCs/>
                <w:color w:val="auto"/>
                <w:spacing w:val="11"/>
                <w:szCs w:val="24"/>
                <w:highlight w:val="none"/>
                <w:u w:val="single" w:color="auto"/>
                <w:lang w:val="en-US" w:eastAsia="zh-CN"/>
              </w:rPr>
              <w:t>/a），该部分废水经预处理池处理后再汇入院内现有污水处理站。</w:t>
            </w:r>
          </w:p>
          <w:p w14:paraId="12A3DFD5">
            <w:pPr>
              <w:ind w:firstLine="480"/>
              <w:rPr>
                <w:rFonts w:hint="default" w:ascii="Times New Roman" w:hAnsi="Times New Roman" w:eastAsia="宋体" w:cs="Times New Roman"/>
                <w:bCs/>
                <w:color w:val="auto"/>
                <w:spacing w:val="11"/>
                <w:szCs w:val="24"/>
                <w:highlight w:val="none"/>
                <w:u w:val="single" w:color="auto"/>
                <w:lang w:val="en-US" w:eastAsia="zh-CN"/>
              </w:rPr>
            </w:pPr>
            <w:r>
              <w:rPr>
                <w:rFonts w:hint="eastAsia" w:ascii="Times New Roman" w:hAnsi="Times New Roman" w:eastAsia="宋体" w:cs="Times New Roman"/>
                <w:bCs/>
                <w:color w:val="auto"/>
                <w:spacing w:val="11"/>
                <w:szCs w:val="24"/>
                <w:highlight w:val="none"/>
                <w:u w:val="single" w:color="auto"/>
                <w:lang w:val="en-US" w:eastAsia="zh-CN"/>
              </w:rPr>
              <w:t>本项目废水产生及排放情况详见下表：</w:t>
            </w:r>
          </w:p>
          <w:p w14:paraId="6B93FAA9">
            <w:pPr>
              <w:spacing w:line="271" w:lineRule="auto"/>
              <w:ind w:firstLine="0" w:firstLineChars="0"/>
              <w:jc w:val="center"/>
              <w:rPr>
                <w:rFonts w:ascii="Times New Roman" w:hAnsi="Times New Roman" w:eastAsia="宋体" w:cs="Times New Roman"/>
                <w:b/>
                <w:color w:val="auto"/>
                <w:spacing w:val="11"/>
                <w:sz w:val="21"/>
                <w:szCs w:val="22"/>
                <w:highlight w:val="none"/>
                <w:u w:val="single" w:color="auto"/>
              </w:rPr>
            </w:pPr>
            <w:r>
              <w:rPr>
                <w:rFonts w:ascii="Times New Roman" w:hAnsi="Times New Roman" w:eastAsia="宋体" w:cs="Times New Roman"/>
                <w:b/>
                <w:color w:val="auto"/>
                <w:spacing w:val="11"/>
                <w:sz w:val="21"/>
                <w:szCs w:val="22"/>
                <w:highlight w:val="none"/>
                <w:u w:val="single" w:color="auto"/>
              </w:rPr>
              <w:t>表</w:t>
            </w:r>
            <w:r>
              <w:rPr>
                <w:rFonts w:hint="eastAsia" w:ascii="Times New Roman" w:hAnsi="Times New Roman" w:eastAsia="宋体" w:cs="Times New Roman"/>
                <w:b/>
                <w:color w:val="auto"/>
                <w:spacing w:val="11"/>
                <w:sz w:val="21"/>
                <w:szCs w:val="22"/>
                <w:highlight w:val="none"/>
                <w:u w:val="single" w:color="auto"/>
                <w:lang w:val="en-US" w:eastAsia="zh-CN"/>
              </w:rPr>
              <w:t>4-</w:t>
            </w:r>
            <w:r>
              <w:rPr>
                <w:rFonts w:hint="eastAsia" w:cs="Times New Roman"/>
                <w:b/>
                <w:color w:val="auto"/>
                <w:spacing w:val="11"/>
                <w:sz w:val="21"/>
                <w:szCs w:val="22"/>
                <w:highlight w:val="none"/>
                <w:u w:val="single" w:color="auto"/>
                <w:lang w:val="en-US" w:eastAsia="zh-CN"/>
              </w:rPr>
              <w:t>9</w:t>
            </w:r>
            <w:r>
              <w:rPr>
                <w:rFonts w:hint="eastAsia" w:ascii="Times New Roman" w:hAnsi="Times New Roman" w:eastAsia="宋体" w:cs="Times New Roman"/>
                <w:b/>
                <w:color w:val="auto"/>
                <w:spacing w:val="11"/>
                <w:sz w:val="21"/>
                <w:szCs w:val="22"/>
                <w:highlight w:val="none"/>
                <w:u w:val="single" w:color="auto"/>
                <w:lang w:val="en-US" w:eastAsia="zh-CN"/>
              </w:rPr>
              <w:t xml:space="preserve"> </w:t>
            </w:r>
            <w:r>
              <w:rPr>
                <w:rFonts w:ascii="Times New Roman" w:hAnsi="Times New Roman" w:eastAsia="宋体" w:cs="Times New Roman"/>
                <w:b/>
                <w:color w:val="auto"/>
                <w:spacing w:val="11"/>
                <w:sz w:val="21"/>
                <w:szCs w:val="22"/>
                <w:highlight w:val="none"/>
                <w:u w:val="single" w:color="auto"/>
              </w:rPr>
              <w:t xml:space="preserve"> 项目</w:t>
            </w:r>
            <w:r>
              <w:rPr>
                <w:rFonts w:hint="eastAsia" w:ascii="Times New Roman" w:hAnsi="Times New Roman" w:eastAsia="宋体" w:cs="Times New Roman"/>
                <w:b/>
                <w:color w:val="auto"/>
                <w:spacing w:val="11"/>
                <w:sz w:val="21"/>
                <w:szCs w:val="22"/>
                <w:highlight w:val="none"/>
                <w:u w:val="single" w:color="auto"/>
                <w:lang w:val="en-US" w:eastAsia="zh-CN"/>
              </w:rPr>
              <w:t>废水</w:t>
            </w:r>
            <w:r>
              <w:rPr>
                <w:rFonts w:ascii="Times New Roman" w:hAnsi="Times New Roman" w:eastAsia="宋体" w:cs="Times New Roman"/>
                <w:b/>
                <w:color w:val="auto"/>
                <w:spacing w:val="11"/>
                <w:sz w:val="21"/>
                <w:szCs w:val="22"/>
                <w:highlight w:val="none"/>
                <w:u w:val="single" w:color="auto"/>
              </w:rPr>
              <w:t>产生情况</w:t>
            </w:r>
            <w:r>
              <w:rPr>
                <w:rFonts w:hint="eastAsia" w:ascii="Times New Roman" w:hAnsi="Times New Roman" w:eastAsia="宋体" w:cs="Times New Roman"/>
                <w:b/>
                <w:color w:val="auto"/>
                <w:spacing w:val="11"/>
                <w:sz w:val="21"/>
                <w:szCs w:val="22"/>
                <w:highlight w:val="none"/>
                <w:u w:val="single" w:color="auto"/>
              </w:rPr>
              <w:t>及排放情况</w:t>
            </w:r>
            <w:r>
              <w:rPr>
                <w:rFonts w:ascii="Times New Roman" w:hAnsi="Times New Roman" w:eastAsia="宋体" w:cs="Times New Roman"/>
                <w:b/>
                <w:color w:val="auto"/>
                <w:spacing w:val="11"/>
                <w:sz w:val="21"/>
                <w:szCs w:val="22"/>
                <w:highlight w:val="none"/>
                <w:u w:val="single" w:color="auto"/>
              </w:rPr>
              <w:t>一览表</w:t>
            </w:r>
          </w:p>
          <w:tbl>
            <w:tblPr>
              <w:tblStyle w:val="24"/>
              <w:tblW w:w="4998" w:type="pct"/>
              <w:tblInd w:w="1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796"/>
              <w:gridCol w:w="1190"/>
              <w:gridCol w:w="1358"/>
              <w:gridCol w:w="1875"/>
              <w:gridCol w:w="1955"/>
            </w:tblGrid>
            <w:tr w14:paraId="7D24A8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30" w:type="pct"/>
                  <w:vMerge w:val="restart"/>
                  <w:tcBorders>
                    <w:tl2br w:val="nil"/>
                    <w:tr2bl w:val="nil"/>
                  </w:tcBorders>
                  <w:vAlign w:val="center"/>
                </w:tcPr>
                <w:p w14:paraId="52CDF50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default" w:ascii="Times New Roman" w:hAnsi="Times New Roman" w:eastAsia="宋体" w:cs="Times New Roman"/>
                      <w:snapToGrid w:val="0"/>
                      <w:color w:val="auto"/>
                      <w:spacing w:val="11"/>
                      <w:kern w:val="0"/>
                      <w:sz w:val="21"/>
                      <w:szCs w:val="21"/>
                      <w:highlight w:val="none"/>
                      <w:u w:val="single" w:color="auto"/>
                    </w:rPr>
                    <w:t>产生环节</w:t>
                  </w:r>
                </w:p>
              </w:tc>
              <w:tc>
                <w:tcPr>
                  <w:tcW w:w="1004" w:type="pct"/>
                  <w:vMerge w:val="restart"/>
                  <w:tcBorders>
                    <w:tl2br w:val="nil"/>
                    <w:tr2bl w:val="nil"/>
                  </w:tcBorders>
                  <w:vAlign w:val="center"/>
                </w:tcPr>
                <w:p w14:paraId="6DB1C7C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default" w:ascii="Times New Roman" w:hAnsi="Times New Roman" w:eastAsia="宋体" w:cs="Times New Roman"/>
                      <w:snapToGrid w:val="0"/>
                      <w:color w:val="auto"/>
                      <w:spacing w:val="11"/>
                      <w:kern w:val="0"/>
                      <w:sz w:val="21"/>
                      <w:szCs w:val="21"/>
                      <w:highlight w:val="none"/>
                      <w:u w:val="single" w:color="auto"/>
                    </w:rPr>
                    <w:t>指标</w:t>
                  </w:r>
                </w:p>
              </w:tc>
              <w:tc>
                <w:tcPr>
                  <w:tcW w:w="665" w:type="pct"/>
                  <w:vMerge w:val="restart"/>
                  <w:tcBorders>
                    <w:tl2br w:val="nil"/>
                    <w:tr2bl w:val="nil"/>
                  </w:tcBorders>
                  <w:vAlign w:val="center"/>
                </w:tcPr>
                <w:p w14:paraId="5500CB2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eastAsia" w:ascii="Times New Roman" w:hAnsi="Times New Roman" w:eastAsia="宋体" w:cs="Times New Roman"/>
                      <w:snapToGrid w:val="0"/>
                      <w:color w:val="auto"/>
                      <w:spacing w:val="11"/>
                      <w:kern w:val="0"/>
                      <w:sz w:val="21"/>
                      <w:szCs w:val="21"/>
                      <w:highlight w:val="none"/>
                      <w:u w:val="single" w:color="auto"/>
                    </w:rPr>
                    <w:t>处理前水质</w:t>
                  </w:r>
                </w:p>
              </w:tc>
              <w:tc>
                <w:tcPr>
                  <w:tcW w:w="759" w:type="pct"/>
                  <w:vMerge w:val="restart"/>
                  <w:tcBorders>
                    <w:tl2br w:val="nil"/>
                    <w:tr2bl w:val="nil"/>
                  </w:tcBorders>
                  <w:vAlign w:val="center"/>
                </w:tcPr>
                <w:p w14:paraId="25E72C1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default" w:ascii="Times New Roman" w:hAnsi="Times New Roman" w:eastAsia="宋体" w:cs="Times New Roman"/>
                      <w:snapToGrid w:val="0"/>
                      <w:color w:val="auto"/>
                      <w:spacing w:val="11"/>
                      <w:kern w:val="0"/>
                      <w:sz w:val="21"/>
                      <w:szCs w:val="21"/>
                      <w:highlight w:val="none"/>
                      <w:u w:val="single" w:color="auto"/>
                    </w:rPr>
                    <w:t>产生量（t/a）</w:t>
                  </w:r>
                </w:p>
              </w:tc>
              <w:tc>
                <w:tcPr>
                  <w:tcW w:w="2141" w:type="pct"/>
                  <w:gridSpan w:val="2"/>
                  <w:tcBorders>
                    <w:tl2br w:val="nil"/>
                    <w:tr2bl w:val="nil"/>
                  </w:tcBorders>
                  <w:vAlign w:val="center"/>
                </w:tcPr>
                <w:p w14:paraId="0A603DC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eastAsia" w:ascii="Times New Roman" w:hAnsi="Times New Roman" w:eastAsia="宋体" w:cs="Times New Roman"/>
                      <w:snapToGrid w:val="0"/>
                      <w:color w:val="auto"/>
                      <w:spacing w:val="11"/>
                      <w:kern w:val="0"/>
                      <w:sz w:val="21"/>
                      <w:szCs w:val="21"/>
                      <w:highlight w:val="none"/>
                      <w:u w:val="single" w:color="auto"/>
                    </w:rPr>
                    <w:t>处理后</w:t>
                  </w:r>
                </w:p>
              </w:tc>
            </w:tr>
            <w:tr w14:paraId="74FBB0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30" w:type="pct"/>
                  <w:vMerge w:val="continue"/>
                  <w:tcBorders>
                    <w:tl2br w:val="nil"/>
                    <w:tr2bl w:val="nil"/>
                  </w:tcBorders>
                  <w:vAlign w:val="center"/>
                </w:tcPr>
                <w:p w14:paraId="0862B8C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11"/>
                      <w:sz w:val="21"/>
                      <w:szCs w:val="21"/>
                      <w:highlight w:val="none"/>
                      <w:u w:val="single" w:color="auto"/>
                    </w:rPr>
                  </w:pPr>
                </w:p>
              </w:tc>
              <w:tc>
                <w:tcPr>
                  <w:tcW w:w="1004" w:type="pct"/>
                  <w:vMerge w:val="continue"/>
                  <w:tcBorders>
                    <w:tl2br w:val="nil"/>
                    <w:tr2bl w:val="nil"/>
                  </w:tcBorders>
                  <w:vAlign w:val="center"/>
                </w:tcPr>
                <w:p w14:paraId="721E17A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11"/>
                      <w:sz w:val="21"/>
                      <w:szCs w:val="21"/>
                      <w:highlight w:val="none"/>
                      <w:u w:val="single" w:color="auto"/>
                    </w:rPr>
                  </w:pPr>
                </w:p>
              </w:tc>
              <w:tc>
                <w:tcPr>
                  <w:tcW w:w="665" w:type="pct"/>
                  <w:vMerge w:val="continue"/>
                  <w:tcBorders>
                    <w:tl2br w:val="nil"/>
                    <w:tr2bl w:val="nil"/>
                  </w:tcBorders>
                  <w:vAlign w:val="center"/>
                </w:tcPr>
                <w:p w14:paraId="5C9F127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11"/>
                      <w:sz w:val="21"/>
                      <w:szCs w:val="21"/>
                      <w:highlight w:val="none"/>
                      <w:u w:val="single" w:color="auto"/>
                    </w:rPr>
                  </w:pPr>
                </w:p>
              </w:tc>
              <w:tc>
                <w:tcPr>
                  <w:tcW w:w="759" w:type="pct"/>
                  <w:vMerge w:val="continue"/>
                  <w:tcBorders>
                    <w:tl2br w:val="nil"/>
                    <w:tr2bl w:val="nil"/>
                  </w:tcBorders>
                  <w:vAlign w:val="center"/>
                </w:tcPr>
                <w:p w14:paraId="5290A54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11"/>
                      <w:sz w:val="21"/>
                      <w:szCs w:val="21"/>
                      <w:highlight w:val="none"/>
                      <w:u w:val="single" w:color="auto"/>
                    </w:rPr>
                  </w:pPr>
                </w:p>
              </w:tc>
              <w:tc>
                <w:tcPr>
                  <w:tcW w:w="1048" w:type="pct"/>
                  <w:tcBorders>
                    <w:tl2br w:val="nil"/>
                    <w:tr2bl w:val="nil"/>
                  </w:tcBorders>
                  <w:vAlign w:val="center"/>
                </w:tcPr>
                <w:p w14:paraId="0B304F3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11"/>
                      <w:sz w:val="21"/>
                      <w:szCs w:val="21"/>
                      <w:highlight w:val="none"/>
                      <w:u w:val="single" w:color="auto"/>
                    </w:rPr>
                  </w:pPr>
                  <w:r>
                    <w:rPr>
                      <w:rFonts w:hint="eastAsia" w:ascii="Times New Roman" w:hAnsi="Times New Roman" w:eastAsia="宋体" w:cs="Times New Roman"/>
                      <w:color w:val="auto"/>
                      <w:spacing w:val="11"/>
                      <w:sz w:val="21"/>
                      <w:szCs w:val="21"/>
                      <w:highlight w:val="none"/>
                      <w:u w:val="single" w:color="auto"/>
                    </w:rPr>
                    <w:t>处理后水质（mg/L）</w:t>
                  </w:r>
                </w:p>
              </w:tc>
              <w:tc>
                <w:tcPr>
                  <w:tcW w:w="1092" w:type="pct"/>
                  <w:tcBorders>
                    <w:tl2br w:val="nil"/>
                    <w:tr2bl w:val="nil"/>
                  </w:tcBorders>
                  <w:vAlign w:val="center"/>
                </w:tcPr>
                <w:p w14:paraId="01BF05A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11"/>
                      <w:sz w:val="21"/>
                      <w:szCs w:val="21"/>
                      <w:highlight w:val="none"/>
                      <w:u w:val="single" w:color="auto"/>
                    </w:rPr>
                  </w:pPr>
                  <w:r>
                    <w:rPr>
                      <w:rFonts w:hint="eastAsia" w:ascii="Times New Roman" w:hAnsi="Times New Roman" w:eastAsia="宋体" w:cs="Times New Roman"/>
                      <w:color w:val="auto"/>
                      <w:spacing w:val="11"/>
                      <w:sz w:val="21"/>
                      <w:szCs w:val="21"/>
                      <w:highlight w:val="none"/>
                      <w:u w:val="single" w:color="auto"/>
                    </w:rPr>
                    <w:t>排放</w:t>
                  </w:r>
                  <w:r>
                    <w:rPr>
                      <w:rFonts w:hint="default" w:ascii="Times New Roman" w:hAnsi="Times New Roman" w:eastAsia="宋体" w:cs="Times New Roman"/>
                      <w:color w:val="auto"/>
                      <w:spacing w:val="11"/>
                      <w:sz w:val="21"/>
                      <w:szCs w:val="21"/>
                      <w:highlight w:val="none"/>
                      <w:u w:val="single" w:color="auto"/>
                    </w:rPr>
                    <w:t>量</w:t>
                  </w:r>
                </w:p>
                <w:p w14:paraId="4569559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rPr>
                    <w:t>（t/a）</w:t>
                  </w:r>
                </w:p>
              </w:tc>
            </w:tr>
            <w:tr w14:paraId="13BA02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0" w:type="pct"/>
                  <w:vMerge w:val="restart"/>
                  <w:tcBorders>
                    <w:tl2br w:val="nil"/>
                    <w:tr2bl w:val="nil"/>
                  </w:tcBorders>
                  <w:vAlign w:val="center"/>
                </w:tcPr>
                <w:p w14:paraId="0B1460E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rPr>
                  </w:pPr>
                  <w:r>
                    <w:rPr>
                      <w:rFonts w:hint="default" w:ascii="Times New Roman" w:hAnsi="Times New Roman" w:eastAsia="宋体" w:cs="Times New Roman"/>
                      <w:snapToGrid w:val="0"/>
                      <w:color w:val="auto"/>
                      <w:spacing w:val="11"/>
                      <w:kern w:val="0"/>
                      <w:sz w:val="21"/>
                      <w:szCs w:val="21"/>
                      <w:highlight w:val="none"/>
                      <w:u w:val="single" w:color="auto"/>
                      <w:lang w:val="en-US" w:eastAsia="zh-CN"/>
                    </w:rPr>
                    <w:t>医疗废水</w:t>
                  </w:r>
                  <w:r>
                    <w:rPr>
                      <w:rFonts w:hint="eastAsia" w:cs="Times New Roman"/>
                      <w:snapToGrid w:val="0"/>
                      <w:color w:val="auto"/>
                      <w:spacing w:val="11"/>
                      <w:kern w:val="0"/>
                      <w:sz w:val="21"/>
                      <w:szCs w:val="21"/>
                      <w:highlight w:val="none"/>
                      <w:u w:val="single" w:color="auto"/>
                      <w:lang w:val="en-US" w:eastAsia="zh-CN"/>
                    </w:rPr>
                    <w:t>、生活污水</w:t>
                  </w:r>
                </w:p>
              </w:tc>
              <w:tc>
                <w:tcPr>
                  <w:tcW w:w="1004" w:type="pct"/>
                  <w:tcBorders>
                    <w:tl2br w:val="nil"/>
                    <w:tr2bl w:val="nil"/>
                  </w:tcBorders>
                  <w:vAlign w:val="center"/>
                </w:tcPr>
                <w:p w14:paraId="14C7DA1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default" w:ascii="Times New Roman" w:hAnsi="Times New Roman" w:eastAsia="宋体" w:cs="Times New Roman"/>
                      <w:snapToGrid w:val="0"/>
                      <w:color w:val="auto"/>
                      <w:spacing w:val="11"/>
                      <w:kern w:val="0"/>
                      <w:sz w:val="21"/>
                      <w:szCs w:val="21"/>
                      <w:highlight w:val="none"/>
                      <w:u w:val="single" w:color="auto"/>
                    </w:rPr>
                    <w:t>水量</w:t>
                  </w:r>
                </w:p>
              </w:tc>
              <w:tc>
                <w:tcPr>
                  <w:tcW w:w="665" w:type="pct"/>
                  <w:tcBorders>
                    <w:tl2br w:val="nil"/>
                    <w:tr2bl w:val="nil"/>
                  </w:tcBorders>
                  <w:vAlign w:val="center"/>
                </w:tcPr>
                <w:p w14:paraId="6C40D83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default" w:ascii="Times New Roman" w:hAnsi="Times New Roman" w:eastAsia="宋体" w:cs="Times New Roman"/>
                      <w:snapToGrid w:val="0"/>
                      <w:color w:val="auto"/>
                      <w:spacing w:val="11"/>
                      <w:kern w:val="0"/>
                      <w:sz w:val="21"/>
                      <w:szCs w:val="21"/>
                      <w:highlight w:val="none"/>
                      <w:u w:val="single" w:color="auto"/>
                    </w:rPr>
                    <w:t>/</w:t>
                  </w:r>
                </w:p>
              </w:tc>
              <w:tc>
                <w:tcPr>
                  <w:tcW w:w="759" w:type="pct"/>
                  <w:tcBorders>
                    <w:tl2br w:val="nil"/>
                    <w:tr2bl w:val="nil"/>
                  </w:tcBorders>
                  <w:vAlign w:val="center"/>
                </w:tcPr>
                <w:p w14:paraId="4B53ECD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cs="Times New Roman"/>
                      <w:snapToGrid w:val="0"/>
                      <w:color w:val="auto"/>
                      <w:spacing w:val="11"/>
                      <w:kern w:val="0"/>
                      <w:sz w:val="21"/>
                      <w:szCs w:val="21"/>
                      <w:highlight w:val="none"/>
                      <w:u w:val="single" w:color="auto"/>
                      <w:lang w:val="en-US" w:eastAsia="zh-CN"/>
                    </w:rPr>
                    <w:t>116867.525</w:t>
                  </w:r>
                </w:p>
              </w:tc>
              <w:tc>
                <w:tcPr>
                  <w:tcW w:w="1048" w:type="pct"/>
                  <w:tcBorders>
                    <w:tl2br w:val="nil"/>
                    <w:tr2bl w:val="nil"/>
                  </w:tcBorders>
                  <w:vAlign w:val="center"/>
                </w:tcPr>
                <w:p w14:paraId="347DE81F">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w:t>
                  </w:r>
                </w:p>
              </w:tc>
              <w:tc>
                <w:tcPr>
                  <w:tcW w:w="1092" w:type="pct"/>
                  <w:tcBorders>
                    <w:tl2br w:val="nil"/>
                    <w:tr2bl w:val="nil"/>
                  </w:tcBorders>
                  <w:shd w:val="clear" w:color="auto" w:fill="auto"/>
                  <w:vAlign w:val="center"/>
                </w:tcPr>
                <w:p w14:paraId="272AD033">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bidi="ar-SA"/>
                    </w:rPr>
                  </w:pPr>
                  <w:r>
                    <w:rPr>
                      <w:rFonts w:hint="eastAsia" w:cs="Times New Roman"/>
                      <w:snapToGrid w:val="0"/>
                      <w:color w:val="auto"/>
                      <w:spacing w:val="11"/>
                      <w:kern w:val="0"/>
                      <w:sz w:val="21"/>
                      <w:szCs w:val="21"/>
                      <w:highlight w:val="none"/>
                      <w:u w:val="single" w:color="auto"/>
                      <w:lang w:val="en-US" w:eastAsia="zh-CN"/>
                    </w:rPr>
                    <w:t>116867.525</w:t>
                  </w:r>
                </w:p>
              </w:tc>
            </w:tr>
            <w:tr w14:paraId="711684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0" w:type="pct"/>
                  <w:vMerge w:val="continue"/>
                  <w:tcBorders>
                    <w:tl2br w:val="nil"/>
                    <w:tr2bl w:val="nil"/>
                  </w:tcBorders>
                  <w:vAlign w:val="center"/>
                </w:tcPr>
                <w:p w14:paraId="2241213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p>
              </w:tc>
              <w:tc>
                <w:tcPr>
                  <w:tcW w:w="1004" w:type="pct"/>
                  <w:tcBorders>
                    <w:tl2br w:val="nil"/>
                    <w:tr2bl w:val="nil"/>
                  </w:tcBorders>
                  <w:vAlign w:val="center"/>
                </w:tcPr>
                <w:p w14:paraId="0DA75C3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napToGrid w:val="0"/>
                      <w:color w:val="auto"/>
                      <w:spacing w:val="11"/>
                      <w:kern w:val="0"/>
                      <w:sz w:val="21"/>
                      <w:szCs w:val="21"/>
                      <w:highlight w:val="none"/>
                      <w:u w:val="single" w:color="auto"/>
                      <w:lang w:val="en-US" w:eastAsia="zh-CN"/>
                    </w:rPr>
                  </w:pPr>
                  <w:r>
                    <w:rPr>
                      <w:rFonts w:hint="default" w:ascii="Times New Roman" w:hAnsi="Times New Roman" w:eastAsia="宋体" w:cs="Times New Roman"/>
                      <w:snapToGrid w:val="0"/>
                      <w:color w:val="auto"/>
                      <w:spacing w:val="11"/>
                      <w:kern w:val="0"/>
                      <w:sz w:val="21"/>
                      <w:szCs w:val="21"/>
                      <w:highlight w:val="none"/>
                      <w:u w:val="single" w:color="auto"/>
                    </w:rPr>
                    <w:t>COD</w:t>
                  </w:r>
                  <w:r>
                    <w:rPr>
                      <w:rFonts w:hint="eastAsia" w:ascii="Times New Roman" w:hAnsi="Times New Roman" w:eastAsia="宋体" w:cs="Times New Roman"/>
                      <w:snapToGrid w:val="0"/>
                      <w:color w:val="auto"/>
                      <w:spacing w:val="11"/>
                      <w:kern w:val="0"/>
                      <w:sz w:val="21"/>
                      <w:szCs w:val="21"/>
                      <w:highlight w:val="none"/>
                      <w:u w:val="single" w:color="auto"/>
                      <w:lang w:val="en-US" w:eastAsia="zh-CN"/>
                    </w:rPr>
                    <w:t>cr（mg/L）</w:t>
                  </w:r>
                </w:p>
              </w:tc>
              <w:tc>
                <w:tcPr>
                  <w:tcW w:w="665" w:type="pct"/>
                  <w:tcBorders>
                    <w:tl2br w:val="nil"/>
                    <w:tr2bl w:val="nil"/>
                  </w:tcBorders>
                  <w:vAlign w:val="center"/>
                </w:tcPr>
                <w:p w14:paraId="3A1F1C2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300</w:t>
                  </w:r>
                </w:p>
              </w:tc>
              <w:tc>
                <w:tcPr>
                  <w:tcW w:w="759" w:type="pct"/>
                  <w:tcBorders>
                    <w:tl2br w:val="nil"/>
                    <w:tr2bl w:val="nil"/>
                  </w:tcBorders>
                  <w:shd w:val="clear" w:color="auto" w:fill="auto"/>
                  <w:vAlign w:val="center"/>
                </w:tcPr>
                <w:p w14:paraId="2588DB5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cs="Times New Roman"/>
                      <w:snapToGrid w:val="0"/>
                      <w:color w:val="auto"/>
                      <w:spacing w:val="11"/>
                      <w:kern w:val="0"/>
                      <w:sz w:val="21"/>
                      <w:szCs w:val="21"/>
                      <w:highlight w:val="none"/>
                      <w:u w:val="single" w:color="auto"/>
                      <w:lang w:val="en-US" w:eastAsia="zh-CN"/>
                    </w:rPr>
                    <w:t>35.06</w:t>
                  </w:r>
                </w:p>
              </w:tc>
              <w:tc>
                <w:tcPr>
                  <w:tcW w:w="1048" w:type="pct"/>
                  <w:tcBorders>
                    <w:tl2br w:val="nil"/>
                    <w:tr2bl w:val="nil"/>
                  </w:tcBorders>
                  <w:vAlign w:val="center"/>
                </w:tcPr>
                <w:p w14:paraId="4C16DF7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250</w:t>
                  </w:r>
                </w:p>
              </w:tc>
              <w:tc>
                <w:tcPr>
                  <w:tcW w:w="1092" w:type="pct"/>
                  <w:tcBorders>
                    <w:tl2br w:val="nil"/>
                    <w:tr2bl w:val="nil"/>
                  </w:tcBorders>
                  <w:shd w:val="clear" w:color="auto" w:fill="auto"/>
                  <w:vAlign w:val="center"/>
                </w:tcPr>
                <w:p w14:paraId="305E684F">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default" w:ascii="Times New Roman" w:hAnsi="Times New Roman" w:eastAsia="宋体" w:cs="Times New Roman"/>
                      <w:color w:val="auto"/>
                      <w:spacing w:val="11"/>
                      <w:kern w:val="0"/>
                      <w:sz w:val="21"/>
                      <w:szCs w:val="21"/>
                      <w:u w:val="single" w:color="auto"/>
                      <w:vertAlign w:val="baseline"/>
                      <w:lang w:val="en-US" w:eastAsia="zh-CN" w:bidi="ar-SA"/>
                    </w:rPr>
                    <w:t>29.22</w:t>
                  </w:r>
                </w:p>
              </w:tc>
            </w:tr>
            <w:tr w14:paraId="3C2BF3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0" w:type="pct"/>
                  <w:vMerge w:val="continue"/>
                  <w:tcBorders>
                    <w:tl2br w:val="nil"/>
                    <w:tr2bl w:val="nil"/>
                  </w:tcBorders>
                  <w:vAlign w:val="center"/>
                </w:tcPr>
                <w:p w14:paraId="5B08790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p>
              </w:tc>
              <w:tc>
                <w:tcPr>
                  <w:tcW w:w="1004" w:type="pct"/>
                  <w:tcBorders>
                    <w:tl2br w:val="nil"/>
                    <w:tr2bl w:val="nil"/>
                  </w:tcBorders>
                  <w:vAlign w:val="center"/>
                </w:tcPr>
                <w:p w14:paraId="272C54A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default" w:ascii="Times New Roman" w:hAnsi="Times New Roman" w:eastAsia="宋体" w:cs="Times New Roman"/>
                      <w:snapToGrid w:val="0"/>
                      <w:color w:val="auto"/>
                      <w:spacing w:val="11"/>
                      <w:kern w:val="0"/>
                      <w:sz w:val="21"/>
                      <w:szCs w:val="21"/>
                      <w:highlight w:val="none"/>
                      <w:u w:val="single" w:color="auto"/>
                    </w:rPr>
                    <w:t>BOD</w:t>
                  </w:r>
                  <w:r>
                    <w:rPr>
                      <w:rFonts w:hint="default" w:ascii="Times New Roman" w:hAnsi="Times New Roman" w:eastAsia="宋体" w:cs="Times New Roman"/>
                      <w:snapToGrid w:val="0"/>
                      <w:color w:val="auto"/>
                      <w:spacing w:val="11"/>
                      <w:kern w:val="0"/>
                      <w:sz w:val="21"/>
                      <w:szCs w:val="21"/>
                      <w:highlight w:val="none"/>
                      <w:u w:val="single" w:color="auto"/>
                      <w:vertAlign w:val="subscript"/>
                    </w:rPr>
                    <w:t>5</w:t>
                  </w:r>
                  <w:r>
                    <w:rPr>
                      <w:rFonts w:hint="default" w:ascii="Times New Roman" w:hAnsi="Times New Roman" w:eastAsia="宋体" w:cs="Times New Roman"/>
                      <w:snapToGrid w:val="0"/>
                      <w:color w:val="auto"/>
                      <w:spacing w:val="11"/>
                      <w:kern w:val="0"/>
                      <w:sz w:val="21"/>
                      <w:szCs w:val="21"/>
                      <w:highlight w:val="none"/>
                      <w:u w:val="single" w:color="auto"/>
                    </w:rPr>
                    <w:t>（mg/L）</w:t>
                  </w:r>
                </w:p>
              </w:tc>
              <w:tc>
                <w:tcPr>
                  <w:tcW w:w="665" w:type="pct"/>
                  <w:tcBorders>
                    <w:tl2br w:val="nil"/>
                    <w:tr2bl w:val="nil"/>
                  </w:tcBorders>
                  <w:vAlign w:val="center"/>
                </w:tcPr>
                <w:p w14:paraId="2F28E12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150</w:t>
                  </w:r>
                </w:p>
              </w:tc>
              <w:tc>
                <w:tcPr>
                  <w:tcW w:w="759" w:type="pct"/>
                  <w:tcBorders>
                    <w:tl2br w:val="nil"/>
                    <w:tr2bl w:val="nil"/>
                  </w:tcBorders>
                  <w:shd w:val="clear" w:color="auto" w:fill="auto"/>
                  <w:vAlign w:val="center"/>
                </w:tcPr>
                <w:p w14:paraId="110E915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cs="Times New Roman"/>
                      <w:snapToGrid w:val="0"/>
                      <w:color w:val="auto"/>
                      <w:spacing w:val="11"/>
                      <w:kern w:val="0"/>
                      <w:sz w:val="21"/>
                      <w:szCs w:val="21"/>
                      <w:highlight w:val="none"/>
                      <w:u w:val="single" w:color="auto"/>
                      <w:lang w:val="en-US" w:eastAsia="zh-CN"/>
                    </w:rPr>
                    <w:t>17.53</w:t>
                  </w:r>
                </w:p>
              </w:tc>
              <w:tc>
                <w:tcPr>
                  <w:tcW w:w="1048" w:type="pct"/>
                  <w:tcBorders>
                    <w:tl2br w:val="nil"/>
                    <w:tr2bl w:val="nil"/>
                  </w:tcBorders>
                  <w:vAlign w:val="center"/>
                </w:tcPr>
                <w:p w14:paraId="60F4F5D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100</w:t>
                  </w:r>
                </w:p>
              </w:tc>
              <w:tc>
                <w:tcPr>
                  <w:tcW w:w="1092" w:type="pct"/>
                  <w:tcBorders>
                    <w:tl2br w:val="nil"/>
                    <w:tr2bl w:val="nil"/>
                  </w:tcBorders>
                  <w:shd w:val="clear" w:color="auto" w:fill="auto"/>
                  <w:vAlign w:val="center"/>
                </w:tcPr>
                <w:p w14:paraId="3EF3EA63">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default" w:ascii="Times New Roman" w:hAnsi="Times New Roman" w:eastAsia="宋体" w:cs="Times New Roman"/>
                      <w:color w:val="auto"/>
                      <w:spacing w:val="11"/>
                      <w:kern w:val="0"/>
                      <w:sz w:val="21"/>
                      <w:szCs w:val="21"/>
                      <w:u w:val="single" w:color="auto"/>
                      <w:vertAlign w:val="baseline"/>
                      <w:lang w:val="en-US" w:eastAsia="zh-CN" w:bidi="ar-SA"/>
                    </w:rPr>
                    <w:t>11.69</w:t>
                  </w:r>
                </w:p>
              </w:tc>
            </w:tr>
            <w:tr w14:paraId="02DA73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0" w:type="pct"/>
                  <w:vMerge w:val="continue"/>
                  <w:tcBorders>
                    <w:tl2br w:val="nil"/>
                    <w:tr2bl w:val="nil"/>
                  </w:tcBorders>
                  <w:vAlign w:val="center"/>
                </w:tcPr>
                <w:p w14:paraId="51BFA8D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p>
              </w:tc>
              <w:tc>
                <w:tcPr>
                  <w:tcW w:w="1004" w:type="pct"/>
                  <w:tcBorders>
                    <w:tl2br w:val="nil"/>
                    <w:tr2bl w:val="nil"/>
                  </w:tcBorders>
                  <w:vAlign w:val="center"/>
                </w:tcPr>
                <w:p w14:paraId="430E4EF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default" w:ascii="Times New Roman" w:hAnsi="Times New Roman" w:eastAsia="宋体" w:cs="Times New Roman"/>
                      <w:snapToGrid w:val="0"/>
                      <w:color w:val="auto"/>
                      <w:spacing w:val="11"/>
                      <w:kern w:val="0"/>
                      <w:sz w:val="21"/>
                      <w:szCs w:val="21"/>
                      <w:highlight w:val="none"/>
                      <w:u w:val="single" w:color="auto"/>
                    </w:rPr>
                    <w:t>SS（mg/L）</w:t>
                  </w:r>
                </w:p>
              </w:tc>
              <w:tc>
                <w:tcPr>
                  <w:tcW w:w="665" w:type="pct"/>
                  <w:tcBorders>
                    <w:tl2br w:val="nil"/>
                    <w:tr2bl w:val="nil"/>
                  </w:tcBorders>
                  <w:vAlign w:val="center"/>
                </w:tcPr>
                <w:p w14:paraId="64B16CA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120</w:t>
                  </w:r>
                </w:p>
              </w:tc>
              <w:tc>
                <w:tcPr>
                  <w:tcW w:w="759" w:type="pct"/>
                  <w:tcBorders>
                    <w:tl2br w:val="nil"/>
                    <w:tr2bl w:val="nil"/>
                  </w:tcBorders>
                  <w:shd w:val="clear" w:color="auto" w:fill="auto"/>
                  <w:vAlign w:val="center"/>
                </w:tcPr>
                <w:p w14:paraId="43AF8A8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cs="Times New Roman"/>
                      <w:snapToGrid w:val="0"/>
                      <w:color w:val="auto"/>
                      <w:spacing w:val="11"/>
                      <w:kern w:val="0"/>
                      <w:sz w:val="21"/>
                      <w:szCs w:val="21"/>
                      <w:highlight w:val="none"/>
                      <w:u w:val="single" w:color="auto"/>
                      <w:lang w:val="en-US" w:eastAsia="zh-CN"/>
                    </w:rPr>
                    <w:t>14.02</w:t>
                  </w:r>
                </w:p>
              </w:tc>
              <w:tc>
                <w:tcPr>
                  <w:tcW w:w="1048" w:type="pct"/>
                  <w:tcBorders>
                    <w:tl2br w:val="nil"/>
                    <w:tr2bl w:val="nil"/>
                  </w:tcBorders>
                  <w:vAlign w:val="center"/>
                </w:tcPr>
                <w:p w14:paraId="258552D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60</w:t>
                  </w:r>
                </w:p>
              </w:tc>
              <w:tc>
                <w:tcPr>
                  <w:tcW w:w="1092" w:type="pct"/>
                  <w:tcBorders>
                    <w:tl2br w:val="nil"/>
                    <w:tr2bl w:val="nil"/>
                  </w:tcBorders>
                  <w:shd w:val="clear" w:color="auto" w:fill="auto"/>
                  <w:vAlign w:val="center"/>
                </w:tcPr>
                <w:p w14:paraId="23C62228">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default" w:ascii="Times New Roman" w:hAnsi="Times New Roman" w:eastAsia="宋体" w:cs="Times New Roman"/>
                      <w:color w:val="auto"/>
                      <w:spacing w:val="11"/>
                      <w:kern w:val="0"/>
                      <w:sz w:val="21"/>
                      <w:szCs w:val="21"/>
                      <w:u w:val="single" w:color="auto"/>
                      <w:vertAlign w:val="baseline"/>
                      <w:lang w:val="en-US" w:eastAsia="zh-CN" w:bidi="ar-SA"/>
                    </w:rPr>
                    <w:t>7.01</w:t>
                  </w:r>
                </w:p>
              </w:tc>
            </w:tr>
            <w:tr w14:paraId="7757B3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0" w:type="pct"/>
                  <w:vMerge w:val="continue"/>
                  <w:tcBorders>
                    <w:tl2br w:val="nil"/>
                    <w:tr2bl w:val="nil"/>
                  </w:tcBorders>
                  <w:vAlign w:val="center"/>
                </w:tcPr>
                <w:p w14:paraId="71AA732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p>
              </w:tc>
              <w:tc>
                <w:tcPr>
                  <w:tcW w:w="1004" w:type="pct"/>
                  <w:tcBorders>
                    <w:tl2br w:val="nil"/>
                    <w:tr2bl w:val="nil"/>
                  </w:tcBorders>
                  <w:vAlign w:val="center"/>
                </w:tcPr>
                <w:p w14:paraId="5922D51E">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氨氮（mg/L）</w:t>
                  </w:r>
                </w:p>
              </w:tc>
              <w:tc>
                <w:tcPr>
                  <w:tcW w:w="665" w:type="pct"/>
                  <w:tcBorders>
                    <w:tl2br w:val="nil"/>
                    <w:tr2bl w:val="nil"/>
                  </w:tcBorders>
                  <w:vAlign w:val="center"/>
                </w:tcPr>
                <w:p w14:paraId="0A3D9F2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50</w:t>
                  </w:r>
                </w:p>
              </w:tc>
              <w:tc>
                <w:tcPr>
                  <w:tcW w:w="759" w:type="pct"/>
                  <w:tcBorders>
                    <w:tl2br w:val="nil"/>
                    <w:tr2bl w:val="nil"/>
                  </w:tcBorders>
                  <w:shd w:val="clear" w:color="auto" w:fill="auto"/>
                  <w:vAlign w:val="center"/>
                </w:tcPr>
                <w:p w14:paraId="62923A7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cs="Times New Roman"/>
                      <w:snapToGrid w:val="0"/>
                      <w:color w:val="auto"/>
                      <w:spacing w:val="11"/>
                      <w:kern w:val="0"/>
                      <w:sz w:val="21"/>
                      <w:szCs w:val="21"/>
                      <w:highlight w:val="none"/>
                      <w:u w:val="single" w:color="auto"/>
                      <w:lang w:val="en-US" w:eastAsia="zh-CN"/>
                    </w:rPr>
                    <w:t>5.84</w:t>
                  </w:r>
                </w:p>
              </w:tc>
              <w:tc>
                <w:tcPr>
                  <w:tcW w:w="1048" w:type="pct"/>
                  <w:tcBorders>
                    <w:tl2br w:val="nil"/>
                    <w:tr2bl w:val="nil"/>
                  </w:tcBorders>
                  <w:vAlign w:val="center"/>
                </w:tcPr>
                <w:p w14:paraId="327FC1A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35</w:t>
                  </w:r>
                </w:p>
              </w:tc>
              <w:tc>
                <w:tcPr>
                  <w:tcW w:w="1092" w:type="pct"/>
                  <w:tcBorders>
                    <w:tl2br w:val="nil"/>
                    <w:tr2bl w:val="nil"/>
                  </w:tcBorders>
                  <w:shd w:val="clear" w:color="auto" w:fill="auto"/>
                  <w:vAlign w:val="center"/>
                </w:tcPr>
                <w:p w14:paraId="58C269E5">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default" w:ascii="Times New Roman" w:hAnsi="Times New Roman" w:eastAsia="宋体" w:cs="Times New Roman"/>
                      <w:color w:val="auto"/>
                      <w:spacing w:val="11"/>
                      <w:kern w:val="0"/>
                      <w:sz w:val="21"/>
                      <w:szCs w:val="21"/>
                      <w:u w:val="single" w:color="auto"/>
                      <w:vertAlign w:val="baseline"/>
                      <w:lang w:val="en-US" w:eastAsia="zh-CN" w:bidi="ar-SA"/>
                    </w:rPr>
                    <w:t>4.09</w:t>
                  </w:r>
                </w:p>
              </w:tc>
            </w:tr>
            <w:tr w14:paraId="780937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0" w:type="pct"/>
                  <w:vMerge w:val="continue"/>
                  <w:tcBorders>
                    <w:tl2br w:val="nil"/>
                    <w:tr2bl w:val="nil"/>
                  </w:tcBorders>
                  <w:vAlign w:val="center"/>
                </w:tcPr>
                <w:p w14:paraId="629124E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11"/>
                      <w:szCs w:val="24"/>
                      <w:highlight w:val="none"/>
                      <w:u w:val="single" w:color="auto"/>
                    </w:rPr>
                  </w:pPr>
                </w:p>
                <w:p w14:paraId="3B401221">
                  <w:pPr>
                    <w:keepNext/>
                    <w:keepLines/>
                    <w:widowControl w:val="0"/>
                    <w:adjustRightInd w:val="0"/>
                    <w:snapToGrid w:val="0"/>
                    <w:spacing w:line="360" w:lineRule="auto"/>
                    <w:ind w:firstLine="606" w:firstLineChars="200"/>
                    <w:jc w:val="both"/>
                    <w:outlineLvl w:val="2"/>
                    <w:rPr>
                      <w:rFonts w:hint="default" w:ascii="Times New Roman" w:hAnsi="Times New Roman" w:eastAsia="宋体" w:cs="Times New Roman"/>
                      <w:b/>
                      <w:bCs/>
                      <w:color w:val="auto"/>
                      <w:spacing w:val="11"/>
                      <w:kern w:val="0"/>
                      <w:sz w:val="28"/>
                      <w:szCs w:val="28"/>
                      <w:highlight w:val="none"/>
                      <w:u w:val="single" w:color="auto"/>
                      <w:lang w:val="en-US" w:eastAsia="zh-CN" w:bidi="ar-SA"/>
                    </w:rPr>
                  </w:pPr>
                </w:p>
              </w:tc>
              <w:tc>
                <w:tcPr>
                  <w:tcW w:w="1004" w:type="pct"/>
                  <w:tcBorders>
                    <w:tl2br w:val="nil"/>
                    <w:tr2bl w:val="nil"/>
                  </w:tcBorders>
                  <w:vAlign w:val="center"/>
                </w:tcPr>
                <w:p w14:paraId="11D195D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粪大肠杆菌（MPN/L）</w:t>
                  </w:r>
                </w:p>
              </w:tc>
              <w:tc>
                <w:tcPr>
                  <w:tcW w:w="665" w:type="pct"/>
                  <w:tcBorders>
                    <w:tl2br w:val="nil"/>
                    <w:tr2bl w:val="nil"/>
                  </w:tcBorders>
                  <w:vAlign w:val="center"/>
                </w:tcPr>
                <w:p w14:paraId="52071A5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3.0</w:t>
                  </w:r>
                  <w:r>
                    <w:rPr>
                      <w:rFonts w:hint="default" w:ascii="Times New Roman" w:hAnsi="Times New Roman" w:eastAsia="宋体" w:cs="Times New Roman"/>
                      <w:snapToGrid w:val="0"/>
                      <w:color w:val="auto"/>
                      <w:spacing w:val="11"/>
                      <w:kern w:val="0"/>
                      <w:sz w:val="21"/>
                      <w:szCs w:val="21"/>
                      <w:highlight w:val="none"/>
                      <w:u w:val="single" w:color="auto"/>
                    </w:rPr>
                    <w:t>×10</w:t>
                  </w:r>
                  <w:r>
                    <w:rPr>
                      <w:rFonts w:hint="default" w:ascii="Times New Roman" w:hAnsi="Times New Roman" w:eastAsia="宋体" w:cs="Times New Roman"/>
                      <w:snapToGrid w:val="0"/>
                      <w:color w:val="auto"/>
                      <w:spacing w:val="11"/>
                      <w:kern w:val="0"/>
                      <w:sz w:val="21"/>
                      <w:szCs w:val="21"/>
                      <w:highlight w:val="none"/>
                      <w:u w:val="single" w:color="auto"/>
                      <w:vertAlign w:val="superscript"/>
                    </w:rPr>
                    <w:t>8</w:t>
                  </w:r>
                </w:p>
              </w:tc>
              <w:tc>
                <w:tcPr>
                  <w:tcW w:w="759" w:type="pct"/>
                  <w:tcBorders>
                    <w:tl2br w:val="nil"/>
                    <w:tr2bl w:val="nil"/>
                  </w:tcBorders>
                  <w:vAlign w:val="center"/>
                </w:tcPr>
                <w:p w14:paraId="78216D8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w:t>
                  </w:r>
                </w:p>
              </w:tc>
              <w:tc>
                <w:tcPr>
                  <w:tcW w:w="1048" w:type="pct"/>
                  <w:tcBorders>
                    <w:tl2br w:val="nil"/>
                    <w:tr2bl w:val="nil"/>
                  </w:tcBorders>
                  <w:vAlign w:val="center"/>
                </w:tcPr>
                <w:p w14:paraId="48C4548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5000</w:t>
                  </w:r>
                </w:p>
              </w:tc>
              <w:tc>
                <w:tcPr>
                  <w:tcW w:w="1092" w:type="pct"/>
                  <w:tcBorders>
                    <w:tl2br w:val="nil"/>
                    <w:tr2bl w:val="nil"/>
                  </w:tcBorders>
                  <w:vAlign w:val="center"/>
                </w:tcPr>
                <w:p w14:paraId="0284690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w:t>
                  </w:r>
                </w:p>
              </w:tc>
            </w:tr>
            <w:tr w14:paraId="546EF8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6"/>
                  <w:tcBorders>
                    <w:tl2br w:val="nil"/>
                    <w:tr2bl w:val="nil"/>
                  </w:tcBorders>
                  <w:vAlign w:val="center"/>
                </w:tcPr>
                <w:p w14:paraId="6382FBB6">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注：废水产生浓度参考《医院污水处理工程技术规范》（HJ 2029-2013）表1中医院污水水质指标参考数据；治理后废水浓度参考《医疗机构水污染物排放标准》（GB 18466-2005）表2中预处理标准，其中氨氮参考新田县污水处理厂进水水质标准。</w:t>
                  </w:r>
                </w:p>
              </w:tc>
            </w:tr>
          </w:tbl>
          <w:p w14:paraId="4247E955">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Times New Roman" w:hAnsi="Times New Roman" w:eastAsia="宋体" w:cs="Times New Roman"/>
                <w:b/>
                <w:bCs/>
                <w:smallCaps w:val="0"/>
                <w:color w:val="auto"/>
                <w:spacing w:val="11"/>
                <w:kern w:val="0"/>
                <w:sz w:val="21"/>
                <w:szCs w:val="21"/>
                <w:highlight w:val="none"/>
                <w:u w:val="single" w:color="auto"/>
                <w:lang w:val="en-US" w:eastAsia="zh-CN" w:bidi="ar-SA"/>
              </w:rPr>
            </w:pPr>
          </w:p>
          <w:p w14:paraId="4798A6DC">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Times New Roman" w:hAnsi="Times New Roman" w:eastAsia="宋体" w:cs="Times New Roman"/>
                <w:b/>
                <w:bCs/>
                <w:smallCaps w:val="0"/>
                <w:color w:val="auto"/>
                <w:spacing w:val="11"/>
                <w:kern w:val="0"/>
                <w:sz w:val="21"/>
                <w:szCs w:val="21"/>
                <w:highlight w:val="none"/>
                <w:u w:val="single" w:color="auto"/>
                <w:lang w:val="en-US" w:eastAsia="zh-CN" w:bidi="ar-SA"/>
              </w:rPr>
            </w:pPr>
          </w:p>
          <w:p w14:paraId="5DB04EFE">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Times New Roman" w:hAnsi="Times New Roman" w:eastAsia="宋体" w:cs="Times New Roman"/>
                <w:b/>
                <w:bCs/>
                <w:smallCaps w:val="0"/>
                <w:color w:val="auto"/>
                <w:spacing w:val="11"/>
                <w:kern w:val="0"/>
                <w:sz w:val="21"/>
                <w:szCs w:val="21"/>
                <w:highlight w:val="none"/>
                <w:u w:val="single" w:color="auto"/>
                <w:lang w:val="en-US" w:eastAsia="zh-CN" w:bidi="ar-SA"/>
              </w:rPr>
            </w:pPr>
          </w:p>
          <w:p w14:paraId="4F733031">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Times New Roman" w:hAnsi="Times New Roman" w:eastAsia="宋体" w:cs="Times New Roman"/>
                <w:b/>
                <w:bCs/>
                <w:smallCaps w:val="0"/>
                <w:color w:val="auto"/>
                <w:spacing w:val="11"/>
                <w:kern w:val="0"/>
                <w:sz w:val="21"/>
                <w:szCs w:val="21"/>
                <w:highlight w:val="none"/>
                <w:u w:val="single" w:color="auto"/>
                <w:lang w:val="en-US" w:eastAsia="zh-CN" w:bidi="ar-SA"/>
              </w:rPr>
            </w:pPr>
          </w:p>
          <w:p w14:paraId="3FA38402">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Times New Roman" w:hAnsi="Times New Roman" w:eastAsia="宋体" w:cs="Times New Roman"/>
                <w:b/>
                <w:bCs/>
                <w:smallCaps w:val="0"/>
                <w:color w:val="auto"/>
                <w:spacing w:val="11"/>
                <w:kern w:val="0"/>
                <w:sz w:val="21"/>
                <w:szCs w:val="21"/>
                <w:highlight w:val="none"/>
                <w:u w:val="single" w:color="auto"/>
                <w:lang w:val="en-US" w:eastAsia="zh-CN" w:bidi="ar-SA"/>
              </w:rPr>
            </w:pPr>
          </w:p>
          <w:p w14:paraId="1A34AD0B">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Times New Roman" w:hAnsi="Times New Roman" w:eastAsia="宋体" w:cs="Times New Roman"/>
                <w:b/>
                <w:bCs/>
                <w:smallCaps w:val="0"/>
                <w:color w:val="auto"/>
                <w:spacing w:val="11"/>
                <w:kern w:val="0"/>
                <w:sz w:val="21"/>
                <w:szCs w:val="21"/>
                <w:highlight w:val="none"/>
                <w:u w:val="single" w:color="auto"/>
                <w:lang w:val="en-US" w:eastAsia="zh-CN" w:bidi="ar-SA"/>
              </w:rPr>
            </w:pPr>
          </w:p>
          <w:p w14:paraId="305D5F1C">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Times New Roman" w:hAnsi="Times New Roman" w:eastAsia="宋体" w:cs="Times New Roman"/>
                <w:b/>
                <w:bCs/>
                <w:smallCaps w:val="0"/>
                <w:color w:val="auto"/>
                <w:spacing w:val="11"/>
                <w:kern w:val="0"/>
                <w:sz w:val="21"/>
                <w:szCs w:val="21"/>
                <w:highlight w:val="none"/>
                <w:u w:val="single" w:color="auto"/>
                <w:lang w:val="en-US" w:eastAsia="zh-CN" w:bidi="ar-SA"/>
              </w:rPr>
            </w:pPr>
            <w:r>
              <w:rPr>
                <w:rFonts w:hint="eastAsia" w:ascii="Times New Roman" w:hAnsi="Times New Roman" w:eastAsia="宋体" w:cs="Times New Roman"/>
                <w:b/>
                <w:bCs/>
                <w:smallCaps w:val="0"/>
                <w:color w:val="auto"/>
                <w:spacing w:val="11"/>
                <w:kern w:val="0"/>
                <w:sz w:val="21"/>
                <w:szCs w:val="21"/>
                <w:highlight w:val="none"/>
                <w:u w:val="single" w:color="auto"/>
                <w:lang w:val="en-US" w:eastAsia="zh-CN" w:bidi="ar-SA"/>
              </w:rPr>
              <w:drawing>
                <wp:inline distT="0" distB="0" distL="114300" distR="114300">
                  <wp:extent cx="5710555" cy="2526030"/>
                  <wp:effectExtent l="0" t="0" r="0" b="0"/>
                  <wp:docPr id="3" name="ECB019B1-382A-4266-B25C-5B523AA43C14-2" descr="C:/Users/HP/AppData/Local/Temp/wps.NKUxNv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2" descr="C:/Users/HP/AppData/Local/Temp/wps.NKUxNvwps"/>
                          <pic:cNvPicPr>
                            <a:picLocks noChangeAspect="1"/>
                          </pic:cNvPicPr>
                        </pic:nvPicPr>
                        <pic:blipFill>
                          <a:blip r:embed="rId12"/>
                          <a:stretch>
                            <a:fillRect/>
                          </a:stretch>
                        </pic:blipFill>
                        <pic:spPr>
                          <a:xfrm>
                            <a:off x="0" y="0"/>
                            <a:ext cx="5710555" cy="2526030"/>
                          </a:xfrm>
                          <a:prstGeom prst="rect">
                            <a:avLst/>
                          </a:prstGeom>
                        </pic:spPr>
                      </pic:pic>
                    </a:graphicData>
                  </a:graphic>
                </wp:inline>
              </w:drawing>
            </w:r>
          </w:p>
          <w:p w14:paraId="6981BAE7">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mallCaps w:val="0"/>
                <w:color w:val="auto"/>
                <w:spacing w:val="11"/>
                <w:kern w:val="0"/>
                <w:sz w:val="21"/>
                <w:szCs w:val="21"/>
                <w:highlight w:val="none"/>
                <w:u w:val="single" w:color="auto"/>
                <w:lang w:val="en-US" w:eastAsia="zh-CN" w:bidi="ar-SA"/>
              </w:rPr>
            </w:pPr>
            <w:r>
              <w:rPr>
                <w:rFonts w:hint="eastAsia" w:ascii="Times New Roman" w:hAnsi="Times New Roman" w:eastAsia="宋体" w:cs="Times New Roman"/>
                <w:b/>
                <w:bCs/>
                <w:smallCaps w:val="0"/>
                <w:color w:val="auto"/>
                <w:spacing w:val="11"/>
                <w:kern w:val="0"/>
                <w:sz w:val="21"/>
                <w:szCs w:val="21"/>
                <w:highlight w:val="none"/>
                <w:u w:val="single" w:color="auto"/>
                <w:lang w:val="en-US" w:eastAsia="zh-CN" w:bidi="ar-SA"/>
              </w:rPr>
              <w:t>图4-1  项目水平衡图</w:t>
            </w:r>
            <w:r>
              <w:rPr>
                <w:rFonts w:hint="eastAsia" w:cs="Times New Roman"/>
                <w:b/>
                <w:bCs/>
                <w:smallCaps w:val="0"/>
                <w:color w:val="auto"/>
                <w:spacing w:val="11"/>
                <w:kern w:val="0"/>
                <w:sz w:val="21"/>
                <w:szCs w:val="21"/>
                <w:highlight w:val="none"/>
                <w:u w:val="single" w:color="auto"/>
                <w:lang w:val="en-US" w:eastAsia="zh-CN" w:bidi="ar-SA"/>
              </w:rPr>
              <w:t>（t/a）</w:t>
            </w:r>
          </w:p>
          <w:p w14:paraId="420A7B8D">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eastAsia="宋体"/>
                <w:bCs/>
                <w:color w:val="auto"/>
                <w:spacing w:val="11"/>
                <w:szCs w:val="24"/>
                <w:highlight w:val="none"/>
                <w:u w:val="single" w:color="auto"/>
                <w:lang w:val="en-US" w:eastAsia="zh-CN"/>
              </w:rPr>
            </w:pPr>
            <w:r>
              <w:rPr>
                <w:rFonts w:eastAsia="宋体"/>
                <w:bCs/>
                <w:color w:val="auto"/>
                <w:spacing w:val="11"/>
                <w:szCs w:val="24"/>
                <w:highlight w:val="none"/>
                <w:u w:val="single" w:color="auto"/>
              </w:rPr>
              <w:t>根据</w:t>
            </w:r>
            <w:r>
              <w:rPr>
                <w:rFonts w:hint="eastAsia" w:eastAsia="宋体"/>
                <w:bCs/>
                <w:color w:val="auto"/>
                <w:spacing w:val="11"/>
                <w:szCs w:val="24"/>
                <w:highlight w:val="none"/>
                <w:u w:val="single" w:color="auto"/>
                <w:lang w:val="en-US" w:eastAsia="zh-CN"/>
              </w:rPr>
              <w:t>企业提供资料</w:t>
            </w:r>
            <w:r>
              <w:rPr>
                <w:rFonts w:eastAsia="宋体"/>
                <w:bCs/>
                <w:color w:val="auto"/>
                <w:spacing w:val="11"/>
                <w:szCs w:val="24"/>
                <w:highlight w:val="none"/>
                <w:u w:val="single" w:color="auto"/>
              </w:rPr>
              <w:t>，本项目</w:t>
            </w:r>
            <w:r>
              <w:rPr>
                <w:rFonts w:hint="eastAsia" w:eastAsia="宋体"/>
                <w:bCs/>
                <w:color w:val="auto"/>
                <w:spacing w:val="11"/>
                <w:szCs w:val="24"/>
                <w:highlight w:val="none"/>
                <w:u w:val="single" w:color="auto"/>
                <w:lang w:val="en-US" w:eastAsia="zh-CN"/>
              </w:rPr>
              <w:t>门诊住院综合楼产生的生活污水、医疗废水</w:t>
            </w:r>
            <w:r>
              <w:rPr>
                <w:rFonts w:hint="eastAsia"/>
                <w:bCs/>
                <w:color w:val="auto"/>
                <w:spacing w:val="11"/>
                <w:szCs w:val="24"/>
                <w:highlight w:val="none"/>
                <w:u w:val="single" w:color="auto"/>
                <w:lang w:val="en-US" w:eastAsia="zh-CN"/>
              </w:rPr>
              <w:t>分别经化粪池、预处理池（活性氧消毒剂消毒）处理后</w:t>
            </w:r>
            <w:r>
              <w:rPr>
                <w:rFonts w:hint="eastAsia" w:eastAsia="宋体"/>
                <w:bCs/>
                <w:color w:val="auto"/>
                <w:spacing w:val="11"/>
                <w:szCs w:val="24"/>
                <w:highlight w:val="none"/>
                <w:u w:val="single" w:color="auto"/>
                <w:lang w:val="en-US" w:eastAsia="zh-CN"/>
              </w:rPr>
              <w:t>再排入院区现有污水管网，进入院内污水处理站处理达标后排入市政污水管网，最终进入新田县污水处理厂进行深度处理。</w:t>
            </w:r>
          </w:p>
          <w:p w14:paraId="3707FE8D">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pacing w:val="11"/>
                <w:kern w:val="0"/>
                <w:sz w:val="21"/>
                <w:szCs w:val="21"/>
                <w:u w:val="single" w:color="auto"/>
                <w:lang w:val="en-US" w:eastAsia="zh-CN" w:bidi="ar"/>
              </w:rPr>
            </w:pPr>
            <w:r>
              <w:rPr>
                <w:rFonts w:hint="eastAsia" w:ascii="Times New Roman" w:hAnsi="Times New Roman" w:eastAsia="宋体" w:cs="Times New Roman"/>
                <w:b/>
                <w:bCs/>
                <w:color w:val="auto"/>
                <w:spacing w:val="11"/>
                <w:kern w:val="0"/>
                <w:sz w:val="21"/>
                <w:szCs w:val="21"/>
                <w:u w:val="single" w:color="auto"/>
                <w:lang w:val="en-US" w:eastAsia="zh-CN" w:bidi="ar"/>
              </w:rPr>
              <w:t>表4-1</w:t>
            </w:r>
            <w:r>
              <w:rPr>
                <w:rFonts w:hint="eastAsia" w:cs="Times New Roman"/>
                <w:b/>
                <w:bCs/>
                <w:color w:val="auto"/>
                <w:spacing w:val="11"/>
                <w:kern w:val="0"/>
                <w:sz w:val="21"/>
                <w:szCs w:val="21"/>
                <w:u w:val="single" w:color="auto"/>
                <w:lang w:val="en-US" w:eastAsia="zh-CN" w:bidi="ar"/>
              </w:rPr>
              <w:t>0</w:t>
            </w:r>
            <w:r>
              <w:rPr>
                <w:rFonts w:hint="eastAsia" w:ascii="Times New Roman" w:hAnsi="Times New Roman" w:eastAsia="宋体" w:cs="Times New Roman"/>
                <w:b/>
                <w:bCs/>
                <w:color w:val="auto"/>
                <w:spacing w:val="11"/>
                <w:kern w:val="0"/>
                <w:sz w:val="21"/>
                <w:szCs w:val="21"/>
                <w:u w:val="single" w:color="auto"/>
                <w:lang w:val="en-US" w:eastAsia="zh-CN" w:bidi="ar"/>
              </w:rPr>
              <w:t xml:space="preserve">  废水污染物排放信息表</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1359"/>
              <w:gridCol w:w="1878"/>
              <w:gridCol w:w="2017"/>
              <w:gridCol w:w="2673"/>
            </w:tblGrid>
            <w:tr w14:paraId="713AC4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8" w:type="pct"/>
                  <w:tcBorders>
                    <w:tl2br w:val="nil"/>
                    <w:tr2bl w:val="nil"/>
                  </w:tcBorders>
                  <w:noWrap w:val="0"/>
                  <w:vAlign w:val="center"/>
                </w:tcPr>
                <w:p w14:paraId="3322EB97">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序号</w:t>
                  </w:r>
                </w:p>
              </w:tc>
              <w:tc>
                <w:tcPr>
                  <w:tcW w:w="1809" w:type="pct"/>
                  <w:gridSpan w:val="2"/>
                  <w:tcBorders>
                    <w:tl2br w:val="nil"/>
                    <w:tr2bl w:val="nil"/>
                  </w:tcBorders>
                  <w:noWrap w:val="0"/>
                  <w:vAlign w:val="center"/>
                </w:tcPr>
                <w:p w14:paraId="46AE12FB">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污染物种类</w:t>
                  </w:r>
                </w:p>
              </w:tc>
              <w:tc>
                <w:tcPr>
                  <w:tcW w:w="1127" w:type="pct"/>
                  <w:tcBorders>
                    <w:tl2br w:val="nil"/>
                    <w:tr2bl w:val="nil"/>
                  </w:tcBorders>
                  <w:noWrap w:val="0"/>
                  <w:vAlign w:val="center"/>
                </w:tcPr>
                <w:p w14:paraId="46414CF5">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排放浓度mg/L</w:t>
                  </w:r>
                </w:p>
              </w:tc>
              <w:tc>
                <w:tcPr>
                  <w:tcW w:w="1494" w:type="pct"/>
                  <w:tcBorders>
                    <w:tl2br w:val="nil"/>
                    <w:tr2bl w:val="nil"/>
                  </w:tcBorders>
                  <w:noWrap w:val="0"/>
                  <w:vAlign w:val="center"/>
                </w:tcPr>
                <w:p w14:paraId="6774BA20">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年排放量m</w:t>
                  </w:r>
                  <w:r>
                    <w:rPr>
                      <w:rFonts w:hint="eastAsia" w:ascii="Times New Roman" w:hAnsi="Times New Roman" w:eastAsia="宋体" w:cs="Times New Roman"/>
                      <w:color w:val="auto"/>
                      <w:spacing w:val="11"/>
                      <w:kern w:val="0"/>
                      <w:sz w:val="21"/>
                      <w:szCs w:val="21"/>
                      <w:u w:val="single" w:color="auto"/>
                      <w:vertAlign w:val="superscript"/>
                      <w:lang w:val="en-US" w:eastAsia="zh-CN" w:bidi="ar-SA"/>
                    </w:rPr>
                    <w:t>3</w:t>
                  </w:r>
                  <w:r>
                    <w:rPr>
                      <w:rFonts w:hint="eastAsia" w:ascii="Times New Roman" w:hAnsi="Times New Roman" w:eastAsia="宋体" w:cs="Times New Roman"/>
                      <w:color w:val="auto"/>
                      <w:spacing w:val="11"/>
                      <w:kern w:val="0"/>
                      <w:sz w:val="21"/>
                      <w:szCs w:val="21"/>
                      <w:u w:val="single" w:color="auto"/>
                      <w:vertAlign w:val="baseline"/>
                      <w:lang w:val="en-US" w:eastAsia="zh-CN" w:bidi="ar-SA"/>
                    </w:rPr>
                    <w:t>/a</w:t>
                  </w:r>
                </w:p>
              </w:tc>
            </w:tr>
            <w:tr w14:paraId="388664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8" w:type="pct"/>
                  <w:tcBorders>
                    <w:tl2br w:val="nil"/>
                    <w:tr2bl w:val="nil"/>
                  </w:tcBorders>
                  <w:shd w:val="clear" w:color="auto" w:fill="auto"/>
                  <w:noWrap w:val="0"/>
                  <w:vAlign w:val="center"/>
                </w:tcPr>
                <w:p w14:paraId="5618CB22">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eastAsia"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1</w:t>
                  </w:r>
                </w:p>
              </w:tc>
              <w:tc>
                <w:tcPr>
                  <w:tcW w:w="759" w:type="pct"/>
                  <w:vMerge w:val="restart"/>
                  <w:tcBorders>
                    <w:tl2br w:val="nil"/>
                    <w:tr2bl w:val="nil"/>
                  </w:tcBorders>
                  <w:noWrap w:val="0"/>
                  <w:vAlign w:val="center"/>
                </w:tcPr>
                <w:p w14:paraId="77A4B7BD">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cs="Times New Roman"/>
                      <w:color w:val="auto"/>
                      <w:spacing w:val="11"/>
                      <w:kern w:val="0"/>
                      <w:sz w:val="21"/>
                      <w:szCs w:val="21"/>
                      <w:u w:val="single" w:color="auto"/>
                      <w:vertAlign w:val="baseline"/>
                      <w:lang w:val="en-US" w:eastAsia="zh-CN" w:bidi="ar-SA"/>
                    </w:rPr>
                    <w:t>生活污水、医疗废水</w:t>
                  </w:r>
                </w:p>
              </w:tc>
              <w:tc>
                <w:tcPr>
                  <w:tcW w:w="1049" w:type="pct"/>
                  <w:tcBorders>
                    <w:tl2br w:val="nil"/>
                    <w:tr2bl w:val="nil"/>
                  </w:tcBorders>
                  <w:noWrap w:val="0"/>
                  <w:vAlign w:val="center"/>
                </w:tcPr>
                <w:p w14:paraId="488854C8">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水量</w:t>
                  </w:r>
                </w:p>
              </w:tc>
              <w:tc>
                <w:tcPr>
                  <w:tcW w:w="1127" w:type="pct"/>
                  <w:tcBorders>
                    <w:tl2br w:val="nil"/>
                    <w:tr2bl w:val="nil"/>
                  </w:tcBorders>
                  <w:noWrap w:val="0"/>
                  <w:vAlign w:val="center"/>
                </w:tcPr>
                <w:p w14:paraId="2902215C">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w:t>
                  </w:r>
                </w:p>
              </w:tc>
              <w:tc>
                <w:tcPr>
                  <w:tcW w:w="1494" w:type="pct"/>
                  <w:tcBorders>
                    <w:tl2br w:val="nil"/>
                    <w:tr2bl w:val="nil"/>
                  </w:tcBorders>
                  <w:shd w:val="clear" w:color="auto" w:fill="auto"/>
                  <w:noWrap w:val="0"/>
                  <w:vAlign w:val="center"/>
                </w:tcPr>
                <w:p w14:paraId="6E43A8A7">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bidi="ar-SA"/>
                    </w:rPr>
                  </w:pPr>
                  <w:r>
                    <w:rPr>
                      <w:rFonts w:hint="default" w:ascii="Times New Roman" w:hAnsi="Times New Roman" w:eastAsia="宋体" w:cs="Times New Roman"/>
                      <w:snapToGrid w:val="0"/>
                      <w:color w:val="auto"/>
                      <w:spacing w:val="11"/>
                      <w:kern w:val="0"/>
                      <w:sz w:val="21"/>
                      <w:szCs w:val="21"/>
                      <w:highlight w:val="none"/>
                      <w:u w:val="single" w:color="auto"/>
                      <w:lang w:val="en-US" w:eastAsia="zh-CN"/>
                    </w:rPr>
                    <w:t>116867.525</w:t>
                  </w:r>
                </w:p>
              </w:tc>
            </w:tr>
            <w:tr w14:paraId="2B11F5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68" w:type="pct"/>
                  <w:tcBorders>
                    <w:tl2br w:val="nil"/>
                    <w:tr2bl w:val="nil"/>
                  </w:tcBorders>
                  <w:shd w:val="clear" w:color="auto" w:fill="auto"/>
                  <w:noWrap w:val="0"/>
                  <w:vAlign w:val="center"/>
                </w:tcPr>
                <w:p w14:paraId="59C76E50">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2</w:t>
                  </w:r>
                </w:p>
              </w:tc>
              <w:tc>
                <w:tcPr>
                  <w:tcW w:w="759" w:type="pct"/>
                  <w:vMerge w:val="continue"/>
                  <w:tcBorders>
                    <w:tl2br w:val="nil"/>
                    <w:tr2bl w:val="nil"/>
                  </w:tcBorders>
                  <w:noWrap w:val="0"/>
                  <w:vAlign w:val="center"/>
                </w:tcPr>
                <w:p w14:paraId="3C88E981">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p>
              </w:tc>
              <w:tc>
                <w:tcPr>
                  <w:tcW w:w="1049" w:type="pct"/>
                  <w:tcBorders>
                    <w:tl2br w:val="nil"/>
                    <w:tr2bl w:val="nil"/>
                  </w:tcBorders>
                  <w:noWrap w:val="0"/>
                  <w:vAlign w:val="center"/>
                </w:tcPr>
                <w:p w14:paraId="75161D81">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COD</w:t>
                  </w:r>
                </w:p>
              </w:tc>
              <w:tc>
                <w:tcPr>
                  <w:tcW w:w="1127" w:type="pct"/>
                  <w:tcBorders>
                    <w:tl2br w:val="nil"/>
                    <w:tr2bl w:val="nil"/>
                  </w:tcBorders>
                  <w:noWrap w:val="0"/>
                  <w:vAlign w:val="center"/>
                </w:tcPr>
                <w:p w14:paraId="69896553">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250</w:t>
                  </w:r>
                </w:p>
              </w:tc>
              <w:tc>
                <w:tcPr>
                  <w:tcW w:w="1494" w:type="pct"/>
                  <w:tcBorders>
                    <w:tl2br w:val="nil"/>
                    <w:tr2bl w:val="nil"/>
                  </w:tcBorders>
                  <w:shd w:val="clear" w:color="auto" w:fill="auto"/>
                  <w:noWrap w:val="0"/>
                  <w:vAlign w:val="center"/>
                </w:tcPr>
                <w:p w14:paraId="4A475A75">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default" w:ascii="Times New Roman" w:hAnsi="Times New Roman" w:eastAsia="宋体" w:cs="Times New Roman"/>
                      <w:color w:val="auto"/>
                      <w:spacing w:val="11"/>
                      <w:kern w:val="0"/>
                      <w:sz w:val="21"/>
                      <w:szCs w:val="21"/>
                      <w:u w:val="single" w:color="auto"/>
                      <w:vertAlign w:val="baseline"/>
                      <w:lang w:val="en-US" w:eastAsia="zh-CN" w:bidi="ar-SA"/>
                    </w:rPr>
                    <w:t>29.22</w:t>
                  </w:r>
                </w:p>
              </w:tc>
            </w:tr>
            <w:tr w14:paraId="371769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8" w:type="pct"/>
                  <w:tcBorders>
                    <w:tl2br w:val="nil"/>
                    <w:tr2bl w:val="nil"/>
                  </w:tcBorders>
                  <w:shd w:val="clear" w:color="auto" w:fill="auto"/>
                  <w:noWrap w:val="0"/>
                  <w:vAlign w:val="center"/>
                </w:tcPr>
                <w:p w14:paraId="30546A68">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3</w:t>
                  </w:r>
                </w:p>
              </w:tc>
              <w:tc>
                <w:tcPr>
                  <w:tcW w:w="759" w:type="pct"/>
                  <w:vMerge w:val="continue"/>
                  <w:tcBorders>
                    <w:tl2br w:val="nil"/>
                    <w:tr2bl w:val="nil"/>
                  </w:tcBorders>
                  <w:noWrap w:val="0"/>
                  <w:vAlign w:val="center"/>
                </w:tcPr>
                <w:p w14:paraId="11A42946">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p>
              </w:tc>
              <w:tc>
                <w:tcPr>
                  <w:tcW w:w="1049" w:type="pct"/>
                  <w:tcBorders>
                    <w:tl2br w:val="nil"/>
                    <w:tr2bl w:val="nil"/>
                  </w:tcBorders>
                  <w:noWrap w:val="0"/>
                  <w:vAlign w:val="center"/>
                </w:tcPr>
                <w:p w14:paraId="3E80BB9A">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BOD</w:t>
                  </w:r>
                  <w:r>
                    <w:rPr>
                      <w:rFonts w:hint="eastAsia" w:ascii="Times New Roman" w:hAnsi="Times New Roman" w:eastAsia="宋体" w:cs="Times New Roman"/>
                      <w:b w:val="0"/>
                      <w:bCs w:val="0"/>
                      <w:smallCaps w:val="0"/>
                      <w:color w:val="auto"/>
                      <w:spacing w:val="11"/>
                      <w:kern w:val="0"/>
                      <w:sz w:val="21"/>
                      <w:szCs w:val="21"/>
                      <w:highlight w:val="none"/>
                      <w:u w:val="single" w:color="auto"/>
                      <w:vertAlign w:val="subscript"/>
                      <w:lang w:val="en-US" w:eastAsia="zh-CN" w:bidi="ar-SA"/>
                    </w:rPr>
                    <w:t>5</w:t>
                  </w:r>
                </w:p>
              </w:tc>
              <w:tc>
                <w:tcPr>
                  <w:tcW w:w="1127" w:type="pct"/>
                  <w:tcBorders>
                    <w:tl2br w:val="nil"/>
                    <w:tr2bl w:val="nil"/>
                  </w:tcBorders>
                  <w:noWrap w:val="0"/>
                  <w:vAlign w:val="center"/>
                </w:tcPr>
                <w:p w14:paraId="1C49D32E">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100</w:t>
                  </w:r>
                </w:p>
              </w:tc>
              <w:tc>
                <w:tcPr>
                  <w:tcW w:w="1494" w:type="pct"/>
                  <w:tcBorders>
                    <w:tl2br w:val="nil"/>
                    <w:tr2bl w:val="nil"/>
                  </w:tcBorders>
                  <w:shd w:val="clear" w:color="auto" w:fill="auto"/>
                  <w:noWrap w:val="0"/>
                  <w:vAlign w:val="center"/>
                </w:tcPr>
                <w:p w14:paraId="4748A131">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default" w:ascii="Times New Roman" w:hAnsi="Times New Roman" w:eastAsia="宋体" w:cs="Times New Roman"/>
                      <w:color w:val="auto"/>
                      <w:spacing w:val="11"/>
                      <w:kern w:val="0"/>
                      <w:sz w:val="21"/>
                      <w:szCs w:val="21"/>
                      <w:u w:val="single" w:color="auto"/>
                      <w:vertAlign w:val="baseline"/>
                      <w:lang w:val="en-US" w:eastAsia="zh-CN" w:bidi="ar-SA"/>
                    </w:rPr>
                    <w:t>11.69</w:t>
                  </w:r>
                </w:p>
              </w:tc>
            </w:tr>
            <w:tr w14:paraId="37DD3F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8" w:type="pct"/>
                  <w:tcBorders>
                    <w:tl2br w:val="nil"/>
                    <w:tr2bl w:val="nil"/>
                  </w:tcBorders>
                  <w:shd w:val="clear" w:color="auto" w:fill="auto"/>
                  <w:noWrap w:val="0"/>
                  <w:vAlign w:val="center"/>
                </w:tcPr>
                <w:p w14:paraId="4683BCEF">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4</w:t>
                  </w:r>
                </w:p>
              </w:tc>
              <w:tc>
                <w:tcPr>
                  <w:tcW w:w="759" w:type="pct"/>
                  <w:vMerge w:val="continue"/>
                  <w:tcBorders>
                    <w:tl2br w:val="nil"/>
                    <w:tr2bl w:val="nil"/>
                  </w:tcBorders>
                  <w:noWrap w:val="0"/>
                  <w:vAlign w:val="center"/>
                </w:tcPr>
                <w:p w14:paraId="375BB556">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p>
              </w:tc>
              <w:tc>
                <w:tcPr>
                  <w:tcW w:w="1049" w:type="pct"/>
                  <w:tcBorders>
                    <w:tl2br w:val="nil"/>
                    <w:tr2bl w:val="nil"/>
                  </w:tcBorders>
                  <w:noWrap w:val="0"/>
                  <w:vAlign w:val="center"/>
                </w:tcPr>
                <w:p w14:paraId="5DEF3000">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SS</w:t>
                  </w:r>
                </w:p>
              </w:tc>
              <w:tc>
                <w:tcPr>
                  <w:tcW w:w="1127" w:type="pct"/>
                  <w:tcBorders>
                    <w:tl2br w:val="nil"/>
                    <w:tr2bl w:val="nil"/>
                  </w:tcBorders>
                  <w:noWrap w:val="0"/>
                  <w:vAlign w:val="center"/>
                </w:tcPr>
                <w:p w14:paraId="09CA7CE2">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60</w:t>
                  </w:r>
                </w:p>
              </w:tc>
              <w:tc>
                <w:tcPr>
                  <w:tcW w:w="1494" w:type="pct"/>
                  <w:tcBorders>
                    <w:tl2br w:val="nil"/>
                    <w:tr2bl w:val="nil"/>
                  </w:tcBorders>
                  <w:shd w:val="clear" w:color="auto" w:fill="auto"/>
                  <w:noWrap w:val="0"/>
                  <w:vAlign w:val="center"/>
                </w:tcPr>
                <w:p w14:paraId="00B1C4FC">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default" w:ascii="Times New Roman" w:hAnsi="Times New Roman" w:eastAsia="宋体" w:cs="Times New Roman"/>
                      <w:color w:val="auto"/>
                      <w:spacing w:val="11"/>
                      <w:kern w:val="0"/>
                      <w:sz w:val="21"/>
                      <w:szCs w:val="21"/>
                      <w:u w:val="single" w:color="auto"/>
                      <w:vertAlign w:val="baseline"/>
                      <w:lang w:val="en-US" w:eastAsia="zh-CN" w:bidi="ar-SA"/>
                    </w:rPr>
                    <w:t>7.01</w:t>
                  </w:r>
                </w:p>
              </w:tc>
            </w:tr>
            <w:tr w14:paraId="475DEC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8" w:type="pct"/>
                  <w:tcBorders>
                    <w:tl2br w:val="nil"/>
                    <w:tr2bl w:val="nil"/>
                  </w:tcBorders>
                  <w:shd w:val="clear" w:color="auto" w:fill="auto"/>
                  <w:noWrap w:val="0"/>
                  <w:vAlign w:val="center"/>
                </w:tcPr>
                <w:p w14:paraId="03059458">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5</w:t>
                  </w:r>
                </w:p>
              </w:tc>
              <w:tc>
                <w:tcPr>
                  <w:tcW w:w="759" w:type="pct"/>
                  <w:vMerge w:val="continue"/>
                  <w:tcBorders>
                    <w:tl2br w:val="nil"/>
                    <w:tr2bl w:val="nil"/>
                  </w:tcBorders>
                  <w:noWrap w:val="0"/>
                  <w:vAlign w:val="center"/>
                </w:tcPr>
                <w:p w14:paraId="2AFAEAB3">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p>
              </w:tc>
              <w:tc>
                <w:tcPr>
                  <w:tcW w:w="1049" w:type="pct"/>
                  <w:tcBorders>
                    <w:tl2br w:val="nil"/>
                    <w:tr2bl w:val="nil"/>
                  </w:tcBorders>
                  <w:noWrap w:val="0"/>
                  <w:vAlign w:val="center"/>
                </w:tcPr>
                <w:p w14:paraId="66E1A90B">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氨氮</w:t>
                  </w:r>
                </w:p>
              </w:tc>
              <w:tc>
                <w:tcPr>
                  <w:tcW w:w="1127" w:type="pct"/>
                  <w:tcBorders>
                    <w:tl2br w:val="nil"/>
                    <w:tr2bl w:val="nil"/>
                  </w:tcBorders>
                  <w:noWrap w:val="0"/>
                  <w:vAlign w:val="center"/>
                </w:tcPr>
                <w:p w14:paraId="654C5F75">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35</w:t>
                  </w:r>
                </w:p>
              </w:tc>
              <w:tc>
                <w:tcPr>
                  <w:tcW w:w="1494" w:type="pct"/>
                  <w:tcBorders>
                    <w:tl2br w:val="nil"/>
                    <w:tr2bl w:val="nil"/>
                  </w:tcBorders>
                  <w:shd w:val="clear" w:color="auto" w:fill="auto"/>
                  <w:noWrap w:val="0"/>
                  <w:vAlign w:val="center"/>
                </w:tcPr>
                <w:p w14:paraId="5CF46F2A">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default" w:ascii="Times New Roman" w:hAnsi="Times New Roman" w:eastAsia="宋体" w:cs="Times New Roman"/>
                      <w:color w:val="auto"/>
                      <w:spacing w:val="11"/>
                      <w:kern w:val="0"/>
                      <w:sz w:val="21"/>
                      <w:szCs w:val="21"/>
                      <w:u w:val="single" w:color="auto"/>
                      <w:vertAlign w:val="baseline"/>
                      <w:lang w:val="en-US" w:eastAsia="zh-CN" w:bidi="ar-SA"/>
                    </w:rPr>
                    <w:t>4.09</w:t>
                  </w:r>
                </w:p>
              </w:tc>
            </w:tr>
            <w:tr w14:paraId="7BA4E1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8" w:type="pct"/>
                  <w:tcBorders>
                    <w:tl2br w:val="nil"/>
                    <w:tr2bl w:val="nil"/>
                  </w:tcBorders>
                  <w:noWrap w:val="0"/>
                  <w:vAlign w:val="center"/>
                </w:tcPr>
                <w:p w14:paraId="48CE9915">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6</w:t>
                  </w:r>
                </w:p>
              </w:tc>
              <w:tc>
                <w:tcPr>
                  <w:tcW w:w="759" w:type="pct"/>
                  <w:vMerge w:val="continue"/>
                  <w:tcBorders>
                    <w:tl2br w:val="nil"/>
                    <w:tr2bl w:val="nil"/>
                  </w:tcBorders>
                  <w:noWrap w:val="0"/>
                  <w:vAlign w:val="center"/>
                </w:tcPr>
                <w:p w14:paraId="30AD4B5C">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p>
              </w:tc>
              <w:tc>
                <w:tcPr>
                  <w:tcW w:w="1049" w:type="pct"/>
                  <w:tcBorders>
                    <w:tl2br w:val="nil"/>
                    <w:tr2bl w:val="nil"/>
                  </w:tcBorders>
                  <w:noWrap w:val="0"/>
                  <w:vAlign w:val="center"/>
                </w:tcPr>
                <w:p w14:paraId="408F0CBB">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粪大肠杆菌</w:t>
                  </w:r>
                </w:p>
              </w:tc>
              <w:tc>
                <w:tcPr>
                  <w:tcW w:w="1127" w:type="pct"/>
                  <w:tcBorders>
                    <w:tl2br w:val="nil"/>
                    <w:tr2bl w:val="nil"/>
                  </w:tcBorders>
                  <w:noWrap w:val="0"/>
                  <w:vAlign w:val="center"/>
                </w:tcPr>
                <w:p w14:paraId="01A1CBDF">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5000个/L</w:t>
                  </w:r>
                </w:p>
              </w:tc>
              <w:tc>
                <w:tcPr>
                  <w:tcW w:w="1494" w:type="pct"/>
                  <w:tcBorders>
                    <w:tl2br w:val="nil"/>
                    <w:tr2bl w:val="nil"/>
                  </w:tcBorders>
                  <w:shd w:val="clear" w:color="auto" w:fill="auto"/>
                  <w:noWrap w:val="0"/>
                  <w:vAlign w:val="center"/>
                </w:tcPr>
                <w:p w14:paraId="2AAFEED8">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bidi="ar-SA"/>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w:t>
                  </w:r>
                </w:p>
              </w:tc>
            </w:tr>
          </w:tbl>
          <w:p w14:paraId="147F079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mallCaps w:val="0"/>
                <w:color w:val="auto"/>
                <w:spacing w:val="11"/>
                <w:kern w:val="0"/>
                <w:sz w:val="21"/>
                <w:szCs w:val="21"/>
                <w:highlight w:val="none"/>
                <w:u w:val="single" w:color="auto"/>
                <w:lang w:val="en-US" w:eastAsia="zh-CN" w:bidi="ar-SA"/>
              </w:rPr>
            </w:pPr>
          </w:p>
          <w:p w14:paraId="6F283CD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mallCaps w:val="0"/>
                <w:color w:val="auto"/>
                <w:spacing w:val="11"/>
                <w:kern w:val="0"/>
                <w:sz w:val="21"/>
                <w:szCs w:val="21"/>
                <w:highlight w:val="none"/>
                <w:u w:val="single" w:color="auto"/>
                <w:lang w:val="en-US" w:eastAsia="zh-CN" w:bidi="ar-SA"/>
              </w:rPr>
            </w:pPr>
            <w:r>
              <w:rPr>
                <w:rFonts w:hint="default" w:ascii="Times New Roman" w:hAnsi="Times New Roman" w:eastAsia="宋体" w:cs="Times New Roman"/>
                <w:b/>
                <w:bCs/>
                <w:smallCaps w:val="0"/>
                <w:color w:val="auto"/>
                <w:spacing w:val="11"/>
                <w:kern w:val="0"/>
                <w:sz w:val="21"/>
                <w:szCs w:val="21"/>
                <w:highlight w:val="none"/>
                <w:u w:val="single" w:color="auto"/>
                <w:lang w:val="en-US" w:eastAsia="zh-CN" w:bidi="ar-SA"/>
              </w:rPr>
              <w:t>表4-</w:t>
            </w:r>
            <w:r>
              <w:rPr>
                <w:rFonts w:hint="eastAsia" w:ascii="Times New Roman" w:hAnsi="Times New Roman" w:cs="Times New Roman"/>
                <w:b/>
                <w:bCs/>
                <w:smallCaps w:val="0"/>
                <w:color w:val="auto"/>
                <w:spacing w:val="11"/>
                <w:kern w:val="0"/>
                <w:sz w:val="21"/>
                <w:szCs w:val="21"/>
                <w:highlight w:val="none"/>
                <w:u w:val="single" w:color="auto"/>
                <w:lang w:val="en-US" w:eastAsia="zh-CN" w:bidi="ar-SA"/>
              </w:rPr>
              <w:t>1</w:t>
            </w:r>
            <w:r>
              <w:rPr>
                <w:rFonts w:hint="eastAsia" w:cs="Times New Roman"/>
                <w:b/>
                <w:bCs/>
                <w:smallCaps w:val="0"/>
                <w:color w:val="auto"/>
                <w:spacing w:val="11"/>
                <w:kern w:val="0"/>
                <w:sz w:val="21"/>
                <w:szCs w:val="21"/>
                <w:highlight w:val="none"/>
                <w:u w:val="single" w:color="auto"/>
                <w:lang w:val="en-US" w:eastAsia="zh-CN" w:bidi="ar-SA"/>
              </w:rPr>
              <w:t>1</w:t>
            </w:r>
            <w:r>
              <w:rPr>
                <w:rFonts w:hint="eastAsia" w:ascii="Times New Roman" w:hAnsi="Times New Roman" w:eastAsia="宋体" w:cs="Times New Roman"/>
                <w:b/>
                <w:bCs/>
                <w:smallCaps w:val="0"/>
                <w:color w:val="auto"/>
                <w:spacing w:val="11"/>
                <w:kern w:val="0"/>
                <w:sz w:val="21"/>
                <w:szCs w:val="21"/>
                <w:highlight w:val="none"/>
                <w:u w:val="single" w:color="auto"/>
                <w:lang w:val="en-US" w:eastAsia="zh-CN" w:bidi="ar-SA"/>
              </w:rPr>
              <w:t xml:space="preserve"> </w:t>
            </w:r>
            <w:r>
              <w:rPr>
                <w:rFonts w:hint="default" w:ascii="Times New Roman" w:hAnsi="Times New Roman" w:eastAsia="宋体" w:cs="Times New Roman"/>
                <w:b/>
                <w:bCs/>
                <w:smallCaps w:val="0"/>
                <w:color w:val="auto"/>
                <w:spacing w:val="11"/>
                <w:kern w:val="0"/>
                <w:sz w:val="21"/>
                <w:szCs w:val="21"/>
                <w:highlight w:val="none"/>
                <w:u w:val="single" w:color="auto"/>
                <w:lang w:val="en-US" w:eastAsia="zh-CN" w:bidi="ar-SA"/>
              </w:rPr>
              <w:t xml:space="preserve"> 废水污染治理设施信息表</w:t>
            </w:r>
          </w:p>
          <w:tbl>
            <w:tblPr>
              <w:tblStyle w:val="25"/>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37"/>
              <w:gridCol w:w="893"/>
              <w:gridCol w:w="893"/>
              <w:gridCol w:w="895"/>
              <w:gridCol w:w="895"/>
              <w:gridCol w:w="898"/>
              <w:gridCol w:w="807"/>
              <w:gridCol w:w="1006"/>
              <w:gridCol w:w="870"/>
            </w:tblGrid>
            <w:tr w14:paraId="4A2540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363" w:type="pct"/>
                  <w:vMerge w:val="restart"/>
                  <w:tcBorders>
                    <w:tl2br w:val="nil"/>
                    <w:tr2bl w:val="nil"/>
                  </w:tcBorders>
                  <w:noWrap w:val="0"/>
                  <w:vAlign w:val="center"/>
                </w:tcPr>
                <w:p w14:paraId="35A66693">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废水类别</w:t>
                  </w:r>
                </w:p>
              </w:tc>
              <w:tc>
                <w:tcPr>
                  <w:tcW w:w="635" w:type="pct"/>
                  <w:vMerge w:val="restart"/>
                  <w:tcBorders>
                    <w:tl2br w:val="nil"/>
                    <w:tr2bl w:val="nil"/>
                  </w:tcBorders>
                  <w:noWrap w:val="0"/>
                  <w:vAlign w:val="center"/>
                </w:tcPr>
                <w:p w14:paraId="4D7B4D04">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污染物种类</w:t>
                  </w:r>
                </w:p>
              </w:tc>
              <w:tc>
                <w:tcPr>
                  <w:tcW w:w="499" w:type="pct"/>
                  <w:vMerge w:val="restart"/>
                  <w:tcBorders>
                    <w:tl2br w:val="nil"/>
                    <w:tr2bl w:val="nil"/>
                  </w:tcBorders>
                  <w:noWrap w:val="0"/>
                  <w:vAlign w:val="center"/>
                </w:tcPr>
                <w:p w14:paraId="41501597">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排放去向</w:t>
                  </w:r>
                </w:p>
              </w:tc>
              <w:tc>
                <w:tcPr>
                  <w:tcW w:w="499" w:type="pct"/>
                  <w:vMerge w:val="restart"/>
                  <w:tcBorders>
                    <w:tl2br w:val="nil"/>
                    <w:tr2bl w:val="nil"/>
                  </w:tcBorders>
                  <w:noWrap w:val="0"/>
                  <w:vAlign w:val="center"/>
                </w:tcPr>
                <w:p w14:paraId="5B12C9F6">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排放规律</w:t>
                  </w:r>
                </w:p>
              </w:tc>
              <w:tc>
                <w:tcPr>
                  <w:tcW w:w="1502" w:type="pct"/>
                  <w:gridSpan w:val="3"/>
                  <w:tcBorders>
                    <w:tl2br w:val="nil"/>
                    <w:tr2bl w:val="nil"/>
                  </w:tcBorders>
                  <w:noWrap w:val="0"/>
                  <w:vAlign w:val="center"/>
                </w:tcPr>
                <w:p w14:paraId="149118D6">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污染物治理设施</w:t>
                  </w:r>
                </w:p>
              </w:tc>
              <w:tc>
                <w:tcPr>
                  <w:tcW w:w="451" w:type="pct"/>
                  <w:vMerge w:val="restart"/>
                  <w:tcBorders>
                    <w:tl2br w:val="nil"/>
                    <w:tr2bl w:val="nil"/>
                  </w:tcBorders>
                  <w:noWrap w:val="0"/>
                  <w:vAlign w:val="center"/>
                </w:tcPr>
                <w:p w14:paraId="0E1819F8">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排放口编号</w:t>
                  </w:r>
                </w:p>
              </w:tc>
              <w:tc>
                <w:tcPr>
                  <w:tcW w:w="562" w:type="pct"/>
                  <w:vMerge w:val="restart"/>
                  <w:tcBorders>
                    <w:tl2br w:val="nil"/>
                    <w:tr2bl w:val="nil"/>
                  </w:tcBorders>
                  <w:noWrap w:val="0"/>
                  <w:vAlign w:val="center"/>
                </w:tcPr>
                <w:p w14:paraId="4E552DF5">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排放口设置是否符合要求</w:t>
                  </w:r>
                </w:p>
              </w:tc>
              <w:tc>
                <w:tcPr>
                  <w:tcW w:w="486" w:type="pct"/>
                  <w:vMerge w:val="restart"/>
                  <w:tcBorders>
                    <w:tl2br w:val="nil"/>
                    <w:tr2bl w:val="nil"/>
                  </w:tcBorders>
                  <w:noWrap w:val="0"/>
                  <w:vAlign w:val="center"/>
                </w:tcPr>
                <w:p w14:paraId="2C8ED4A2">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排放口类型</w:t>
                  </w:r>
                </w:p>
              </w:tc>
            </w:tr>
            <w:tr w14:paraId="0AC215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363" w:type="pct"/>
                  <w:vMerge w:val="continue"/>
                  <w:tcBorders>
                    <w:tl2br w:val="nil"/>
                    <w:tr2bl w:val="nil"/>
                  </w:tcBorders>
                  <w:noWrap w:val="0"/>
                  <w:vAlign w:val="center"/>
                </w:tcPr>
                <w:p w14:paraId="6E18FF3D">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ascii="Times New Roman" w:hAnsi="Times New Roman" w:eastAsia="宋体" w:cs="Times New Roman"/>
                      <w:color w:val="auto"/>
                      <w:spacing w:val="11"/>
                      <w:kern w:val="0"/>
                      <w:sz w:val="21"/>
                      <w:szCs w:val="21"/>
                      <w:u w:val="single" w:color="auto"/>
                      <w:lang w:val="en-US" w:eastAsia="zh-CN" w:bidi="ar-SA"/>
                    </w:rPr>
                  </w:pPr>
                </w:p>
              </w:tc>
              <w:tc>
                <w:tcPr>
                  <w:tcW w:w="635" w:type="pct"/>
                  <w:vMerge w:val="continue"/>
                  <w:tcBorders>
                    <w:tl2br w:val="nil"/>
                    <w:tr2bl w:val="nil"/>
                  </w:tcBorders>
                  <w:noWrap w:val="0"/>
                  <w:vAlign w:val="center"/>
                </w:tcPr>
                <w:p w14:paraId="07CDE130">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ascii="Times New Roman" w:hAnsi="Times New Roman" w:eastAsia="宋体" w:cs="Times New Roman"/>
                      <w:color w:val="auto"/>
                      <w:spacing w:val="11"/>
                      <w:kern w:val="0"/>
                      <w:sz w:val="21"/>
                      <w:szCs w:val="21"/>
                      <w:u w:val="single" w:color="auto"/>
                      <w:lang w:val="en-US" w:eastAsia="zh-CN" w:bidi="ar-SA"/>
                    </w:rPr>
                  </w:pPr>
                </w:p>
              </w:tc>
              <w:tc>
                <w:tcPr>
                  <w:tcW w:w="499" w:type="pct"/>
                  <w:vMerge w:val="continue"/>
                  <w:tcBorders>
                    <w:tl2br w:val="nil"/>
                    <w:tr2bl w:val="nil"/>
                  </w:tcBorders>
                  <w:noWrap w:val="0"/>
                  <w:vAlign w:val="center"/>
                </w:tcPr>
                <w:p w14:paraId="256E329F">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ascii="Times New Roman" w:hAnsi="Times New Roman" w:eastAsia="宋体" w:cs="Times New Roman"/>
                      <w:color w:val="auto"/>
                      <w:spacing w:val="11"/>
                      <w:kern w:val="0"/>
                      <w:sz w:val="21"/>
                      <w:szCs w:val="21"/>
                      <w:u w:val="single" w:color="auto"/>
                      <w:lang w:val="en-US" w:eastAsia="zh-CN" w:bidi="ar-SA"/>
                    </w:rPr>
                  </w:pPr>
                </w:p>
              </w:tc>
              <w:tc>
                <w:tcPr>
                  <w:tcW w:w="499" w:type="pct"/>
                  <w:vMerge w:val="continue"/>
                  <w:tcBorders>
                    <w:tl2br w:val="nil"/>
                    <w:tr2bl w:val="nil"/>
                  </w:tcBorders>
                  <w:noWrap w:val="0"/>
                  <w:vAlign w:val="center"/>
                </w:tcPr>
                <w:p w14:paraId="575974D2">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ascii="Times New Roman" w:hAnsi="Times New Roman" w:eastAsia="宋体" w:cs="Times New Roman"/>
                      <w:color w:val="auto"/>
                      <w:spacing w:val="11"/>
                      <w:kern w:val="0"/>
                      <w:sz w:val="21"/>
                      <w:szCs w:val="21"/>
                      <w:u w:val="single" w:color="auto"/>
                      <w:lang w:val="en-US" w:eastAsia="zh-CN" w:bidi="ar-SA"/>
                    </w:rPr>
                  </w:pPr>
                </w:p>
              </w:tc>
              <w:tc>
                <w:tcPr>
                  <w:tcW w:w="500" w:type="pct"/>
                  <w:tcBorders>
                    <w:tl2br w:val="nil"/>
                    <w:tr2bl w:val="nil"/>
                  </w:tcBorders>
                  <w:noWrap w:val="0"/>
                  <w:vAlign w:val="center"/>
                </w:tcPr>
                <w:p w14:paraId="51AAE5CB">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污染治理设施编号</w:t>
                  </w:r>
                </w:p>
              </w:tc>
              <w:tc>
                <w:tcPr>
                  <w:tcW w:w="500" w:type="pct"/>
                  <w:tcBorders>
                    <w:tl2br w:val="nil"/>
                    <w:tr2bl w:val="nil"/>
                  </w:tcBorders>
                  <w:noWrap w:val="0"/>
                  <w:vAlign w:val="center"/>
                </w:tcPr>
                <w:p w14:paraId="62FE77DE">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污染治理设施名称</w:t>
                  </w:r>
                </w:p>
              </w:tc>
              <w:tc>
                <w:tcPr>
                  <w:tcW w:w="502" w:type="pct"/>
                  <w:tcBorders>
                    <w:tl2br w:val="nil"/>
                    <w:tr2bl w:val="nil"/>
                  </w:tcBorders>
                  <w:noWrap w:val="0"/>
                  <w:vAlign w:val="center"/>
                </w:tcPr>
                <w:p w14:paraId="204E5F55">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污染治理设施工艺</w:t>
                  </w:r>
                </w:p>
              </w:tc>
              <w:tc>
                <w:tcPr>
                  <w:tcW w:w="451" w:type="pct"/>
                  <w:vMerge w:val="continue"/>
                  <w:tcBorders>
                    <w:tl2br w:val="nil"/>
                    <w:tr2bl w:val="nil"/>
                  </w:tcBorders>
                  <w:noWrap w:val="0"/>
                  <w:vAlign w:val="center"/>
                </w:tcPr>
                <w:p w14:paraId="41BC1515">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p>
              </w:tc>
              <w:tc>
                <w:tcPr>
                  <w:tcW w:w="562" w:type="pct"/>
                  <w:vMerge w:val="continue"/>
                  <w:tcBorders>
                    <w:tl2br w:val="nil"/>
                    <w:tr2bl w:val="nil"/>
                  </w:tcBorders>
                  <w:noWrap w:val="0"/>
                  <w:vAlign w:val="center"/>
                </w:tcPr>
                <w:p w14:paraId="2EAAD391">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p>
              </w:tc>
              <w:tc>
                <w:tcPr>
                  <w:tcW w:w="486" w:type="pct"/>
                  <w:vMerge w:val="continue"/>
                  <w:tcBorders>
                    <w:tl2br w:val="nil"/>
                    <w:tr2bl w:val="nil"/>
                  </w:tcBorders>
                  <w:noWrap w:val="0"/>
                  <w:vAlign w:val="center"/>
                </w:tcPr>
                <w:p w14:paraId="04A6A330">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p>
              </w:tc>
            </w:tr>
            <w:tr w14:paraId="254E47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3" w:type="pct"/>
                  <w:tcBorders>
                    <w:tl2br w:val="nil"/>
                    <w:tr2bl w:val="nil"/>
                  </w:tcBorders>
                  <w:noWrap w:val="0"/>
                  <w:vAlign w:val="center"/>
                </w:tcPr>
                <w:p w14:paraId="14834852">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医疗废水</w:t>
                  </w:r>
                </w:p>
              </w:tc>
              <w:tc>
                <w:tcPr>
                  <w:tcW w:w="635" w:type="pct"/>
                  <w:tcBorders>
                    <w:tl2br w:val="nil"/>
                    <w:tr2bl w:val="nil"/>
                  </w:tcBorders>
                  <w:noWrap w:val="0"/>
                  <w:vAlign w:val="center"/>
                </w:tcPr>
                <w:p w14:paraId="15AF0437">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COD、BOD</w:t>
                  </w:r>
                  <w:r>
                    <w:rPr>
                      <w:rFonts w:hint="eastAsia" w:ascii="Times New Roman" w:hAnsi="Times New Roman" w:eastAsia="宋体" w:cs="Times New Roman"/>
                      <w:b w:val="0"/>
                      <w:bCs w:val="0"/>
                      <w:smallCaps w:val="0"/>
                      <w:color w:val="auto"/>
                      <w:spacing w:val="11"/>
                      <w:kern w:val="0"/>
                      <w:sz w:val="21"/>
                      <w:szCs w:val="21"/>
                      <w:highlight w:val="none"/>
                      <w:u w:val="single" w:color="auto"/>
                      <w:vertAlign w:val="subscript"/>
                      <w:lang w:val="en-US" w:eastAsia="zh-CN" w:bidi="ar-SA"/>
                    </w:rPr>
                    <w:t>5</w:t>
                  </w: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、SS、氨氮、粪大肠杆菌</w:t>
                  </w:r>
                </w:p>
              </w:tc>
              <w:tc>
                <w:tcPr>
                  <w:tcW w:w="499" w:type="pct"/>
                  <w:tcBorders>
                    <w:tl2br w:val="nil"/>
                    <w:tr2bl w:val="nil"/>
                  </w:tcBorders>
                  <w:noWrap w:val="0"/>
                  <w:vAlign w:val="center"/>
                </w:tcPr>
                <w:p w14:paraId="5FF634BE">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院内现有污水处理站</w:t>
                  </w:r>
                </w:p>
              </w:tc>
              <w:tc>
                <w:tcPr>
                  <w:tcW w:w="499" w:type="pct"/>
                  <w:tcBorders>
                    <w:tl2br w:val="nil"/>
                    <w:tr2bl w:val="nil"/>
                  </w:tcBorders>
                  <w:noWrap w:val="0"/>
                  <w:vAlign w:val="center"/>
                </w:tcPr>
                <w:p w14:paraId="4AAF1BE2">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间歇排放，流量不稳定，但有周期性规律</w:t>
                  </w:r>
                </w:p>
              </w:tc>
              <w:tc>
                <w:tcPr>
                  <w:tcW w:w="500" w:type="pct"/>
                  <w:tcBorders>
                    <w:tl2br w:val="nil"/>
                    <w:tr2bl w:val="nil"/>
                  </w:tcBorders>
                  <w:noWrap w:val="0"/>
                  <w:vAlign w:val="center"/>
                </w:tcPr>
                <w:p w14:paraId="236D1623">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TW001</w:t>
                  </w:r>
                </w:p>
              </w:tc>
              <w:tc>
                <w:tcPr>
                  <w:tcW w:w="500" w:type="pct"/>
                  <w:tcBorders>
                    <w:tl2br w:val="nil"/>
                    <w:tr2bl w:val="nil"/>
                  </w:tcBorders>
                  <w:noWrap w:val="0"/>
                  <w:vAlign w:val="center"/>
                </w:tcPr>
                <w:p w14:paraId="4D8073EA">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cs="Times New Roman"/>
                      <w:b w:val="0"/>
                      <w:bCs w:val="0"/>
                      <w:smallCaps w:val="0"/>
                      <w:color w:val="auto"/>
                      <w:spacing w:val="11"/>
                      <w:kern w:val="0"/>
                      <w:sz w:val="21"/>
                      <w:szCs w:val="21"/>
                      <w:highlight w:val="none"/>
                      <w:u w:val="single" w:color="auto"/>
                      <w:vertAlign w:val="baseline"/>
                      <w:lang w:val="en-US" w:eastAsia="zh-CN" w:bidi="ar-SA"/>
                    </w:rPr>
                    <w:t>预处理池</w:t>
                  </w:r>
                </w:p>
              </w:tc>
              <w:tc>
                <w:tcPr>
                  <w:tcW w:w="502" w:type="pct"/>
                  <w:tcBorders>
                    <w:tl2br w:val="nil"/>
                    <w:tr2bl w:val="nil"/>
                  </w:tcBorders>
                  <w:noWrap w:val="0"/>
                  <w:vAlign w:val="center"/>
                </w:tcPr>
                <w:p w14:paraId="571AE05E">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cs="Times New Roman"/>
                      <w:b w:val="0"/>
                      <w:bCs w:val="0"/>
                      <w:smallCaps w:val="0"/>
                      <w:color w:val="auto"/>
                      <w:spacing w:val="11"/>
                      <w:kern w:val="0"/>
                      <w:sz w:val="21"/>
                      <w:szCs w:val="21"/>
                      <w:highlight w:val="none"/>
                      <w:u w:val="single" w:color="auto"/>
                      <w:vertAlign w:val="baseline"/>
                      <w:lang w:val="en-US" w:eastAsia="zh-CN" w:bidi="ar-SA"/>
                    </w:rPr>
                    <w:t>科室预处理+</w:t>
                  </w: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活性氧消毒剂消毒</w:t>
                  </w:r>
                </w:p>
              </w:tc>
              <w:tc>
                <w:tcPr>
                  <w:tcW w:w="451" w:type="pct"/>
                  <w:tcBorders>
                    <w:tl2br w:val="nil"/>
                    <w:tr2bl w:val="nil"/>
                  </w:tcBorders>
                  <w:noWrap w:val="0"/>
                  <w:vAlign w:val="center"/>
                </w:tcPr>
                <w:p w14:paraId="27107484">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cs="Times New Roman"/>
                      <w:b w:val="0"/>
                      <w:bCs w:val="0"/>
                      <w:smallCaps w:val="0"/>
                      <w:color w:val="auto"/>
                      <w:spacing w:val="11"/>
                      <w:kern w:val="0"/>
                      <w:sz w:val="21"/>
                      <w:szCs w:val="21"/>
                      <w:highlight w:val="none"/>
                      <w:u w:val="single" w:color="auto"/>
                      <w:vertAlign w:val="baseline"/>
                      <w:lang w:val="en-US" w:eastAsia="zh-CN" w:bidi="ar-SA"/>
                    </w:rPr>
                    <w:t>/</w:t>
                  </w:r>
                </w:p>
              </w:tc>
              <w:tc>
                <w:tcPr>
                  <w:tcW w:w="562" w:type="pct"/>
                  <w:tcBorders>
                    <w:tl2br w:val="nil"/>
                    <w:tr2bl w:val="nil"/>
                  </w:tcBorders>
                  <w:noWrap w:val="0"/>
                  <w:vAlign w:val="center"/>
                </w:tcPr>
                <w:p w14:paraId="2EA326C5">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cs="Times New Roman"/>
                      <w:b w:val="0"/>
                      <w:bCs w:val="0"/>
                      <w:smallCaps w:val="0"/>
                      <w:color w:val="auto"/>
                      <w:spacing w:val="11"/>
                      <w:kern w:val="0"/>
                      <w:sz w:val="21"/>
                      <w:szCs w:val="21"/>
                      <w:highlight w:val="none"/>
                      <w:u w:val="single" w:color="auto"/>
                      <w:vertAlign w:val="baseline"/>
                      <w:lang w:val="en-US" w:eastAsia="zh-CN" w:bidi="ar-SA"/>
                    </w:rPr>
                    <w:t>/</w:t>
                  </w:r>
                </w:p>
              </w:tc>
              <w:tc>
                <w:tcPr>
                  <w:tcW w:w="486" w:type="pct"/>
                  <w:tcBorders>
                    <w:tl2br w:val="nil"/>
                    <w:tr2bl w:val="nil"/>
                  </w:tcBorders>
                  <w:noWrap w:val="0"/>
                  <w:vAlign w:val="center"/>
                </w:tcPr>
                <w:p w14:paraId="77160C63">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cs="Times New Roman"/>
                      <w:b w:val="0"/>
                      <w:bCs w:val="0"/>
                      <w:smallCaps w:val="0"/>
                      <w:color w:val="auto"/>
                      <w:spacing w:val="11"/>
                      <w:kern w:val="0"/>
                      <w:sz w:val="21"/>
                      <w:szCs w:val="21"/>
                      <w:highlight w:val="none"/>
                      <w:u w:val="single" w:color="auto"/>
                      <w:vertAlign w:val="baseline"/>
                      <w:lang w:val="en-US" w:eastAsia="zh-CN" w:bidi="ar-SA"/>
                    </w:rPr>
                    <w:t>/</w:t>
                  </w:r>
                </w:p>
              </w:tc>
            </w:tr>
            <w:tr w14:paraId="2CF902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3" w:type="pct"/>
                  <w:tcBorders>
                    <w:tl2br w:val="nil"/>
                    <w:tr2bl w:val="nil"/>
                  </w:tcBorders>
                  <w:noWrap w:val="0"/>
                  <w:vAlign w:val="center"/>
                </w:tcPr>
                <w:p w14:paraId="3D0D3ECD">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cs="Times New Roman"/>
                      <w:b w:val="0"/>
                      <w:bCs w:val="0"/>
                      <w:smallCaps w:val="0"/>
                      <w:color w:val="auto"/>
                      <w:spacing w:val="11"/>
                      <w:kern w:val="0"/>
                      <w:sz w:val="21"/>
                      <w:szCs w:val="21"/>
                      <w:highlight w:val="none"/>
                      <w:u w:val="single" w:color="auto"/>
                      <w:vertAlign w:val="baseline"/>
                      <w:lang w:val="en-US" w:eastAsia="zh-CN" w:bidi="ar-SA"/>
                    </w:rPr>
                    <w:t>生活污水</w:t>
                  </w:r>
                </w:p>
              </w:tc>
              <w:tc>
                <w:tcPr>
                  <w:tcW w:w="635" w:type="pct"/>
                  <w:tcBorders>
                    <w:tl2br w:val="nil"/>
                    <w:tr2bl w:val="nil"/>
                  </w:tcBorders>
                  <w:noWrap w:val="0"/>
                  <w:vAlign w:val="center"/>
                </w:tcPr>
                <w:p w14:paraId="0397D845">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COD、BOD</w:t>
                  </w:r>
                  <w:r>
                    <w:rPr>
                      <w:rFonts w:hint="eastAsia" w:ascii="Times New Roman" w:hAnsi="Times New Roman" w:eastAsia="宋体" w:cs="Times New Roman"/>
                      <w:b w:val="0"/>
                      <w:bCs w:val="0"/>
                      <w:smallCaps w:val="0"/>
                      <w:color w:val="auto"/>
                      <w:spacing w:val="11"/>
                      <w:kern w:val="0"/>
                      <w:sz w:val="21"/>
                      <w:szCs w:val="21"/>
                      <w:highlight w:val="none"/>
                      <w:u w:val="single" w:color="auto"/>
                      <w:vertAlign w:val="subscript"/>
                      <w:lang w:val="en-US" w:eastAsia="zh-CN" w:bidi="ar-SA"/>
                    </w:rPr>
                    <w:t>5</w:t>
                  </w: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、SS、氨氮</w:t>
                  </w:r>
                </w:p>
              </w:tc>
              <w:tc>
                <w:tcPr>
                  <w:tcW w:w="499" w:type="pct"/>
                  <w:tcBorders>
                    <w:tl2br w:val="nil"/>
                    <w:tr2bl w:val="nil"/>
                  </w:tcBorders>
                  <w:shd w:val="clear" w:color="auto" w:fill="auto"/>
                  <w:noWrap w:val="0"/>
                  <w:vAlign w:val="center"/>
                </w:tcPr>
                <w:p w14:paraId="77FBA48A">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rightChars="0" w:firstLine="0" w:firstLineChars="0"/>
                    <w:jc w:val="center"/>
                    <w:textAlignment w:val="auto"/>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院内现有污水处理站</w:t>
                  </w:r>
                </w:p>
              </w:tc>
              <w:tc>
                <w:tcPr>
                  <w:tcW w:w="499" w:type="pct"/>
                  <w:tcBorders>
                    <w:tl2br w:val="nil"/>
                    <w:tr2bl w:val="nil"/>
                  </w:tcBorders>
                  <w:shd w:val="clear" w:color="auto" w:fill="auto"/>
                  <w:noWrap w:val="0"/>
                  <w:vAlign w:val="center"/>
                </w:tcPr>
                <w:p w14:paraId="5BA8CF6D">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rightChars="0" w:firstLine="0" w:firstLineChars="0"/>
                    <w:jc w:val="center"/>
                    <w:textAlignment w:val="auto"/>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间歇排放，流量不稳定，但有周期性规律</w:t>
                  </w:r>
                </w:p>
              </w:tc>
              <w:tc>
                <w:tcPr>
                  <w:tcW w:w="500" w:type="pct"/>
                  <w:tcBorders>
                    <w:tl2br w:val="nil"/>
                    <w:tr2bl w:val="nil"/>
                  </w:tcBorders>
                  <w:noWrap w:val="0"/>
                  <w:vAlign w:val="center"/>
                </w:tcPr>
                <w:p w14:paraId="6EEDFB1C">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cs="Times New Roman"/>
                      <w:b w:val="0"/>
                      <w:bCs w:val="0"/>
                      <w:smallCaps w:val="0"/>
                      <w:color w:val="auto"/>
                      <w:spacing w:val="11"/>
                      <w:kern w:val="0"/>
                      <w:sz w:val="21"/>
                      <w:szCs w:val="21"/>
                      <w:highlight w:val="none"/>
                      <w:u w:val="single" w:color="auto"/>
                      <w:vertAlign w:val="baseline"/>
                      <w:lang w:val="en-US" w:eastAsia="zh-CN" w:bidi="ar-SA"/>
                    </w:rPr>
                    <w:t>TW002</w:t>
                  </w:r>
                </w:p>
              </w:tc>
              <w:tc>
                <w:tcPr>
                  <w:tcW w:w="500" w:type="pct"/>
                  <w:tcBorders>
                    <w:tl2br w:val="nil"/>
                    <w:tr2bl w:val="nil"/>
                  </w:tcBorders>
                  <w:noWrap w:val="0"/>
                  <w:vAlign w:val="center"/>
                </w:tcPr>
                <w:p w14:paraId="7BFF45B0">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cs="Times New Roman"/>
                      <w:b w:val="0"/>
                      <w:bCs w:val="0"/>
                      <w:smallCaps w:val="0"/>
                      <w:color w:val="auto"/>
                      <w:spacing w:val="11"/>
                      <w:kern w:val="0"/>
                      <w:sz w:val="21"/>
                      <w:szCs w:val="21"/>
                      <w:highlight w:val="none"/>
                      <w:u w:val="single" w:color="auto"/>
                      <w:vertAlign w:val="baseline"/>
                      <w:lang w:val="en-US" w:eastAsia="zh-CN" w:bidi="ar-SA"/>
                    </w:rPr>
                    <w:t>化粪池</w:t>
                  </w:r>
                </w:p>
              </w:tc>
              <w:tc>
                <w:tcPr>
                  <w:tcW w:w="502" w:type="pct"/>
                  <w:tcBorders>
                    <w:tl2br w:val="nil"/>
                    <w:tr2bl w:val="nil"/>
                  </w:tcBorders>
                  <w:noWrap w:val="0"/>
                  <w:vAlign w:val="center"/>
                </w:tcPr>
                <w:p w14:paraId="46A1B641">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cs="Times New Roman"/>
                      <w:b w:val="0"/>
                      <w:bCs w:val="0"/>
                      <w:smallCaps w:val="0"/>
                      <w:color w:val="auto"/>
                      <w:spacing w:val="11"/>
                      <w:kern w:val="0"/>
                      <w:sz w:val="21"/>
                      <w:szCs w:val="21"/>
                      <w:highlight w:val="none"/>
                      <w:u w:val="single" w:color="auto"/>
                      <w:vertAlign w:val="baseline"/>
                      <w:lang w:val="en-US" w:eastAsia="zh-CN" w:bidi="ar-SA"/>
                    </w:rPr>
                    <w:t>厌氧</w:t>
                  </w:r>
                </w:p>
              </w:tc>
              <w:tc>
                <w:tcPr>
                  <w:tcW w:w="451" w:type="pct"/>
                  <w:tcBorders>
                    <w:tl2br w:val="nil"/>
                    <w:tr2bl w:val="nil"/>
                  </w:tcBorders>
                  <w:shd w:val="clear" w:color="auto" w:fill="auto"/>
                  <w:noWrap w:val="0"/>
                  <w:vAlign w:val="center"/>
                </w:tcPr>
                <w:p w14:paraId="67AA41B5">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rightChars="0" w:firstLine="0" w:firstLineChars="0"/>
                    <w:jc w:val="center"/>
                    <w:textAlignment w:val="auto"/>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cs="Times New Roman"/>
                      <w:b w:val="0"/>
                      <w:bCs w:val="0"/>
                      <w:smallCaps w:val="0"/>
                      <w:color w:val="auto"/>
                      <w:spacing w:val="11"/>
                      <w:kern w:val="0"/>
                      <w:sz w:val="21"/>
                      <w:szCs w:val="21"/>
                      <w:highlight w:val="none"/>
                      <w:u w:val="single" w:color="auto"/>
                      <w:vertAlign w:val="baseline"/>
                      <w:lang w:val="en-US" w:eastAsia="zh-CN" w:bidi="ar-SA"/>
                    </w:rPr>
                    <w:t>/</w:t>
                  </w:r>
                </w:p>
              </w:tc>
              <w:tc>
                <w:tcPr>
                  <w:tcW w:w="562" w:type="pct"/>
                  <w:tcBorders>
                    <w:tl2br w:val="nil"/>
                    <w:tr2bl w:val="nil"/>
                  </w:tcBorders>
                  <w:shd w:val="clear" w:color="auto" w:fill="auto"/>
                  <w:noWrap w:val="0"/>
                  <w:vAlign w:val="center"/>
                </w:tcPr>
                <w:p w14:paraId="336A2C66">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rightChars="0" w:firstLine="0" w:firstLineChars="0"/>
                    <w:jc w:val="center"/>
                    <w:textAlignment w:val="auto"/>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cs="Times New Roman"/>
                      <w:b w:val="0"/>
                      <w:bCs w:val="0"/>
                      <w:smallCaps w:val="0"/>
                      <w:color w:val="auto"/>
                      <w:spacing w:val="11"/>
                      <w:kern w:val="0"/>
                      <w:sz w:val="21"/>
                      <w:szCs w:val="21"/>
                      <w:highlight w:val="none"/>
                      <w:u w:val="single" w:color="auto"/>
                      <w:vertAlign w:val="baseline"/>
                      <w:lang w:val="en-US" w:eastAsia="zh-CN" w:bidi="ar-SA"/>
                    </w:rPr>
                    <w:t>/</w:t>
                  </w:r>
                </w:p>
              </w:tc>
              <w:tc>
                <w:tcPr>
                  <w:tcW w:w="486" w:type="pct"/>
                  <w:tcBorders>
                    <w:tl2br w:val="nil"/>
                    <w:tr2bl w:val="nil"/>
                  </w:tcBorders>
                  <w:shd w:val="clear" w:color="auto" w:fill="auto"/>
                  <w:noWrap w:val="0"/>
                  <w:vAlign w:val="center"/>
                </w:tcPr>
                <w:p w14:paraId="2B3D1248">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rightChars="0" w:firstLine="0" w:firstLineChars="0"/>
                    <w:jc w:val="center"/>
                    <w:textAlignment w:val="auto"/>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cs="Times New Roman"/>
                      <w:b w:val="0"/>
                      <w:bCs w:val="0"/>
                      <w:smallCaps w:val="0"/>
                      <w:color w:val="auto"/>
                      <w:spacing w:val="11"/>
                      <w:kern w:val="0"/>
                      <w:sz w:val="21"/>
                      <w:szCs w:val="21"/>
                      <w:highlight w:val="none"/>
                      <w:u w:val="single" w:color="auto"/>
                      <w:vertAlign w:val="baseline"/>
                      <w:lang w:val="en-US" w:eastAsia="zh-CN" w:bidi="ar-SA"/>
                    </w:rPr>
                    <w:t>/</w:t>
                  </w:r>
                </w:p>
              </w:tc>
            </w:tr>
          </w:tbl>
          <w:p w14:paraId="46D4AE03">
            <w:pPr>
              <w:keepNext w:val="0"/>
              <w:keepLines w:val="0"/>
              <w:pageBreakBefore w:val="0"/>
              <w:widowControl w:val="0"/>
              <w:kinsoku/>
              <w:wordWrap/>
              <w:overflowPunct/>
              <w:topLinePunct w:val="0"/>
              <w:autoSpaceDE/>
              <w:autoSpaceDN/>
              <w:bidi w:val="0"/>
              <w:adjustRightInd w:val="0"/>
              <w:snapToGrid w:val="0"/>
              <w:spacing w:before="167" w:beforeLines="50"/>
              <w:ind w:left="0" w:leftChars="0" w:firstLine="0" w:firstLineChars="0"/>
              <w:textAlignment w:val="auto"/>
              <w:rPr>
                <w:rFonts w:hint="default" w:ascii="Times New Roman" w:hAnsi="Times New Roman" w:eastAsia="宋体" w:cs="Times New Roman"/>
                <w:b/>
                <w:bCs/>
                <w:color w:val="auto"/>
                <w:spacing w:val="11"/>
                <w:position w:val="0"/>
                <w:szCs w:val="24"/>
                <w:highlight w:val="none"/>
                <w:u w:val="single" w:color="auto"/>
                <w:lang w:val="en-US" w:eastAsia="zh-CN"/>
              </w:rPr>
            </w:pPr>
            <w:r>
              <w:rPr>
                <w:rFonts w:hint="eastAsia" w:cs="Times New Roman"/>
                <w:b/>
                <w:bCs/>
                <w:color w:val="auto"/>
                <w:spacing w:val="11"/>
                <w:position w:val="0"/>
                <w:szCs w:val="24"/>
                <w:highlight w:val="none"/>
                <w:u w:val="single" w:color="auto"/>
                <w:lang w:val="en-US" w:eastAsia="zh-CN"/>
              </w:rPr>
              <w:t>2.2废水处理方式的可行性分析</w:t>
            </w:r>
          </w:p>
          <w:p w14:paraId="4EC38E2F">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524" w:firstLineChars="200"/>
              <w:jc w:val="both"/>
              <w:textAlignment w:val="auto"/>
              <w:rPr>
                <w:rFonts w:hint="default" w:ascii="Times New Roman" w:hAnsi="Times New Roman" w:eastAsia="宋体" w:cs="Times New Roman"/>
                <w:color w:val="auto"/>
                <w:spacing w:val="11"/>
                <w:kern w:val="2"/>
                <w:position w:val="0"/>
                <w:sz w:val="24"/>
                <w:szCs w:val="24"/>
                <w:highlight w:val="none"/>
                <w:u w:val="single" w:color="auto"/>
                <w:lang w:val="en-US" w:eastAsia="zh-CN" w:bidi="ar-SA"/>
              </w:rPr>
            </w:pPr>
            <w:r>
              <w:rPr>
                <w:rFonts w:hint="eastAsia" w:cs="Times New Roman"/>
                <w:color w:val="auto"/>
                <w:spacing w:val="11"/>
                <w:kern w:val="2"/>
                <w:position w:val="0"/>
                <w:sz w:val="24"/>
                <w:szCs w:val="24"/>
                <w:highlight w:val="none"/>
                <w:u w:val="single" w:color="auto"/>
                <w:lang w:val="en-US" w:eastAsia="zh-CN" w:bidi="ar-SA"/>
              </w:rPr>
              <w:t>本项目生活污水、医疗废水分别经化粪池、预处理池（活性氧消毒剂消毒）处理后，再汇入院内现有污水处理站，预处理池处理能力为301m</w:t>
            </w:r>
            <w:r>
              <w:rPr>
                <w:rFonts w:hint="eastAsia" w:cs="Times New Roman"/>
                <w:color w:val="auto"/>
                <w:spacing w:val="11"/>
                <w:kern w:val="2"/>
                <w:position w:val="0"/>
                <w:sz w:val="24"/>
                <w:szCs w:val="24"/>
                <w:highlight w:val="none"/>
                <w:u w:val="single" w:color="auto"/>
                <w:vertAlign w:val="superscript"/>
                <w:lang w:val="en-US" w:eastAsia="zh-CN" w:bidi="ar-SA"/>
              </w:rPr>
              <w:t>3</w:t>
            </w:r>
            <w:r>
              <w:rPr>
                <w:rFonts w:hint="eastAsia" w:cs="Times New Roman"/>
                <w:color w:val="auto"/>
                <w:spacing w:val="11"/>
                <w:kern w:val="2"/>
                <w:position w:val="0"/>
                <w:sz w:val="24"/>
                <w:szCs w:val="24"/>
                <w:highlight w:val="none"/>
                <w:u w:val="single" w:color="auto"/>
                <w:lang w:val="en-US" w:eastAsia="zh-CN" w:bidi="ar-SA"/>
              </w:rPr>
              <w:t>，院内现有污水处理站</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处理能力为</w:t>
            </w:r>
            <w:r>
              <w:rPr>
                <w:rFonts w:hint="eastAsia" w:cs="Times New Roman"/>
                <w:color w:val="auto"/>
                <w:spacing w:val="11"/>
                <w:kern w:val="2"/>
                <w:position w:val="0"/>
                <w:sz w:val="24"/>
                <w:szCs w:val="24"/>
                <w:highlight w:val="none"/>
                <w:u w:val="single" w:color="auto"/>
                <w:lang w:val="en-US" w:eastAsia="zh-CN" w:bidi="ar-SA"/>
              </w:rPr>
              <w:t>6</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00m</w:t>
            </w:r>
            <w:r>
              <w:rPr>
                <w:rFonts w:hint="eastAsia" w:ascii="Times New Roman" w:hAnsi="Times New Roman" w:eastAsia="宋体" w:cs="Times New Roman"/>
                <w:color w:val="auto"/>
                <w:spacing w:val="11"/>
                <w:kern w:val="2"/>
                <w:position w:val="0"/>
                <w:sz w:val="24"/>
                <w:szCs w:val="24"/>
                <w:highlight w:val="none"/>
                <w:u w:val="single" w:color="auto"/>
                <w:vertAlign w:val="superscript"/>
                <w:lang w:val="en-US" w:eastAsia="zh-CN" w:bidi="ar-SA"/>
              </w:rPr>
              <w:t>3</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/d，处理工艺为</w:t>
            </w:r>
            <w:r>
              <w:rPr>
                <w:rFonts w:hint="eastAsia" w:cs="Times New Roman"/>
                <w:color w:val="auto"/>
                <w:spacing w:val="11"/>
                <w:kern w:val="2"/>
                <w:position w:val="0"/>
                <w:sz w:val="24"/>
                <w:szCs w:val="24"/>
                <w:highlight w:val="none"/>
                <w:u w:val="single" w:color="auto"/>
                <w:lang w:val="en-US" w:eastAsia="zh-CN" w:bidi="ar-SA"/>
              </w:rPr>
              <w:t>A</w:t>
            </w:r>
            <w:r>
              <w:rPr>
                <w:rFonts w:hint="eastAsia" w:cs="Times New Roman"/>
                <w:color w:val="auto"/>
                <w:spacing w:val="11"/>
                <w:kern w:val="2"/>
                <w:position w:val="0"/>
                <w:sz w:val="24"/>
                <w:szCs w:val="24"/>
                <w:highlight w:val="none"/>
                <w:u w:val="single" w:color="auto"/>
                <w:vertAlign w:val="superscript"/>
                <w:lang w:val="en-US" w:eastAsia="zh-CN" w:bidi="ar-SA"/>
              </w:rPr>
              <w:t>2</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w:t>
            </w:r>
            <w:r>
              <w:rPr>
                <w:rFonts w:hint="eastAsia" w:cs="Times New Roman"/>
                <w:color w:val="auto"/>
                <w:spacing w:val="11"/>
                <w:kern w:val="2"/>
                <w:position w:val="0"/>
                <w:sz w:val="24"/>
                <w:szCs w:val="24"/>
                <w:highlight w:val="none"/>
                <w:u w:val="single" w:color="auto"/>
                <w:lang w:val="en-US" w:eastAsia="zh-CN" w:bidi="ar-SA"/>
              </w:rPr>
              <w:t>O</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+膜过滤处理一体化工艺+活性氧消毒</w:t>
            </w:r>
            <w:r>
              <w:rPr>
                <w:rFonts w:hint="eastAsia" w:cs="Times New Roman"/>
                <w:color w:val="auto"/>
                <w:spacing w:val="11"/>
                <w:kern w:val="2"/>
                <w:position w:val="0"/>
                <w:sz w:val="24"/>
                <w:szCs w:val="24"/>
                <w:highlight w:val="none"/>
                <w:u w:val="single" w:color="auto"/>
                <w:lang w:val="en-US" w:eastAsia="zh-CN" w:bidi="ar-SA"/>
              </w:rPr>
              <w:t>，本项目废水采取的工艺为《排污许可证申请与核发技术规范-医疗机构》（HJ1105-2020）表A.2中的可行技术</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。目前医院污水处理站实际处理量约为</w:t>
            </w:r>
            <w:r>
              <w:rPr>
                <w:rFonts w:hint="eastAsia" w:cs="Times New Roman"/>
                <w:color w:val="auto"/>
                <w:spacing w:val="11"/>
                <w:kern w:val="2"/>
                <w:position w:val="0"/>
                <w:sz w:val="24"/>
                <w:szCs w:val="24"/>
                <w:highlight w:val="none"/>
                <w:u w:val="single" w:color="auto"/>
                <w:lang w:val="en-US" w:eastAsia="zh-CN" w:bidi="ar-SA"/>
              </w:rPr>
              <w:t>120</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m</w:t>
            </w:r>
            <w:r>
              <w:rPr>
                <w:rFonts w:hint="eastAsia" w:ascii="Times New Roman" w:hAnsi="Times New Roman" w:eastAsia="宋体" w:cs="Times New Roman"/>
                <w:color w:val="auto"/>
                <w:spacing w:val="11"/>
                <w:kern w:val="2"/>
                <w:position w:val="0"/>
                <w:sz w:val="24"/>
                <w:szCs w:val="24"/>
                <w:highlight w:val="none"/>
                <w:u w:val="single" w:color="auto"/>
                <w:vertAlign w:val="superscript"/>
                <w:lang w:val="en-US" w:eastAsia="zh-CN" w:bidi="ar-SA"/>
              </w:rPr>
              <w:t>3</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/d，</w:t>
            </w:r>
            <w:r>
              <w:rPr>
                <w:rFonts w:hint="eastAsia" w:cs="Times New Roman"/>
                <w:color w:val="auto"/>
                <w:spacing w:val="11"/>
                <w:kern w:val="2"/>
                <w:position w:val="0"/>
                <w:sz w:val="24"/>
                <w:szCs w:val="24"/>
                <w:highlight w:val="none"/>
                <w:u w:val="single" w:color="auto"/>
                <w:lang w:val="en-US" w:eastAsia="zh-CN" w:bidi="ar-SA"/>
              </w:rPr>
              <w:t>本项目新增废水量320.185</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m</w:t>
            </w:r>
            <w:r>
              <w:rPr>
                <w:rFonts w:hint="eastAsia" w:ascii="Times New Roman" w:hAnsi="Times New Roman" w:eastAsia="宋体" w:cs="Times New Roman"/>
                <w:color w:val="auto"/>
                <w:spacing w:val="11"/>
                <w:kern w:val="2"/>
                <w:position w:val="0"/>
                <w:sz w:val="24"/>
                <w:szCs w:val="24"/>
                <w:highlight w:val="none"/>
                <w:u w:val="single" w:color="auto"/>
                <w:vertAlign w:val="superscript"/>
                <w:lang w:val="en-US" w:eastAsia="zh-CN" w:bidi="ar-SA"/>
              </w:rPr>
              <w:t>3</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 xml:space="preserve">/d，完全有余量可接受本项目新增废水量，且根据建设方提供的污水处理站监测数据可知，出水水质可满足《医疗机构水污染物排放标准》（GB18466-2005）表2中的预处理标准。 </w:t>
            </w:r>
          </w:p>
          <w:p w14:paraId="6B37B174">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524" w:firstLineChars="200"/>
              <w:jc w:val="both"/>
              <w:textAlignment w:val="auto"/>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综上所述，项目新增污水设施及依托院区污水处理站在技术上可行、可靠，能够保证本项目产生的废水经处理后达标排放，本项目废水经化粪</w:t>
            </w:r>
            <w:r>
              <w:rPr>
                <w:rFonts w:hint="eastAsia" w:cs="Times New Roman"/>
                <w:color w:val="auto"/>
                <w:spacing w:val="11"/>
                <w:kern w:val="2"/>
                <w:position w:val="0"/>
                <w:sz w:val="24"/>
                <w:szCs w:val="24"/>
                <w:highlight w:val="none"/>
                <w:u w:val="single" w:color="auto"/>
                <w:lang w:val="en-US" w:eastAsia="zh-CN" w:bidi="ar-SA"/>
              </w:rPr>
              <w:t>、预处理池</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（活性氧消毒剂消毒）+院内污水处理站处理是可行的。</w:t>
            </w:r>
          </w:p>
          <w:p w14:paraId="61B22E61">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both"/>
              <w:textAlignment w:val="auto"/>
              <w:rPr>
                <w:rFonts w:hint="default" w:ascii="Times New Roman" w:hAnsi="Times New Roman" w:eastAsia="宋体" w:cs="Times New Roman"/>
                <w:b/>
                <w:bCs/>
                <w:color w:val="auto"/>
                <w:spacing w:val="11"/>
                <w:kern w:val="2"/>
                <w:position w:val="0"/>
                <w:sz w:val="24"/>
                <w:szCs w:val="24"/>
                <w:highlight w:val="none"/>
                <w:u w:val="single" w:color="auto"/>
                <w:lang w:val="en-US" w:eastAsia="zh-CN" w:bidi="ar-SA"/>
              </w:rPr>
            </w:pPr>
            <w:r>
              <w:rPr>
                <w:rFonts w:hint="eastAsia" w:ascii="Times New Roman" w:hAnsi="Times New Roman" w:eastAsia="宋体" w:cs="Times New Roman"/>
                <w:b/>
                <w:bCs/>
                <w:color w:val="auto"/>
                <w:spacing w:val="11"/>
                <w:kern w:val="2"/>
                <w:position w:val="0"/>
                <w:sz w:val="24"/>
                <w:szCs w:val="24"/>
                <w:highlight w:val="none"/>
                <w:u w:val="single" w:color="auto"/>
                <w:lang w:val="en-US" w:eastAsia="zh-CN" w:bidi="ar-SA"/>
              </w:rPr>
              <w:t>2.3废水进入新田县污水处理厂的可行性分析</w:t>
            </w:r>
          </w:p>
          <w:p w14:paraId="76176D07">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524" w:firstLineChars="200"/>
              <w:jc w:val="both"/>
              <w:textAlignment w:val="auto"/>
              <w:rPr>
                <w:rFonts w:ascii="Times New Roman" w:hAnsi="Times New Roman" w:eastAsia="宋体" w:cs="Times New Roman"/>
                <w:color w:val="auto"/>
                <w:spacing w:val="11"/>
                <w:kern w:val="0"/>
                <w:sz w:val="24"/>
                <w:szCs w:val="24"/>
                <w:highlight w:val="none"/>
                <w:u w:val="single" w:color="auto"/>
                <w:lang w:val="en-US" w:eastAsia="zh-CN" w:bidi="ar-SA"/>
              </w:rPr>
            </w:pPr>
            <w:r>
              <w:rPr>
                <w:rFonts w:hint="default" w:ascii="Times New Roman" w:hAnsi="Times New Roman" w:eastAsia="宋体" w:cs="Times New Roman"/>
                <w:color w:val="auto"/>
                <w:spacing w:val="11"/>
                <w:kern w:val="2"/>
                <w:sz w:val="24"/>
                <w:szCs w:val="24"/>
                <w:highlight w:val="none"/>
                <w:u w:val="single" w:color="auto"/>
                <w:lang w:val="en-US" w:eastAsia="zh-CN" w:bidi="ar-SA"/>
              </w:rPr>
              <w:t>新田县污水处理厂中心位于新田县龙泉镇木山塘村，厂址总占</w:t>
            </w:r>
            <w:r>
              <w:rPr>
                <w:rFonts w:hint="eastAsia" w:ascii="Times New Roman" w:hAnsi="Times New Roman" w:eastAsia="宋体" w:cs="Times New Roman"/>
                <w:color w:val="auto"/>
                <w:spacing w:val="11"/>
                <w:kern w:val="2"/>
                <w:sz w:val="24"/>
                <w:szCs w:val="24"/>
                <w:highlight w:val="none"/>
                <w:u w:val="single" w:color="auto"/>
                <w:lang w:val="en-US" w:eastAsia="zh-CN" w:bidi="ar-SA"/>
              </w:rPr>
              <w:t>23400m</w:t>
            </w:r>
            <w:r>
              <w:rPr>
                <w:rFonts w:hint="eastAsia" w:ascii="Times New Roman" w:hAnsi="Times New Roman" w:eastAsia="宋体" w:cs="Times New Roman"/>
                <w:color w:val="auto"/>
                <w:spacing w:val="11"/>
                <w:kern w:val="2"/>
                <w:sz w:val="24"/>
                <w:szCs w:val="24"/>
                <w:highlight w:val="none"/>
                <w:u w:val="single" w:color="auto"/>
                <w:vertAlign w:val="superscript"/>
                <w:lang w:val="en-US" w:eastAsia="zh-CN" w:bidi="ar-SA"/>
              </w:rPr>
              <w:t>2</w:t>
            </w:r>
            <w:r>
              <w:rPr>
                <w:rFonts w:hint="default" w:ascii="Times New Roman" w:hAnsi="Times New Roman" w:eastAsia="宋体" w:cs="Times New Roman"/>
                <w:color w:val="auto"/>
                <w:spacing w:val="11"/>
                <w:kern w:val="2"/>
                <w:sz w:val="24"/>
                <w:szCs w:val="24"/>
                <w:highlight w:val="none"/>
                <w:u w:val="single" w:color="auto"/>
                <w:lang w:val="en-US" w:eastAsia="zh-CN" w:bidi="ar-SA"/>
              </w:rPr>
              <w:t>，新田县污水处理厂提标改造</w:t>
            </w:r>
            <w:r>
              <w:rPr>
                <w:rFonts w:hint="eastAsia" w:ascii="Times New Roman" w:hAnsi="Times New Roman" w:eastAsia="宋体" w:cs="Times New Roman"/>
                <w:color w:val="auto"/>
                <w:spacing w:val="11"/>
                <w:kern w:val="2"/>
                <w:sz w:val="24"/>
                <w:szCs w:val="24"/>
                <w:highlight w:val="none"/>
                <w:u w:val="single" w:color="auto"/>
                <w:lang w:val="en-US" w:eastAsia="zh-CN" w:bidi="ar-SA"/>
              </w:rPr>
              <w:t>后</w:t>
            </w:r>
            <w:r>
              <w:rPr>
                <w:rFonts w:hint="default" w:ascii="Times New Roman" w:hAnsi="Times New Roman" w:eastAsia="宋体" w:cs="Times New Roman"/>
                <w:color w:val="auto"/>
                <w:spacing w:val="11"/>
                <w:kern w:val="2"/>
                <w:sz w:val="24"/>
                <w:szCs w:val="24"/>
                <w:highlight w:val="none"/>
                <w:u w:val="single" w:color="auto"/>
                <w:lang w:val="en-US" w:eastAsia="zh-CN" w:bidi="ar-SA"/>
              </w:rPr>
              <w:t>设计污水处理规模为2万t/d，实际污水处理规模为</w:t>
            </w:r>
            <w:r>
              <w:rPr>
                <w:rFonts w:hint="eastAsia" w:ascii="Times New Roman" w:hAnsi="Times New Roman" w:eastAsia="宋体" w:cs="Times New Roman"/>
                <w:color w:val="auto"/>
                <w:spacing w:val="11"/>
                <w:kern w:val="2"/>
                <w:sz w:val="24"/>
                <w:szCs w:val="24"/>
                <w:highlight w:val="none"/>
                <w:u w:val="single" w:color="auto"/>
                <w:lang w:val="en-US" w:eastAsia="zh-CN" w:bidi="ar-SA"/>
              </w:rPr>
              <w:t>2</w:t>
            </w:r>
            <w:r>
              <w:rPr>
                <w:rFonts w:hint="default" w:ascii="Times New Roman" w:hAnsi="Times New Roman" w:eastAsia="宋体" w:cs="Times New Roman"/>
                <w:color w:val="auto"/>
                <w:spacing w:val="11"/>
                <w:kern w:val="2"/>
                <w:sz w:val="24"/>
                <w:szCs w:val="24"/>
                <w:highlight w:val="none"/>
                <w:u w:val="single" w:color="auto"/>
                <w:lang w:val="en-US" w:eastAsia="zh-CN" w:bidi="ar-SA"/>
              </w:rPr>
              <w:t>万t/d，污水处理工艺为：粗格栅及提升泵站+细格栅及旋流沉砂池+CASS池+高效沉淀池+紫外光消毒池</w:t>
            </w:r>
            <w:r>
              <w:rPr>
                <w:rFonts w:hint="eastAsia" w:ascii="Times New Roman" w:hAnsi="Times New Roman" w:eastAsia="宋体" w:cs="Times New Roman"/>
                <w:color w:val="auto"/>
                <w:spacing w:val="11"/>
                <w:kern w:val="2"/>
                <w:sz w:val="24"/>
                <w:szCs w:val="24"/>
                <w:highlight w:val="none"/>
                <w:u w:val="single" w:color="auto"/>
                <w:lang w:val="en-US" w:eastAsia="zh-CN" w:bidi="ar-SA"/>
              </w:rPr>
              <w:t>，</w:t>
            </w:r>
            <w:r>
              <w:rPr>
                <w:rFonts w:ascii="Times New Roman" w:hAnsi="Times New Roman" w:eastAsia="宋体" w:cs="Times New Roman"/>
                <w:color w:val="auto"/>
                <w:spacing w:val="11"/>
                <w:sz w:val="24"/>
                <w:szCs w:val="24"/>
                <w:highlight w:val="none"/>
                <w:u w:val="single" w:color="auto"/>
              </w:rPr>
              <w:t>污水处理达到《城镇污水处理厂污染物排放标准》(GB18918-2002)一级A标准后排入新田河。</w:t>
            </w:r>
          </w:p>
          <w:p w14:paraId="1A28B845">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524" w:firstLineChars="200"/>
              <w:jc w:val="both"/>
              <w:textAlignment w:val="auto"/>
              <w:rPr>
                <w:rFonts w:hint="eastAsia" w:ascii="Times New Roman" w:hAnsi="Times New Roman" w:eastAsia="宋体" w:cs="Times New Roman"/>
                <w:bCs/>
                <w:color w:val="auto"/>
                <w:spacing w:val="11"/>
                <w:szCs w:val="24"/>
                <w:highlight w:val="none"/>
                <w:u w:val="single" w:color="auto"/>
                <w:lang w:val="en-US" w:eastAsia="zh-CN"/>
              </w:rPr>
            </w:pPr>
            <w:r>
              <w:rPr>
                <w:rFonts w:hint="default" w:ascii="Times New Roman" w:hAnsi="Times New Roman" w:eastAsia="宋体" w:cs="Times New Roman"/>
                <w:color w:val="auto"/>
                <w:spacing w:val="11"/>
                <w:sz w:val="24"/>
                <w:szCs w:val="24"/>
                <w:highlight w:val="none"/>
                <w:u w:val="single" w:color="auto"/>
              </w:rPr>
              <w:t>本项目属于</w:t>
            </w:r>
            <w:r>
              <w:rPr>
                <w:rFonts w:hint="eastAsia" w:ascii="Times New Roman" w:hAnsi="Times New Roman" w:eastAsia="宋体" w:cs="Times New Roman"/>
                <w:color w:val="auto"/>
                <w:spacing w:val="11"/>
                <w:sz w:val="24"/>
                <w:szCs w:val="24"/>
                <w:highlight w:val="none"/>
                <w:u w:val="single" w:color="auto"/>
                <w:lang w:val="en-US" w:eastAsia="zh-CN"/>
              </w:rPr>
              <w:t>新田县</w:t>
            </w:r>
            <w:r>
              <w:rPr>
                <w:rFonts w:hint="default" w:ascii="Times New Roman" w:hAnsi="Times New Roman" w:eastAsia="宋体" w:cs="Times New Roman"/>
                <w:color w:val="auto"/>
                <w:spacing w:val="11"/>
                <w:sz w:val="24"/>
                <w:szCs w:val="24"/>
                <w:highlight w:val="none"/>
                <w:u w:val="single" w:color="auto"/>
              </w:rPr>
              <w:t>污水处理厂纳污范围。项目营运期外排废水经预处理后污染物浓度能达到该污水处理厂的进水水质要求。因此，</w:t>
            </w:r>
            <w:r>
              <w:rPr>
                <w:rFonts w:hint="eastAsia" w:ascii="Times New Roman" w:hAnsi="Times New Roman" w:eastAsia="宋体" w:cs="Times New Roman"/>
                <w:color w:val="auto"/>
                <w:spacing w:val="11"/>
                <w:sz w:val="24"/>
                <w:szCs w:val="24"/>
                <w:highlight w:val="none"/>
                <w:u w:val="single" w:color="auto"/>
                <w:lang w:val="en-US" w:eastAsia="zh-CN"/>
              </w:rPr>
              <w:t>新田县</w:t>
            </w:r>
            <w:r>
              <w:rPr>
                <w:rFonts w:hint="default" w:ascii="Times New Roman" w:hAnsi="Times New Roman" w:eastAsia="宋体" w:cs="Times New Roman"/>
                <w:color w:val="auto"/>
                <w:spacing w:val="11"/>
                <w:sz w:val="24"/>
                <w:szCs w:val="24"/>
                <w:highlight w:val="none"/>
                <w:u w:val="single" w:color="auto"/>
              </w:rPr>
              <w:t>污水处理厂有能力接纳本项目污水，本项目废水不会对</w:t>
            </w:r>
            <w:r>
              <w:rPr>
                <w:rFonts w:hint="default" w:ascii="Times New Roman" w:hAnsi="Times New Roman" w:eastAsia="宋体" w:cs="Times New Roman"/>
                <w:color w:val="auto"/>
                <w:spacing w:val="11"/>
                <w:sz w:val="24"/>
                <w:szCs w:val="24"/>
                <w:highlight w:val="none"/>
                <w:u w:val="single" w:color="auto"/>
                <w:lang w:val="en-US" w:eastAsia="zh-CN"/>
              </w:rPr>
              <w:t>新田县</w:t>
            </w:r>
            <w:r>
              <w:rPr>
                <w:rFonts w:hint="default" w:ascii="Times New Roman" w:hAnsi="Times New Roman" w:eastAsia="宋体" w:cs="Times New Roman"/>
                <w:color w:val="auto"/>
                <w:spacing w:val="11"/>
                <w:sz w:val="24"/>
                <w:szCs w:val="24"/>
                <w:highlight w:val="none"/>
                <w:u w:val="single" w:color="auto"/>
              </w:rPr>
              <w:t>污水处理厂造成冲击</w:t>
            </w:r>
            <w:r>
              <w:rPr>
                <w:rFonts w:hint="eastAsia" w:ascii="Times New Roman" w:hAnsi="Times New Roman" w:eastAsia="宋体" w:cs="Times New Roman"/>
                <w:color w:val="auto"/>
                <w:spacing w:val="11"/>
                <w:sz w:val="24"/>
                <w:szCs w:val="24"/>
                <w:highlight w:val="none"/>
                <w:u w:val="single" w:color="auto"/>
                <w:lang w:eastAsia="zh-CN"/>
              </w:rPr>
              <w:t>，</w:t>
            </w:r>
            <w:r>
              <w:rPr>
                <w:rFonts w:ascii="Times New Roman" w:hAnsi="Times New Roman" w:eastAsia="宋体" w:cs="Times New Roman"/>
                <w:color w:val="auto"/>
                <w:spacing w:val="11"/>
                <w:sz w:val="24"/>
                <w:szCs w:val="24"/>
                <w:highlight w:val="none"/>
                <w:u w:val="single" w:color="auto"/>
              </w:rPr>
              <w:t>不会产生较大的处理负荷。</w:t>
            </w:r>
          </w:p>
          <w:p w14:paraId="5D77FD91">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524" w:firstLineChars="200"/>
              <w:jc w:val="both"/>
              <w:textAlignment w:val="auto"/>
              <w:rPr>
                <w:rFonts w:hint="eastAsia" w:ascii="Times New Roman" w:hAnsi="Times New Roman" w:eastAsia="宋体" w:cs="Times New Roman"/>
                <w:bCs/>
                <w:color w:val="auto"/>
                <w:spacing w:val="11"/>
                <w:szCs w:val="24"/>
                <w:highlight w:val="none"/>
                <w:u w:val="single" w:color="auto"/>
                <w:lang w:val="en-US" w:eastAsia="zh-CN"/>
              </w:rPr>
            </w:pPr>
            <w:r>
              <w:rPr>
                <w:rFonts w:hint="eastAsia" w:ascii="Times New Roman" w:hAnsi="Times New Roman" w:eastAsia="宋体" w:cs="Times New Roman"/>
                <w:bCs/>
                <w:color w:val="auto"/>
                <w:spacing w:val="11"/>
                <w:szCs w:val="24"/>
                <w:highlight w:val="none"/>
                <w:u w:val="single" w:color="auto"/>
                <w:lang w:val="en-US" w:eastAsia="zh-CN"/>
              </w:rPr>
              <w:t>污水处理厂工艺流程图如下：</w:t>
            </w:r>
          </w:p>
          <w:p w14:paraId="094C5E8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524" w:firstLineChars="200"/>
              <w:jc w:val="both"/>
              <w:textAlignment w:val="auto"/>
              <w:rPr>
                <w:rFonts w:hint="eastAsia" w:ascii="Times New Roman" w:hAnsi="Times New Roman" w:eastAsia="宋体" w:cs="Times New Roman"/>
                <w:bCs/>
                <w:color w:val="auto"/>
                <w:spacing w:val="11"/>
                <w:szCs w:val="24"/>
                <w:highlight w:val="none"/>
                <w:u w:val="single" w:color="auto"/>
                <w:lang w:val="en-US" w:eastAsia="zh-CN"/>
              </w:rPr>
            </w:pPr>
          </w:p>
          <w:p w14:paraId="5CB8B95E">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524" w:firstLineChars="200"/>
              <w:jc w:val="both"/>
              <w:textAlignment w:val="auto"/>
              <w:rPr>
                <w:rFonts w:hint="eastAsia" w:ascii="Times New Roman" w:hAnsi="Times New Roman" w:eastAsia="宋体" w:cs="Times New Roman"/>
                <w:bCs/>
                <w:color w:val="auto"/>
                <w:spacing w:val="11"/>
                <w:szCs w:val="24"/>
                <w:highlight w:val="none"/>
                <w:u w:val="single" w:color="auto"/>
                <w:lang w:val="en-US" w:eastAsia="zh-CN"/>
              </w:rPr>
            </w:pPr>
          </w:p>
          <w:p w14:paraId="1876B505">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both"/>
              <w:textAlignment w:val="auto"/>
              <w:rPr>
                <w:rFonts w:hint="eastAsia" w:cs="Times New Roman"/>
                <w:bCs/>
                <w:color w:val="auto"/>
                <w:spacing w:val="11"/>
                <w:szCs w:val="24"/>
                <w:highlight w:val="none"/>
                <w:u w:val="none" w:color="auto"/>
                <w:lang w:val="en-US" w:eastAsia="zh-CN"/>
              </w:rPr>
            </w:pPr>
          </w:p>
          <w:p w14:paraId="6CFD78CF">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both"/>
              <w:textAlignment w:val="auto"/>
              <w:rPr>
                <w:rFonts w:hint="default" w:ascii="Times New Roman" w:hAnsi="Times New Roman" w:eastAsia="宋体" w:cs="Times New Roman"/>
                <w:bCs/>
                <w:color w:val="auto"/>
                <w:spacing w:val="11"/>
                <w:szCs w:val="24"/>
                <w:highlight w:val="none"/>
                <w:u w:val="none" w:color="auto"/>
                <w:lang w:val="en-US" w:eastAsia="zh-CN"/>
              </w:rPr>
            </w:pPr>
            <w:r>
              <w:rPr>
                <w:rFonts w:hint="eastAsia" w:cs="Times New Roman"/>
                <w:bCs/>
                <w:color w:val="auto"/>
                <w:spacing w:val="11"/>
                <w:szCs w:val="24"/>
                <w:highlight w:val="none"/>
                <w:u w:val="none" w:color="auto"/>
                <w:lang w:val="en-US" w:eastAsia="zh-CN"/>
              </w:rPr>
              <w:t xml:space="preserve"> </w:t>
            </w:r>
          </w:p>
          <w:p w14:paraId="595EA9F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0" w:firstLineChars="0"/>
              <w:textAlignment w:val="auto"/>
              <w:rPr>
                <w:rFonts w:hint="default" w:ascii="Times New Roman" w:hAnsi="Times New Roman" w:cs="Times New Roman" w:eastAsiaTheme="minorEastAsia"/>
                <w:color w:val="auto"/>
                <w:spacing w:val="11"/>
                <w:sz w:val="24"/>
                <w:highlight w:val="none"/>
                <w:u w:val="single" w:color="auto"/>
                <w:lang w:val="en-US" w:eastAsia="zh-CN"/>
              </w:rPr>
            </w:pPr>
            <w:r>
              <w:rPr>
                <w:rFonts w:hint="default" w:ascii="Times New Roman" w:hAnsi="Times New Roman" w:cs="Times New Roman" w:eastAsiaTheme="minorEastAsia"/>
                <w:color w:val="auto"/>
                <w:spacing w:val="11"/>
                <w:sz w:val="24"/>
                <w:highlight w:val="none"/>
                <w:u w:val="single" w:color="auto"/>
                <w:lang w:val="en-US" w:eastAsia="zh-CN"/>
              </w:rPr>
              <w:object>
                <v:shape id="_x0000_i1025" o:spt="75" type="#_x0000_t75" style="height:139.15pt;width:436.85pt;" o:ole="t" filled="f" o:preferrelative="t" stroked="f" coordsize="21600,21600">
                  <v:path/>
                  <v:fill on="f" focussize="0,0"/>
                  <v:stroke on="f"/>
                  <v:imagedata r:id="rId14" o:title=""/>
                  <o:lock v:ext="edit" aspectratio="t"/>
                  <w10:wrap type="none"/>
                  <w10:anchorlock/>
                </v:shape>
                <o:OLEObject Type="Embed" ProgID="Visio.Drawing.11" ShapeID="_x0000_i1025" DrawAspect="Content" ObjectID="_1468075725" r:id="rId13">
                  <o:LockedField>false</o:LockedField>
                </o:OLEObject>
              </w:object>
            </w:r>
          </w:p>
          <w:p w14:paraId="02FD06F1">
            <w:pPr>
              <w:ind w:left="0" w:leftChars="0" w:firstLine="0" w:firstLineChars="0"/>
              <w:jc w:val="center"/>
              <w:rPr>
                <w:rFonts w:hint="default" w:ascii="Times New Roman" w:hAnsi="Times New Roman" w:eastAsia="宋体" w:cs="Times New Roman"/>
                <w:color w:val="auto"/>
                <w:spacing w:val="11"/>
                <w:highlight w:val="none"/>
                <w:u w:val="single" w:color="auto"/>
                <w:lang w:val="en-US" w:eastAsia="zh-CN"/>
              </w:rPr>
            </w:pPr>
            <w:r>
              <w:rPr>
                <w:rFonts w:hint="eastAsia" w:ascii="Times New Roman" w:hAnsi="Times New Roman" w:eastAsia="宋体" w:cs="Times New Roman"/>
                <w:b/>
                <w:bCs/>
                <w:snapToGrid w:val="0"/>
                <w:color w:val="auto"/>
                <w:spacing w:val="11"/>
                <w:kern w:val="2"/>
                <w:sz w:val="21"/>
                <w:szCs w:val="21"/>
                <w:highlight w:val="none"/>
                <w:u w:val="single" w:color="auto"/>
                <w:lang w:val="en-US" w:eastAsia="zh-CN" w:bidi="ar-SA"/>
              </w:rPr>
              <w:t>图4-2  新田县污水处理厂工艺流程图</w:t>
            </w:r>
          </w:p>
          <w:p w14:paraId="794DDC6B">
            <w:pPr>
              <w:tabs>
                <w:tab w:val="left" w:pos="0"/>
                <w:tab w:val="left" w:pos="870"/>
                <w:tab w:val="left" w:pos="3150"/>
              </w:tabs>
              <w:autoSpaceDE w:val="0"/>
              <w:autoSpaceDN w:val="0"/>
              <w:ind w:left="0" w:leftChars="0" w:firstLine="0" w:firstLineChars="0"/>
              <w:rPr>
                <w:rFonts w:ascii="Times New Roman" w:hAnsi="Times New Roman" w:cs="Times New Roman" w:eastAsiaTheme="minorEastAsia"/>
                <w:b/>
                <w:bCs/>
                <w:color w:val="auto"/>
                <w:spacing w:val="11"/>
                <w:position w:val="0"/>
                <w:szCs w:val="24"/>
                <w:highlight w:val="none"/>
                <w:u w:val="none" w:color="auto"/>
              </w:rPr>
            </w:pPr>
            <w:r>
              <w:rPr>
                <w:rFonts w:hint="eastAsia" w:ascii="Times New Roman" w:hAnsi="Times New Roman" w:cs="Times New Roman" w:eastAsiaTheme="minorEastAsia"/>
                <w:b/>
                <w:bCs/>
                <w:color w:val="auto"/>
                <w:spacing w:val="11"/>
                <w:position w:val="0"/>
                <w:szCs w:val="22"/>
                <w:highlight w:val="none"/>
                <w:u w:val="none" w:color="auto"/>
                <w:lang w:val="en-US" w:eastAsia="zh-CN"/>
              </w:rPr>
              <w:t>2.</w:t>
            </w:r>
            <w:r>
              <w:rPr>
                <w:rFonts w:hint="eastAsia" w:cs="Times New Roman" w:eastAsiaTheme="minorEastAsia"/>
                <w:b/>
                <w:bCs/>
                <w:color w:val="auto"/>
                <w:spacing w:val="11"/>
                <w:position w:val="0"/>
                <w:szCs w:val="22"/>
                <w:highlight w:val="none"/>
                <w:u w:val="none" w:color="auto"/>
                <w:lang w:val="en-US" w:eastAsia="zh-CN"/>
              </w:rPr>
              <w:t>4</w:t>
            </w:r>
            <w:r>
              <w:rPr>
                <w:rFonts w:hint="eastAsia" w:ascii="Times New Roman" w:hAnsi="Times New Roman" w:cs="Times New Roman" w:eastAsiaTheme="minorEastAsia"/>
                <w:b/>
                <w:bCs/>
                <w:color w:val="auto"/>
                <w:spacing w:val="11"/>
                <w:position w:val="0"/>
                <w:szCs w:val="24"/>
                <w:highlight w:val="none"/>
                <w:u w:val="none" w:color="auto"/>
              </w:rPr>
              <w:t>环境监测计划</w:t>
            </w:r>
          </w:p>
          <w:p w14:paraId="301CF658">
            <w:pPr>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ascii="Times New Roman" w:hAnsi="Times New Roman" w:cs="Times New Roman" w:eastAsiaTheme="minorEastAsia"/>
                <w:b/>
                <w:color w:val="auto"/>
                <w:spacing w:val="11"/>
                <w:position w:val="0"/>
                <w:sz w:val="21"/>
                <w:szCs w:val="21"/>
                <w:highlight w:val="none"/>
                <w:u w:val="none" w:color="auto"/>
                <w:lang w:val="en-US" w:eastAsia="zh-CN"/>
              </w:rPr>
            </w:pPr>
            <w:r>
              <w:rPr>
                <w:rFonts w:hint="default" w:ascii="Times New Roman" w:hAnsi="Times New Roman" w:cs="Times New Roman" w:eastAsiaTheme="minorEastAsia"/>
                <w:color w:val="auto"/>
                <w:spacing w:val="11"/>
                <w:position w:val="0"/>
                <w:sz w:val="24"/>
                <w:szCs w:val="22"/>
                <w:highlight w:val="none"/>
                <w:u w:val="none" w:color="auto"/>
              </w:rPr>
              <w:t>为及时了解污染源情况，项目要经常开展污染源和环境质量的监测工作，及时发现环境污染问题，并加以控制和解决。</w:t>
            </w:r>
            <w:r>
              <w:rPr>
                <w:rFonts w:hint="default" w:ascii="Times New Roman" w:hAnsi="Times New Roman" w:cs="Times New Roman" w:eastAsiaTheme="minorEastAsia"/>
                <w:color w:val="auto"/>
                <w:spacing w:val="11"/>
                <w:position w:val="0"/>
                <w:sz w:val="24"/>
                <w:szCs w:val="22"/>
                <w:highlight w:val="none"/>
                <w:u w:val="none" w:color="auto"/>
                <w:lang w:val="en-US" w:eastAsia="zh-CN"/>
              </w:rPr>
              <w:t>建设单位应委托有相应监检测资质的第三方检测机构定期对项目的污染源进行采样检测，并形成管理台账</w:t>
            </w:r>
            <w:r>
              <w:rPr>
                <w:rFonts w:hint="eastAsia" w:ascii="Times New Roman" w:hAnsi="Times New Roman" w:cs="Times New Roman" w:eastAsiaTheme="minorEastAsia"/>
                <w:color w:val="auto"/>
                <w:spacing w:val="11"/>
                <w:position w:val="0"/>
                <w:sz w:val="24"/>
                <w:szCs w:val="22"/>
                <w:highlight w:val="none"/>
                <w:u w:val="none" w:color="auto"/>
                <w:lang w:eastAsia="zh-CN"/>
              </w:rPr>
              <w:t>。</w:t>
            </w:r>
            <w:r>
              <w:rPr>
                <w:rFonts w:hint="eastAsia" w:ascii="Times New Roman" w:hAnsi="Times New Roman" w:eastAsia="宋体" w:cs="Times New Roman"/>
                <w:color w:val="auto"/>
                <w:spacing w:val="11"/>
                <w:position w:val="0"/>
                <w:sz w:val="24"/>
                <w:szCs w:val="24"/>
                <w:highlight w:val="none"/>
                <w:u w:val="none" w:color="auto"/>
                <w:lang w:val="en-US" w:eastAsia="zh-CN"/>
              </w:rPr>
              <w:t>参照《排污许可证申请与核发技术规范</w:t>
            </w:r>
            <w:r>
              <w:rPr>
                <w:rFonts w:hint="eastAsia" w:cs="Times New Roman"/>
                <w:color w:val="auto"/>
                <w:spacing w:val="11"/>
                <w:position w:val="0"/>
                <w:sz w:val="24"/>
                <w:szCs w:val="24"/>
                <w:highlight w:val="none"/>
                <w:u w:val="none" w:color="auto"/>
                <w:lang w:val="en-US" w:eastAsia="zh-CN"/>
              </w:rPr>
              <w:t xml:space="preserve"> </w:t>
            </w:r>
            <w:r>
              <w:rPr>
                <w:rFonts w:hint="eastAsia" w:ascii="Times New Roman" w:hAnsi="Times New Roman" w:eastAsia="宋体" w:cs="Times New Roman"/>
                <w:color w:val="auto"/>
                <w:spacing w:val="11"/>
                <w:position w:val="0"/>
                <w:sz w:val="24"/>
                <w:szCs w:val="24"/>
                <w:highlight w:val="none"/>
                <w:u w:val="none" w:color="auto"/>
                <w:lang w:val="en-US" w:eastAsia="zh-CN"/>
              </w:rPr>
              <w:t>医疗机构》（HJ1105-2020），</w:t>
            </w:r>
            <w:r>
              <w:rPr>
                <w:rFonts w:hint="default" w:ascii="Times New Roman" w:hAnsi="Times New Roman" w:cs="Times New Roman" w:eastAsiaTheme="minorEastAsia"/>
                <w:color w:val="auto"/>
                <w:spacing w:val="11"/>
                <w:position w:val="0"/>
                <w:sz w:val="24"/>
                <w:szCs w:val="22"/>
                <w:highlight w:val="none"/>
                <w:u w:val="none" w:color="auto"/>
              </w:rPr>
              <w:t>根据本项目污染物排放实际情况，项目常规监测工作计划见表</w:t>
            </w:r>
            <w:r>
              <w:rPr>
                <w:rFonts w:hint="default" w:ascii="Times New Roman" w:hAnsi="Times New Roman" w:cs="Times New Roman" w:eastAsiaTheme="minorEastAsia"/>
                <w:color w:val="auto"/>
                <w:spacing w:val="11"/>
                <w:position w:val="0"/>
                <w:sz w:val="24"/>
                <w:szCs w:val="22"/>
                <w:highlight w:val="none"/>
                <w:u w:val="none" w:color="auto"/>
                <w:lang w:val="en-US" w:eastAsia="zh-CN"/>
              </w:rPr>
              <w:t>4-</w:t>
            </w:r>
            <w:r>
              <w:rPr>
                <w:rFonts w:hint="eastAsia" w:cs="Times New Roman" w:eastAsiaTheme="minorEastAsia"/>
                <w:color w:val="auto"/>
                <w:spacing w:val="11"/>
                <w:position w:val="0"/>
                <w:sz w:val="24"/>
                <w:szCs w:val="22"/>
                <w:highlight w:val="none"/>
                <w:u w:val="none" w:color="auto"/>
                <w:lang w:val="en-US" w:eastAsia="zh-CN"/>
              </w:rPr>
              <w:t>12</w:t>
            </w:r>
            <w:r>
              <w:rPr>
                <w:rFonts w:hint="default" w:ascii="Times New Roman" w:hAnsi="Times New Roman" w:cs="Times New Roman" w:eastAsiaTheme="minorEastAsia"/>
                <w:color w:val="auto"/>
                <w:spacing w:val="11"/>
                <w:position w:val="0"/>
                <w:sz w:val="24"/>
                <w:szCs w:val="22"/>
                <w:highlight w:val="none"/>
                <w:u w:val="none" w:color="auto"/>
              </w:rPr>
              <w:t>。</w:t>
            </w:r>
          </w:p>
          <w:p w14:paraId="714D7602">
            <w:pPr>
              <w:spacing w:line="240" w:lineRule="auto"/>
              <w:ind w:left="0" w:leftChars="0" w:firstLine="0" w:firstLineChars="0"/>
              <w:jc w:val="center"/>
              <w:rPr>
                <w:rFonts w:hint="default" w:ascii="Times New Roman" w:hAnsi="Times New Roman" w:cs="Times New Roman" w:eastAsiaTheme="minorEastAsia"/>
                <w:b/>
                <w:color w:val="auto"/>
                <w:spacing w:val="11"/>
                <w:position w:val="0"/>
                <w:sz w:val="21"/>
                <w:szCs w:val="21"/>
                <w:highlight w:val="none"/>
                <w:u w:val="none" w:color="auto"/>
              </w:rPr>
            </w:pPr>
            <w:r>
              <w:rPr>
                <w:rFonts w:hint="default" w:ascii="Times New Roman" w:hAnsi="Times New Roman" w:cs="Times New Roman" w:eastAsiaTheme="minorEastAsia"/>
                <w:b/>
                <w:color w:val="auto"/>
                <w:spacing w:val="11"/>
                <w:position w:val="0"/>
                <w:sz w:val="21"/>
                <w:szCs w:val="21"/>
                <w:highlight w:val="none"/>
                <w:u w:val="none" w:color="auto"/>
              </w:rPr>
              <w:t>表</w:t>
            </w:r>
            <w:r>
              <w:rPr>
                <w:rFonts w:hint="default" w:ascii="Times New Roman" w:hAnsi="Times New Roman" w:cs="Times New Roman" w:eastAsiaTheme="minorEastAsia"/>
                <w:b/>
                <w:color w:val="auto"/>
                <w:spacing w:val="11"/>
                <w:position w:val="0"/>
                <w:sz w:val="21"/>
                <w:szCs w:val="21"/>
                <w:highlight w:val="none"/>
                <w:u w:val="none" w:color="auto"/>
                <w:lang w:val="en-US" w:eastAsia="zh-CN"/>
              </w:rPr>
              <w:t>4-</w:t>
            </w:r>
            <w:r>
              <w:rPr>
                <w:rFonts w:hint="eastAsia" w:cs="Times New Roman" w:eastAsiaTheme="minorEastAsia"/>
                <w:b/>
                <w:color w:val="auto"/>
                <w:spacing w:val="11"/>
                <w:position w:val="0"/>
                <w:sz w:val="21"/>
                <w:szCs w:val="21"/>
                <w:highlight w:val="none"/>
                <w:u w:val="none" w:color="auto"/>
                <w:lang w:val="en-US" w:eastAsia="zh-CN"/>
              </w:rPr>
              <w:t>12</w:t>
            </w:r>
            <w:r>
              <w:rPr>
                <w:rFonts w:hint="eastAsia" w:ascii="Times New Roman" w:hAnsi="Times New Roman" w:cs="Times New Roman" w:eastAsiaTheme="minorEastAsia"/>
                <w:b/>
                <w:color w:val="auto"/>
                <w:spacing w:val="11"/>
                <w:position w:val="0"/>
                <w:sz w:val="21"/>
                <w:szCs w:val="21"/>
                <w:highlight w:val="none"/>
                <w:u w:val="none" w:color="auto"/>
                <w:lang w:val="en-US" w:eastAsia="zh-CN"/>
              </w:rPr>
              <w:t xml:space="preserve"> </w:t>
            </w:r>
            <w:r>
              <w:rPr>
                <w:rFonts w:hint="default" w:ascii="Times New Roman" w:hAnsi="Times New Roman" w:cs="Times New Roman" w:eastAsiaTheme="minorEastAsia"/>
                <w:b/>
                <w:color w:val="auto"/>
                <w:spacing w:val="11"/>
                <w:position w:val="0"/>
                <w:sz w:val="21"/>
                <w:szCs w:val="21"/>
                <w:highlight w:val="none"/>
                <w:u w:val="none" w:color="auto"/>
              </w:rPr>
              <w:t xml:space="preserve"> </w:t>
            </w:r>
            <w:r>
              <w:rPr>
                <w:rFonts w:hint="default" w:ascii="Times New Roman" w:hAnsi="Times New Roman" w:cs="Times New Roman" w:eastAsiaTheme="minorEastAsia"/>
                <w:b/>
                <w:color w:val="auto"/>
                <w:spacing w:val="11"/>
                <w:position w:val="0"/>
                <w:sz w:val="21"/>
                <w:szCs w:val="21"/>
                <w:highlight w:val="none"/>
                <w:u w:val="none" w:color="auto"/>
                <w:lang w:val="en-US" w:eastAsia="zh-CN"/>
              </w:rPr>
              <w:t>项目建成后</w:t>
            </w:r>
            <w:r>
              <w:rPr>
                <w:rFonts w:hint="eastAsia" w:ascii="Times New Roman" w:hAnsi="Times New Roman" w:cs="Times New Roman" w:eastAsiaTheme="minorEastAsia"/>
                <w:b/>
                <w:color w:val="auto"/>
                <w:spacing w:val="11"/>
                <w:position w:val="0"/>
                <w:sz w:val="21"/>
                <w:szCs w:val="21"/>
                <w:highlight w:val="none"/>
                <w:u w:val="none" w:color="auto"/>
                <w:lang w:val="en-US" w:eastAsia="zh-CN"/>
              </w:rPr>
              <w:t>废水</w:t>
            </w:r>
            <w:r>
              <w:rPr>
                <w:rFonts w:hint="default" w:ascii="Times New Roman" w:hAnsi="Times New Roman" w:cs="Times New Roman" w:eastAsiaTheme="minorEastAsia"/>
                <w:b/>
                <w:color w:val="auto"/>
                <w:spacing w:val="11"/>
                <w:position w:val="0"/>
                <w:sz w:val="21"/>
                <w:szCs w:val="21"/>
                <w:highlight w:val="none"/>
                <w:u w:val="none" w:color="auto"/>
              </w:rPr>
              <w:t>污染源监测计划</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0"/>
              <w:gridCol w:w="1099"/>
              <w:gridCol w:w="2630"/>
              <w:gridCol w:w="1391"/>
              <w:gridCol w:w="2832"/>
            </w:tblGrid>
            <w:tr w14:paraId="374D2D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tcBorders>
                    <w:tl2br w:val="nil"/>
                    <w:tr2bl w:val="nil"/>
                  </w:tcBorders>
                  <w:vAlign w:val="center"/>
                </w:tcPr>
                <w:p w14:paraId="01F2780B">
                  <w:pPr>
                    <w:spacing w:line="240" w:lineRule="auto"/>
                    <w:ind w:firstLine="0" w:firstLineChars="0"/>
                    <w:jc w:val="center"/>
                    <w:rPr>
                      <w:rFonts w:ascii="Times New Roman" w:hAnsi="Times New Roman" w:cs="Times New Roman"/>
                      <w:color w:val="auto"/>
                      <w:spacing w:val="11"/>
                      <w:kern w:val="0"/>
                      <w:sz w:val="21"/>
                      <w:szCs w:val="21"/>
                      <w:highlight w:val="none"/>
                      <w:u w:val="none"/>
                    </w:rPr>
                  </w:pPr>
                  <w:r>
                    <w:rPr>
                      <w:rFonts w:ascii="Times New Roman" w:hAnsi="Times New Roman" w:cs="Times New Roman"/>
                      <w:color w:val="auto"/>
                      <w:spacing w:val="11"/>
                      <w:kern w:val="0"/>
                      <w:sz w:val="21"/>
                      <w:szCs w:val="21"/>
                      <w:highlight w:val="none"/>
                      <w:u w:val="none"/>
                    </w:rPr>
                    <w:t>类别</w:t>
                  </w:r>
                </w:p>
              </w:tc>
              <w:tc>
                <w:tcPr>
                  <w:tcW w:w="614" w:type="pct"/>
                  <w:tcBorders>
                    <w:tl2br w:val="nil"/>
                    <w:tr2bl w:val="nil"/>
                  </w:tcBorders>
                  <w:vAlign w:val="center"/>
                </w:tcPr>
                <w:p w14:paraId="4D13F238">
                  <w:pPr>
                    <w:spacing w:line="240" w:lineRule="auto"/>
                    <w:ind w:firstLine="0" w:firstLineChars="0"/>
                    <w:jc w:val="center"/>
                    <w:rPr>
                      <w:rFonts w:ascii="Times New Roman" w:hAnsi="Times New Roman" w:cs="Times New Roman"/>
                      <w:color w:val="auto"/>
                      <w:spacing w:val="11"/>
                      <w:kern w:val="0"/>
                      <w:sz w:val="21"/>
                      <w:szCs w:val="20"/>
                      <w:highlight w:val="none"/>
                      <w:u w:val="none"/>
                    </w:rPr>
                  </w:pPr>
                  <w:r>
                    <w:rPr>
                      <w:rFonts w:ascii="Times New Roman" w:hAnsi="Times New Roman" w:cs="Times New Roman"/>
                      <w:color w:val="auto"/>
                      <w:spacing w:val="11"/>
                      <w:kern w:val="0"/>
                      <w:sz w:val="21"/>
                      <w:szCs w:val="20"/>
                      <w:highlight w:val="none"/>
                      <w:u w:val="none"/>
                    </w:rPr>
                    <w:t>监测点位</w:t>
                  </w:r>
                </w:p>
              </w:tc>
              <w:tc>
                <w:tcPr>
                  <w:tcW w:w="1470" w:type="pct"/>
                  <w:tcBorders>
                    <w:tl2br w:val="nil"/>
                    <w:tr2bl w:val="nil"/>
                  </w:tcBorders>
                  <w:vAlign w:val="center"/>
                </w:tcPr>
                <w:p w14:paraId="09D2E74A">
                  <w:pPr>
                    <w:spacing w:line="240" w:lineRule="auto"/>
                    <w:ind w:firstLine="0" w:firstLineChars="0"/>
                    <w:jc w:val="center"/>
                    <w:rPr>
                      <w:rFonts w:ascii="Times New Roman" w:hAnsi="Times New Roman" w:cs="Times New Roman"/>
                      <w:color w:val="auto"/>
                      <w:spacing w:val="11"/>
                      <w:kern w:val="0"/>
                      <w:sz w:val="21"/>
                      <w:szCs w:val="20"/>
                      <w:highlight w:val="none"/>
                      <w:u w:val="none"/>
                    </w:rPr>
                  </w:pPr>
                  <w:r>
                    <w:rPr>
                      <w:rFonts w:ascii="Times New Roman" w:hAnsi="Times New Roman" w:cs="Times New Roman"/>
                      <w:color w:val="auto"/>
                      <w:spacing w:val="11"/>
                      <w:kern w:val="0"/>
                      <w:sz w:val="21"/>
                      <w:szCs w:val="20"/>
                      <w:highlight w:val="none"/>
                      <w:u w:val="none"/>
                    </w:rPr>
                    <w:t>监测因子</w:t>
                  </w:r>
                </w:p>
              </w:tc>
              <w:tc>
                <w:tcPr>
                  <w:tcW w:w="777" w:type="pct"/>
                  <w:tcBorders>
                    <w:tl2br w:val="nil"/>
                    <w:tr2bl w:val="nil"/>
                  </w:tcBorders>
                  <w:vAlign w:val="center"/>
                </w:tcPr>
                <w:p w14:paraId="2AF5D3E5">
                  <w:pPr>
                    <w:spacing w:line="240" w:lineRule="auto"/>
                    <w:ind w:firstLine="0" w:firstLineChars="0"/>
                    <w:jc w:val="center"/>
                    <w:rPr>
                      <w:rFonts w:ascii="Times New Roman" w:hAnsi="Times New Roman" w:cs="Times New Roman"/>
                      <w:color w:val="auto"/>
                      <w:spacing w:val="11"/>
                      <w:kern w:val="0"/>
                      <w:sz w:val="21"/>
                      <w:szCs w:val="20"/>
                      <w:highlight w:val="none"/>
                      <w:u w:val="none"/>
                    </w:rPr>
                  </w:pPr>
                  <w:r>
                    <w:rPr>
                      <w:rFonts w:ascii="Times New Roman" w:hAnsi="Times New Roman" w:cs="Times New Roman"/>
                      <w:color w:val="auto"/>
                      <w:spacing w:val="11"/>
                      <w:kern w:val="0"/>
                      <w:sz w:val="21"/>
                      <w:szCs w:val="20"/>
                      <w:highlight w:val="none"/>
                      <w:u w:val="none"/>
                    </w:rPr>
                    <w:t>监测频次</w:t>
                  </w:r>
                </w:p>
              </w:tc>
              <w:tc>
                <w:tcPr>
                  <w:tcW w:w="1583" w:type="pct"/>
                  <w:tcBorders>
                    <w:tl2br w:val="nil"/>
                    <w:tr2bl w:val="nil"/>
                  </w:tcBorders>
                  <w:vAlign w:val="center"/>
                </w:tcPr>
                <w:p w14:paraId="2BCB94E7">
                  <w:pPr>
                    <w:spacing w:line="240" w:lineRule="auto"/>
                    <w:ind w:firstLine="0" w:firstLineChars="0"/>
                    <w:jc w:val="center"/>
                    <w:rPr>
                      <w:rFonts w:ascii="Times New Roman" w:hAnsi="Times New Roman" w:cs="Times New Roman"/>
                      <w:color w:val="auto"/>
                      <w:spacing w:val="11"/>
                      <w:kern w:val="0"/>
                      <w:sz w:val="21"/>
                      <w:szCs w:val="20"/>
                      <w:highlight w:val="none"/>
                      <w:u w:val="none"/>
                    </w:rPr>
                  </w:pPr>
                  <w:r>
                    <w:rPr>
                      <w:rFonts w:ascii="Times New Roman" w:hAnsi="Times New Roman" w:cs="Times New Roman"/>
                      <w:color w:val="auto"/>
                      <w:spacing w:val="11"/>
                      <w:kern w:val="0"/>
                      <w:sz w:val="21"/>
                      <w:szCs w:val="20"/>
                      <w:highlight w:val="none"/>
                      <w:u w:val="none"/>
                    </w:rPr>
                    <w:t>执行排放标准</w:t>
                  </w:r>
                </w:p>
              </w:tc>
            </w:tr>
            <w:tr w14:paraId="22A29A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vMerge w:val="restart"/>
                  <w:tcBorders>
                    <w:tl2br w:val="nil"/>
                    <w:tr2bl w:val="nil"/>
                  </w:tcBorders>
                  <w:vAlign w:val="center"/>
                </w:tcPr>
                <w:p w14:paraId="11D7C5FC">
                  <w:pPr>
                    <w:spacing w:line="240" w:lineRule="auto"/>
                    <w:ind w:firstLine="0" w:firstLineChars="0"/>
                    <w:jc w:val="center"/>
                    <w:rPr>
                      <w:rFonts w:hint="eastAsia" w:ascii="Times New Roman" w:hAnsi="Times New Roman" w:eastAsia="宋体" w:cs="Times New Roman"/>
                      <w:color w:val="auto"/>
                      <w:spacing w:val="11"/>
                      <w:kern w:val="0"/>
                      <w:sz w:val="21"/>
                      <w:szCs w:val="21"/>
                      <w:highlight w:val="none"/>
                      <w:u w:val="none"/>
                      <w:lang w:eastAsia="zh-CN"/>
                    </w:rPr>
                  </w:pPr>
                  <w:r>
                    <w:rPr>
                      <w:rFonts w:ascii="Times New Roman" w:hAnsi="Times New Roman" w:cs="Times New Roman"/>
                      <w:color w:val="auto"/>
                      <w:spacing w:val="11"/>
                      <w:kern w:val="0"/>
                      <w:sz w:val="21"/>
                      <w:szCs w:val="21"/>
                      <w:highlight w:val="none"/>
                      <w:u w:val="none"/>
                    </w:rPr>
                    <w:t>废</w:t>
                  </w:r>
                  <w:r>
                    <w:rPr>
                      <w:rFonts w:hint="eastAsia" w:ascii="Times New Roman" w:hAnsi="Times New Roman" w:cs="Times New Roman"/>
                      <w:color w:val="auto"/>
                      <w:spacing w:val="11"/>
                      <w:kern w:val="0"/>
                      <w:sz w:val="21"/>
                      <w:szCs w:val="21"/>
                      <w:highlight w:val="none"/>
                      <w:u w:val="none"/>
                      <w:lang w:val="en-US" w:eastAsia="zh-CN"/>
                    </w:rPr>
                    <w:t>水</w:t>
                  </w:r>
                </w:p>
              </w:tc>
              <w:tc>
                <w:tcPr>
                  <w:tcW w:w="614" w:type="pct"/>
                  <w:vMerge w:val="restart"/>
                  <w:tcBorders>
                    <w:tl2br w:val="nil"/>
                    <w:tr2bl w:val="nil"/>
                  </w:tcBorders>
                  <w:vAlign w:val="center"/>
                </w:tcPr>
                <w:p w14:paraId="57B8F047">
                  <w:pPr>
                    <w:spacing w:line="240" w:lineRule="auto"/>
                    <w:ind w:firstLine="0" w:firstLineChars="0"/>
                    <w:jc w:val="center"/>
                    <w:rPr>
                      <w:rFonts w:ascii="Times New Roman" w:hAnsi="Times New Roman" w:cs="Times New Roman"/>
                      <w:color w:val="auto"/>
                      <w:spacing w:val="11"/>
                      <w:kern w:val="0"/>
                      <w:sz w:val="21"/>
                      <w:szCs w:val="20"/>
                      <w:highlight w:val="none"/>
                      <w:u w:val="none"/>
                    </w:rPr>
                  </w:pPr>
                  <w:r>
                    <w:rPr>
                      <w:rFonts w:hint="eastAsia" w:ascii="Times New Roman" w:hAnsi="Times New Roman" w:cs="Times New Roman"/>
                      <w:color w:val="auto"/>
                      <w:spacing w:val="11"/>
                      <w:kern w:val="0"/>
                      <w:sz w:val="21"/>
                      <w:szCs w:val="20"/>
                      <w:highlight w:val="none"/>
                      <w:u w:val="none"/>
                      <w:lang w:val="en-US" w:eastAsia="zh-CN"/>
                    </w:rPr>
                    <w:t>废水总排口</w:t>
                  </w:r>
                </w:p>
              </w:tc>
              <w:tc>
                <w:tcPr>
                  <w:tcW w:w="1470" w:type="pct"/>
                  <w:tcBorders>
                    <w:tl2br w:val="nil"/>
                    <w:tr2bl w:val="nil"/>
                  </w:tcBorders>
                  <w:vAlign w:val="center"/>
                </w:tcPr>
                <w:p w14:paraId="47E43CF1">
                  <w:pPr>
                    <w:spacing w:line="240" w:lineRule="auto"/>
                    <w:ind w:firstLine="0" w:firstLineChars="0"/>
                    <w:jc w:val="center"/>
                    <w:rPr>
                      <w:rFonts w:hint="eastAsia" w:ascii="Times New Roman" w:hAnsi="Times New Roman" w:eastAsia="宋体" w:cs="Times New Roman"/>
                      <w:color w:val="auto"/>
                      <w:spacing w:val="11"/>
                      <w:kern w:val="0"/>
                      <w:sz w:val="21"/>
                      <w:szCs w:val="20"/>
                      <w:highlight w:val="none"/>
                      <w:u w:val="none"/>
                      <w:lang w:eastAsia="zh-CN"/>
                    </w:rPr>
                  </w:pPr>
                  <w:r>
                    <w:rPr>
                      <w:rFonts w:hint="eastAsia" w:ascii="Times New Roman" w:hAnsi="Times New Roman" w:cs="Times New Roman"/>
                      <w:color w:val="auto"/>
                      <w:spacing w:val="11"/>
                      <w:kern w:val="0"/>
                      <w:sz w:val="21"/>
                      <w:szCs w:val="20"/>
                      <w:highlight w:val="none"/>
                      <w:u w:val="none"/>
                      <w:lang w:val="en-US" w:eastAsia="zh-CN"/>
                    </w:rPr>
                    <w:t>流量</w:t>
                  </w:r>
                </w:p>
              </w:tc>
              <w:tc>
                <w:tcPr>
                  <w:tcW w:w="777" w:type="pct"/>
                  <w:tcBorders>
                    <w:tl2br w:val="nil"/>
                    <w:tr2bl w:val="nil"/>
                  </w:tcBorders>
                  <w:vAlign w:val="center"/>
                </w:tcPr>
                <w:p w14:paraId="08E34709">
                  <w:pPr>
                    <w:spacing w:line="240" w:lineRule="auto"/>
                    <w:ind w:firstLine="0" w:firstLineChars="0"/>
                    <w:jc w:val="center"/>
                    <w:rPr>
                      <w:rFonts w:hint="default" w:ascii="Times New Roman" w:hAnsi="Times New Roman" w:eastAsia="宋体" w:cs="Times New Roman"/>
                      <w:color w:val="auto"/>
                      <w:spacing w:val="11"/>
                      <w:kern w:val="0"/>
                      <w:sz w:val="21"/>
                      <w:szCs w:val="20"/>
                      <w:highlight w:val="none"/>
                      <w:u w:val="none"/>
                      <w:lang w:val="en-US" w:eastAsia="zh-CN"/>
                    </w:rPr>
                  </w:pPr>
                  <w:r>
                    <w:rPr>
                      <w:rFonts w:hint="eastAsia" w:ascii="Times New Roman" w:hAnsi="Times New Roman" w:cs="Times New Roman"/>
                      <w:color w:val="auto"/>
                      <w:spacing w:val="11"/>
                      <w:kern w:val="0"/>
                      <w:sz w:val="21"/>
                      <w:szCs w:val="20"/>
                      <w:highlight w:val="none"/>
                      <w:u w:val="none"/>
                      <w:lang w:val="en-US" w:eastAsia="zh-CN"/>
                    </w:rPr>
                    <w:t>自动监测</w:t>
                  </w:r>
                </w:p>
              </w:tc>
              <w:tc>
                <w:tcPr>
                  <w:tcW w:w="1583" w:type="pct"/>
                  <w:vMerge w:val="restart"/>
                  <w:tcBorders>
                    <w:tl2br w:val="nil"/>
                    <w:tr2bl w:val="nil"/>
                  </w:tcBorders>
                  <w:vAlign w:val="center"/>
                </w:tcPr>
                <w:p w14:paraId="1CCF1808">
                  <w:pPr>
                    <w:spacing w:line="240" w:lineRule="auto"/>
                    <w:ind w:firstLine="0" w:firstLineChars="0"/>
                    <w:jc w:val="center"/>
                    <w:rPr>
                      <w:rFonts w:ascii="Times New Roman" w:hAnsi="Times New Roman" w:cs="Times New Roman"/>
                      <w:color w:val="auto"/>
                      <w:spacing w:val="11"/>
                      <w:kern w:val="0"/>
                      <w:sz w:val="21"/>
                      <w:szCs w:val="20"/>
                      <w:highlight w:val="yellow"/>
                      <w:u w:val="none"/>
                    </w:rPr>
                  </w:pPr>
                  <w:r>
                    <w:rPr>
                      <w:rFonts w:hint="eastAsia" w:ascii="Times New Roman" w:hAnsi="Times New Roman" w:cs="Times New Roman"/>
                      <w:color w:val="auto"/>
                      <w:spacing w:val="11"/>
                      <w:kern w:val="0"/>
                      <w:sz w:val="21"/>
                      <w:szCs w:val="20"/>
                      <w:highlight w:val="none"/>
                      <w:u w:val="none"/>
                      <w:lang w:val="en-US" w:eastAsia="zh-CN"/>
                    </w:rPr>
                    <w:t>《医疗机构水污染物排放标准》（</w:t>
                  </w:r>
                  <w:r>
                    <w:rPr>
                      <w:rFonts w:hint="default" w:ascii="Times New Roman" w:hAnsi="Times New Roman" w:cs="Times New Roman"/>
                      <w:color w:val="auto"/>
                      <w:spacing w:val="11"/>
                      <w:kern w:val="0"/>
                      <w:sz w:val="21"/>
                      <w:szCs w:val="20"/>
                      <w:highlight w:val="none"/>
                      <w:u w:val="none"/>
                      <w:lang w:val="en-US" w:eastAsia="zh-CN"/>
                    </w:rPr>
                    <w:t>GB18466-2005</w:t>
                  </w:r>
                  <w:r>
                    <w:rPr>
                      <w:rFonts w:hint="eastAsia" w:ascii="Times New Roman" w:hAnsi="Times New Roman" w:cs="Times New Roman"/>
                      <w:color w:val="auto"/>
                      <w:spacing w:val="11"/>
                      <w:kern w:val="0"/>
                      <w:sz w:val="21"/>
                      <w:szCs w:val="20"/>
                      <w:highlight w:val="none"/>
                      <w:u w:val="none"/>
                      <w:lang w:val="en-US" w:eastAsia="zh-CN"/>
                    </w:rPr>
                    <w:t>）表</w:t>
                  </w:r>
                  <w:r>
                    <w:rPr>
                      <w:rFonts w:hint="default" w:ascii="Times New Roman" w:hAnsi="Times New Roman" w:cs="Times New Roman"/>
                      <w:color w:val="auto"/>
                      <w:spacing w:val="11"/>
                      <w:kern w:val="0"/>
                      <w:sz w:val="21"/>
                      <w:szCs w:val="20"/>
                      <w:highlight w:val="none"/>
                      <w:u w:val="none"/>
                      <w:lang w:val="en-US" w:eastAsia="zh-CN"/>
                    </w:rPr>
                    <w:t>2</w:t>
                  </w:r>
                  <w:r>
                    <w:rPr>
                      <w:rFonts w:hint="eastAsia" w:ascii="Times New Roman" w:hAnsi="Times New Roman" w:cs="Times New Roman"/>
                      <w:color w:val="auto"/>
                      <w:spacing w:val="11"/>
                      <w:kern w:val="0"/>
                      <w:sz w:val="21"/>
                      <w:szCs w:val="20"/>
                      <w:highlight w:val="none"/>
                      <w:u w:val="none"/>
                      <w:lang w:val="en-US" w:eastAsia="zh-CN"/>
                    </w:rPr>
                    <w:t>中的预处理排放标准</w:t>
                  </w:r>
                </w:p>
              </w:tc>
            </w:tr>
            <w:tr w14:paraId="04E451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vMerge w:val="continue"/>
                  <w:tcBorders>
                    <w:tl2br w:val="nil"/>
                    <w:tr2bl w:val="nil"/>
                  </w:tcBorders>
                  <w:vAlign w:val="center"/>
                </w:tcPr>
                <w:p w14:paraId="5EC9C9AD">
                  <w:pPr>
                    <w:spacing w:line="240" w:lineRule="auto"/>
                    <w:ind w:firstLine="0" w:firstLineChars="0"/>
                    <w:jc w:val="center"/>
                    <w:rPr>
                      <w:rFonts w:ascii="Times New Roman" w:hAnsi="Times New Roman" w:cs="Times New Roman"/>
                      <w:color w:val="auto"/>
                      <w:spacing w:val="11"/>
                      <w:kern w:val="0"/>
                      <w:sz w:val="21"/>
                      <w:szCs w:val="21"/>
                      <w:highlight w:val="none"/>
                      <w:u w:val="none"/>
                    </w:rPr>
                  </w:pPr>
                </w:p>
              </w:tc>
              <w:tc>
                <w:tcPr>
                  <w:tcW w:w="614" w:type="pct"/>
                  <w:vMerge w:val="continue"/>
                  <w:tcBorders>
                    <w:tl2br w:val="nil"/>
                    <w:tr2bl w:val="nil"/>
                  </w:tcBorders>
                  <w:vAlign w:val="center"/>
                </w:tcPr>
                <w:p w14:paraId="037417DA">
                  <w:pPr>
                    <w:keepNext/>
                    <w:spacing w:line="320" w:lineRule="exact"/>
                    <w:ind w:firstLine="0" w:firstLineChars="0"/>
                    <w:jc w:val="center"/>
                    <w:textAlignment w:val="baseline"/>
                    <w:rPr>
                      <w:rFonts w:ascii="Times New Roman" w:hAnsi="Times New Roman" w:cs="Times New Roman"/>
                      <w:color w:val="auto"/>
                      <w:spacing w:val="11"/>
                      <w:kern w:val="0"/>
                      <w:sz w:val="21"/>
                      <w:szCs w:val="20"/>
                      <w:highlight w:val="none"/>
                      <w:u w:val="none"/>
                    </w:rPr>
                  </w:pPr>
                </w:p>
              </w:tc>
              <w:tc>
                <w:tcPr>
                  <w:tcW w:w="1470" w:type="pct"/>
                  <w:tcBorders>
                    <w:tl2br w:val="nil"/>
                    <w:tr2bl w:val="nil"/>
                  </w:tcBorders>
                  <w:vAlign w:val="center"/>
                </w:tcPr>
                <w:p w14:paraId="5A1B3959">
                  <w:pPr>
                    <w:keepNext/>
                    <w:spacing w:line="320" w:lineRule="exact"/>
                    <w:ind w:firstLine="0" w:firstLineChars="0"/>
                    <w:jc w:val="center"/>
                    <w:textAlignment w:val="baseline"/>
                    <w:rPr>
                      <w:rFonts w:hint="default" w:ascii="Times New Roman" w:hAnsi="Times New Roman" w:eastAsia="宋体" w:cs="Times New Roman"/>
                      <w:color w:val="auto"/>
                      <w:spacing w:val="11"/>
                      <w:kern w:val="0"/>
                      <w:sz w:val="21"/>
                      <w:szCs w:val="20"/>
                      <w:highlight w:val="none"/>
                      <w:u w:val="none"/>
                      <w:lang w:val="en-US" w:eastAsia="zh-CN"/>
                    </w:rPr>
                  </w:pPr>
                  <w:r>
                    <w:rPr>
                      <w:rFonts w:hint="eastAsia" w:ascii="Times New Roman" w:hAnsi="Times New Roman" w:cs="Times New Roman"/>
                      <w:color w:val="auto"/>
                      <w:spacing w:val="11"/>
                      <w:kern w:val="0"/>
                      <w:sz w:val="21"/>
                      <w:szCs w:val="20"/>
                      <w:highlight w:val="none"/>
                      <w:u w:val="none"/>
                      <w:lang w:val="en-US" w:eastAsia="zh-CN"/>
                    </w:rPr>
                    <w:t>pH</w:t>
                  </w:r>
                </w:p>
              </w:tc>
              <w:tc>
                <w:tcPr>
                  <w:tcW w:w="777" w:type="pct"/>
                  <w:tcBorders>
                    <w:tl2br w:val="nil"/>
                    <w:tr2bl w:val="nil"/>
                  </w:tcBorders>
                  <w:vAlign w:val="center"/>
                </w:tcPr>
                <w:p w14:paraId="1C13820E">
                  <w:pPr>
                    <w:keepNext/>
                    <w:spacing w:line="320" w:lineRule="exact"/>
                    <w:ind w:firstLine="0" w:firstLineChars="0"/>
                    <w:jc w:val="center"/>
                    <w:textAlignment w:val="baseline"/>
                    <w:rPr>
                      <w:rFonts w:hint="default" w:ascii="Times New Roman" w:hAnsi="Times New Roman" w:eastAsia="宋体" w:cs="Times New Roman"/>
                      <w:color w:val="auto"/>
                      <w:spacing w:val="11"/>
                      <w:kern w:val="0"/>
                      <w:sz w:val="21"/>
                      <w:szCs w:val="21"/>
                      <w:highlight w:val="none"/>
                      <w:u w:val="none"/>
                      <w:lang w:val="en-US" w:eastAsia="zh-CN"/>
                    </w:rPr>
                  </w:pPr>
                  <w:r>
                    <w:rPr>
                      <w:rFonts w:hint="eastAsia" w:ascii="Times New Roman" w:hAnsi="Times New Roman" w:cs="Times New Roman"/>
                      <w:color w:val="auto"/>
                      <w:spacing w:val="11"/>
                      <w:kern w:val="0"/>
                      <w:sz w:val="21"/>
                      <w:szCs w:val="21"/>
                      <w:highlight w:val="none"/>
                      <w:u w:val="none"/>
                      <w:lang w:val="en-US" w:eastAsia="zh-CN"/>
                    </w:rPr>
                    <w:t>12小时/1次</w:t>
                  </w:r>
                </w:p>
              </w:tc>
              <w:tc>
                <w:tcPr>
                  <w:tcW w:w="1583" w:type="pct"/>
                  <w:vMerge w:val="continue"/>
                  <w:tcBorders>
                    <w:tl2br w:val="nil"/>
                    <w:tr2bl w:val="nil"/>
                  </w:tcBorders>
                  <w:vAlign w:val="center"/>
                </w:tcPr>
                <w:p w14:paraId="042836B7">
                  <w:pPr>
                    <w:spacing w:line="240" w:lineRule="auto"/>
                    <w:ind w:firstLine="0" w:firstLineChars="0"/>
                    <w:jc w:val="center"/>
                    <w:rPr>
                      <w:rFonts w:ascii="Times New Roman" w:hAnsi="Times New Roman" w:cs="Times New Roman"/>
                      <w:color w:val="auto"/>
                      <w:spacing w:val="11"/>
                      <w:kern w:val="0"/>
                      <w:sz w:val="21"/>
                      <w:szCs w:val="20"/>
                      <w:highlight w:val="yellow"/>
                      <w:u w:val="none"/>
                    </w:rPr>
                  </w:pPr>
                </w:p>
              </w:tc>
            </w:tr>
            <w:tr w14:paraId="121081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vMerge w:val="continue"/>
                  <w:tcBorders>
                    <w:tl2br w:val="nil"/>
                    <w:tr2bl w:val="nil"/>
                  </w:tcBorders>
                  <w:vAlign w:val="center"/>
                </w:tcPr>
                <w:p w14:paraId="7835D957">
                  <w:pPr>
                    <w:spacing w:line="240" w:lineRule="auto"/>
                    <w:ind w:firstLine="0" w:firstLineChars="0"/>
                    <w:jc w:val="center"/>
                    <w:rPr>
                      <w:rFonts w:ascii="Times New Roman" w:hAnsi="Times New Roman" w:cs="Times New Roman"/>
                      <w:color w:val="auto"/>
                      <w:spacing w:val="11"/>
                      <w:kern w:val="0"/>
                      <w:sz w:val="21"/>
                      <w:szCs w:val="21"/>
                      <w:highlight w:val="none"/>
                      <w:u w:val="none"/>
                    </w:rPr>
                  </w:pPr>
                </w:p>
              </w:tc>
              <w:tc>
                <w:tcPr>
                  <w:tcW w:w="614" w:type="pct"/>
                  <w:vMerge w:val="continue"/>
                  <w:tcBorders>
                    <w:tl2br w:val="nil"/>
                    <w:tr2bl w:val="nil"/>
                  </w:tcBorders>
                  <w:vAlign w:val="center"/>
                </w:tcPr>
                <w:p w14:paraId="43799F6B">
                  <w:pPr>
                    <w:keepNext/>
                    <w:spacing w:line="320" w:lineRule="exact"/>
                    <w:ind w:firstLine="0" w:firstLineChars="0"/>
                    <w:jc w:val="center"/>
                    <w:textAlignment w:val="baseline"/>
                    <w:rPr>
                      <w:rFonts w:ascii="Times New Roman" w:hAnsi="Times New Roman" w:cs="Times New Roman"/>
                      <w:color w:val="auto"/>
                      <w:spacing w:val="11"/>
                      <w:kern w:val="0"/>
                      <w:sz w:val="21"/>
                      <w:szCs w:val="20"/>
                      <w:highlight w:val="none"/>
                      <w:u w:val="none"/>
                    </w:rPr>
                  </w:pPr>
                </w:p>
              </w:tc>
              <w:tc>
                <w:tcPr>
                  <w:tcW w:w="1470" w:type="pct"/>
                  <w:tcBorders>
                    <w:tl2br w:val="nil"/>
                    <w:tr2bl w:val="nil"/>
                  </w:tcBorders>
                  <w:vAlign w:val="center"/>
                </w:tcPr>
                <w:p w14:paraId="42E7DFA5">
                  <w:pPr>
                    <w:keepNext/>
                    <w:spacing w:line="320" w:lineRule="exact"/>
                    <w:ind w:firstLine="0" w:firstLineChars="0"/>
                    <w:jc w:val="center"/>
                    <w:textAlignment w:val="baseline"/>
                    <w:rPr>
                      <w:rFonts w:hint="default" w:ascii="Times New Roman" w:hAnsi="Times New Roman" w:eastAsia="宋体" w:cs="Times New Roman"/>
                      <w:color w:val="auto"/>
                      <w:spacing w:val="11"/>
                      <w:kern w:val="0"/>
                      <w:sz w:val="21"/>
                      <w:szCs w:val="20"/>
                      <w:highlight w:val="none"/>
                      <w:u w:val="none"/>
                      <w:lang w:val="en-US" w:eastAsia="zh-CN"/>
                    </w:rPr>
                  </w:pPr>
                  <w:r>
                    <w:rPr>
                      <w:rFonts w:hint="eastAsia" w:ascii="Times New Roman" w:hAnsi="Times New Roman" w:cs="Times New Roman"/>
                      <w:color w:val="auto"/>
                      <w:spacing w:val="11"/>
                      <w:kern w:val="0"/>
                      <w:sz w:val="21"/>
                      <w:szCs w:val="20"/>
                      <w:highlight w:val="none"/>
                      <w:u w:val="none"/>
                      <w:lang w:val="en-US" w:eastAsia="zh-CN"/>
                    </w:rPr>
                    <w:t>COD、SS</w:t>
                  </w:r>
                </w:p>
              </w:tc>
              <w:tc>
                <w:tcPr>
                  <w:tcW w:w="777" w:type="pct"/>
                  <w:tcBorders>
                    <w:tl2br w:val="nil"/>
                    <w:tr2bl w:val="nil"/>
                  </w:tcBorders>
                  <w:vAlign w:val="center"/>
                </w:tcPr>
                <w:p w14:paraId="5C57525C">
                  <w:pPr>
                    <w:keepNext/>
                    <w:spacing w:line="320" w:lineRule="exact"/>
                    <w:ind w:firstLine="0" w:firstLineChars="0"/>
                    <w:jc w:val="center"/>
                    <w:textAlignment w:val="baseline"/>
                    <w:rPr>
                      <w:rFonts w:hint="eastAsia" w:ascii="Times New Roman" w:hAnsi="Times New Roman" w:eastAsia="宋体" w:cs="Times New Roman"/>
                      <w:color w:val="auto"/>
                      <w:spacing w:val="11"/>
                      <w:kern w:val="0"/>
                      <w:sz w:val="21"/>
                      <w:szCs w:val="21"/>
                      <w:highlight w:val="none"/>
                      <w:u w:val="none"/>
                      <w:lang w:eastAsia="zh-CN"/>
                    </w:rPr>
                  </w:pPr>
                  <w:r>
                    <w:rPr>
                      <w:rFonts w:ascii="Times New Roman" w:hAnsi="Times New Roman" w:cs="Times New Roman"/>
                      <w:color w:val="auto"/>
                      <w:spacing w:val="11"/>
                      <w:kern w:val="0"/>
                      <w:sz w:val="21"/>
                      <w:szCs w:val="21"/>
                      <w:highlight w:val="none"/>
                      <w:u w:val="none"/>
                    </w:rPr>
                    <w:t>1次/</w:t>
                  </w:r>
                  <w:r>
                    <w:rPr>
                      <w:rFonts w:hint="eastAsia" w:ascii="Times New Roman" w:hAnsi="Times New Roman" w:cs="Times New Roman"/>
                      <w:color w:val="auto"/>
                      <w:spacing w:val="11"/>
                      <w:kern w:val="0"/>
                      <w:sz w:val="21"/>
                      <w:szCs w:val="21"/>
                      <w:highlight w:val="none"/>
                      <w:u w:val="none"/>
                      <w:lang w:val="en-US" w:eastAsia="zh-CN"/>
                    </w:rPr>
                    <w:t>周</w:t>
                  </w:r>
                </w:p>
              </w:tc>
              <w:tc>
                <w:tcPr>
                  <w:tcW w:w="1583" w:type="pct"/>
                  <w:vMerge w:val="continue"/>
                  <w:tcBorders>
                    <w:tl2br w:val="nil"/>
                    <w:tr2bl w:val="nil"/>
                  </w:tcBorders>
                  <w:vAlign w:val="center"/>
                </w:tcPr>
                <w:p w14:paraId="0531541A">
                  <w:pPr>
                    <w:spacing w:line="240" w:lineRule="auto"/>
                    <w:ind w:firstLine="0" w:firstLineChars="0"/>
                    <w:jc w:val="center"/>
                    <w:rPr>
                      <w:rFonts w:ascii="Times New Roman" w:hAnsi="Times New Roman" w:cs="Times New Roman"/>
                      <w:color w:val="auto"/>
                      <w:spacing w:val="11"/>
                      <w:kern w:val="0"/>
                      <w:sz w:val="21"/>
                      <w:szCs w:val="20"/>
                      <w:highlight w:val="yellow"/>
                      <w:u w:val="none"/>
                    </w:rPr>
                  </w:pPr>
                </w:p>
              </w:tc>
            </w:tr>
            <w:tr w14:paraId="1BF374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vMerge w:val="continue"/>
                  <w:tcBorders>
                    <w:tl2br w:val="nil"/>
                    <w:tr2bl w:val="nil"/>
                  </w:tcBorders>
                  <w:vAlign w:val="center"/>
                </w:tcPr>
                <w:p w14:paraId="2D2A7637">
                  <w:pPr>
                    <w:spacing w:line="240" w:lineRule="auto"/>
                    <w:ind w:firstLine="0" w:firstLineChars="0"/>
                    <w:jc w:val="center"/>
                    <w:rPr>
                      <w:rFonts w:ascii="Times New Roman" w:hAnsi="Times New Roman" w:cs="Times New Roman"/>
                      <w:color w:val="auto"/>
                      <w:spacing w:val="11"/>
                      <w:kern w:val="0"/>
                      <w:sz w:val="21"/>
                      <w:szCs w:val="21"/>
                      <w:highlight w:val="none"/>
                      <w:u w:val="none"/>
                    </w:rPr>
                  </w:pPr>
                </w:p>
              </w:tc>
              <w:tc>
                <w:tcPr>
                  <w:tcW w:w="614" w:type="pct"/>
                  <w:vMerge w:val="continue"/>
                  <w:tcBorders>
                    <w:tl2br w:val="nil"/>
                    <w:tr2bl w:val="nil"/>
                  </w:tcBorders>
                  <w:vAlign w:val="center"/>
                </w:tcPr>
                <w:p w14:paraId="4B5CD2D0">
                  <w:pPr>
                    <w:keepNext/>
                    <w:spacing w:line="320" w:lineRule="exact"/>
                    <w:ind w:firstLine="0" w:firstLineChars="0"/>
                    <w:jc w:val="center"/>
                    <w:textAlignment w:val="baseline"/>
                    <w:rPr>
                      <w:rFonts w:ascii="Times New Roman" w:hAnsi="Times New Roman" w:cs="Times New Roman"/>
                      <w:color w:val="auto"/>
                      <w:spacing w:val="11"/>
                      <w:kern w:val="0"/>
                      <w:sz w:val="21"/>
                      <w:szCs w:val="21"/>
                      <w:highlight w:val="none"/>
                      <w:u w:val="none"/>
                    </w:rPr>
                  </w:pPr>
                </w:p>
              </w:tc>
              <w:tc>
                <w:tcPr>
                  <w:tcW w:w="1470" w:type="pct"/>
                  <w:tcBorders>
                    <w:tl2br w:val="nil"/>
                    <w:tr2bl w:val="nil"/>
                  </w:tcBorders>
                  <w:vAlign w:val="center"/>
                </w:tcPr>
                <w:p w14:paraId="0A878FD6">
                  <w:pPr>
                    <w:keepNext/>
                    <w:spacing w:line="320" w:lineRule="exact"/>
                    <w:ind w:firstLine="0" w:firstLineChars="0"/>
                    <w:jc w:val="center"/>
                    <w:textAlignment w:val="baseline"/>
                    <w:rPr>
                      <w:rFonts w:ascii="Times New Roman" w:hAnsi="Times New Roman" w:cs="Times New Roman"/>
                      <w:color w:val="auto"/>
                      <w:spacing w:val="11"/>
                      <w:kern w:val="0"/>
                      <w:sz w:val="21"/>
                      <w:szCs w:val="21"/>
                      <w:highlight w:val="none"/>
                      <w:u w:val="none"/>
                    </w:rPr>
                  </w:pPr>
                  <w:r>
                    <w:rPr>
                      <w:rFonts w:hint="eastAsia" w:ascii="Times New Roman" w:hAnsi="Times New Roman" w:cs="Times New Roman"/>
                      <w:color w:val="auto"/>
                      <w:spacing w:val="11"/>
                      <w:kern w:val="0"/>
                      <w:sz w:val="21"/>
                      <w:szCs w:val="21"/>
                      <w:highlight w:val="none"/>
                      <w:u w:val="none"/>
                      <w:lang w:val="en-US" w:eastAsia="zh-CN"/>
                    </w:rPr>
                    <w:t>粪大肠菌群数</w:t>
                  </w:r>
                </w:p>
              </w:tc>
              <w:tc>
                <w:tcPr>
                  <w:tcW w:w="777" w:type="pct"/>
                  <w:tcBorders>
                    <w:tl2br w:val="nil"/>
                    <w:tr2bl w:val="nil"/>
                  </w:tcBorders>
                  <w:vAlign w:val="center"/>
                </w:tcPr>
                <w:p w14:paraId="3D252E0C">
                  <w:pPr>
                    <w:keepNext/>
                    <w:spacing w:line="320" w:lineRule="exact"/>
                    <w:ind w:firstLine="0" w:firstLineChars="0"/>
                    <w:jc w:val="center"/>
                    <w:textAlignment w:val="baseline"/>
                    <w:rPr>
                      <w:rFonts w:ascii="Times New Roman" w:hAnsi="Times New Roman" w:cs="Times New Roman"/>
                      <w:color w:val="auto"/>
                      <w:spacing w:val="11"/>
                      <w:kern w:val="0"/>
                      <w:sz w:val="21"/>
                      <w:szCs w:val="21"/>
                      <w:highlight w:val="none"/>
                      <w:u w:val="none"/>
                    </w:rPr>
                  </w:pPr>
                  <w:r>
                    <w:rPr>
                      <w:rFonts w:ascii="Times New Roman" w:hAnsi="Times New Roman" w:cs="Times New Roman"/>
                      <w:color w:val="auto"/>
                      <w:spacing w:val="11"/>
                      <w:kern w:val="0"/>
                      <w:sz w:val="21"/>
                      <w:szCs w:val="21"/>
                      <w:highlight w:val="none"/>
                      <w:u w:val="none"/>
                    </w:rPr>
                    <w:t>1次/</w:t>
                  </w:r>
                  <w:r>
                    <w:rPr>
                      <w:rFonts w:hint="eastAsia" w:ascii="Times New Roman" w:hAnsi="Times New Roman" w:cs="Times New Roman"/>
                      <w:color w:val="auto"/>
                      <w:spacing w:val="11"/>
                      <w:kern w:val="0"/>
                      <w:sz w:val="21"/>
                      <w:szCs w:val="21"/>
                      <w:highlight w:val="none"/>
                      <w:u w:val="none"/>
                      <w:lang w:val="en-US" w:eastAsia="zh-CN"/>
                    </w:rPr>
                    <w:t>月</w:t>
                  </w:r>
                </w:p>
              </w:tc>
              <w:tc>
                <w:tcPr>
                  <w:tcW w:w="1583" w:type="pct"/>
                  <w:vMerge w:val="continue"/>
                  <w:tcBorders>
                    <w:tl2br w:val="nil"/>
                    <w:tr2bl w:val="nil"/>
                  </w:tcBorders>
                  <w:vAlign w:val="center"/>
                </w:tcPr>
                <w:p w14:paraId="5B415BA9">
                  <w:pPr>
                    <w:spacing w:line="240" w:lineRule="auto"/>
                    <w:ind w:firstLine="0" w:firstLineChars="0"/>
                    <w:jc w:val="center"/>
                    <w:rPr>
                      <w:rFonts w:ascii="Times New Roman" w:hAnsi="Times New Roman" w:cs="Times New Roman"/>
                      <w:color w:val="auto"/>
                      <w:spacing w:val="11"/>
                      <w:kern w:val="0"/>
                      <w:sz w:val="21"/>
                      <w:szCs w:val="20"/>
                      <w:highlight w:val="yellow"/>
                      <w:u w:val="none"/>
                    </w:rPr>
                  </w:pPr>
                </w:p>
              </w:tc>
            </w:tr>
            <w:tr w14:paraId="2C2C2F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vMerge w:val="continue"/>
                  <w:tcBorders>
                    <w:tl2br w:val="nil"/>
                    <w:tr2bl w:val="nil"/>
                  </w:tcBorders>
                  <w:vAlign w:val="center"/>
                </w:tcPr>
                <w:p w14:paraId="70C92678">
                  <w:pPr>
                    <w:spacing w:line="240" w:lineRule="auto"/>
                    <w:ind w:firstLine="0" w:firstLineChars="0"/>
                    <w:jc w:val="center"/>
                    <w:rPr>
                      <w:rFonts w:ascii="Times New Roman" w:hAnsi="Times New Roman" w:cs="Times New Roman"/>
                      <w:color w:val="auto"/>
                      <w:spacing w:val="11"/>
                      <w:kern w:val="0"/>
                      <w:sz w:val="21"/>
                      <w:szCs w:val="21"/>
                      <w:highlight w:val="none"/>
                      <w:u w:val="none"/>
                    </w:rPr>
                  </w:pPr>
                </w:p>
              </w:tc>
              <w:tc>
                <w:tcPr>
                  <w:tcW w:w="614" w:type="pct"/>
                  <w:vMerge w:val="continue"/>
                  <w:tcBorders>
                    <w:tl2br w:val="nil"/>
                    <w:tr2bl w:val="nil"/>
                  </w:tcBorders>
                  <w:vAlign w:val="center"/>
                </w:tcPr>
                <w:p w14:paraId="13C0BA8D">
                  <w:pPr>
                    <w:keepNext/>
                    <w:spacing w:line="320" w:lineRule="exact"/>
                    <w:ind w:firstLine="0" w:firstLineChars="0"/>
                    <w:jc w:val="center"/>
                    <w:textAlignment w:val="baseline"/>
                    <w:rPr>
                      <w:rFonts w:ascii="Times New Roman" w:hAnsi="Times New Roman" w:cs="Times New Roman"/>
                      <w:color w:val="auto"/>
                      <w:spacing w:val="11"/>
                      <w:kern w:val="0"/>
                      <w:sz w:val="21"/>
                      <w:szCs w:val="21"/>
                      <w:highlight w:val="none"/>
                      <w:u w:val="none"/>
                    </w:rPr>
                  </w:pPr>
                </w:p>
              </w:tc>
              <w:tc>
                <w:tcPr>
                  <w:tcW w:w="1470" w:type="pct"/>
                  <w:tcBorders>
                    <w:tl2br w:val="nil"/>
                    <w:tr2bl w:val="nil"/>
                  </w:tcBorders>
                  <w:vAlign w:val="center"/>
                </w:tcPr>
                <w:p w14:paraId="0A8CB982">
                  <w:pPr>
                    <w:keepNext/>
                    <w:spacing w:line="320" w:lineRule="exact"/>
                    <w:ind w:firstLine="0" w:firstLineChars="0"/>
                    <w:jc w:val="center"/>
                    <w:textAlignment w:val="baseline"/>
                    <w:rPr>
                      <w:rFonts w:ascii="Times New Roman" w:hAnsi="Times New Roman" w:cs="Times New Roman"/>
                      <w:color w:val="auto"/>
                      <w:spacing w:val="11"/>
                      <w:kern w:val="0"/>
                      <w:sz w:val="21"/>
                      <w:szCs w:val="21"/>
                      <w:highlight w:val="none"/>
                      <w:u w:val="none"/>
                    </w:rPr>
                  </w:pPr>
                  <w:r>
                    <w:rPr>
                      <w:rFonts w:hint="eastAsia" w:ascii="Times New Roman" w:hAnsi="Times New Roman" w:cs="Times New Roman"/>
                      <w:color w:val="auto"/>
                      <w:spacing w:val="11"/>
                      <w:kern w:val="0"/>
                      <w:sz w:val="21"/>
                      <w:szCs w:val="21"/>
                      <w:highlight w:val="none"/>
                      <w:u w:val="none"/>
                      <w:lang w:val="en-US" w:eastAsia="zh-CN"/>
                    </w:rPr>
                    <w:t>五日生化需氧量、石油类、挥发酚、动植物油、阴离子表面活性剂、总氰化物、总余氯</w:t>
                  </w:r>
                </w:p>
              </w:tc>
              <w:tc>
                <w:tcPr>
                  <w:tcW w:w="777" w:type="pct"/>
                  <w:tcBorders>
                    <w:tl2br w:val="nil"/>
                    <w:tr2bl w:val="nil"/>
                  </w:tcBorders>
                  <w:vAlign w:val="center"/>
                </w:tcPr>
                <w:p w14:paraId="15DEEA66">
                  <w:pPr>
                    <w:keepNext/>
                    <w:spacing w:line="320" w:lineRule="exact"/>
                    <w:ind w:firstLine="0" w:firstLineChars="0"/>
                    <w:jc w:val="center"/>
                    <w:textAlignment w:val="baseline"/>
                    <w:rPr>
                      <w:rFonts w:ascii="Times New Roman" w:hAnsi="Times New Roman" w:cs="Times New Roman"/>
                      <w:color w:val="auto"/>
                      <w:spacing w:val="11"/>
                      <w:kern w:val="0"/>
                      <w:sz w:val="21"/>
                      <w:szCs w:val="21"/>
                      <w:highlight w:val="none"/>
                      <w:u w:val="none"/>
                    </w:rPr>
                  </w:pPr>
                  <w:r>
                    <w:rPr>
                      <w:rFonts w:ascii="Times New Roman" w:hAnsi="Times New Roman" w:cs="Times New Roman"/>
                      <w:color w:val="auto"/>
                      <w:spacing w:val="11"/>
                      <w:kern w:val="0"/>
                      <w:sz w:val="21"/>
                      <w:szCs w:val="21"/>
                      <w:highlight w:val="none"/>
                      <w:u w:val="none"/>
                    </w:rPr>
                    <w:t>1次/</w:t>
                  </w:r>
                  <w:r>
                    <w:rPr>
                      <w:rFonts w:hint="eastAsia" w:ascii="Times New Roman" w:hAnsi="Times New Roman" w:cs="Times New Roman"/>
                      <w:color w:val="auto"/>
                      <w:spacing w:val="11"/>
                      <w:kern w:val="0"/>
                      <w:sz w:val="21"/>
                      <w:szCs w:val="21"/>
                      <w:highlight w:val="none"/>
                      <w:u w:val="none"/>
                      <w:lang w:val="en-US" w:eastAsia="zh-CN"/>
                    </w:rPr>
                    <w:t>季</w:t>
                  </w:r>
                </w:p>
              </w:tc>
              <w:tc>
                <w:tcPr>
                  <w:tcW w:w="1583" w:type="pct"/>
                  <w:vMerge w:val="continue"/>
                  <w:tcBorders>
                    <w:tl2br w:val="nil"/>
                    <w:tr2bl w:val="nil"/>
                  </w:tcBorders>
                  <w:vAlign w:val="center"/>
                </w:tcPr>
                <w:p w14:paraId="3576103B">
                  <w:pPr>
                    <w:spacing w:line="240" w:lineRule="auto"/>
                    <w:ind w:firstLine="0" w:firstLineChars="0"/>
                    <w:jc w:val="center"/>
                    <w:rPr>
                      <w:rFonts w:ascii="Times New Roman" w:hAnsi="Times New Roman" w:cs="Times New Roman"/>
                      <w:color w:val="auto"/>
                      <w:spacing w:val="11"/>
                      <w:kern w:val="0"/>
                      <w:sz w:val="21"/>
                      <w:szCs w:val="20"/>
                      <w:highlight w:val="yellow"/>
                      <w:u w:val="none"/>
                    </w:rPr>
                  </w:pPr>
                </w:p>
              </w:tc>
            </w:tr>
          </w:tbl>
          <w:p w14:paraId="031C0EE8">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leftChars="0" w:right="0" w:firstLine="0" w:firstLineChars="0"/>
              <w:textAlignment w:val="auto"/>
              <w:rPr>
                <w:rFonts w:hint="default" w:ascii="Times New Roman" w:hAnsi="Times New Roman" w:cs="Times New Roman" w:eastAsiaTheme="minorEastAsia"/>
                <w:b/>
                <w:color w:val="auto"/>
                <w:spacing w:val="11"/>
                <w:position w:val="0"/>
                <w:sz w:val="24"/>
                <w:szCs w:val="24"/>
                <w:highlight w:val="none"/>
                <w:u w:val="none" w:color="auto"/>
              </w:rPr>
            </w:pPr>
            <w:r>
              <w:rPr>
                <w:rFonts w:hint="eastAsia" w:cs="Times New Roman" w:eastAsiaTheme="minorEastAsia"/>
                <w:b/>
                <w:color w:val="auto"/>
                <w:spacing w:val="11"/>
                <w:position w:val="0"/>
                <w:sz w:val="24"/>
                <w:szCs w:val="24"/>
                <w:highlight w:val="none"/>
                <w:u w:val="none" w:color="auto"/>
                <w:lang w:val="en-US" w:eastAsia="zh-CN"/>
              </w:rPr>
              <w:t>3</w:t>
            </w:r>
            <w:r>
              <w:rPr>
                <w:rFonts w:hint="default" w:ascii="Times New Roman" w:hAnsi="Times New Roman" w:cs="Times New Roman" w:eastAsiaTheme="minorEastAsia"/>
                <w:b/>
                <w:color w:val="auto"/>
                <w:spacing w:val="11"/>
                <w:position w:val="0"/>
                <w:sz w:val="24"/>
                <w:szCs w:val="24"/>
                <w:highlight w:val="none"/>
                <w:u w:val="none" w:color="auto"/>
              </w:rPr>
              <w:t>噪声环境影响分析</w:t>
            </w:r>
          </w:p>
          <w:p w14:paraId="1FB78693">
            <w:pPr>
              <w:keepNext w:val="0"/>
              <w:keepLines w:val="0"/>
              <w:suppressLineNumbers w:val="0"/>
              <w:spacing w:before="0" w:beforeAutospacing="0" w:after="0" w:afterAutospacing="0" w:line="360" w:lineRule="auto"/>
              <w:ind w:left="0" w:right="0" w:firstLine="420"/>
              <w:rPr>
                <w:rFonts w:hint="default" w:ascii="Times New Roman" w:hAnsi="Times New Roman" w:eastAsia="宋体" w:cs="Times New Roman"/>
                <w:b/>
                <w:caps w:val="0"/>
                <w:smallCaps w:val="0"/>
                <w:color w:val="auto"/>
                <w:spacing w:val="11"/>
                <w:kern w:val="0"/>
                <w:position w:val="0"/>
                <w:sz w:val="21"/>
                <w:szCs w:val="24"/>
                <w:highlight w:val="none"/>
                <w:u w:val="none" w:color="auto"/>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本项目运营期产生的噪声主要来自污水处理站水泵、科室和卫生间的排风扇、空调净化循环机组等设备运行噪声以及就诊人员产生的社会噪声，本项目</w:t>
            </w:r>
            <w:r>
              <w:rPr>
                <w:rFonts w:hint="default" w:ascii="Times New Roman" w:hAnsi="Times New Roman" w:cs="Times New Roman" w:eastAsiaTheme="minorEastAsia"/>
                <w:color w:val="auto"/>
                <w:spacing w:val="11"/>
                <w:position w:val="0"/>
                <w:sz w:val="24"/>
                <w:szCs w:val="24"/>
                <w:highlight w:val="none"/>
                <w:u w:val="none" w:color="auto"/>
              </w:rPr>
              <w:t>主要噪声源强及采用的治理措施情况见表</w:t>
            </w:r>
            <w:r>
              <w:rPr>
                <w:rFonts w:hint="eastAsia" w:cs="Times New Roman" w:eastAsiaTheme="minorEastAsia"/>
                <w:color w:val="auto"/>
                <w:spacing w:val="11"/>
                <w:position w:val="0"/>
                <w:sz w:val="24"/>
                <w:szCs w:val="24"/>
                <w:highlight w:val="none"/>
                <w:u w:val="none" w:color="auto"/>
                <w:lang w:val="en-US" w:eastAsia="zh-CN"/>
              </w:rPr>
              <w:t>4-13</w:t>
            </w:r>
            <w:r>
              <w:rPr>
                <w:rFonts w:hint="default" w:ascii="Times New Roman" w:hAnsi="Times New Roman" w:cs="Times New Roman" w:eastAsiaTheme="minorEastAsia"/>
                <w:color w:val="auto"/>
                <w:spacing w:val="11"/>
                <w:position w:val="0"/>
                <w:sz w:val="24"/>
                <w:szCs w:val="24"/>
                <w:highlight w:val="none"/>
                <w:u w:val="none" w:color="auto"/>
              </w:rPr>
              <w:t>。</w:t>
            </w:r>
          </w:p>
          <w:p w14:paraId="0E5711AF">
            <w:pPr>
              <w:autoSpaceDE w:val="0"/>
              <w:autoSpaceDN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11"/>
                <w:kern w:val="0"/>
                <w:position w:val="0"/>
                <w:sz w:val="21"/>
                <w:szCs w:val="24"/>
                <w:highlight w:val="none"/>
                <w:u w:val="none" w:color="auto"/>
              </w:rPr>
            </w:pPr>
            <w:r>
              <w:rPr>
                <w:rFonts w:hint="default" w:ascii="Times New Roman" w:hAnsi="Times New Roman" w:eastAsia="宋体" w:cs="Times New Roman"/>
                <w:b/>
                <w:caps w:val="0"/>
                <w:smallCaps w:val="0"/>
                <w:color w:val="auto"/>
                <w:spacing w:val="11"/>
                <w:kern w:val="0"/>
                <w:position w:val="0"/>
                <w:sz w:val="21"/>
                <w:szCs w:val="24"/>
                <w:highlight w:val="none"/>
                <w:u w:val="none" w:color="auto"/>
              </w:rPr>
              <w:t>表</w:t>
            </w:r>
            <w:r>
              <w:rPr>
                <w:rFonts w:hint="eastAsia" w:ascii="Times New Roman" w:hAnsi="Times New Roman" w:cs="Times New Roman"/>
                <w:b/>
                <w:caps w:val="0"/>
                <w:smallCaps w:val="0"/>
                <w:color w:val="auto"/>
                <w:spacing w:val="11"/>
                <w:kern w:val="0"/>
                <w:position w:val="0"/>
                <w:sz w:val="21"/>
                <w:szCs w:val="24"/>
                <w:highlight w:val="none"/>
                <w:u w:val="none" w:color="auto"/>
                <w:lang w:val="en-US" w:eastAsia="zh-CN"/>
              </w:rPr>
              <w:t>4-</w:t>
            </w:r>
            <w:r>
              <w:rPr>
                <w:rFonts w:hint="eastAsia" w:cs="Times New Roman"/>
                <w:b/>
                <w:caps w:val="0"/>
                <w:smallCaps w:val="0"/>
                <w:color w:val="auto"/>
                <w:spacing w:val="11"/>
                <w:kern w:val="0"/>
                <w:position w:val="0"/>
                <w:sz w:val="21"/>
                <w:szCs w:val="24"/>
                <w:highlight w:val="none"/>
                <w:u w:val="none" w:color="auto"/>
                <w:lang w:val="en-US" w:eastAsia="zh-CN"/>
              </w:rPr>
              <w:t xml:space="preserve">13 </w:t>
            </w:r>
            <w:r>
              <w:rPr>
                <w:rFonts w:hint="default" w:ascii="Times New Roman" w:hAnsi="Times New Roman" w:eastAsia="宋体" w:cs="Times New Roman"/>
                <w:b/>
                <w:caps w:val="0"/>
                <w:smallCaps w:val="0"/>
                <w:color w:val="auto"/>
                <w:spacing w:val="11"/>
                <w:kern w:val="0"/>
                <w:position w:val="0"/>
                <w:sz w:val="21"/>
                <w:szCs w:val="24"/>
                <w:highlight w:val="none"/>
                <w:u w:val="none" w:color="auto"/>
              </w:rPr>
              <w:t xml:space="preserve"> 项目噪声源强调查清单（室内声源）</w:t>
            </w:r>
          </w:p>
          <w:tbl>
            <w:tblPr>
              <w:tblStyle w:val="69"/>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16"/>
              <w:gridCol w:w="1031"/>
              <w:gridCol w:w="845"/>
              <w:gridCol w:w="829"/>
              <w:gridCol w:w="621"/>
              <w:gridCol w:w="770"/>
              <w:gridCol w:w="843"/>
              <w:gridCol w:w="756"/>
              <w:gridCol w:w="711"/>
              <w:gridCol w:w="847"/>
              <w:gridCol w:w="1075"/>
            </w:tblGrid>
            <w:tr w14:paraId="09D0BD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44" w:type="pct"/>
                  <w:vMerge w:val="restart"/>
                  <w:tcBorders>
                    <w:tl2br w:val="nil"/>
                    <w:tr2bl w:val="nil"/>
                  </w:tcBorders>
                  <w:vAlign w:val="center"/>
                </w:tcPr>
                <w:p w14:paraId="3F674DA0">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建筑物名称</w:t>
                  </w:r>
                </w:p>
              </w:tc>
              <w:tc>
                <w:tcPr>
                  <w:tcW w:w="576" w:type="pct"/>
                  <w:vMerge w:val="restart"/>
                  <w:tcBorders>
                    <w:tl2br w:val="nil"/>
                    <w:tr2bl w:val="nil"/>
                  </w:tcBorders>
                  <w:vAlign w:val="center"/>
                </w:tcPr>
                <w:p w14:paraId="5D9A3E27">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噪声源</w:t>
                  </w:r>
                </w:p>
              </w:tc>
              <w:tc>
                <w:tcPr>
                  <w:tcW w:w="472" w:type="pct"/>
                  <w:vMerge w:val="restart"/>
                  <w:tcBorders>
                    <w:tl2br w:val="nil"/>
                    <w:tr2bl w:val="nil"/>
                  </w:tcBorders>
                  <w:vAlign w:val="center"/>
                </w:tcPr>
                <w:p w14:paraId="40B85D37">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lang w:val="en-US" w:eastAsia="zh-CN"/>
                    </w:rPr>
                  </w:pPr>
                  <w:r>
                    <w:rPr>
                      <w:rFonts w:hint="eastAsia" w:ascii="Times New Roman" w:hAnsi="Times New Roman" w:cs="Times New Roman"/>
                      <w:caps w:val="0"/>
                      <w:smallCaps w:val="0"/>
                      <w:color w:val="auto"/>
                      <w:spacing w:val="11"/>
                      <w:kern w:val="0"/>
                      <w:position w:val="0"/>
                      <w:sz w:val="21"/>
                      <w:szCs w:val="24"/>
                      <w:highlight w:val="none"/>
                      <w:u w:val="none" w:color="auto"/>
                      <w:lang w:val="en-US" w:eastAsia="zh-CN"/>
                    </w:rPr>
                    <w:t>设备数量（台/套/条）</w:t>
                  </w:r>
                </w:p>
              </w:tc>
              <w:tc>
                <w:tcPr>
                  <w:tcW w:w="463" w:type="pct"/>
                  <w:vMerge w:val="restart"/>
                  <w:tcBorders>
                    <w:tl2br w:val="nil"/>
                    <w:tr2bl w:val="nil"/>
                  </w:tcBorders>
                  <w:vAlign w:val="center"/>
                </w:tcPr>
                <w:p w14:paraId="11635FD6">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声功率级dB(A)</w:t>
                  </w:r>
                </w:p>
              </w:tc>
              <w:tc>
                <w:tcPr>
                  <w:tcW w:w="347" w:type="pct"/>
                  <w:vMerge w:val="restart"/>
                  <w:tcBorders>
                    <w:tl2br w:val="nil"/>
                    <w:tr2bl w:val="nil"/>
                  </w:tcBorders>
                  <w:vAlign w:val="center"/>
                </w:tcPr>
                <w:p w14:paraId="1925C772">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声源控制措施</w:t>
                  </w:r>
                </w:p>
              </w:tc>
              <w:tc>
                <w:tcPr>
                  <w:tcW w:w="430" w:type="pct"/>
                  <w:vMerge w:val="restart"/>
                  <w:tcBorders>
                    <w:tl2br w:val="nil"/>
                    <w:tr2bl w:val="nil"/>
                  </w:tcBorders>
                  <w:vAlign w:val="center"/>
                </w:tcPr>
                <w:p w14:paraId="35043C05">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距室内</w:t>
                  </w:r>
                </w:p>
                <w:p w14:paraId="56D1FEFA">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边界距</w:t>
                  </w:r>
                </w:p>
                <w:p w14:paraId="600D1362">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离m</w:t>
                  </w:r>
                </w:p>
              </w:tc>
              <w:tc>
                <w:tcPr>
                  <w:tcW w:w="471" w:type="pct"/>
                  <w:vMerge w:val="restart"/>
                  <w:tcBorders>
                    <w:tl2br w:val="nil"/>
                    <w:tr2bl w:val="nil"/>
                  </w:tcBorders>
                  <w:vAlign w:val="center"/>
                </w:tcPr>
                <w:p w14:paraId="4437E44D">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室内边界声级</w:t>
                  </w:r>
                </w:p>
                <w:p w14:paraId="68A25A91">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dB(A)</w:t>
                  </w:r>
                </w:p>
              </w:tc>
              <w:tc>
                <w:tcPr>
                  <w:tcW w:w="422" w:type="pct"/>
                  <w:vMerge w:val="restart"/>
                  <w:tcBorders>
                    <w:tl2br w:val="nil"/>
                    <w:tr2bl w:val="nil"/>
                  </w:tcBorders>
                  <w:vAlign w:val="center"/>
                </w:tcPr>
                <w:p w14:paraId="3DB83D80">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建筑物插入损失dB(A)</w:t>
                  </w:r>
                </w:p>
              </w:tc>
              <w:tc>
                <w:tcPr>
                  <w:tcW w:w="870" w:type="pct"/>
                  <w:gridSpan w:val="2"/>
                  <w:tcBorders>
                    <w:tl2br w:val="nil"/>
                    <w:tr2bl w:val="nil"/>
                  </w:tcBorders>
                  <w:vAlign w:val="center"/>
                </w:tcPr>
                <w:p w14:paraId="7936C8D3">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建筑物外噪声</w:t>
                  </w:r>
                </w:p>
              </w:tc>
              <w:tc>
                <w:tcPr>
                  <w:tcW w:w="600" w:type="pct"/>
                  <w:vMerge w:val="restart"/>
                  <w:tcBorders>
                    <w:tl2br w:val="nil"/>
                    <w:tr2bl w:val="nil"/>
                  </w:tcBorders>
                  <w:vAlign w:val="center"/>
                </w:tcPr>
                <w:p w14:paraId="78F79101">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多个噪声源叠加</w:t>
                  </w:r>
                  <w:r>
                    <w:rPr>
                      <w:rFonts w:hint="default" w:ascii="Times New Roman" w:hAnsi="Times New Roman" w:eastAsia="宋体" w:cs="Times New Roman"/>
                      <w:caps w:val="0"/>
                      <w:smallCaps w:val="0"/>
                      <w:color w:val="auto"/>
                      <w:spacing w:val="11"/>
                      <w:kern w:val="0"/>
                      <w:position w:val="0"/>
                      <w:sz w:val="21"/>
                      <w:szCs w:val="24"/>
                      <w:highlight w:val="none"/>
                      <w:u w:val="none" w:color="auto"/>
                      <w:lang w:val="en-US" w:eastAsia="zh-CN"/>
                    </w:rPr>
                    <w:t>db(A)</w:t>
                  </w:r>
                </w:p>
              </w:tc>
            </w:tr>
            <w:tr w14:paraId="398283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89" w:hRule="atLeast"/>
              </w:trPr>
              <w:tc>
                <w:tcPr>
                  <w:tcW w:w="344" w:type="pct"/>
                  <w:vMerge w:val="continue"/>
                  <w:tcBorders>
                    <w:tl2br w:val="nil"/>
                    <w:tr2bl w:val="nil"/>
                  </w:tcBorders>
                  <w:vAlign w:val="center"/>
                </w:tcPr>
                <w:p w14:paraId="7596EB96">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576" w:type="pct"/>
                  <w:vMerge w:val="continue"/>
                  <w:tcBorders>
                    <w:tl2br w:val="nil"/>
                    <w:tr2bl w:val="nil"/>
                  </w:tcBorders>
                  <w:vAlign w:val="center"/>
                </w:tcPr>
                <w:p w14:paraId="24A07000">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472" w:type="pct"/>
                  <w:vMerge w:val="continue"/>
                  <w:tcBorders>
                    <w:tl2br w:val="nil"/>
                    <w:tr2bl w:val="nil"/>
                  </w:tcBorders>
                  <w:vAlign w:val="center"/>
                </w:tcPr>
                <w:p w14:paraId="5B00137D">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yellow"/>
                      <w:u w:val="none" w:color="auto"/>
                    </w:rPr>
                  </w:pPr>
                </w:p>
              </w:tc>
              <w:tc>
                <w:tcPr>
                  <w:tcW w:w="463" w:type="pct"/>
                  <w:vMerge w:val="continue"/>
                  <w:tcBorders>
                    <w:tl2br w:val="nil"/>
                    <w:tr2bl w:val="nil"/>
                  </w:tcBorders>
                  <w:vAlign w:val="center"/>
                </w:tcPr>
                <w:p w14:paraId="04A10435">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347" w:type="pct"/>
                  <w:vMerge w:val="continue"/>
                  <w:tcBorders>
                    <w:tl2br w:val="nil"/>
                    <w:tr2bl w:val="nil"/>
                  </w:tcBorders>
                  <w:vAlign w:val="center"/>
                </w:tcPr>
                <w:p w14:paraId="345889E3">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430" w:type="pct"/>
                  <w:vMerge w:val="continue"/>
                  <w:tcBorders>
                    <w:tl2br w:val="nil"/>
                    <w:tr2bl w:val="nil"/>
                  </w:tcBorders>
                  <w:vAlign w:val="center"/>
                </w:tcPr>
                <w:p w14:paraId="6BA582E7">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471" w:type="pct"/>
                  <w:vMerge w:val="continue"/>
                  <w:tcBorders>
                    <w:tl2br w:val="nil"/>
                    <w:tr2bl w:val="nil"/>
                  </w:tcBorders>
                  <w:vAlign w:val="center"/>
                </w:tcPr>
                <w:p w14:paraId="6561CBA7">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422" w:type="pct"/>
                  <w:vMerge w:val="continue"/>
                  <w:tcBorders>
                    <w:tl2br w:val="nil"/>
                    <w:tr2bl w:val="nil"/>
                  </w:tcBorders>
                  <w:vAlign w:val="center"/>
                </w:tcPr>
                <w:p w14:paraId="015009AC">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397" w:type="pct"/>
                  <w:tcBorders>
                    <w:tl2br w:val="nil"/>
                    <w:tr2bl w:val="nil"/>
                  </w:tcBorders>
                  <w:vAlign w:val="center"/>
                </w:tcPr>
                <w:p w14:paraId="55F30705">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声压级dB(A)</w:t>
                  </w:r>
                </w:p>
              </w:tc>
              <w:tc>
                <w:tcPr>
                  <w:tcW w:w="473" w:type="pct"/>
                  <w:tcBorders>
                    <w:tl2br w:val="nil"/>
                    <w:tr2bl w:val="nil"/>
                  </w:tcBorders>
                  <w:vAlign w:val="center"/>
                </w:tcPr>
                <w:p w14:paraId="7E75F418">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建筑物外距离</w:t>
                  </w:r>
                </w:p>
                <w:p w14:paraId="7C849A5E">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m</w:t>
                  </w:r>
                </w:p>
              </w:tc>
              <w:tc>
                <w:tcPr>
                  <w:tcW w:w="600" w:type="pct"/>
                  <w:vMerge w:val="continue"/>
                  <w:tcBorders>
                    <w:tl2br w:val="nil"/>
                    <w:tr2bl w:val="nil"/>
                  </w:tcBorders>
                  <w:vAlign w:val="center"/>
                </w:tcPr>
                <w:p w14:paraId="0D051024">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yellow"/>
                      <w:u w:val="none" w:color="auto"/>
                    </w:rPr>
                  </w:pPr>
                </w:p>
              </w:tc>
            </w:tr>
            <w:tr w14:paraId="7FD833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44" w:type="pct"/>
                  <w:tcBorders>
                    <w:tl2br w:val="nil"/>
                    <w:tr2bl w:val="nil"/>
                  </w:tcBorders>
                  <w:vAlign w:val="center"/>
                </w:tcPr>
                <w:p w14:paraId="3566817D">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lang w:val="en-US" w:eastAsia="zh-CN"/>
                    </w:rPr>
                  </w:pPr>
                  <w:r>
                    <w:rPr>
                      <w:rFonts w:hint="default" w:ascii="Times New Roman" w:hAnsi="Times New Roman" w:eastAsia="宋体" w:cs="Times New Roman"/>
                      <w:caps w:val="0"/>
                      <w:smallCaps w:val="0"/>
                      <w:color w:val="auto"/>
                      <w:spacing w:val="11"/>
                      <w:kern w:val="0"/>
                      <w:position w:val="0"/>
                      <w:sz w:val="21"/>
                      <w:szCs w:val="24"/>
                      <w:highlight w:val="none"/>
                      <w:u w:val="none" w:color="auto"/>
                      <w:lang w:val="en-US" w:eastAsia="zh-CN"/>
                    </w:rPr>
                    <w:t>污水处理设备间</w:t>
                  </w:r>
                </w:p>
              </w:tc>
              <w:tc>
                <w:tcPr>
                  <w:tcW w:w="576" w:type="pct"/>
                  <w:tcBorders>
                    <w:tl2br w:val="nil"/>
                    <w:tr2bl w:val="nil"/>
                  </w:tcBorders>
                  <w:shd w:val="clear" w:color="auto" w:fill="auto"/>
                  <w:vAlign w:val="center"/>
                </w:tcPr>
                <w:p w14:paraId="4B428D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cs="Times New Roman"/>
                      <w:color w:val="auto"/>
                      <w:spacing w:val="11"/>
                      <w:position w:val="0"/>
                      <w:sz w:val="21"/>
                      <w:szCs w:val="21"/>
                      <w:highlight w:val="none"/>
                      <w:u w:val="none" w:color="auto"/>
                      <w:lang w:val="en-US" w:eastAsia="zh-CN"/>
                    </w:rPr>
                    <w:t>污水处理站水泵</w:t>
                  </w:r>
                </w:p>
              </w:tc>
              <w:tc>
                <w:tcPr>
                  <w:tcW w:w="472" w:type="pct"/>
                  <w:tcBorders>
                    <w:tl2br w:val="nil"/>
                    <w:tr2bl w:val="nil"/>
                  </w:tcBorders>
                  <w:shd w:val="clear" w:color="auto" w:fill="auto"/>
                  <w:vAlign w:val="center"/>
                </w:tcPr>
                <w:p w14:paraId="3485F9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cs="Times New Roman"/>
                      <w:color w:val="auto"/>
                      <w:spacing w:val="11"/>
                      <w:position w:val="0"/>
                      <w:sz w:val="21"/>
                      <w:szCs w:val="21"/>
                      <w:highlight w:val="none"/>
                      <w:u w:val="none" w:color="auto"/>
                      <w:lang w:val="en-US" w:eastAsia="zh-CN"/>
                    </w:rPr>
                    <w:t>1</w:t>
                  </w:r>
                </w:p>
              </w:tc>
              <w:tc>
                <w:tcPr>
                  <w:tcW w:w="463" w:type="pct"/>
                  <w:tcBorders>
                    <w:tl2br w:val="nil"/>
                    <w:tr2bl w:val="nil"/>
                  </w:tcBorders>
                  <w:shd w:val="clear" w:color="auto" w:fill="auto"/>
                  <w:vAlign w:val="center"/>
                </w:tcPr>
                <w:p w14:paraId="19DF2E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75</w:t>
                  </w:r>
                </w:p>
              </w:tc>
              <w:tc>
                <w:tcPr>
                  <w:tcW w:w="347" w:type="pct"/>
                  <w:vMerge w:val="restart"/>
                  <w:tcBorders>
                    <w:tl2br w:val="nil"/>
                    <w:tr2bl w:val="nil"/>
                  </w:tcBorders>
                  <w:shd w:val="clear" w:color="auto" w:fill="auto"/>
                  <w:vAlign w:val="center"/>
                </w:tcPr>
                <w:p w14:paraId="60DDED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选用低噪声设备，</w:t>
                  </w:r>
                  <w:r>
                    <w:rPr>
                      <w:rFonts w:hint="eastAsia" w:cs="Times New Roman"/>
                      <w:color w:val="auto"/>
                      <w:spacing w:val="11"/>
                      <w:position w:val="0"/>
                      <w:sz w:val="21"/>
                      <w:szCs w:val="21"/>
                      <w:highlight w:val="none"/>
                      <w:u w:val="none" w:color="auto"/>
                      <w:lang w:val="en-US" w:eastAsia="zh-CN"/>
                    </w:rPr>
                    <w:t>墙体</w:t>
                  </w:r>
                  <w:r>
                    <w:rPr>
                      <w:rFonts w:hint="default" w:ascii="Times New Roman" w:hAnsi="Times New Roman" w:eastAsia="宋体" w:cs="Times New Roman"/>
                      <w:color w:val="auto"/>
                      <w:spacing w:val="11"/>
                      <w:position w:val="0"/>
                      <w:sz w:val="21"/>
                      <w:szCs w:val="21"/>
                      <w:highlight w:val="none"/>
                      <w:u w:val="none" w:color="auto"/>
                      <w:lang w:val="en-US" w:eastAsia="zh-CN"/>
                    </w:rPr>
                    <w:t>隔声，加装减振基础，强噪声设备加装隔声</w:t>
                  </w:r>
                </w:p>
                <w:p w14:paraId="273B24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罩</w:t>
                  </w:r>
                </w:p>
              </w:tc>
              <w:tc>
                <w:tcPr>
                  <w:tcW w:w="430" w:type="pct"/>
                  <w:tcBorders>
                    <w:tl2br w:val="nil"/>
                    <w:tr2bl w:val="nil"/>
                  </w:tcBorders>
                  <w:shd w:val="clear" w:color="auto" w:fill="auto"/>
                  <w:vAlign w:val="center"/>
                </w:tcPr>
                <w:p w14:paraId="763732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1</w:t>
                  </w:r>
                </w:p>
              </w:tc>
              <w:tc>
                <w:tcPr>
                  <w:tcW w:w="471" w:type="pct"/>
                  <w:tcBorders>
                    <w:tl2br w:val="nil"/>
                    <w:tr2bl w:val="nil"/>
                  </w:tcBorders>
                  <w:shd w:val="clear" w:color="auto" w:fill="auto"/>
                  <w:vAlign w:val="center"/>
                </w:tcPr>
                <w:p w14:paraId="23B28C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75.33</w:t>
                  </w:r>
                </w:p>
              </w:tc>
              <w:tc>
                <w:tcPr>
                  <w:tcW w:w="422" w:type="pct"/>
                  <w:tcBorders>
                    <w:tl2br w:val="nil"/>
                    <w:tr2bl w:val="nil"/>
                  </w:tcBorders>
                  <w:shd w:val="clear" w:color="auto" w:fill="auto"/>
                  <w:vAlign w:val="center"/>
                </w:tcPr>
                <w:p w14:paraId="5C5571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20</w:t>
                  </w:r>
                </w:p>
              </w:tc>
              <w:tc>
                <w:tcPr>
                  <w:tcW w:w="397" w:type="pct"/>
                  <w:tcBorders>
                    <w:tl2br w:val="nil"/>
                    <w:tr2bl w:val="nil"/>
                  </w:tcBorders>
                  <w:shd w:val="clear" w:color="auto" w:fill="auto"/>
                  <w:vAlign w:val="center"/>
                </w:tcPr>
                <w:p w14:paraId="60105A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55.33</w:t>
                  </w:r>
                </w:p>
              </w:tc>
              <w:tc>
                <w:tcPr>
                  <w:tcW w:w="473" w:type="pct"/>
                  <w:tcBorders>
                    <w:tl2br w:val="nil"/>
                    <w:tr2bl w:val="nil"/>
                  </w:tcBorders>
                  <w:shd w:val="clear" w:color="auto" w:fill="auto"/>
                  <w:vAlign w:val="center"/>
                </w:tcPr>
                <w:p w14:paraId="50DF87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1</w:t>
                  </w:r>
                </w:p>
              </w:tc>
              <w:tc>
                <w:tcPr>
                  <w:tcW w:w="600" w:type="pct"/>
                  <w:vMerge w:val="restart"/>
                  <w:tcBorders>
                    <w:tl2br w:val="nil"/>
                    <w:tr2bl w:val="nil"/>
                  </w:tcBorders>
                  <w:shd w:val="clear" w:color="auto" w:fill="auto"/>
                  <w:vAlign w:val="center"/>
                </w:tcPr>
                <w:p w14:paraId="71B848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57.23</w:t>
                  </w:r>
                </w:p>
              </w:tc>
            </w:tr>
            <w:tr w14:paraId="032B53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44" w:type="pct"/>
                  <w:vMerge w:val="restart"/>
                  <w:tcBorders>
                    <w:tl2br w:val="nil"/>
                    <w:tr2bl w:val="nil"/>
                  </w:tcBorders>
                  <w:vAlign w:val="center"/>
                </w:tcPr>
                <w:p w14:paraId="7682E9A6">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lang w:val="en-US" w:eastAsia="zh-CN"/>
                    </w:rPr>
                  </w:pPr>
                  <w:r>
                    <w:rPr>
                      <w:rFonts w:hint="eastAsia" w:cs="Times New Roman"/>
                      <w:caps w:val="0"/>
                      <w:smallCaps w:val="0"/>
                      <w:color w:val="auto"/>
                      <w:spacing w:val="11"/>
                      <w:kern w:val="0"/>
                      <w:position w:val="0"/>
                      <w:sz w:val="21"/>
                      <w:szCs w:val="24"/>
                      <w:highlight w:val="none"/>
                      <w:u w:val="none" w:color="auto"/>
                      <w:lang w:val="en-US" w:eastAsia="zh-CN"/>
                    </w:rPr>
                    <w:t>门诊综合楼</w:t>
                  </w:r>
                </w:p>
              </w:tc>
              <w:tc>
                <w:tcPr>
                  <w:tcW w:w="576" w:type="pct"/>
                  <w:tcBorders>
                    <w:tl2br w:val="nil"/>
                    <w:tr2bl w:val="nil"/>
                  </w:tcBorders>
                  <w:shd w:val="clear" w:color="auto" w:fill="auto"/>
                  <w:vAlign w:val="center"/>
                </w:tcPr>
                <w:p w14:paraId="0E75CD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cs="Times New Roman"/>
                      <w:color w:val="auto"/>
                      <w:spacing w:val="11"/>
                      <w:position w:val="0"/>
                      <w:sz w:val="21"/>
                      <w:szCs w:val="21"/>
                      <w:highlight w:val="none"/>
                      <w:u w:val="none" w:color="auto"/>
                      <w:lang w:val="en-US" w:eastAsia="zh-CN"/>
                    </w:rPr>
                    <w:t>高温消防</w:t>
                  </w:r>
                  <w:r>
                    <w:rPr>
                      <w:rFonts w:hint="default" w:ascii="Times New Roman" w:hAnsi="Times New Roman" w:cs="Times New Roman"/>
                      <w:color w:val="auto"/>
                      <w:spacing w:val="11"/>
                      <w:position w:val="0"/>
                      <w:sz w:val="21"/>
                      <w:szCs w:val="21"/>
                      <w:highlight w:val="none"/>
                      <w:u w:val="none" w:color="auto"/>
                      <w:lang w:val="en-US" w:eastAsia="zh-CN"/>
                    </w:rPr>
                    <w:t>离心排风机</w:t>
                  </w:r>
                </w:p>
              </w:tc>
              <w:tc>
                <w:tcPr>
                  <w:tcW w:w="472" w:type="pct"/>
                  <w:tcBorders>
                    <w:tl2br w:val="nil"/>
                    <w:tr2bl w:val="nil"/>
                  </w:tcBorders>
                  <w:shd w:val="clear" w:color="auto" w:fill="auto"/>
                  <w:vAlign w:val="center"/>
                </w:tcPr>
                <w:p w14:paraId="28156E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cs="Times New Roman"/>
                      <w:color w:val="auto"/>
                      <w:spacing w:val="11"/>
                      <w:position w:val="0"/>
                      <w:sz w:val="21"/>
                      <w:szCs w:val="21"/>
                      <w:highlight w:val="none"/>
                      <w:u w:val="none" w:color="auto"/>
                      <w:lang w:val="en-US" w:eastAsia="zh-CN"/>
                    </w:rPr>
                    <w:t>4</w:t>
                  </w:r>
                </w:p>
              </w:tc>
              <w:tc>
                <w:tcPr>
                  <w:tcW w:w="463" w:type="pct"/>
                  <w:tcBorders>
                    <w:tl2br w:val="nil"/>
                    <w:tr2bl w:val="nil"/>
                  </w:tcBorders>
                  <w:shd w:val="clear" w:color="auto" w:fill="auto"/>
                  <w:vAlign w:val="center"/>
                </w:tcPr>
                <w:p w14:paraId="69C351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75</w:t>
                  </w:r>
                </w:p>
              </w:tc>
              <w:tc>
                <w:tcPr>
                  <w:tcW w:w="347" w:type="pct"/>
                  <w:vMerge w:val="continue"/>
                  <w:tcBorders>
                    <w:tl2br w:val="nil"/>
                    <w:tr2bl w:val="nil"/>
                  </w:tcBorders>
                  <w:shd w:val="clear" w:color="auto" w:fill="auto"/>
                  <w:vAlign w:val="center"/>
                </w:tcPr>
                <w:p w14:paraId="6C8957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p>
              </w:tc>
              <w:tc>
                <w:tcPr>
                  <w:tcW w:w="430" w:type="pct"/>
                  <w:tcBorders>
                    <w:tl2br w:val="nil"/>
                    <w:tr2bl w:val="nil"/>
                  </w:tcBorders>
                  <w:shd w:val="clear" w:color="auto" w:fill="auto"/>
                  <w:vAlign w:val="center"/>
                </w:tcPr>
                <w:p w14:paraId="49A51A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1</w:t>
                  </w:r>
                </w:p>
              </w:tc>
              <w:tc>
                <w:tcPr>
                  <w:tcW w:w="471" w:type="pct"/>
                  <w:tcBorders>
                    <w:tl2br w:val="nil"/>
                    <w:tr2bl w:val="nil"/>
                  </w:tcBorders>
                  <w:shd w:val="clear" w:color="auto" w:fill="auto"/>
                  <w:vAlign w:val="center"/>
                </w:tcPr>
                <w:p w14:paraId="7C0C15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64.54</w:t>
                  </w:r>
                </w:p>
              </w:tc>
              <w:tc>
                <w:tcPr>
                  <w:tcW w:w="422" w:type="pct"/>
                  <w:tcBorders>
                    <w:tl2br w:val="nil"/>
                    <w:tr2bl w:val="nil"/>
                  </w:tcBorders>
                  <w:shd w:val="clear" w:color="auto" w:fill="auto"/>
                  <w:vAlign w:val="center"/>
                </w:tcPr>
                <w:p w14:paraId="17A39C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20</w:t>
                  </w:r>
                </w:p>
              </w:tc>
              <w:tc>
                <w:tcPr>
                  <w:tcW w:w="397" w:type="pct"/>
                  <w:tcBorders>
                    <w:tl2br w:val="nil"/>
                    <w:tr2bl w:val="nil"/>
                  </w:tcBorders>
                  <w:shd w:val="clear" w:color="auto" w:fill="auto"/>
                  <w:vAlign w:val="center"/>
                </w:tcPr>
                <w:p w14:paraId="25279B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44.54</w:t>
                  </w:r>
                </w:p>
              </w:tc>
              <w:tc>
                <w:tcPr>
                  <w:tcW w:w="473" w:type="pct"/>
                  <w:tcBorders>
                    <w:tl2br w:val="nil"/>
                    <w:tr2bl w:val="nil"/>
                  </w:tcBorders>
                  <w:shd w:val="clear" w:color="auto" w:fill="auto"/>
                  <w:vAlign w:val="center"/>
                </w:tcPr>
                <w:p w14:paraId="25A63A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1</w:t>
                  </w:r>
                </w:p>
              </w:tc>
              <w:tc>
                <w:tcPr>
                  <w:tcW w:w="600" w:type="pct"/>
                  <w:vMerge w:val="continue"/>
                  <w:tcBorders>
                    <w:tl2br w:val="nil"/>
                    <w:tr2bl w:val="nil"/>
                  </w:tcBorders>
                  <w:shd w:val="clear" w:color="auto" w:fill="auto"/>
                  <w:vAlign w:val="center"/>
                </w:tcPr>
                <w:p w14:paraId="33C8F4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p>
              </w:tc>
            </w:tr>
            <w:tr w14:paraId="328A3E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44" w:type="pct"/>
                  <w:vMerge w:val="continue"/>
                  <w:tcBorders>
                    <w:tl2br w:val="nil"/>
                    <w:tr2bl w:val="nil"/>
                  </w:tcBorders>
                  <w:vAlign w:val="center"/>
                </w:tcPr>
                <w:p w14:paraId="48A1EB91">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576" w:type="pct"/>
                  <w:tcBorders>
                    <w:tl2br w:val="nil"/>
                    <w:tr2bl w:val="nil"/>
                  </w:tcBorders>
                  <w:shd w:val="clear" w:color="auto" w:fill="auto"/>
                  <w:vAlign w:val="center"/>
                </w:tcPr>
                <w:p w14:paraId="6906E9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低噪音箱式风机</w:t>
                  </w:r>
                </w:p>
              </w:tc>
              <w:tc>
                <w:tcPr>
                  <w:tcW w:w="472" w:type="pct"/>
                  <w:tcBorders>
                    <w:tl2br w:val="nil"/>
                    <w:tr2bl w:val="nil"/>
                  </w:tcBorders>
                  <w:shd w:val="clear" w:color="auto" w:fill="auto"/>
                  <w:vAlign w:val="center"/>
                </w:tcPr>
                <w:p w14:paraId="085EF1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8</w:t>
                  </w:r>
                </w:p>
              </w:tc>
              <w:tc>
                <w:tcPr>
                  <w:tcW w:w="463" w:type="pct"/>
                  <w:tcBorders>
                    <w:tl2br w:val="nil"/>
                    <w:tr2bl w:val="nil"/>
                  </w:tcBorders>
                  <w:shd w:val="clear" w:color="auto" w:fill="auto"/>
                  <w:vAlign w:val="center"/>
                </w:tcPr>
                <w:p w14:paraId="7299B6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70</w:t>
                  </w:r>
                </w:p>
              </w:tc>
              <w:tc>
                <w:tcPr>
                  <w:tcW w:w="347" w:type="pct"/>
                  <w:vMerge w:val="continue"/>
                  <w:tcBorders>
                    <w:tl2br w:val="nil"/>
                    <w:tr2bl w:val="nil"/>
                  </w:tcBorders>
                  <w:shd w:val="clear" w:color="auto" w:fill="auto"/>
                  <w:vAlign w:val="center"/>
                </w:tcPr>
                <w:p w14:paraId="55CA5F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p>
              </w:tc>
              <w:tc>
                <w:tcPr>
                  <w:tcW w:w="430" w:type="pct"/>
                  <w:tcBorders>
                    <w:tl2br w:val="nil"/>
                    <w:tr2bl w:val="nil"/>
                  </w:tcBorders>
                  <w:shd w:val="clear" w:color="auto" w:fill="auto"/>
                  <w:vAlign w:val="center"/>
                </w:tcPr>
                <w:p w14:paraId="129F85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1</w:t>
                  </w:r>
                </w:p>
              </w:tc>
              <w:tc>
                <w:tcPr>
                  <w:tcW w:w="471" w:type="pct"/>
                  <w:tcBorders>
                    <w:tl2br w:val="nil"/>
                    <w:tr2bl w:val="nil"/>
                  </w:tcBorders>
                  <w:shd w:val="clear" w:color="auto" w:fill="auto"/>
                  <w:vAlign w:val="center"/>
                </w:tcPr>
                <w:p w14:paraId="7D0F70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59.54</w:t>
                  </w:r>
                </w:p>
              </w:tc>
              <w:tc>
                <w:tcPr>
                  <w:tcW w:w="422" w:type="pct"/>
                  <w:tcBorders>
                    <w:tl2br w:val="nil"/>
                    <w:tr2bl w:val="nil"/>
                  </w:tcBorders>
                  <w:shd w:val="clear" w:color="auto" w:fill="auto"/>
                  <w:vAlign w:val="center"/>
                </w:tcPr>
                <w:p w14:paraId="41A7F8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20</w:t>
                  </w:r>
                </w:p>
              </w:tc>
              <w:tc>
                <w:tcPr>
                  <w:tcW w:w="397" w:type="pct"/>
                  <w:tcBorders>
                    <w:tl2br w:val="nil"/>
                    <w:tr2bl w:val="nil"/>
                  </w:tcBorders>
                  <w:shd w:val="clear" w:color="auto" w:fill="auto"/>
                  <w:vAlign w:val="center"/>
                </w:tcPr>
                <w:p w14:paraId="7BFDEC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39.54</w:t>
                  </w:r>
                </w:p>
              </w:tc>
              <w:tc>
                <w:tcPr>
                  <w:tcW w:w="473" w:type="pct"/>
                  <w:tcBorders>
                    <w:tl2br w:val="nil"/>
                    <w:tr2bl w:val="nil"/>
                  </w:tcBorders>
                  <w:shd w:val="clear" w:color="auto" w:fill="auto"/>
                  <w:vAlign w:val="center"/>
                </w:tcPr>
                <w:p w14:paraId="67879B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1</w:t>
                  </w:r>
                </w:p>
              </w:tc>
              <w:tc>
                <w:tcPr>
                  <w:tcW w:w="600" w:type="pct"/>
                  <w:vMerge w:val="continue"/>
                  <w:tcBorders>
                    <w:tl2br w:val="nil"/>
                    <w:tr2bl w:val="nil"/>
                  </w:tcBorders>
                  <w:shd w:val="clear" w:color="auto" w:fill="auto"/>
                  <w:vAlign w:val="center"/>
                </w:tcPr>
                <w:p w14:paraId="46C877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p>
              </w:tc>
            </w:tr>
            <w:tr w14:paraId="38B212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44" w:type="pct"/>
                  <w:vMerge w:val="continue"/>
                  <w:tcBorders>
                    <w:tl2br w:val="nil"/>
                    <w:tr2bl w:val="nil"/>
                  </w:tcBorders>
                  <w:vAlign w:val="center"/>
                </w:tcPr>
                <w:p w14:paraId="5F3171A0">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576" w:type="pct"/>
                  <w:tcBorders>
                    <w:tl2br w:val="nil"/>
                    <w:tr2bl w:val="nil"/>
                  </w:tcBorders>
                  <w:shd w:val="clear" w:color="auto" w:fill="auto"/>
                  <w:vAlign w:val="center"/>
                </w:tcPr>
                <w:p w14:paraId="5598C8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吊顶式空调机组</w:t>
                  </w:r>
                </w:p>
              </w:tc>
              <w:tc>
                <w:tcPr>
                  <w:tcW w:w="472" w:type="pct"/>
                  <w:tcBorders>
                    <w:tl2br w:val="nil"/>
                    <w:tr2bl w:val="nil"/>
                  </w:tcBorders>
                  <w:shd w:val="clear" w:color="auto" w:fill="auto"/>
                  <w:vAlign w:val="center"/>
                </w:tcPr>
                <w:p w14:paraId="0AA43F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38</w:t>
                  </w:r>
                </w:p>
              </w:tc>
              <w:tc>
                <w:tcPr>
                  <w:tcW w:w="463" w:type="pct"/>
                  <w:tcBorders>
                    <w:tl2br w:val="nil"/>
                    <w:tr2bl w:val="nil"/>
                  </w:tcBorders>
                  <w:shd w:val="clear" w:color="auto" w:fill="auto"/>
                  <w:vAlign w:val="center"/>
                </w:tcPr>
                <w:p w14:paraId="10F649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45</w:t>
                  </w:r>
                </w:p>
              </w:tc>
              <w:tc>
                <w:tcPr>
                  <w:tcW w:w="347" w:type="pct"/>
                  <w:vMerge w:val="continue"/>
                  <w:tcBorders>
                    <w:tl2br w:val="nil"/>
                    <w:tr2bl w:val="nil"/>
                  </w:tcBorders>
                  <w:shd w:val="clear" w:color="auto" w:fill="auto"/>
                  <w:vAlign w:val="center"/>
                </w:tcPr>
                <w:p w14:paraId="0B3F7E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p>
              </w:tc>
              <w:tc>
                <w:tcPr>
                  <w:tcW w:w="430" w:type="pct"/>
                  <w:tcBorders>
                    <w:tl2br w:val="nil"/>
                    <w:tr2bl w:val="nil"/>
                  </w:tcBorders>
                  <w:shd w:val="clear" w:color="auto" w:fill="auto"/>
                  <w:vAlign w:val="center"/>
                </w:tcPr>
                <w:p w14:paraId="671663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1</w:t>
                  </w:r>
                </w:p>
              </w:tc>
              <w:tc>
                <w:tcPr>
                  <w:tcW w:w="471" w:type="pct"/>
                  <w:tcBorders>
                    <w:tl2br w:val="nil"/>
                    <w:tr2bl w:val="nil"/>
                  </w:tcBorders>
                  <w:shd w:val="clear" w:color="auto" w:fill="auto"/>
                  <w:vAlign w:val="center"/>
                </w:tcPr>
                <w:p w14:paraId="3783BD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34.54</w:t>
                  </w:r>
                </w:p>
              </w:tc>
              <w:tc>
                <w:tcPr>
                  <w:tcW w:w="422" w:type="pct"/>
                  <w:tcBorders>
                    <w:tl2br w:val="nil"/>
                    <w:tr2bl w:val="nil"/>
                  </w:tcBorders>
                  <w:shd w:val="clear" w:color="auto" w:fill="auto"/>
                  <w:vAlign w:val="center"/>
                </w:tcPr>
                <w:p w14:paraId="35AB64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20</w:t>
                  </w:r>
                </w:p>
              </w:tc>
              <w:tc>
                <w:tcPr>
                  <w:tcW w:w="397" w:type="pct"/>
                  <w:tcBorders>
                    <w:tl2br w:val="nil"/>
                    <w:tr2bl w:val="nil"/>
                  </w:tcBorders>
                  <w:shd w:val="clear" w:color="auto" w:fill="auto"/>
                  <w:vAlign w:val="center"/>
                </w:tcPr>
                <w:p w14:paraId="5265B7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14.54</w:t>
                  </w:r>
                </w:p>
              </w:tc>
              <w:tc>
                <w:tcPr>
                  <w:tcW w:w="473" w:type="pct"/>
                  <w:tcBorders>
                    <w:tl2br w:val="nil"/>
                    <w:tr2bl w:val="nil"/>
                  </w:tcBorders>
                  <w:shd w:val="clear" w:color="auto" w:fill="auto"/>
                  <w:vAlign w:val="center"/>
                </w:tcPr>
                <w:p w14:paraId="4B6C35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1</w:t>
                  </w:r>
                </w:p>
              </w:tc>
              <w:tc>
                <w:tcPr>
                  <w:tcW w:w="600" w:type="pct"/>
                  <w:vMerge w:val="continue"/>
                  <w:tcBorders>
                    <w:tl2br w:val="nil"/>
                    <w:tr2bl w:val="nil"/>
                  </w:tcBorders>
                  <w:shd w:val="clear" w:color="auto" w:fill="auto"/>
                  <w:vAlign w:val="center"/>
                </w:tcPr>
                <w:p w14:paraId="638748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p>
              </w:tc>
            </w:tr>
          </w:tbl>
          <w:p w14:paraId="0A4E9463">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right="0"/>
              <w:textAlignment w:val="auto"/>
              <w:rPr>
                <w:rFonts w:hint="default" w:ascii="Times New Roman" w:hAnsi="Times New Roman" w:cs="Times New Roman" w:eastAsiaTheme="minorEastAsia"/>
                <w:color w:val="auto"/>
                <w:spacing w:val="11"/>
                <w:position w:val="0"/>
                <w:sz w:val="24"/>
                <w:szCs w:val="24"/>
                <w:highlight w:val="none"/>
                <w:u w:val="none" w:color="auto"/>
              </w:rPr>
            </w:pPr>
            <w:r>
              <w:rPr>
                <w:rFonts w:hint="default" w:ascii="Times New Roman" w:hAnsi="Times New Roman" w:cs="Times New Roman" w:eastAsiaTheme="minorEastAsia"/>
                <w:color w:val="auto"/>
                <w:spacing w:val="11"/>
                <w:position w:val="0"/>
                <w:sz w:val="24"/>
                <w:szCs w:val="24"/>
                <w:highlight w:val="none"/>
                <w:u w:val="none" w:color="auto"/>
              </w:rPr>
              <w:t>（1）预测模型</w:t>
            </w:r>
          </w:p>
          <w:p w14:paraId="53708C4E">
            <w:pPr>
              <w:keepNext w:val="0"/>
              <w:keepLines w:val="0"/>
              <w:suppressLineNumbers w:val="0"/>
              <w:tabs>
                <w:tab w:val="left" w:pos="1700"/>
              </w:tabs>
              <w:spacing w:before="0" w:beforeAutospacing="0" w:after="0" w:afterAutospacing="0" w:line="360" w:lineRule="auto"/>
              <w:ind w:left="0" w:right="0" w:firstLine="524" w:firstLineChars="200"/>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为了预测项目建成后对附近敏感点的噪声影响程度，根据本项目噪声源的特点和简化预测过程，本次评价采用声导则工业噪声预测计算模式中室内声源等效室外声源声功率级计算方法。</w:t>
            </w:r>
          </w:p>
          <w:p w14:paraId="4BA98315">
            <w:pPr>
              <w:keepNext w:val="0"/>
              <w:keepLines w:val="0"/>
              <w:suppressLineNumbers w:val="0"/>
              <w:tabs>
                <w:tab w:val="left" w:pos="1700"/>
              </w:tabs>
              <w:spacing w:before="0" w:beforeAutospacing="0" w:after="0" w:afterAutospacing="0" w:line="360" w:lineRule="auto"/>
              <w:ind w:left="0" w:right="0" w:firstLine="524" w:firstLineChars="200"/>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设靠近开口处(或窗户)室内、室外某倍频带的声压级分别为 Lp1 和 Lp2。若声源所在室内声场为近似扩散声场，则室外的倍频带声压级可按公式</w:t>
            </w:r>
            <w:r>
              <w:rPr>
                <w:rFonts w:hint="eastAsia" w:cs="Times New Roman" w:eastAsiaTheme="minorEastAsia"/>
                <w:color w:val="auto"/>
                <w:spacing w:val="11"/>
                <w:position w:val="0"/>
                <w:sz w:val="24"/>
                <w:szCs w:val="24"/>
                <w:highlight w:val="none"/>
                <w:u w:val="none" w:color="auto"/>
                <w:lang w:val="en-US" w:eastAsia="zh-CN"/>
              </w:rPr>
              <w:t>（1）</w:t>
            </w:r>
            <w:r>
              <w:rPr>
                <w:rFonts w:hint="default" w:ascii="Times New Roman" w:hAnsi="Times New Roman" w:cs="Times New Roman" w:eastAsiaTheme="minorEastAsia"/>
                <w:color w:val="auto"/>
                <w:spacing w:val="11"/>
                <w:position w:val="0"/>
                <w:sz w:val="24"/>
                <w:szCs w:val="24"/>
                <w:highlight w:val="none"/>
                <w:u w:val="none" w:color="auto"/>
                <w:lang w:val="en-US" w:eastAsia="zh-CN"/>
              </w:rPr>
              <w:t>近似求出：</w:t>
            </w:r>
          </w:p>
          <w:p w14:paraId="07CE74DC">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drawing>
                <wp:inline distT="0" distB="0" distL="114300" distR="114300">
                  <wp:extent cx="2019300" cy="457200"/>
                  <wp:effectExtent l="0" t="0" r="0" b="0"/>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pic:cNvPicPr>
                            <a:picLocks noChangeAspect="1"/>
                          </pic:cNvPicPr>
                        </pic:nvPicPr>
                        <pic:blipFill>
                          <a:blip r:embed="rId15"/>
                          <a:stretch>
                            <a:fillRect/>
                          </a:stretch>
                        </pic:blipFill>
                        <pic:spPr>
                          <a:xfrm>
                            <a:off x="0" y="0"/>
                            <a:ext cx="2019300" cy="457200"/>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11"/>
                <w:position w:val="0"/>
                <w:sz w:val="24"/>
                <w:szCs w:val="22"/>
                <w:u w:val="none" w:color="auto"/>
                <w:lang w:val="en-US" w:eastAsia="zh-CN"/>
              </w:rPr>
              <w:t xml:space="preserve">       （1）</w:t>
            </w:r>
          </w:p>
          <w:p w14:paraId="0F38E2E3">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式中：TL——隔墙(或窗户)倍频带的隔声量，dB（A）。</w:t>
            </w:r>
          </w:p>
          <w:p w14:paraId="342D8531">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drawing>
                <wp:inline distT="0" distB="0" distL="114300" distR="114300">
                  <wp:extent cx="2714625" cy="1343025"/>
                  <wp:effectExtent l="0" t="0" r="9525" b="9525"/>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16"/>
                          <a:stretch>
                            <a:fillRect/>
                          </a:stretch>
                        </pic:blipFill>
                        <pic:spPr>
                          <a:xfrm>
                            <a:off x="0" y="0"/>
                            <a:ext cx="2714625" cy="1343025"/>
                          </a:xfrm>
                          <a:prstGeom prst="rect">
                            <a:avLst/>
                          </a:prstGeom>
                          <a:noFill/>
                          <a:ln>
                            <a:noFill/>
                          </a:ln>
                        </pic:spPr>
                      </pic:pic>
                    </a:graphicData>
                  </a:graphic>
                </wp:inline>
              </w:drawing>
            </w:r>
          </w:p>
          <w:p w14:paraId="5A385809">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b/>
                <w:bCs/>
                <w:caps w:val="0"/>
                <w:smallCaps w:val="0"/>
                <w:color w:val="auto"/>
                <w:spacing w:val="11"/>
                <w:position w:val="0"/>
                <w:sz w:val="21"/>
                <w:szCs w:val="21"/>
                <w:u w:val="none" w:color="auto"/>
                <w:lang w:val="en-US" w:eastAsia="zh-CN"/>
              </w:rPr>
            </w:pPr>
            <w:r>
              <w:rPr>
                <w:rFonts w:hint="default" w:ascii="Times New Roman" w:hAnsi="Times New Roman" w:eastAsia="宋体" w:cs="Times New Roman"/>
                <w:b/>
                <w:bCs/>
                <w:caps w:val="0"/>
                <w:smallCaps w:val="0"/>
                <w:color w:val="auto"/>
                <w:spacing w:val="11"/>
                <w:position w:val="0"/>
                <w:sz w:val="21"/>
                <w:szCs w:val="21"/>
                <w:u w:val="none" w:color="auto"/>
                <w:lang w:val="en-US" w:eastAsia="zh-CN"/>
              </w:rPr>
              <w:t>图</w:t>
            </w:r>
            <w:r>
              <w:rPr>
                <w:rFonts w:hint="eastAsia" w:cs="Times New Roman"/>
                <w:b/>
                <w:bCs/>
                <w:caps w:val="0"/>
                <w:smallCaps w:val="0"/>
                <w:color w:val="auto"/>
                <w:spacing w:val="11"/>
                <w:position w:val="0"/>
                <w:sz w:val="21"/>
                <w:szCs w:val="21"/>
                <w:u w:val="none" w:color="auto"/>
                <w:lang w:val="en-US" w:eastAsia="zh-CN"/>
              </w:rPr>
              <w:t>4-3</w:t>
            </w:r>
            <w:r>
              <w:rPr>
                <w:rFonts w:hint="default" w:ascii="Times New Roman" w:hAnsi="Times New Roman" w:eastAsia="宋体" w:cs="Times New Roman"/>
                <w:b/>
                <w:bCs/>
                <w:caps w:val="0"/>
                <w:smallCaps w:val="0"/>
                <w:color w:val="auto"/>
                <w:spacing w:val="11"/>
                <w:position w:val="0"/>
                <w:sz w:val="21"/>
                <w:szCs w:val="21"/>
                <w:u w:val="none" w:color="auto"/>
                <w:lang w:val="en-US" w:eastAsia="zh-CN"/>
              </w:rPr>
              <w:t xml:space="preserve">  室内声源等效室外声源图例</w:t>
            </w:r>
          </w:p>
          <w:p w14:paraId="1D079CD6">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室内声源靠近围护结构处产生的倍频带声压级Lp1可按公式</w:t>
            </w:r>
            <w:r>
              <w:rPr>
                <w:rFonts w:hint="eastAsia" w:cs="Times New Roman"/>
                <w:caps w:val="0"/>
                <w:smallCaps w:val="0"/>
                <w:color w:val="auto"/>
                <w:spacing w:val="11"/>
                <w:position w:val="0"/>
                <w:sz w:val="24"/>
                <w:szCs w:val="22"/>
                <w:u w:val="none" w:color="auto"/>
                <w:lang w:val="en-US" w:eastAsia="zh-CN"/>
              </w:rPr>
              <w:t>（2）</w:t>
            </w:r>
            <w:r>
              <w:rPr>
                <w:rFonts w:hint="default" w:ascii="Times New Roman" w:hAnsi="Times New Roman" w:eastAsia="宋体" w:cs="Times New Roman"/>
                <w:caps w:val="0"/>
                <w:smallCaps w:val="0"/>
                <w:color w:val="auto"/>
                <w:spacing w:val="11"/>
                <w:position w:val="0"/>
                <w:sz w:val="24"/>
                <w:szCs w:val="22"/>
                <w:u w:val="none" w:color="auto"/>
                <w:lang w:val="en-US" w:eastAsia="zh-CN"/>
              </w:rPr>
              <w:t>计算得出。</w:t>
            </w:r>
          </w:p>
          <w:p w14:paraId="37B1FE82">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drawing>
                <wp:inline distT="0" distB="0" distL="114300" distR="114300">
                  <wp:extent cx="1666875" cy="355600"/>
                  <wp:effectExtent l="0" t="0" r="9525" b="6350"/>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17"/>
                          <a:stretch>
                            <a:fillRect/>
                          </a:stretch>
                        </pic:blipFill>
                        <pic:spPr>
                          <a:xfrm>
                            <a:off x="0" y="0"/>
                            <a:ext cx="1666875" cy="355600"/>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11"/>
                <w:position w:val="0"/>
                <w:sz w:val="24"/>
                <w:szCs w:val="22"/>
                <w:u w:val="none" w:color="auto"/>
                <w:lang w:val="en-US" w:eastAsia="zh-CN"/>
              </w:rPr>
              <w:t xml:space="preserve">       （2）</w:t>
            </w:r>
          </w:p>
          <w:p w14:paraId="1D63C620">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式中：Q—指向性因数；通常对无指向性声源，当声源放在房间中心时，Q=1；当放在一面墙的中心时，Q=2；当放在两面墙夹角处时，Q=4；当放在三面墙夹角处时，Q=8。</w:t>
            </w:r>
          </w:p>
          <w:p w14:paraId="49EF322D">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default" w:ascii="Times New Roman" w:hAnsi="Times New Roman" w:eastAsia="宋体" w:cs="Times New Roman"/>
                <w:caps w:val="0"/>
                <w:smallCaps w:val="0"/>
                <w:color w:val="auto"/>
                <w:spacing w:val="11"/>
                <w:position w:val="0"/>
                <w:sz w:val="24"/>
                <w:szCs w:val="22"/>
                <w:u w:val="none" w:color="auto"/>
                <w:lang w:val="en-US" w:eastAsia="zh-CN"/>
              </w:rPr>
              <w:t>R—房间常数；R=Sα/(1−α)，S 为房间内表面面积，m2；α为平均吸声系数；本项目α取 0.1。</w:t>
            </w:r>
          </w:p>
          <w:p w14:paraId="21C28EE5">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default" w:ascii="Times New Roman" w:hAnsi="Times New Roman" w:eastAsia="宋体" w:cs="Times New Roman"/>
                <w:caps w:val="0"/>
                <w:smallCaps w:val="0"/>
                <w:color w:val="auto"/>
                <w:spacing w:val="11"/>
                <w:position w:val="0"/>
                <w:sz w:val="24"/>
                <w:szCs w:val="22"/>
                <w:u w:val="none" w:color="auto"/>
                <w:lang w:val="en-US" w:eastAsia="zh-CN"/>
              </w:rPr>
              <w:t>r—声源到靠近围护结构某点处的距离，m。</w:t>
            </w:r>
          </w:p>
          <w:p w14:paraId="1C2B9385">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按公式</w:t>
            </w:r>
            <w:r>
              <w:rPr>
                <w:rFonts w:hint="eastAsia" w:cs="Times New Roman"/>
                <w:caps w:val="0"/>
                <w:smallCaps w:val="0"/>
                <w:color w:val="auto"/>
                <w:spacing w:val="11"/>
                <w:position w:val="0"/>
                <w:sz w:val="24"/>
                <w:szCs w:val="22"/>
                <w:u w:val="none" w:color="auto"/>
                <w:lang w:val="en-US" w:eastAsia="zh-CN"/>
              </w:rPr>
              <w:t>（3）</w:t>
            </w:r>
            <w:r>
              <w:rPr>
                <w:rFonts w:hint="default" w:ascii="Times New Roman" w:hAnsi="Times New Roman" w:eastAsia="宋体" w:cs="Times New Roman"/>
                <w:caps w:val="0"/>
                <w:smallCaps w:val="0"/>
                <w:color w:val="auto"/>
                <w:spacing w:val="11"/>
                <w:position w:val="0"/>
                <w:sz w:val="24"/>
                <w:szCs w:val="22"/>
                <w:u w:val="none" w:color="auto"/>
                <w:lang w:val="en-US" w:eastAsia="zh-CN"/>
              </w:rPr>
              <w:t>计算出所有室内声源在围护结构处产生的 i 倍频带叠加声压级：</w:t>
            </w:r>
          </w:p>
          <w:p w14:paraId="742C34B7">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drawing>
                <wp:inline distT="0" distB="0" distL="114300" distR="114300">
                  <wp:extent cx="1875790" cy="535940"/>
                  <wp:effectExtent l="0" t="0" r="10160" b="16510"/>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1"/>
                          </pic:cNvPicPr>
                        </pic:nvPicPr>
                        <pic:blipFill>
                          <a:blip r:embed="rId18"/>
                          <a:stretch>
                            <a:fillRect/>
                          </a:stretch>
                        </pic:blipFill>
                        <pic:spPr>
                          <a:xfrm>
                            <a:off x="0" y="0"/>
                            <a:ext cx="1875790" cy="535940"/>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11"/>
                <w:position w:val="0"/>
                <w:sz w:val="24"/>
                <w:szCs w:val="22"/>
                <w:u w:val="none" w:color="auto"/>
                <w:lang w:val="en-US" w:eastAsia="zh-CN"/>
              </w:rPr>
              <w:t xml:space="preserve">       （3）</w:t>
            </w:r>
          </w:p>
          <w:p w14:paraId="1075F79C">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式中：Lp1i(T)—靠近围护结构处室内 N 个声源 i 倍频带的叠加声压级，</w:t>
            </w:r>
            <w:r>
              <w:rPr>
                <w:rFonts w:hint="eastAsia" w:ascii="Times New Roman" w:hAnsi="Times New Roman" w:cs="Times New Roman"/>
                <w:caps w:val="0"/>
                <w:smallCaps w:val="0"/>
                <w:color w:val="auto"/>
                <w:spacing w:val="11"/>
                <w:position w:val="0"/>
                <w:sz w:val="24"/>
                <w:szCs w:val="22"/>
                <w:u w:val="none" w:color="auto"/>
                <w:lang w:val="en-US" w:eastAsia="zh-CN"/>
              </w:rPr>
              <w:t>d</w:t>
            </w:r>
            <w:r>
              <w:rPr>
                <w:rFonts w:hint="default" w:ascii="Times New Roman" w:hAnsi="Times New Roman" w:eastAsia="宋体" w:cs="Times New Roman"/>
                <w:caps w:val="0"/>
                <w:smallCaps w:val="0"/>
                <w:color w:val="auto"/>
                <w:spacing w:val="11"/>
                <w:position w:val="0"/>
                <w:sz w:val="24"/>
                <w:szCs w:val="22"/>
                <w:u w:val="none" w:color="auto"/>
                <w:lang w:val="en-US" w:eastAsia="zh-CN"/>
              </w:rPr>
              <w:t>b(A)；</w:t>
            </w:r>
          </w:p>
          <w:p w14:paraId="4015F3D4">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eastAsia" w:ascii="Times New Roman" w:hAnsi="Times New Roman" w:cs="Times New Roman"/>
                <w:caps w:val="0"/>
                <w:smallCaps w:val="0"/>
                <w:color w:val="auto"/>
                <w:spacing w:val="11"/>
                <w:position w:val="0"/>
                <w:sz w:val="24"/>
                <w:szCs w:val="22"/>
                <w:u w:val="none" w:color="auto"/>
                <w:lang w:val="en-US" w:eastAsia="zh-CN"/>
              </w:rPr>
              <w:t xml:space="preserve">   </w:t>
            </w: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default" w:ascii="Times New Roman" w:hAnsi="Times New Roman" w:eastAsia="宋体" w:cs="Times New Roman"/>
                <w:caps w:val="0"/>
                <w:smallCaps w:val="0"/>
                <w:color w:val="auto"/>
                <w:spacing w:val="11"/>
                <w:position w:val="0"/>
                <w:sz w:val="24"/>
                <w:szCs w:val="22"/>
                <w:u w:val="none" w:color="auto"/>
                <w:lang w:val="en-US" w:eastAsia="zh-CN"/>
              </w:rPr>
              <w:t>Lp1i—室内 j 声源 i 倍频带的声压级，dB(A)；</w:t>
            </w:r>
          </w:p>
          <w:p w14:paraId="271225F9">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eastAsia" w:ascii="Times New Roman" w:hAnsi="Times New Roman" w:cs="Times New Roman"/>
                <w:caps w:val="0"/>
                <w:smallCaps w:val="0"/>
                <w:color w:val="auto"/>
                <w:spacing w:val="11"/>
                <w:position w:val="0"/>
                <w:sz w:val="24"/>
                <w:szCs w:val="22"/>
                <w:u w:val="none" w:color="auto"/>
                <w:lang w:val="en-US" w:eastAsia="zh-CN"/>
              </w:rPr>
              <w:t xml:space="preserve">   </w:t>
            </w: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default" w:ascii="Times New Roman" w:hAnsi="Times New Roman" w:eastAsia="宋体" w:cs="Times New Roman"/>
                <w:caps w:val="0"/>
                <w:smallCaps w:val="0"/>
                <w:color w:val="auto"/>
                <w:spacing w:val="11"/>
                <w:position w:val="0"/>
                <w:sz w:val="24"/>
                <w:szCs w:val="22"/>
                <w:u w:val="none" w:color="auto"/>
                <w:lang w:val="en-US" w:eastAsia="zh-CN"/>
              </w:rPr>
              <w:t>N—室内声源总数。</w:t>
            </w:r>
          </w:p>
          <w:p w14:paraId="6187A169">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在室内近似为扩散声场时，按公式</w:t>
            </w:r>
            <w:r>
              <w:rPr>
                <w:rFonts w:hint="eastAsia" w:ascii="Times New Roman" w:hAnsi="Times New Roman" w:cs="Times New Roman"/>
                <w:caps w:val="0"/>
                <w:smallCaps w:val="0"/>
                <w:color w:val="auto"/>
                <w:spacing w:val="11"/>
                <w:position w:val="0"/>
                <w:sz w:val="24"/>
                <w:szCs w:val="22"/>
                <w:u w:val="none" w:color="auto"/>
                <w:lang w:val="en-US" w:eastAsia="zh-CN"/>
              </w:rPr>
              <w:t>（4）</w:t>
            </w:r>
            <w:r>
              <w:rPr>
                <w:rFonts w:hint="default" w:ascii="Times New Roman" w:hAnsi="Times New Roman" w:eastAsia="宋体" w:cs="Times New Roman"/>
                <w:caps w:val="0"/>
                <w:smallCaps w:val="0"/>
                <w:color w:val="auto"/>
                <w:spacing w:val="11"/>
                <w:position w:val="0"/>
                <w:sz w:val="24"/>
                <w:szCs w:val="22"/>
                <w:u w:val="none" w:color="auto"/>
                <w:lang w:val="en-US" w:eastAsia="zh-CN"/>
              </w:rPr>
              <w:t>计算出靠近室外围护结构处的声压级：</w:t>
            </w:r>
          </w:p>
          <w:p w14:paraId="217894A8">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drawing>
                <wp:inline distT="0" distB="0" distL="114300" distR="114300">
                  <wp:extent cx="2153285" cy="351155"/>
                  <wp:effectExtent l="0" t="0" r="18415" b="1079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19"/>
                          <a:stretch>
                            <a:fillRect/>
                          </a:stretch>
                        </pic:blipFill>
                        <pic:spPr>
                          <a:xfrm>
                            <a:off x="0" y="0"/>
                            <a:ext cx="2153285" cy="351155"/>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11"/>
                <w:position w:val="0"/>
                <w:sz w:val="24"/>
                <w:szCs w:val="22"/>
                <w:u w:val="none" w:color="auto"/>
                <w:lang w:val="en-US" w:eastAsia="zh-CN"/>
              </w:rPr>
              <w:t xml:space="preserve">       （4）</w:t>
            </w:r>
          </w:p>
          <w:p w14:paraId="1DB24C6D">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式中：Lp2i(T)—靠近围护结构处室外 N 个声源 i 倍频带的叠加声压级，dB；</w:t>
            </w:r>
          </w:p>
          <w:p w14:paraId="08233ACC">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eastAsia" w:ascii="Times New Roman" w:hAnsi="Times New Roman" w:cs="Times New Roman"/>
                <w:caps w:val="0"/>
                <w:smallCaps w:val="0"/>
                <w:color w:val="auto"/>
                <w:spacing w:val="11"/>
                <w:position w:val="0"/>
                <w:sz w:val="24"/>
                <w:szCs w:val="22"/>
                <w:u w:val="none" w:color="auto"/>
                <w:lang w:val="en-US" w:eastAsia="zh-CN"/>
              </w:rPr>
              <w:t xml:space="preserve">   </w:t>
            </w: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default" w:ascii="Times New Roman" w:hAnsi="Times New Roman" w:eastAsia="宋体" w:cs="Times New Roman"/>
                <w:caps w:val="0"/>
                <w:smallCaps w:val="0"/>
                <w:color w:val="auto"/>
                <w:spacing w:val="11"/>
                <w:position w:val="0"/>
                <w:sz w:val="24"/>
                <w:szCs w:val="22"/>
                <w:u w:val="none" w:color="auto"/>
                <w:lang w:val="en-US" w:eastAsia="zh-CN"/>
              </w:rPr>
              <w:t>TLi—围护结构 i 倍频带的隔声量，dB(A)。</w:t>
            </w:r>
          </w:p>
          <w:p w14:paraId="10A7D581">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然后按公式</w:t>
            </w:r>
            <w:r>
              <w:rPr>
                <w:rFonts w:hint="eastAsia" w:ascii="Times New Roman" w:hAnsi="Times New Roman" w:cs="Times New Roman"/>
                <w:caps w:val="0"/>
                <w:smallCaps w:val="0"/>
                <w:color w:val="auto"/>
                <w:spacing w:val="11"/>
                <w:position w:val="0"/>
                <w:sz w:val="24"/>
                <w:szCs w:val="22"/>
                <w:u w:val="none" w:color="auto"/>
                <w:lang w:val="en-US" w:eastAsia="zh-CN"/>
              </w:rPr>
              <w:t>（5）</w:t>
            </w:r>
            <w:r>
              <w:rPr>
                <w:rFonts w:hint="default" w:ascii="Times New Roman" w:hAnsi="Times New Roman" w:eastAsia="宋体" w:cs="Times New Roman"/>
                <w:caps w:val="0"/>
                <w:smallCaps w:val="0"/>
                <w:color w:val="auto"/>
                <w:spacing w:val="11"/>
                <w:position w:val="0"/>
                <w:sz w:val="24"/>
                <w:szCs w:val="22"/>
                <w:u w:val="none" w:color="auto"/>
                <w:lang w:val="en-US" w:eastAsia="zh-CN"/>
              </w:rPr>
              <w:t>将室外声源的声压级和透过面积换算成等效的室外声源，计算出中心位置位于透声面积(S)处的等效声源的倍频带声功率级。</w:t>
            </w:r>
          </w:p>
          <w:p w14:paraId="08907EC3">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drawing>
                <wp:inline distT="0" distB="0" distL="114300" distR="114300">
                  <wp:extent cx="2306320" cy="269875"/>
                  <wp:effectExtent l="0" t="0" r="17780" b="15875"/>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pic:cNvPicPr>
                            <a:picLocks noChangeAspect="1"/>
                          </pic:cNvPicPr>
                        </pic:nvPicPr>
                        <pic:blipFill>
                          <a:blip r:embed="rId20"/>
                          <a:stretch>
                            <a:fillRect/>
                          </a:stretch>
                        </pic:blipFill>
                        <pic:spPr>
                          <a:xfrm>
                            <a:off x="0" y="0"/>
                            <a:ext cx="2306320" cy="269875"/>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11"/>
                <w:position w:val="0"/>
                <w:sz w:val="24"/>
                <w:szCs w:val="22"/>
                <w:u w:val="none" w:color="auto"/>
                <w:lang w:val="en-US" w:eastAsia="zh-CN"/>
              </w:rPr>
              <w:t xml:space="preserve">       （5）</w:t>
            </w:r>
          </w:p>
          <w:p w14:paraId="6CA7819B">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然后按室外声源预测方法计算预测点处的声级。</w:t>
            </w:r>
          </w:p>
          <w:p w14:paraId="67B6C797">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eastAsia" w:ascii="Times New Roman" w:hAnsi="Times New Roman" w:cs="Times New Roman"/>
                <w:caps w:val="0"/>
                <w:smallCaps w:val="0"/>
                <w:color w:val="auto"/>
                <w:spacing w:val="11"/>
                <w:position w:val="0"/>
                <w:sz w:val="24"/>
                <w:szCs w:val="22"/>
                <w:u w:val="none" w:color="auto"/>
                <w:lang w:val="en-US" w:eastAsia="zh-CN"/>
              </w:rPr>
              <w:t>本项目评价时，将所有噪声源叠加等效为一个点声源，等效噪声源位于生产车间中心位置。利用贡献值预测模式对本项目厂界噪声进行预测，预测值模式对环境敏感保护目标点进行预测。</w:t>
            </w:r>
          </w:p>
          <w:p w14:paraId="453DB4E3">
            <w:pPr>
              <w:keepNext w:val="0"/>
              <w:keepLines w:val="0"/>
              <w:suppressLineNumbers w:val="0"/>
              <w:spacing w:before="0" w:beforeAutospacing="0" w:after="0" w:afterAutospacing="0" w:line="360" w:lineRule="auto"/>
              <w:ind w:left="0" w:right="0" w:firstLine="524" w:firstLineChars="200"/>
              <w:rPr>
                <w:rFonts w:hint="default" w:ascii="Times New Roman" w:hAnsi="Times New Roman" w:cs="Times New Roman" w:eastAsiaTheme="minorEastAsia"/>
                <w:snapToGrid w:val="0"/>
                <w:color w:val="auto"/>
                <w:spacing w:val="11"/>
                <w:position w:val="0"/>
                <w:sz w:val="24"/>
                <w:szCs w:val="24"/>
                <w:highlight w:val="none"/>
                <w:u w:val="none" w:color="auto"/>
              </w:rPr>
            </w:pPr>
            <w:r>
              <w:rPr>
                <w:rFonts w:hint="default" w:ascii="Times New Roman" w:hAnsi="Times New Roman" w:cs="Times New Roman" w:eastAsiaTheme="minorEastAsia"/>
                <w:snapToGrid w:val="0"/>
                <w:color w:val="auto"/>
                <w:spacing w:val="11"/>
                <w:position w:val="0"/>
                <w:sz w:val="24"/>
                <w:szCs w:val="24"/>
                <w:highlight w:val="none"/>
                <w:u w:val="none" w:color="auto"/>
              </w:rPr>
              <w:t>（2）预测结果分析</w:t>
            </w:r>
          </w:p>
          <w:p w14:paraId="7C2286FB">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①厂界噪声环境影响分析</w:t>
            </w:r>
          </w:p>
          <w:p w14:paraId="567A284D">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以项目厂界</w:t>
            </w:r>
            <w:r>
              <w:rPr>
                <w:rFonts w:hint="eastAsia" w:cs="Times New Roman"/>
                <w:caps w:val="0"/>
                <w:smallCaps w:val="0"/>
                <w:color w:val="auto"/>
                <w:spacing w:val="11"/>
                <w:position w:val="0"/>
                <w:sz w:val="24"/>
                <w:szCs w:val="22"/>
                <w:highlight w:val="none"/>
                <w:u w:val="none" w:color="auto"/>
                <w:lang w:val="en-US" w:eastAsia="zh-CN"/>
              </w:rPr>
              <w:t>叠加值</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作为评价量，具体预测评价结果见</w:t>
            </w:r>
            <w:r>
              <w:rPr>
                <w:rFonts w:hint="eastAsia" w:ascii="Times New Roman" w:hAnsi="Times New Roman" w:cs="Times New Roman"/>
                <w:caps w:val="0"/>
                <w:smallCaps w:val="0"/>
                <w:color w:val="auto"/>
                <w:spacing w:val="11"/>
                <w:position w:val="0"/>
                <w:sz w:val="24"/>
                <w:szCs w:val="22"/>
                <w:highlight w:val="none"/>
                <w:u w:val="none" w:color="auto"/>
                <w:lang w:val="en-US" w:eastAsia="zh-CN"/>
              </w:rPr>
              <w:t>下表</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w:t>
            </w:r>
          </w:p>
          <w:p w14:paraId="412DD8C5">
            <w:pPr>
              <w:autoSpaceDE w:val="0"/>
              <w:autoSpaceDN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11"/>
                <w:kern w:val="0"/>
                <w:position w:val="0"/>
                <w:sz w:val="21"/>
                <w:szCs w:val="21"/>
                <w:highlight w:val="none"/>
                <w:u w:val="none" w:color="auto"/>
                <w:lang w:val="en-US" w:eastAsia="zh-CN"/>
              </w:rPr>
            </w:pPr>
          </w:p>
          <w:p w14:paraId="1A9F1D21">
            <w:pPr>
              <w:autoSpaceDE w:val="0"/>
              <w:autoSpaceDN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11"/>
                <w:kern w:val="0"/>
                <w:position w:val="0"/>
                <w:sz w:val="21"/>
                <w:szCs w:val="21"/>
                <w:highlight w:val="none"/>
                <w:u w:val="none" w:color="auto"/>
                <w:lang w:val="en-US" w:eastAsia="zh-CN"/>
              </w:rPr>
            </w:pPr>
          </w:p>
          <w:p w14:paraId="4AF9388D">
            <w:pPr>
              <w:autoSpaceDE w:val="0"/>
              <w:autoSpaceDN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11"/>
                <w:kern w:val="0"/>
                <w:position w:val="0"/>
                <w:sz w:val="21"/>
                <w:szCs w:val="21"/>
                <w:highlight w:val="none"/>
                <w:u w:val="none" w:color="auto"/>
                <w:lang w:val="en-US" w:eastAsia="zh-CN"/>
              </w:rPr>
            </w:pPr>
            <w:r>
              <w:rPr>
                <w:rFonts w:hint="default" w:ascii="Times New Roman" w:hAnsi="Times New Roman" w:eastAsia="宋体" w:cs="Times New Roman"/>
                <w:b/>
                <w:caps w:val="0"/>
                <w:smallCaps w:val="0"/>
                <w:color w:val="auto"/>
                <w:spacing w:val="11"/>
                <w:kern w:val="0"/>
                <w:position w:val="0"/>
                <w:sz w:val="21"/>
                <w:szCs w:val="21"/>
                <w:highlight w:val="none"/>
                <w:u w:val="none" w:color="auto"/>
                <w:lang w:val="en-US" w:eastAsia="zh-CN"/>
              </w:rPr>
              <w:t>表</w:t>
            </w:r>
            <w:r>
              <w:rPr>
                <w:rFonts w:hint="eastAsia" w:ascii="Times New Roman" w:hAnsi="Times New Roman" w:eastAsia="宋体" w:cs="Times New Roman"/>
                <w:b/>
                <w:caps w:val="0"/>
                <w:smallCaps w:val="0"/>
                <w:color w:val="auto"/>
                <w:spacing w:val="11"/>
                <w:kern w:val="0"/>
                <w:position w:val="0"/>
                <w:sz w:val="21"/>
                <w:szCs w:val="21"/>
                <w:highlight w:val="none"/>
                <w:u w:val="none" w:color="auto"/>
                <w:lang w:val="en-US" w:eastAsia="zh-CN"/>
              </w:rPr>
              <w:t>4</w:t>
            </w:r>
            <w:r>
              <w:rPr>
                <w:rFonts w:hint="eastAsia" w:ascii="Times New Roman" w:hAnsi="Times New Roman" w:cs="Times New Roman"/>
                <w:b/>
                <w:caps w:val="0"/>
                <w:smallCaps w:val="0"/>
                <w:color w:val="auto"/>
                <w:spacing w:val="11"/>
                <w:kern w:val="0"/>
                <w:position w:val="0"/>
                <w:sz w:val="21"/>
                <w:szCs w:val="21"/>
                <w:highlight w:val="none"/>
                <w:u w:val="none" w:color="auto"/>
                <w:lang w:val="en-US" w:eastAsia="zh-CN"/>
              </w:rPr>
              <w:t>-</w:t>
            </w:r>
            <w:r>
              <w:rPr>
                <w:rFonts w:hint="eastAsia" w:cs="Times New Roman"/>
                <w:b/>
                <w:caps w:val="0"/>
                <w:smallCaps w:val="0"/>
                <w:color w:val="auto"/>
                <w:spacing w:val="11"/>
                <w:kern w:val="0"/>
                <w:position w:val="0"/>
                <w:sz w:val="21"/>
                <w:szCs w:val="21"/>
                <w:highlight w:val="none"/>
                <w:u w:val="none" w:color="auto"/>
                <w:lang w:val="en-US" w:eastAsia="zh-CN"/>
              </w:rPr>
              <w:t>14</w:t>
            </w:r>
            <w:r>
              <w:rPr>
                <w:rFonts w:hint="eastAsia" w:ascii="Times New Roman" w:hAnsi="Times New Roman" w:eastAsia="宋体" w:cs="Times New Roman"/>
                <w:b/>
                <w:caps w:val="0"/>
                <w:smallCaps w:val="0"/>
                <w:color w:val="auto"/>
                <w:spacing w:val="11"/>
                <w:kern w:val="0"/>
                <w:position w:val="0"/>
                <w:sz w:val="21"/>
                <w:szCs w:val="21"/>
                <w:highlight w:val="none"/>
                <w:u w:val="none" w:color="auto"/>
                <w:lang w:val="en-US" w:eastAsia="zh-CN"/>
              </w:rPr>
              <w:t xml:space="preserve">  </w:t>
            </w:r>
            <w:r>
              <w:rPr>
                <w:rFonts w:hint="default" w:ascii="Times New Roman" w:hAnsi="Times New Roman" w:eastAsia="宋体" w:cs="Times New Roman"/>
                <w:b/>
                <w:caps w:val="0"/>
                <w:smallCaps w:val="0"/>
                <w:color w:val="auto"/>
                <w:spacing w:val="11"/>
                <w:kern w:val="0"/>
                <w:position w:val="0"/>
                <w:sz w:val="21"/>
                <w:szCs w:val="21"/>
                <w:highlight w:val="none"/>
                <w:u w:val="none" w:color="auto"/>
                <w:lang w:val="en-US" w:eastAsia="zh-CN"/>
              </w:rPr>
              <w:t>厂界噪声预测评价结果表单位：dB（A）</w:t>
            </w:r>
          </w:p>
          <w:tbl>
            <w:tblPr>
              <w:tblStyle w:val="24"/>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052"/>
              <w:gridCol w:w="720"/>
              <w:gridCol w:w="779"/>
              <w:gridCol w:w="781"/>
              <w:gridCol w:w="707"/>
              <w:gridCol w:w="790"/>
              <w:gridCol w:w="816"/>
              <w:gridCol w:w="781"/>
              <w:gridCol w:w="693"/>
              <w:gridCol w:w="816"/>
              <w:gridCol w:w="1010"/>
            </w:tblGrid>
            <w:tr w14:paraId="79D524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jc w:val="center"/>
              </w:trPr>
              <w:tc>
                <w:tcPr>
                  <w:tcW w:w="990" w:type="pct"/>
                  <w:gridSpan w:val="2"/>
                  <w:vMerge w:val="restart"/>
                  <w:tcBorders>
                    <w:tl2br w:val="nil"/>
                    <w:tr2bl w:val="nil"/>
                  </w:tcBorders>
                  <w:shd w:val="clear" w:color="auto" w:fill="auto"/>
                  <w:vAlign w:val="center"/>
                </w:tcPr>
                <w:p w14:paraId="6345580E">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t>噪声源与厂界距离（m）</w:t>
                  </w:r>
                </w:p>
              </w:tc>
              <w:tc>
                <w:tcPr>
                  <w:tcW w:w="871" w:type="pct"/>
                  <w:gridSpan w:val="2"/>
                  <w:tcBorders>
                    <w:tl2br w:val="nil"/>
                    <w:tr2bl w:val="nil"/>
                  </w:tcBorders>
                  <w:shd w:val="clear" w:color="auto" w:fill="auto"/>
                  <w:vAlign w:val="center"/>
                </w:tcPr>
                <w:p w14:paraId="06EB170E">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t>厂界噪声贡献值</w:t>
                  </w:r>
                </w:p>
              </w:tc>
              <w:tc>
                <w:tcPr>
                  <w:tcW w:w="836" w:type="pct"/>
                  <w:gridSpan w:val="2"/>
                  <w:tcBorders>
                    <w:tl2br w:val="nil"/>
                    <w:tr2bl w:val="nil"/>
                  </w:tcBorders>
                  <w:shd w:val="clear" w:color="auto" w:fill="auto"/>
                  <w:vAlign w:val="center"/>
                </w:tcPr>
                <w:p w14:paraId="67E0ED4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背景值</w:t>
                  </w:r>
                </w:p>
              </w:tc>
              <w:tc>
                <w:tcPr>
                  <w:tcW w:w="892" w:type="pct"/>
                  <w:gridSpan w:val="2"/>
                  <w:tcBorders>
                    <w:tl2br w:val="nil"/>
                    <w:tr2bl w:val="nil"/>
                  </w:tcBorders>
                  <w:shd w:val="clear" w:color="auto" w:fill="auto"/>
                  <w:vAlign w:val="center"/>
                </w:tcPr>
                <w:p w14:paraId="0D551C26">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t>叠加值</w:t>
                  </w:r>
                </w:p>
              </w:tc>
              <w:tc>
                <w:tcPr>
                  <w:tcW w:w="843" w:type="pct"/>
                  <w:gridSpan w:val="2"/>
                  <w:tcBorders>
                    <w:tl2br w:val="nil"/>
                    <w:tr2bl w:val="nil"/>
                  </w:tcBorders>
                  <w:shd w:val="clear" w:color="auto" w:fill="auto"/>
                  <w:vAlign w:val="center"/>
                </w:tcPr>
                <w:p w14:paraId="3410750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标准</w:t>
                  </w:r>
                </w:p>
              </w:tc>
              <w:tc>
                <w:tcPr>
                  <w:tcW w:w="564" w:type="pct"/>
                  <w:vMerge w:val="restart"/>
                  <w:tcBorders>
                    <w:tl2br w:val="nil"/>
                    <w:tr2bl w:val="nil"/>
                  </w:tcBorders>
                  <w:shd w:val="clear" w:color="auto" w:fill="auto"/>
                  <w:vAlign w:val="center"/>
                </w:tcPr>
                <w:p w14:paraId="39369B4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达标情况</w:t>
                  </w:r>
                </w:p>
              </w:tc>
            </w:tr>
            <w:tr w14:paraId="282D17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990" w:type="pct"/>
                  <w:gridSpan w:val="2"/>
                  <w:vMerge w:val="continue"/>
                  <w:tcBorders>
                    <w:tl2br w:val="nil"/>
                    <w:tr2bl w:val="nil"/>
                  </w:tcBorders>
                  <w:shd w:val="clear" w:color="auto" w:fill="auto"/>
                  <w:vAlign w:val="center"/>
                </w:tcPr>
                <w:p w14:paraId="5326802F">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pPr>
                </w:p>
              </w:tc>
              <w:tc>
                <w:tcPr>
                  <w:tcW w:w="435" w:type="pct"/>
                  <w:tcBorders>
                    <w:tl2br w:val="nil"/>
                    <w:tr2bl w:val="nil"/>
                  </w:tcBorders>
                  <w:shd w:val="clear" w:color="auto" w:fill="auto"/>
                  <w:vAlign w:val="center"/>
                </w:tcPr>
                <w:p w14:paraId="0D4E95E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昼间</w:t>
                  </w:r>
                </w:p>
              </w:tc>
              <w:tc>
                <w:tcPr>
                  <w:tcW w:w="436" w:type="pct"/>
                  <w:tcBorders>
                    <w:tl2br w:val="nil"/>
                    <w:tr2bl w:val="nil"/>
                  </w:tcBorders>
                  <w:shd w:val="clear" w:color="auto" w:fill="auto"/>
                  <w:vAlign w:val="center"/>
                </w:tcPr>
                <w:p w14:paraId="5D91E9B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夜间</w:t>
                  </w:r>
                </w:p>
              </w:tc>
              <w:tc>
                <w:tcPr>
                  <w:tcW w:w="395" w:type="pct"/>
                  <w:tcBorders>
                    <w:tl2br w:val="nil"/>
                    <w:tr2bl w:val="nil"/>
                  </w:tcBorders>
                  <w:shd w:val="clear" w:color="auto" w:fill="auto"/>
                  <w:vAlign w:val="center"/>
                </w:tcPr>
                <w:p w14:paraId="226CDCD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昼间</w:t>
                  </w:r>
                </w:p>
              </w:tc>
              <w:tc>
                <w:tcPr>
                  <w:tcW w:w="441" w:type="pct"/>
                  <w:tcBorders>
                    <w:tl2br w:val="nil"/>
                    <w:tr2bl w:val="nil"/>
                  </w:tcBorders>
                  <w:shd w:val="clear" w:color="auto" w:fill="auto"/>
                  <w:vAlign w:val="center"/>
                </w:tcPr>
                <w:p w14:paraId="6EEFC3D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夜间</w:t>
                  </w:r>
                </w:p>
              </w:tc>
              <w:tc>
                <w:tcPr>
                  <w:tcW w:w="456" w:type="pct"/>
                  <w:tcBorders>
                    <w:tl2br w:val="nil"/>
                    <w:tr2bl w:val="nil"/>
                  </w:tcBorders>
                  <w:shd w:val="clear" w:color="auto" w:fill="auto"/>
                  <w:vAlign w:val="center"/>
                </w:tcPr>
                <w:p w14:paraId="1D469B1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昼间</w:t>
                  </w:r>
                </w:p>
              </w:tc>
              <w:tc>
                <w:tcPr>
                  <w:tcW w:w="436" w:type="pct"/>
                  <w:tcBorders>
                    <w:tl2br w:val="nil"/>
                    <w:tr2bl w:val="nil"/>
                  </w:tcBorders>
                  <w:shd w:val="clear" w:color="auto" w:fill="auto"/>
                  <w:vAlign w:val="center"/>
                </w:tcPr>
                <w:p w14:paraId="00F494F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夜间</w:t>
                  </w:r>
                </w:p>
              </w:tc>
              <w:tc>
                <w:tcPr>
                  <w:tcW w:w="387" w:type="pct"/>
                  <w:tcBorders>
                    <w:tl2br w:val="nil"/>
                    <w:tr2bl w:val="nil"/>
                  </w:tcBorders>
                  <w:shd w:val="clear" w:color="auto" w:fill="auto"/>
                  <w:vAlign w:val="center"/>
                </w:tcPr>
                <w:p w14:paraId="350726E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昼间</w:t>
                  </w:r>
                </w:p>
              </w:tc>
              <w:tc>
                <w:tcPr>
                  <w:tcW w:w="456" w:type="pct"/>
                  <w:tcBorders>
                    <w:tl2br w:val="nil"/>
                    <w:tr2bl w:val="nil"/>
                  </w:tcBorders>
                  <w:shd w:val="clear" w:color="auto" w:fill="auto"/>
                  <w:vAlign w:val="center"/>
                </w:tcPr>
                <w:p w14:paraId="0166618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夜间</w:t>
                  </w:r>
                </w:p>
              </w:tc>
              <w:tc>
                <w:tcPr>
                  <w:tcW w:w="564" w:type="pct"/>
                  <w:vMerge w:val="continue"/>
                  <w:tcBorders>
                    <w:tl2br w:val="nil"/>
                    <w:tr2bl w:val="nil"/>
                  </w:tcBorders>
                  <w:shd w:val="clear" w:color="auto" w:fill="auto"/>
                  <w:vAlign w:val="center"/>
                </w:tcPr>
                <w:p w14:paraId="1A2BB36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p>
              </w:tc>
            </w:tr>
            <w:tr w14:paraId="493D72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5" w:hRule="atLeast"/>
                <w:jc w:val="center"/>
              </w:trPr>
              <w:tc>
                <w:tcPr>
                  <w:tcW w:w="588" w:type="pct"/>
                  <w:tcBorders>
                    <w:tl2br w:val="nil"/>
                    <w:tr2bl w:val="nil"/>
                  </w:tcBorders>
                  <w:shd w:val="clear" w:color="auto" w:fill="auto"/>
                  <w:vAlign w:val="center"/>
                </w:tcPr>
                <w:p w14:paraId="5952200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厂界东侧</w:t>
                  </w:r>
                </w:p>
              </w:tc>
              <w:tc>
                <w:tcPr>
                  <w:tcW w:w="402" w:type="pct"/>
                  <w:tcBorders>
                    <w:tl2br w:val="nil"/>
                    <w:tr2bl w:val="nil"/>
                  </w:tcBorders>
                  <w:shd w:val="clear" w:color="auto" w:fill="auto"/>
                  <w:vAlign w:val="center"/>
                </w:tcPr>
                <w:p w14:paraId="2781098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12</w:t>
                  </w:r>
                </w:p>
              </w:tc>
              <w:tc>
                <w:tcPr>
                  <w:tcW w:w="779" w:type="dxa"/>
                  <w:tcBorders>
                    <w:tl2br w:val="nil"/>
                    <w:tr2bl w:val="nil"/>
                  </w:tcBorders>
                  <w:shd w:val="clear" w:color="auto" w:fill="auto"/>
                  <w:vAlign w:val="center"/>
                </w:tcPr>
                <w:p w14:paraId="430B6FF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35.65</w:t>
                  </w:r>
                </w:p>
              </w:tc>
              <w:tc>
                <w:tcPr>
                  <w:tcW w:w="781" w:type="dxa"/>
                  <w:tcBorders>
                    <w:tl2br w:val="nil"/>
                    <w:tr2bl w:val="nil"/>
                  </w:tcBorders>
                  <w:shd w:val="clear" w:color="auto" w:fill="auto"/>
                  <w:vAlign w:val="center"/>
                </w:tcPr>
                <w:p w14:paraId="4F9318F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35.65</w:t>
                  </w:r>
                </w:p>
              </w:tc>
              <w:tc>
                <w:tcPr>
                  <w:tcW w:w="395" w:type="pct"/>
                  <w:tcBorders>
                    <w:tl2br w:val="nil"/>
                    <w:tr2bl w:val="nil"/>
                  </w:tcBorders>
                  <w:shd w:val="clear" w:color="auto" w:fill="auto"/>
                  <w:vAlign w:val="center"/>
                </w:tcPr>
                <w:p w14:paraId="6D6AF41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54</w:t>
                  </w:r>
                </w:p>
              </w:tc>
              <w:tc>
                <w:tcPr>
                  <w:tcW w:w="441" w:type="pct"/>
                  <w:tcBorders>
                    <w:tl2br w:val="nil"/>
                    <w:tr2bl w:val="nil"/>
                  </w:tcBorders>
                  <w:shd w:val="clear" w:color="auto" w:fill="auto"/>
                  <w:vAlign w:val="center"/>
                </w:tcPr>
                <w:p w14:paraId="4CB569B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43</w:t>
                  </w:r>
                </w:p>
              </w:tc>
              <w:tc>
                <w:tcPr>
                  <w:tcW w:w="456" w:type="pct"/>
                  <w:tcBorders>
                    <w:tl2br w:val="nil"/>
                    <w:tr2bl w:val="nil"/>
                  </w:tcBorders>
                  <w:shd w:val="clear" w:color="auto" w:fill="auto"/>
                  <w:vAlign w:val="center"/>
                </w:tcPr>
                <w:p w14:paraId="15F24FC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54.05</w:t>
                  </w:r>
                </w:p>
              </w:tc>
              <w:tc>
                <w:tcPr>
                  <w:tcW w:w="436" w:type="pct"/>
                  <w:tcBorders>
                    <w:tl2br w:val="nil"/>
                    <w:tr2bl w:val="nil"/>
                  </w:tcBorders>
                  <w:shd w:val="clear" w:color="auto" w:fill="auto"/>
                  <w:vAlign w:val="center"/>
                </w:tcPr>
                <w:p w14:paraId="52E86CD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43.54</w:t>
                  </w:r>
                </w:p>
              </w:tc>
              <w:tc>
                <w:tcPr>
                  <w:tcW w:w="387" w:type="pct"/>
                  <w:tcBorders>
                    <w:tl2br w:val="nil"/>
                    <w:tr2bl w:val="nil"/>
                  </w:tcBorders>
                  <w:shd w:val="clear" w:color="auto" w:fill="auto"/>
                  <w:vAlign w:val="center"/>
                </w:tcPr>
                <w:p w14:paraId="000D5F23">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60</w:t>
                  </w:r>
                </w:p>
              </w:tc>
              <w:tc>
                <w:tcPr>
                  <w:tcW w:w="456" w:type="pct"/>
                  <w:tcBorders>
                    <w:tl2br w:val="nil"/>
                    <w:tr2bl w:val="nil"/>
                  </w:tcBorders>
                  <w:shd w:val="clear" w:color="auto" w:fill="auto"/>
                  <w:vAlign w:val="center"/>
                </w:tcPr>
                <w:p w14:paraId="3A75CAD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50</w:t>
                  </w:r>
                </w:p>
              </w:tc>
              <w:tc>
                <w:tcPr>
                  <w:tcW w:w="564" w:type="pct"/>
                  <w:tcBorders>
                    <w:tl2br w:val="nil"/>
                    <w:tr2bl w:val="nil"/>
                  </w:tcBorders>
                  <w:shd w:val="clear" w:color="auto" w:fill="auto"/>
                  <w:vAlign w:val="center"/>
                </w:tcPr>
                <w:p w14:paraId="479AA81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达标</w:t>
                  </w:r>
                </w:p>
              </w:tc>
            </w:tr>
            <w:tr w14:paraId="35DC49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5" w:hRule="atLeast"/>
                <w:jc w:val="center"/>
              </w:trPr>
              <w:tc>
                <w:tcPr>
                  <w:tcW w:w="588" w:type="pct"/>
                  <w:tcBorders>
                    <w:tl2br w:val="nil"/>
                    <w:tr2bl w:val="nil"/>
                  </w:tcBorders>
                  <w:shd w:val="clear" w:color="auto" w:fill="auto"/>
                  <w:vAlign w:val="center"/>
                </w:tcPr>
                <w:p w14:paraId="3A2573A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厂界南侧</w:t>
                  </w:r>
                </w:p>
              </w:tc>
              <w:tc>
                <w:tcPr>
                  <w:tcW w:w="402" w:type="pct"/>
                  <w:tcBorders>
                    <w:tl2br w:val="nil"/>
                    <w:tr2bl w:val="nil"/>
                  </w:tcBorders>
                  <w:shd w:val="clear" w:color="auto" w:fill="auto"/>
                  <w:vAlign w:val="center"/>
                </w:tcPr>
                <w:p w14:paraId="68D9FBE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17</w:t>
                  </w:r>
                </w:p>
              </w:tc>
              <w:tc>
                <w:tcPr>
                  <w:tcW w:w="779" w:type="dxa"/>
                  <w:tcBorders>
                    <w:tl2br w:val="nil"/>
                    <w:tr2bl w:val="nil"/>
                  </w:tcBorders>
                  <w:shd w:val="clear" w:color="auto" w:fill="auto"/>
                  <w:vAlign w:val="center"/>
                </w:tcPr>
                <w:p w14:paraId="1337BBD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32.62</w:t>
                  </w:r>
                </w:p>
              </w:tc>
              <w:tc>
                <w:tcPr>
                  <w:tcW w:w="781" w:type="dxa"/>
                  <w:tcBorders>
                    <w:tl2br w:val="nil"/>
                    <w:tr2bl w:val="nil"/>
                  </w:tcBorders>
                  <w:shd w:val="clear" w:color="auto" w:fill="auto"/>
                  <w:vAlign w:val="center"/>
                </w:tcPr>
                <w:p w14:paraId="5729826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32.62</w:t>
                  </w:r>
                </w:p>
              </w:tc>
              <w:tc>
                <w:tcPr>
                  <w:tcW w:w="395" w:type="pct"/>
                  <w:tcBorders>
                    <w:tl2br w:val="nil"/>
                    <w:tr2bl w:val="nil"/>
                  </w:tcBorders>
                  <w:shd w:val="clear" w:color="auto" w:fill="auto"/>
                  <w:vAlign w:val="center"/>
                </w:tcPr>
                <w:p w14:paraId="75C1FD7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55</w:t>
                  </w:r>
                </w:p>
              </w:tc>
              <w:tc>
                <w:tcPr>
                  <w:tcW w:w="441" w:type="pct"/>
                  <w:tcBorders>
                    <w:tl2br w:val="nil"/>
                    <w:tr2bl w:val="nil"/>
                  </w:tcBorders>
                  <w:shd w:val="clear" w:color="auto" w:fill="auto"/>
                  <w:vAlign w:val="center"/>
                </w:tcPr>
                <w:p w14:paraId="607C0F0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45</w:t>
                  </w:r>
                </w:p>
              </w:tc>
              <w:tc>
                <w:tcPr>
                  <w:tcW w:w="456" w:type="pct"/>
                  <w:tcBorders>
                    <w:tl2br w:val="nil"/>
                    <w:tr2bl w:val="nil"/>
                  </w:tcBorders>
                  <w:shd w:val="clear" w:color="auto" w:fill="auto"/>
                  <w:vAlign w:val="center"/>
                </w:tcPr>
                <w:p w14:paraId="2DF3737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55.02</w:t>
                  </w:r>
                </w:p>
              </w:tc>
              <w:tc>
                <w:tcPr>
                  <w:tcW w:w="436" w:type="pct"/>
                  <w:tcBorders>
                    <w:tl2br w:val="nil"/>
                    <w:tr2bl w:val="nil"/>
                  </w:tcBorders>
                  <w:shd w:val="clear" w:color="auto" w:fill="auto"/>
                  <w:vAlign w:val="center"/>
                </w:tcPr>
                <w:p w14:paraId="687657A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45.18</w:t>
                  </w:r>
                </w:p>
              </w:tc>
              <w:tc>
                <w:tcPr>
                  <w:tcW w:w="387" w:type="pct"/>
                  <w:tcBorders>
                    <w:tl2br w:val="nil"/>
                    <w:tr2bl w:val="nil"/>
                  </w:tcBorders>
                  <w:shd w:val="clear" w:color="auto" w:fill="auto"/>
                  <w:vAlign w:val="center"/>
                </w:tcPr>
                <w:p w14:paraId="0EF186D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70</w:t>
                  </w:r>
                </w:p>
              </w:tc>
              <w:tc>
                <w:tcPr>
                  <w:tcW w:w="456" w:type="pct"/>
                  <w:tcBorders>
                    <w:tl2br w:val="nil"/>
                    <w:tr2bl w:val="nil"/>
                  </w:tcBorders>
                  <w:shd w:val="clear" w:color="auto" w:fill="auto"/>
                  <w:vAlign w:val="center"/>
                </w:tcPr>
                <w:p w14:paraId="4B96068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55</w:t>
                  </w:r>
                </w:p>
              </w:tc>
              <w:tc>
                <w:tcPr>
                  <w:tcW w:w="564" w:type="pct"/>
                  <w:tcBorders>
                    <w:tl2br w:val="nil"/>
                    <w:tr2bl w:val="nil"/>
                  </w:tcBorders>
                  <w:shd w:val="clear" w:color="auto" w:fill="auto"/>
                  <w:vAlign w:val="center"/>
                </w:tcPr>
                <w:p w14:paraId="1684F07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达标</w:t>
                  </w:r>
                </w:p>
              </w:tc>
            </w:tr>
            <w:tr w14:paraId="3EBEDF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588" w:type="pct"/>
                  <w:tcBorders>
                    <w:tl2br w:val="nil"/>
                    <w:tr2bl w:val="nil"/>
                  </w:tcBorders>
                  <w:shd w:val="clear" w:color="auto" w:fill="auto"/>
                  <w:vAlign w:val="center"/>
                </w:tcPr>
                <w:p w14:paraId="0DF1048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厂界东侧</w:t>
                  </w:r>
                </w:p>
              </w:tc>
              <w:tc>
                <w:tcPr>
                  <w:tcW w:w="402" w:type="pct"/>
                  <w:tcBorders>
                    <w:tl2br w:val="nil"/>
                    <w:tr2bl w:val="nil"/>
                  </w:tcBorders>
                  <w:shd w:val="clear" w:color="auto" w:fill="auto"/>
                  <w:vAlign w:val="center"/>
                </w:tcPr>
                <w:p w14:paraId="4DC8C1F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11</w:t>
                  </w:r>
                </w:p>
              </w:tc>
              <w:tc>
                <w:tcPr>
                  <w:tcW w:w="779" w:type="dxa"/>
                  <w:tcBorders>
                    <w:tl2br w:val="nil"/>
                    <w:tr2bl w:val="nil"/>
                  </w:tcBorders>
                  <w:shd w:val="clear" w:color="auto" w:fill="auto"/>
                  <w:vAlign w:val="center"/>
                </w:tcPr>
                <w:p w14:paraId="33DD382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36.40</w:t>
                  </w:r>
                </w:p>
              </w:tc>
              <w:tc>
                <w:tcPr>
                  <w:tcW w:w="781" w:type="dxa"/>
                  <w:tcBorders>
                    <w:tl2br w:val="nil"/>
                    <w:tr2bl w:val="nil"/>
                  </w:tcBorders>
                  <w:shd w:val="clear" w:color="auto" w:fill="auto"/>
                  <w:vAlign w:val="center"/>
                </w:tcPr>
                <w:p w14:paraId="7D9F98E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36.40</w:t>
                  </w:r>
                </w:p>
              </w:tc>
              <w:tc>
                <w:tcPr>
                  <w:tcW w:w="395" w:type="pct"/>
                  <w:tcBorders>
                    <w:tl2br w:val="nil"/>
                    <w:tr2bl w:val="nil"/>
                  </w:tcBorders>
                  <w:shd w:val="clear" w:color="auto" w:fill="auto"/>
                  <w:vAlign w:val="center"/>
                </w:tcPr>
                <w:p w14:paraId="05D0D84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55</w:t>
                  </w:r>
                </w:p>
              </w:tc>
              <w:tc>
                <w:tcPr>
                  <w:tcW w:w="441" w:type="pct"/>
                  <w:tcBorders>
                    <w:tl2br w:val="nil"/>
                    <w:tr2bl w:val="nil"/>
                  </w:tcBorders>
                  <w:shd w:val="clear" w:color="auto" w:fill="auto"/>
                  <w:vAlign w:val="center"/>
                </w:tcPr>
                <w:p w14:paraId="5259B89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43</w:t>
                  </w:r>
                </w:p>
              </w:tc>
              <w:tc>
                <w:tcPr>
                  <w:tcW w:w="456" w:type="pct"/>
                  <w:tcBorders>
                    <w:tl2br w:val="nil"/>
                    <w:tr2bl w:val="nil"/>
                  </w:tcBorders>
                  <w:shd w:val="clear" w:color="auto" w:fill="auto"/>
                  <w:vAlign w:val="center"/>
                </w:tcPr>
                <w:p w14:paraId="5FA00E2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55.04</w:t>
                  </w:r>
                </w:p>
              </w:tc>
              <w:tc>
                <w:tcPr>
                  <w:tcW w:w="436" w:type="pct"/>
                  <w:tcBorders>
                    <w:tl2br w:val="nil"/>
                    <w:tr2bl w:val="nil"/>
                  </w:tcBorders>
                  <w:shd w:val="clear" w:color="auto" w:fill="auto"/>
                  <w:vAlign w:val="center"/>
                </w:tcPr>
                <w:p w14:paraId="65750DE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43.63</w:t>
                  </w:r>
                </w:p>
              </w:tc>
              <w:tc>
                <w:tcPr>
                  <w:tcW w:w="387" w:type="pct"/>
                  <w:tcBorders>
                    <w:tl2br w:val="nil"/>
                    <w:tr2bl w:val="nil"/>
                  </w:tcBorders>
                  <w:shd w:val="clear" w:color="auto" w:fill="auto"/>
                  <w:vAlign w:val="center"/>
                </w:tcPr>
                <w:p w14:paraId="3EB1B7A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60</w:t>
                  </w:r>
                </w:p>
              </w:tc>
              <w:tc>
                <w:tcPr>
                  <w:tcW w:w="456" w:type="pct"/>
                  <w:tcBorders>
                    <w:tl2br w:val="nil"/>
                    <w:tr2bl w:val="nil"/>
                  </w:tcBorders>
                  <w:shd w:val="clear" w:color="auto" w:fill="auto"/>
                  <w:vAlign w:val="center"/>
                </w:tcPr>
                <w:p w14:paraId="217C590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50</w:t>
                  </w:r>
                </w:p>
              </w:tc>
              <w:tc>
                <w:tcPr>
                  <w:tcW w:w="564" w:type="pct"/>
                  <w:tcBorders>
                    <w:tl2br w:val="nil"/>
                    <w:tr2bl w:val="nil"/>
                  </w:tcBorders>
                  <w:shd w:val="clear" w:color="auto" w:fill="auto"/>
                  <w:vAlign w:val="center"/>
                </w:tcPr>
                <w:p w14:paraId="03313DE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达标</w:t>
                  </w:r>
                </w:p>
              </w:tc>
            </w:tr>
            <w:tr w14:paraId="7AA4FB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588" w:type="pct"/>
                  <w:tcBorders>
                    <w:tl2br w:val="nil"/>
                    <w:tr2bl w:val="nil"/>
                  </w:tcBorders>
                  <w:shd w:val="clear" w:color="auto" w:fill="auto"/>
                  <w:vAlign w:val="center"/>
                </w:tcPr>
                <w:p w14:paraId="252F4CD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厂界北侧</w:t>
                  </w:r>
                </w:p>
              </w:tc>
              <w:tc>
                <w:tcPr>
                  <w:tcW w:w="402" w:type="pct"/>
                  <w:tcBorders>
                    <w:tl2br w:val="nil"/>
                    <w:tr2bl w:val="nil"/>
                  </w:tcBorders>
                  <w:shd w:val="clear" w:color="auto" w:fill="auto"/>
                  <w:vAlign w:val="center"/>
                </w:tcPr>
                <w:p w14:paraId="65D659D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17</w:t>
                  </w:r>
                </w:p>
              </w:tc>
              <w:tc>
                <w:tcPr>
                  <w:tcW w:w="779" w:type="dxa"/>
                  <w:tcBorders>
                    <w:tl2br w:val="nil"/>
                    <w:tr2bl w:val="nil"/>
                  </w:tcBorders>
                  <w:shd w:val="clear" w:color="auto" w:fill="auto"/>
                  <w:vAlign w:val="center"/>
                </w:tcPr>
                <w:p w14:paraId="19700FE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32.62</w:t>
                  </w:r>
                </w:p>
              </w:tc>
              <w:tc>
                <w:tcPr>
                  <w:tcW w:w="781" w:type="dxa"/>
                  <w:tcBorders>
                    <w:tl2br w:val="nil"/>
                    <w:tr2bl w:val="nil"/>
                  </w:tcBorders>
                  <w:shd w:val="clear" w:color="auto" w:fill="auto"/>
                  <w:vAlign w:val="center"/>
                </w:tcPr>
                <w:p w14:paraId="3D144F2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32.62</w:t>
                  </w:r>
                </w:p>
              </w:tc>
              <w:tc>
                <w:tcPr>
                  <w:tcW w:w="395" w:type="pct"/>
                  <w:tcBorders>
                    <w:tl2br w:val="nil"/>
                    <w:tr2bl w:val="nil"/>
                  </w:tcBorders>
                  <w:shd w:val="clear" w:color="auto" w:fill="auto"/>
                  <w:vAlign w:val="center"/>
                </w:tcPr>
                <w:p w14:paraId="28AF09A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56</w:t>
                  </w:r>
                </w:p>
              </w:tc>
              <w:tc>
                <w:tcPr>
                  <w:tcW w:w="441" w:type="pct"/>
                  <w:tcBorders>
                    <w:tl2br w:val="nil"/>
                    <w:tr2bl w:val="nil"/>
                  </w:tcBorders>
                  <w:shd w:val="clear" w:color="auto" w:fill="auto"/>
                  <w:vAlign w:val="center"/>
                </w:tcPr>
                <w:p w14:paraId="1A6695B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46</w:t>
                  </w:r>
                </w:p>
              </w:tc>
              <w:tc>
                <w:tcPr>
                  <w:tcW w:w="456" w:type="pct"/>
                  <w:tcBorders>
                    <w:tl2br w:val="nil"/>
                    <w:tr2bl w:val="nil"/>
                  </w:tcBorders>
                  <w:shd w:val="clear" w:color="auto" w:fill="auto"/>
                  <w:vAlign w:val="center"/>
                </w:tcPr>
                <w:p w14:paraId="0D1B256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56.01</w:t>
                  </w:r>
                </w:p>
              </w:tc>
              <w:tc>
                <w:tcPr>
                  <w:tcW w:w="436" w:type="pct"/>
                  <w:tcBorders>
                    <w:tl2br w:val="nil"/>
                    <w:tr2bl w:val="nil"/>
                  </w:tcBorders>
                  <w:shd w:val="clear" w:color="auto" w:fill="auto"/>
                  <w:vAlign w:val="center"/>
                </w:tcPr>
                <w:p w14:paraId="3D45624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46.14</w:t>
                  </w:r>
                </w:p>
              </w:tc>
              <w:tc>
                <w:tcPr>
                  <w:tcW w:w="387" w:type="pct"/>
                  <w:tcBorders>
                    <w:tl2br w:val="nil"/>
                    <w:tr2bl w:val="nil"/>
                  </w:tcBorders>
                  <w:shd w:val="clear" w:color="auto" w:fill="auto"/>
                  <w:vAlign w:val="center"/>
                </w:tcPr>
                <w:p w14:paraId="431EF08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60</w:t>
                  </w:r>
                </w:p>
              </w:tc>
              <w:tc>
                <w:tcPr>
                  <w:tcW w:w="456" w:type="pct"/>
                  <w:tcBorders>
                    <w:tl2br w:val="nil"/>
                    <w:tr2bl w:val="nil"/>
                  </w:tcBorders>
                  <w:shd w:val="clear" w:color="auto" w:fill="auto"/>
                  <w:vAlign w:val="center"/>
                </w:tcPr>
                <w:p w14:paraId="2B7D8C6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50</w:t>
                  </w:r>
                </w:p>
              </w:tc>
              <w:tc>
                <w:tcPr>
                  <w:tcW w:w="564" w:type="pct"/>
                  <w:tcBorders>
                    <w:tl2br w:val="nil"/>
                    <w:tr2bl w:val="nil"/>
                  </w:tcBorders>
                  <w:shd w:val="clear" w:color="auto" w:fill="auto"/>
                  <w:vAlign w:val="center"/>
                </w:tcPr>
                <w:p w14:paraId="1A3B5FE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达标</w:t>
                  </w:r>
                </w:p>
              </w:tc>
            </w:tr>
            <w:tr w14:paraId="5547A0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588" w:type="pct"/>
                  <w:tcBorders>
                    <w:tl2br w:val="nil"/>
                    <w:tr2bl w:val="nil"/>
                  </w:tcBorders>
                  <w:shd w:val="clear" w:color="auto" w:fill="auto"/>
                  <w:vAlign w:val="center"/>
                </w:tcPr>
                <w:p w14:paraId="2474A76A">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t>项目东南侧居民点</w:t>
                  </w:r>
                </w:p>
              </w:tc>
              <w:tc>
                <w:tcPr>
                  <w:tcW w:w="402" w:type="pct"/>
                  <w:tcBorders>
                    <w:tl2br w:val="nil"/>
                    <w:tr2bl w:val="nil"/>
                  </w:tcBorders>
                  <w:shd w:val="clear" w:color="auto" w:fill="auto"/>
                  <w:vAlign w:val="center"/>
                </w:tcPr>
                <w:p w14:paraId="3BAC0DC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eastAsia" w:cs="Times New Roman"/>
                      <w:caps w:val="0"/>
                      <w:smallCaps w:val="0"/>
                      <w:color w:val="auto"/>
                      <w:spacing w:val="11"/>
                      <w:position w:val="0"/>
                      <w:sz w:val="21"/>
                      <w:szCs w:val="21"/>
                      <w:highlight w:val="none"/>
                      <w:u w:val="none" w:color="auto"/>
                      <w:lang w:val="en-US" w:eastAsia="zh-CN"/>
                    </w:rPr>
                    <w:t>48</w:t>
                  </w:r>
                </w:p>
              </w:tc>
              <w:tc>
                <w:tcPr>
                  <w:tcW w:w="779" w:type="dxa"/>
                  <w:tcBorders>
                    <w:tl2br w:val="nil"/>
                    <w:tr2bl w:val="nil"/>
                  </w:tcBorders>
                  <w:shd w:val="clear" w:color="auto" w:fill="auto"/>
                  <w:vAlign w:val="center"/>
                </w:tcPr>
                <w:p w14:paraId="458F10B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23.61</w:t>
                  </w:r>
                </w:p>
              </w:tc>
              <w:tc>
                <w:tcPr>
                  <w:tcW w:w="781" w:type="dxa"/>
                  <w:tcBorders>
                    <w:tl2br w:val="nil"/>
                    <w:tr2bl w:val="nil"/>
                  </w:tcBorders>
                  <w:shd w:val="clear" w:color="auto" w:fill="auto"/>
                  <w:vAlign w:val="center"/>
                </w:tcPr>
                <w:p w14:paraId="7B325B75">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23.61</w:t>
                  </w:r>
                </w:p>
              </w:tc>
              <w:tc>
                <w:tcPr>
                  <w:tcW w:w="395" w:type="pct"/>
                  <w:tcBorders>
                    <w:tl2br w:val="nil"/>
                    <w:tr2bl w:val="nil"/>
                  </w:tcBorders>
                  <w:shd w:val="clear" w:color="auto" w:fill="auto"/>
                  <w:vAlign w:val="center"/>
                </w:tcPr>
                <w:p w14:paraId="33DC1CF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51</w:t>
                  </w:r>
                </w:p>
              </w:tc>
              <w:tc>
                <w:tcPr>
                  <w:tcW w:w="441" w:type="pct"/>
                  <w:tcBorders>
                    <w:tl2br w:val="nil"/>
                    <w:tr2bl w:val="nil"/>
                  </w:tcBorders>
                  <w:shd w:val="clear" w:color="auto" w:fill="auto"/>
                  <w:vAlign w:val="center"/>
                </w:tcPr>
                <w:p w14:paraId="53EE78D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42</w:t>
                  </w:r>
                </w:p>
              </w:tc>
              <w:tc>
                <w:tcPr>
                  <w:tcW w:w="456" w:type="pct"/>
                  <w:tcBorders>
                    <w:tl2br w:val="nil"/>
                    <w:tr2bl w:val="nil"/>
                  </w:tcBorders>
                  <w:shd w:val="clear" w:color="auto" w:fill="auto"/>
                  <w:vAlign w:val="center"/>
                </w:tcPr>
                <w:p w14:paraId="6CABDEA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51.01</w:t>
                  </w:r>
                </w:p>
              </w:tc>
              <w:tc>
                <w:tcPr>
                  <w:tcW w:w="436" w:type="pct"/>
                  <w:tcBorders>
                    <w:tl2br w:val="nil"/>
                    <w:tr2bl w:val="nil"/>
                  </w:tcBorders>
                  <w:shd w:val="clear" w:color="auto" w:fill="auto"/>
                  <w:vAlign w:val="center"/>
                </w:tcPr>
                <w:p w14:paraId="0C12E84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42.04</w:t>
                  </w:r>
                </w:p>
              </w:tc>
              <w:tc>
                <w:tcPr>
                  <w:tcW w:w="387" w:type="pct"/>
                  <w:tcBorders>
                    <w:tl2br w:val="nil"/>
                    <w:tr2bl w:val="nil"/>
                  </w:tcBorders>
                  <w:shd w:val="clear" w:color="auto" w:fill="auto"/>
                  <w:vAlign w:val="center"/>
                </w:tcPr>
                <w:p w14:paraId="1F259C5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60</w:t>
                  </w:r>
                </w:p>
              </w:tc>
              <w:tc>
                <w:tcPr>
                  <w:tcW w:w="456" w:type="pct"/>
                  <w:tcBorders>
                    <w:tl2br w:val="nil"/>
                    <w:tr2bl w:val="nil"/>
                  </w:tcBorders>
                  <w:shd w:val="clear" w:color="auto" w:fill="auto"/>
                  <w:vAlign w:val="center"/>
                </w:tcPr>
                <w:p w14:paraId="3BBA80B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50</w:t>
                  </w:r>
                </w:p>
              </w:tc>
              <w:tc>
                <w:tcPr>
                  <w:tcW w:w="564" w:type="pct"/>
                  <w:tcBorders>
                    <w:tl2br w:val="nil"/>
                    <w:tr2bl w:val="nil"/>
                  </w:tcBorders>
                  <w:shd w:val="clear" w:color="auto" w:fill="auto"/>
                  <w:vAlign w:val="center"/>
                </w:tcPr>
                <w:p w14:paraId="37BDDB3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13"/>
                      <w:szCs w:val="13"/>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达标</w:t>
                  </w:r>
                </w:p>
              </w:tc>
            </w:tr>
          </w:tbl>
          <w:p w14:paraId="1CB9A796">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由上表可知，本项目营运期厂界东</w:t>
            </w:r>
            <w:r>
              <w:rPr>
                <w:rFonts w:hint="eastAsia" w:cs="Times New Roman"/>
                <w:caps w:val="0"/>
                <w:smallCaps w:val="0"/>
                <w:color w:val="auto"/>
                <w:spacing w:val="11"/>
                <w:position w:val="0"/>
                <w:sz w:val="24"/>
                <w:szCs w:val="22"/>
                <w:highlight w:val="none"/>
                <w:u w:val="none" w:color="auto"/>
                <w:lang w:val="en-US" w:eastAsia="zh-CN"/>
              </w:rPr>
              <w:t>、西、北侧以及项目东南侧居民点</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昼间</w:t>
            </w:r>
            <w:r>
              <w:rPr>
                <w:rFonts w:hint="eastAsia" w:ascii="Times New Roman" w:hAnsi="Times New Roman" w:cs="Times New Roman"/>
                <w:caps w:val="0"/>
                <w:smallCaps w:val="0"/>
                <w:color w:val="auto"/>
                <w:spacing w:val="11"/>
                <w:position w:val="0"/>
                <w:sz w:val="24"/>
                <w:szCs w:val="22"/>
                <w:highlight w:val="none"/>
                <w:u w:val="none" w:color="auto"/>
                <w:lang w:val="en-US" w:eastAsia="zh-CN"/>
              </w:rPr>
              <w:t>、夜间</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噪声</w:t>
            </w:r>
            <w:r>
              <w:rPr>
                <w:rFonts w:hint="eastAsia" w:cs="Times New Roman"/>
                <w:caps w:val="0"/>
                <w:smallCaps w:val="0"/>
                <w:color w:val="auto"/>
                <w:spacing w:val="11"/>
                <w:position w:val="0"/>
                <w:sz w:val="24"/>
                <w:szCs w:val="22"/>
                <w:highlight w:val="none"/>
                <w:u w:val="none" w:color="auto"/>
                <w:lang w:val="en-US" w:eastAsia="zh-CN"/>
              </w:rPr>
              <w:t>叠加</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值均能满足《社会生活环境噪声排放标准》（GB 22337</w:t>
            </w:r>
            <w:r>
              <w:rPr>
                <w:rFonts w:hint="eastAsia" w:cs="Times New Roman"/>
                <w:caps w:val="0"/>
                <w:smallCaps w:val="0"/>
                <w:color w:val="auto"/>
                <w:spacing w:val="11"/>
                <w:position w:val="0"/>
                <w:sz w:val="24"/>
                <w:szCs w:val="22"/>
                <w:highlight w:val="none"/>
                <w:u w:val="none" w:color="auto"/>
                <w:lang w:val="en-US" w:eastAsia="zh-CN"/>
              </w:rPr>
              <w:t>-</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2008）</w:t>
            </w:r>
            <w:r>
              <w:rPr>
                <w:rFonts w:hint="eastAsia" w:cs="Times New Roman"/>
                <w:caps w:val="0"/>
                <w:smallCaps w:val="0"/>
                <w:color w:val="auto"/>
                <w:spacing w:val="11"/>
                <w:position w:val="0"/>
                <w:sz w:val="24"/>
                <w:szCs w:val="22"/>
                <w:highlight w:val="none"/>
                <w:u w:val="none" w:color="auto"/>
                <w:lang w:val="en-US" w:eastAsia="zh-CN"/>
              </w:rPr>
              <w:t>2</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类区标准</w:t>
            </w:r>
            <w:r>
              <w:rPr>
                <w:rFonts w:hint="eastAsia" w:cs="Times New Roman"/>
                <w:caps w:val="0"/>
                <w:smallCaps w:val="0"/>
                <w:color w:val="auto"/>
                <w:spacing w:val="11"/>
                <w:position w:val="0"/>
                <w:sz w:val="24"/>
                <w:szCs w:val="22"/>
                <w:highlight w:val="none"/>
                <w:u w:val="none" w:color="auto"/>
                <w:lang w:val="en-US" w:eastAsia="zh-CN"/>
              </w:rPr>
              <w:t>，厂界南侧昼间、夜间噪声叠加值均能满足《社会生活环境噪声排放标准》（GB 22337-2008）4类标准，</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说明本项目建设对其声环境影响较小</w:t>
            </w:r>
            <w:r>
              <w:rPr>
                <w:rFonts w:hint="eastAsia" w:cs="Times New Roman"/>
                <w:caps w:val="0"/>
                <w:smallCaps w:val="0"/>
                <w:color w:val="auto"/>
                <w:spacing w:val="11"/>
                <w:position w:val="0"/>
                <w:sz w:val="24"/>
                <w:szCs w:val="22"/>
                <w:highlight w:val="none"/>
                <w:u w:val="none" w:color="auto"/>
                <w:lang w:val="en-US" w:eastAsia="zh-CN"/>
              </w:rPr>
              <w:t>，项目拟采取的降噪措施可行</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w:t>
            </w:r>
          </w:p>
          <w:p w14:paraId="143E6E2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hint="default" w:ascii="Times New Roman" w:hAnsi="Times New Roman" w:eastAsia="宋体" w:cs="Times New Roman"/>
                <w:b/>
                <w:bCs/>
                <w:caps w:val="0"/>
                <w:smallCaps w:val="0"/>
                <w:color w:val="auto"/>
                <w:spacing w:val="11"/>
                <w:position w:val="0"/>
                <w:sz w:val="24"/>
                <w:szCs w:val="22"/>
                <w:highlight w:val="none"/>
                <w:u w:val="single" w:color="auto"/>
                <w:lang w:val="en-US" w:eastAsia="zh-CN"/>
              </w:rPr>
            </w:pPr>
            <w:r>
              <w:rPr>
                <w:rFonts w:hint="eastAsia" w:cs="Times New Roman"/>
                <w:b/>
                <w:bCs/>
                <w:caps w:val="0"/>
                <w:smallCaps w:val="0"/>
                <w:color w:val="auto"/>
                <w:spacing w:val="11"/>
                <w:position w:val="0"/>
                <w:sz w:val="24"/>
                <w:szCs w:val="22"/>
                <w:highlight w:val="none"/>
                <w:u w:val="single" w:color="auto"/>
                <w:lang w:val="en-US" w:eastAsia="zh-CN"/>
              </w:rPr>
              <w:t>3.1</w:t>
            </w:r>
            <w:r>
              <w:rPr>
                <w:rFonts w:hint="default" w:ascii="Times New Roman" w:hAnsi="Times New Roman" w:eastAsia="宋体" w:cs="Times New Roman"/>
                <w:b/>
                <w:bCs/>
                <w:caps w:val="0"/>
                <w:smallCaps w:val="0"/>
                <w:color w:val="auto"/>
                <w:spacing w:val="11"/>
                <w:position w:val="0"/>
                <w:sz w:val="24"/>
                <w:szCs w:val="22"/>
                <w:highlight w:val="none"/>
                <w:u w:val="single" w:color="auto"/>
                <w:lang w:val="en-US" w:eastAsia="zh-CN"/>
              </w:rPr>
              <w:t>外环境对本项目影响分析</w:t>
            </w:r>
          </w:p>
          <w:p w14:paraId="47A349D9">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szCs w:val="22"/>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2"/>
                <w:highlight w:val="none"/>
                <w:u w:val="single" w:color="auto"/>
                <w:lang w:val="en-US" w:eastAsia="zh-CN"/>
              </w:rPr>
              <w:t>外环境对本项目的影响主要为道路的交通噪声，为减小交通噪声对本项目的影响，本项目建筑建设时将严格执行《民用建筑隔声设计规范》（GB50118-2010）中关于医院建筑的相关要求，项目设计病房楼外墙、外窗及门的空气声隔声性能严格按照《民用建筑隔声设计规范》（GB50118-2010）中表6.2.3中的隔声标准设计，即空气声隔声单值评价量+频谱修正量外墙≥45dB，外窗≥30dB，门≥20dB，按照该隔声标准安装相应的墙、窗、门后，隔声窗隔声效果在20-45dB以上。</w:t>
            </w:r>
          </w:p>
          <w:p w14:paraId="051D5BE6">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szCs w:val="22"/>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2"/>
                <w:highlight w:val="none"/>
                <w:u w:val="single" w:color="auto"/>
                <w:lang w:val="en-US" w:eastAsia="zh-CN"/>
              </w:rPr>
              <w:t>通过上述措施后，可以改善医院病人就诊、住院的声环境状况，对医患影响较小。</w:t>
            </w:r>
          </w:p>
          <w:p w14:paraId="5626124A">
            <w:pPr>
              <w:keepNext w:val="0"/>
              <w:keepLines w:val="0"/>
              <w:pageBreakBefore w:val="0"/>
              <w:widowControl w:val="0"/>
              <w:suppressLineNumbers w:val="0"/>
              <w:tabs>
                <w:tab w:val="left" w:pos="0"/>
                <w:tab w:val="left" w:pos="870"/>
                <w:tab w:val="left" w:pos="3150"/>
              </w:tabs>
              <w:kinsoku/>
              <w:wordWrap/>
              <w:overflowPunct/>
              <w:topLinePunct w:val="0"/>
              <w:autoSpaceDE w:val="0"/>
              <w:autoSpaceDN w:val="0"/>
              <w:bidi w:val="0"/>
              <w:adjustRightInd w:val="0"/>
              <w:snapToGrid w:val="0"/>
              <w:spacing w:before="0" w:beforeAutospacing="0" w:after="0" w:afterAutospacing="0" w:line="360" w:lineRule="auto"/>
              <w:ind w:left="0" w:leftChars="0" w:right="0" w:firstLine="0" w:firstLineChars="0"/>
              <w:jc w:val="both"/>
              <w:textAlignment w:val="auto"/>
              <w:rPr>
                <w:rFonts w:hint="default" w:ascii="Times New Roman" w:hAnsi="Times New Roman" w:cs="Times New Roman" w:eastAsiaTheme="minorEastAsia"/>
                <w:b/>
                <w:bCs/>
                <w:color w:val="auto"/>
                <w:spacing w:val="11"/>
                <w:kern w:val="2"/>
                <w:position w:val="0"/>
                <w:sz w:val="24"/>
                <w:szCs w:val="24"/>
                <w:highlight w:val="none"/>
                <w:u w:val="none" w:color="auto"/>
                <w:lang w:val="en-US" w:eastAsia="zh-CN" w:bidi="ar-SA"/>
              </w:rPr>
            </w:pPr>
            <w:r>
              <w:rPr>
                <w:rFonts w:hint="eastAsia" w:ascii="Times New Roman" w:hAnsi="Times New Roman" w:cs="Times New Roman" w:eastAsiaTheme="minorEastAsia"/>
                <w:b/>
                <w:bCs/>
                <w:color w:val="auto"/>
                <w:spacing w:val="11"/>
                <w:kern w:val="2"/>
                <w:position w:val="0"/>
                <w:sz w:val="24"/>
                <w:szCs w:val="24"/>
                <w:highlight w:val="none"/>
                <w:u w:val="none" w:color="auto"/>
                <w:lang w:val="en-US" w:eastAsia="zh-CN" w:bidi="ar-SA"/>
              </w:rPr>
              <w:t>3.</w:t>
            </w:r>
            <w:r>
              <w:rPr>
                <w:rFonts w:hint="eastAsia" w:cs="Times New Roman" w:eastAsiaTheme="minorEastAsia"/>
                <w:b/>
                <w:bCs/>
                <w:color w:val="auto"/>
                <w:spacing w:val="11"/>
                <w:kern w:val="2"/>
                <w:position w:val="0"/>
                <w:sz w:val="24"/>
                <w:szCs w:val="24"/>
                <w:highlight w:val="none"/>
                <w:u w:val="none" w:color="auto"/>
                <w:lang w:val="en-US" w:eastAsia="zh-CN" w:bidi="ar-SA"/>
              </w:rPr>
              <w:t>2</w:t>
            </w:r>
            <w:r>
              <w:rPr>
                <w:rFonts w:hint="eastAsia" w:ascii="Times New Roman" w:hAnsi="Times New Roman" w:cs="Times New Roman" w:eastAsiaTheme="minorEastAsia"/>
                <w:b/>
                <w:bCs/>
                <w:color w:val="auto"/>
                <w:spacing w:val="11"/>
                <w:kern w:val="2"/>
                <w:position w:val="0"/>
                <w:sz w:val="24"/>
                <w:szCs w:val="24"/>
                <w:highlight w:val="none"/>
                <w:u w:val="none" w:color="auto"/>
                <w:lang w:val="en-US" w:eastAsia="zh-CN" w:bidi="ar-SA"/>
              </w:rPr>
              <w:t>环境监测计划</w:t>
            </w:r>
          </w:p>
          <w:p w14:paraId="2B7D39E1">
            <w:pPr>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ascii="Times New Roman" w:hAnsi="Times New Roman" w:cs="Times New Roman" w:eastAsiaTheme="minorEastAsia"/>
                <w:b/>
                <w:color w:val="auto"/>
                <w:spacing w:val="11"/>
                <w:position w:val="0"/>
                <w:sz w:val="21"/>
                <w:szCs w:val="21"/>
                <w:highlight w:val="none"/>
                <w:u w:val="none" w:color="auto"/>
                <w:lang w:val="en-US" w:eastAsia="zh-CN"/>
              </w:rPr>
            </w:pPr>
            <w:r>
              <w:rPr>
                <w:rFonts w:hint="default" w:ascii="Times New Roman" w:hAnsi="Times New Roman" w:cs="Times New Roman" w:eastAsiaTheme="minorEastAsia"/>
                <w:color w:val="auto"/>
                <w:spacing w:val="11"/>
                <w:position w:val="0"/>
                <w:sz w:val="24"/>
                <w:szCs w:val="22"/>
                <w:highlight w:val="none"/>
                <w:u w:val="none" w:color="auto"/>
              </w:rPr>
              <w:t>为及时了解污染源情况，项目要经常开展污染源和环境质量的监测工作，及时发现环境污染问题，并加以控制和解决。可委托有资质的环境监测单位进行</w:t>
            </w:r>
            <w:r>
              <w:rPr>
                <w:rFonts w:hint="eastAsia" w:ascii="Times New Roman" w:hAnsi="Times New Roman" w:cs="Times New Roman" w:eastAsiaTheme="minorEastAsia"/>
                <w:color w:val="auto"/>
                <w:spacing w:val="11"/>
                <w:position w:val="0"/>
                <w:sz w:val="24"/>
                <w:szCs w:val="22"/>
                <w:highlight w:val="none"/>
                <w:u w:val="none" w:color="auto"/>
                <w:lang w:eastAsia="zh-CN"/>
              </w:rPr>
              <w:t>。</w:t>
            </w:r>
            <w:r>
              <w:rPr>
                <w:rFonts w:hint="eastAsia" w:ascii="Times New Roman" w:hAnsi="Times New Roman" w:eastAsia="宋体" w:cs="Times New Roman"/>
                <w:color w:val="auto"/>
                <w:spacing w:val="11"/>
                <w:position w:val="0"/>
                <w:sz w:val="24"/>
                <w:szCs w:val="24"/>
                <w:highlight w:val="none"/>
                <w:u w:val="none" w:color="auto"/>
                <w:lang w:val="en-US" w:eastAsia="zh-CN"/>
              </w:rPr>
              <w:t xml:space="preserve">参照《排污单位自行监测技术指南 </w:t>
            </w:r>
            <w:r>
              <w:rPr>
                <w:rFonts w:hint="eastAsia" w:cs="Times New Roman"/>
                <w:color w:val="auto"/>
                <w:spacing w:val="11"/>
                <w:position w:val="0"/>
                <w:sz w:val="24"/>
                <w:szCs w:val="24"/>
                <w:highlight w:val="none"/>
                <w:u w:val="none" w:color="auto"/>
                <w:lang w:val="en-US" w:eastAsia="zh-CN"/>
              </w:rPr>
              <w:t>总则</w:t>
            </w:r>
            <w:r>
              <w:rPr>
                <w:rFonts w:hint="eastAsia" w:ascii="Times New Roman" w:hAnsi="Times New Roman" w:eastAsia="宋体" w:cs="Times New Roman"/>
                <w:color w:val="auto"/>
                <w:spacing w:val="11"/>
                <w:position w:val="0"/>
                <w:sz w:val="24"/>
                <w:szCs w:val="24"/>
                <w:highlight w:val="none"/>
                <w:u w:val="none" w:color="auto"/>
                <w:lang w:val="en-US" w:eastAsia="zh-CN"/>
              </w:rPr>
              <w:t xml:space="preserve">》（HJ </w:t>
            </w:r>
            <w:r>
              <w:rPr>
                <w:rFonts w:hint="eastAsia" w:cs="Times New Roman"/>
                <w:color w:val="auto"/>
                <w:spacing w:val="11"/>
                <w:position w:val="0"/>
                <w:sz w:val="24"/>
                <w:szCs w:val="24"/>
                <w:highlight w:val="none"/>
                <w:u w:val="none" w:color="auto"/>
                <w:lang w:val="en-US" w:eastAsia="zh-CN"/>
              </w:rPr>
              <w:t>819-2017</w:t>
            </w:r>
            <w:r>
              <w:rPr>
                <w:rFonts w:hint="eastAsia" w:ascii="Times New Roman" w:hAnsi="Times New Roman" w:eastAsia="宋体" w:cs="Times New Roman"/>
                <w:color w:val="auto"/>
                <w:spacing w:val="11"/>
                <w:position w:val="0"/>
                <w:sz w:val="24"/>
                <w:szCs w:val="24"/>
                <w:highlight w:val="none"/>
                <w:u w:val="none" w:color="auto"/>
                <w:lang w:val="en-US" w:eastAsia="zh-CN"/>
              </w:rPr>
              <w:t>），</w:t>
            </w:r>
            <w:r>
              <w:rPr>
                <w:rFonts w:hint="default" w:ascii="Times New Roman" w:hAnsi="Times New Roman" w:cs="Times New Roman" w:eastAsiaTheme="minorEastAsia"/>
                <w:color w:val="auto"/>
                <w:spacing w:val="11"/>
                <w:position w:val="0"/>
                <w:sz w:val="24"/>
                <w:szCs w:val="22"/>
                <w:highlight w:val="none"/>
                <w:u w:val="none" w:color="auto"/>
              </w:rPr>
              <w:t>根据本项目污染物排放实际情况，项目常规监测工作计划见表</w:t>
            </w:r>
            <w:r>
              <w:rPr>
                <w:rFonts w:hint="default" w:ascii="Times New Roman" w:hAnsi="Times New Roman" w:cs="Times New Roman" w:eastAsiaTheme="minorEastAsia"/>
                <w:color w:val="auto"/>
                <w:spacing w:val="11"/>
                <w:position w:val="0"/>
                <w:sz w:val="24"/>
                <w:szCs w:val="22"/>
                <w:highlight w:val="none"/>
                <w:u w:val="none" w:color="auto"/>
                <w:lang w:val="en-US" w:eastAsia="zh-CN"/>
              </w:rPr>
              <w:t>4-</w:t>
            </w:r>
            <w:r>
              <w:rPr>
                <w:rFonts w:hint="eastAsia" w:cs="Times New Roman" w:eastAsiaTheme="minorEastAsia"/>
                <w:color w:val="auto"/>
                <w:spacing w:val="11"/>
                <w:position w:val="0"/>
                <w:sz w:val="24"/>
                <w:szCs w:val="22"/>
                <w:highlight w:val="none"/>
                <w:u w:val="none" w:color="auto"/>
                <w:lang w:val="en-US" w:eastAsia="zh-CN"/>
              </w:rPr>
              <w:t>15</w:t>
            </w:r>
            <w:r>
              <w:rPr>
                <w:rFonts w:hint="default" w:ascii="Times New Roman" w:hAnsi="Times New Roman" w:cs="Times New Roman" w:eastAsiaTheme="minorEastAsia"/>
                <w:color w:val="auto"/>
                <w:spacing w:val="11"/>
                <w:position w:val="0"/>
                <w:sz w:val="24"/>
                <w:szCs w:val="22"/>
                <w:highlight w:val="none"/>
                <w:u w:val="none" w:color="auto"/>
              </w:rPr>
              <w:t>。</w:t>
            </w:r>
          </w:p>
          <w:p w14:paraId="08A88631">
            <w:pPr>
              <w:spacing w:line="240" w:lineRule="auto"/>
              <w:ind w:left="0" w:leftChars="0" w:firstLine="0" w:firstLineChars="0"/>
              <w:jc w:val="center"/>
              <w:rPr>
                <w:rFonts w:hint="default" w:ascii="Times New Roman" w:hAnsi="Times New Roman" w:cs="Times New Roman" w:eastAsiaTheme="minorEastAsia"/>
                <w:b/>
                <w:color w:val="auto"/>
                <w:spacing w:val="11"/>
                <w:position w:val="0"/>
                <w:sz w:val="21"/>
                <w:szCs w:val="21"/>
                <w:highlight w:val="none"/>
                <w:u w:val="none" w:color="auto"/>
              </w:rPr>
            </w:pPr>
            <w:r>
              <w:rPr>
                <w:rFonts w:hint="default" w:ascii="Times New Roman" w:hAnsi="Times New Roman" w:cs="Times New Roman" w:eastAsiaTheme="minorEastAsia"/>
                <w:b/>
                <w:color w:val="auto"/>
                <w:spacing w:val="11"/>
                <w:position w:val="0"/>
                <w:sz w:val="21"/>
                <w:szCs w:val="21"/>
                <w:highlight w:val="none"/>
                <w:u w:val="none" w:color="auto"/>
              </w:rPr>
              <w:t>表</w:t>
            </w:r>
            <w:r>
              <w:rPr>
                <w:rFonts w:hint="default" w:ascii="Times New Roman" w:hAnsi="Times New Roman" w:cs="Times New Roman" w:eastAsiaTheme="minorEastAsia"/>
                <w:b/>
                <w:color w:val="auto"/>
                <w:spacing w:val="11"/>
                <w:position w:val="0"/>
                <w:sz w:val="21"/>
                <w:szCs w:val="21"/>
                <w:highlight w:val="none"/>
                <w:u w:val="none" w:color="auto"/>
                <w:lang w:val="en-US" w:eastAsia="zh-CN"/>
              </w:rPr>
              <w:t>4-</w:t>
            </w:r>
            <w:r>
              <w:rPr>
                <w:rFonts w:hint="eastAsia" w:cs="Times New Roman" w:eastAsiaTheme="minorEastAsia"/>
                <w:b/>
                <w:color w:val="auto"/>
                <w:spacing w:val="11"/>
                <w:position w:val="0"/>
                <w:sz w:val="21"/>
                <w:szCs w:val="21"/>
                <w:highlight w:val="none"/>
                <w:u w:val="none" w:color="auto"/>
                <w:lang w:val="en-US" w:eastAsia="zh-CN"/>
              </w:rPr>
              <w:t xml:space="preserve">15 </w:t>
            </w:r>
            <w:r>
              <w:rPr>
                <w:rFonts w:hint="default" w:ascii="Times New Roman" w:hAnsi="Times New Roman" w:cs="Times New Roman" w:eastAsiaTheme="minorEastAsia"/>
                <w:b/>
                <w:color w:val="auto"/>
                <w:spacing w:val="11"/>
                <w:position w:val="0"/>
                <w:sz w:val="21"/>
                <w:szCs w:val="21"/>
                <w:highlight w:val="none"/>
                <w:u w:val="none" w:color="auto"/>
              </w:rPr>
              <w:t xml:space="preserve"> </w:t>
            </w:r>
            <w:r>
              <w:rPr>
                <w:rFonts w:hint="default" w:ascii="Times New Roman" w:hAnsi="Times New Roman" w:cs="Times New Roman" w:eastAsiaTheme="minorEastAsia"/>
                <w:b/>
                <w:color w:val="auto"/>
                <w:spacing w:val="11"/>
                <w:position w:val="0"/>
                <w:sz w:val="21"/>
                <w:szCs w:val="21"/>
                <w:highlight w:val="none"/>
                <w:u w:val="none" w:color="auto"/>
                <w:lang w:val="en-US" w:eastAsia="zh-CN"/>
              </w:rPr>
              <w:t>项目建成后</w:t>
            </w:r>
            <w:r>
              <w:rPr>
                <w:rFonts w:hint="eastAsia" w:ascii="Times New Roman" w:hAnsi="Times New Roman" w:cs="Times New Roman" w:eastAsiaTheme="minorEastAsia"/>
                <w:b/>
                <w:color w:val="auto"/>
                <w:spacing w:val="11"/>
                <w:position w:val="0"/>
                <w:sz w:val="21"/>
                <w:szCs w:val="21"/>
                <w:highlight w:val="none"/>
                <w:u w:val="none" w:color="auto"/>
                <w:lang w:val="en-US" w:eastAsia="zh-CN"/>
              </w:rPr>
              <w:t>噪声</w:t>
            </w:r>
            <w:r>
              <w:rPr>
                <w:rFonts w:hint="default" w:ascii="Times New Roman" w:hAnsi="Times New Roman" w:cs="Times New Roman" w:eastAsiaTheme="minorEastAsia"/>
                <w:b/>
                <w:color w:val="auto"/>
                <w:spacing w:val="11"/>
                <w:position w:val="0"/>
                <w:sz w:val="21"/>
                <w:szCs w:val="21"/>
                <w:highlight w:val="none"/>
                <w:u w:val="none" w:color="auto"/>
              </w:rPr>
              <w:t>污染源监测计划</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2065"/>
              <w:gridCol w:w="1865"/>
              <w:gridCol w:w="1802"/>
              <w:gridCol w:w="2119"/>
            </w:tblGrid>
            <w:tr w14:paraId="0C1C37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1" w:type="pct"/>
                  <w:tcBorders>
                    <w:tl2br w:val="nil"/>
                    <w:tr2bl w:val="nil"/>
                  </w:tcBorders>
                  <w:noWrap w:val="0"/>
                  <w:vAlign w:val="center"/>
                </w:tcPr>
                <w:p w14:paraId="09F652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none" w:color="auto"/>
                      <w:lang w:val="en-US" w:eastAsia="zh-CN" w:bidi="ar-SA"/>
                    </w:rPr>
                    <w:t>监测项目</w:t>
                  </w:r>
                </w:p>
              </w:tc>
              <w:tc>
                <w:tcPr>
                  <w:tcW w:w="1154" w:type="pct"/>
                  <w:tcBorders>
                    <w:tl2br w:val="nil"/>
                    <w:tr2bl w:val="nil"/>
                  </w:tcBorders>
                  <w:noWrap w:val="0"/>
                  <w:vAlign w:val="center"/>
                </w:tcPr>
                <w:p w14:paraId="3F975CF9">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t>监测点位</w:t>
                  </w:r>
                </w:p>
              </w:tc>
              <w:tc>
                <w:tcPr>
                  <w:tcW w:w="1042" w:type="pct"/>
                  <w:tcBorders>
                    <w:tl2br w:val="nil"/>
                    <w:tr2bl w:val="nil"/>
                  </w:tcBorders>
                  <w:noWrap w:val="0"/>
                  <w:vAlign w:val="center"/>
                </w:tcPr>
                <w:p w14:paraId="4ADA723A">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t>监测因子</w:t>
                  </w:r>
                </w:p>
              </w:tc>
              <w:tc>
                <w:tcPr>
                  <w:tcW w:w="1007" w:type="pct"/>
                  <w:tcBorders>
                    <w:tl2br w:val="nil"/>
                    <w:tr2bl w:val="nil"/>
                  </w:tcBorders>
                  <w:noWrap w:val="0"/>
                  <w:vAlign w:val="center"/>
                </w:tcPr>
                <w:p w14:paraId="0DB4FE61">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t>监测频次</w:t>
                  </w:r>
                </w:p>
              </w:tc>
              <w:tc>
                <w:tcPr>
                  <w:tcW w:w="1184" w:type="pct"/>
                  <w:tcBorders>
                    <w:tl2br w:val="nil"/>
                    <w:tr2bl w:val="nil"/>
                  </w:tcBorders>
                  <w:noWrap w:val="0"/>
                  <w:vAlign w:val="center"/>
                </w:tcPr>
                <w:p w14:paraId="303B0B42">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执行排放标准</w:t>
                  </w:r>
                </w:p>
              </w:tc>
            </w:tr>
            <w:tr w14:paraId="4BB07B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11" w:type="pct"/>
                  <w:vMerge w:val="restart"/>
                  <w:tcBorders>
                    <w:tl2br w:val="nil"/>
                    <w:tr2bl w:val="nil"/>
                  </w:tcBorders>
                  <w:noWrap w:val="0"/>
                  <w:vAlign w:val="center"/>
                </w:tcPr>
                <w:p w14:paraId="721144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none" w:color="auto"/>
                      <w:lang w:val="en-US" w:eastAsia="zh-CN" w:bidi="ar-SA"/>
                    </w:rPr>
                    <w:t>噪声</w:t>
                  </w:r>
                </w:p>
              </w:tc>
              <w:tc>
                <w:tcPr>
                  <w:tcW w:w="1154" w:type="pct"/>
                  <w:tcBorders>
                    <w:tl2br w:val="nil"/>
                    <w:tr2bl w:val="nil"/>
                  </w:tcBorders>
                  <w:noWrap w:val="0"/>
                  <w:vAlign w:val="center"/>
                </w:tcPr>
                <w:p w14:paraId="121D238B">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color w:val="auto"/>
                      <w:spacing w:val="11"/>
                      <w:kern w:val="0"/>
                      <w:position w:val="0"/>
                      <w:sz w:val="21"/>
                      <w:szCs w:val="20"/>
                      <w:highlight w:val="none"/>
                      <w:u w:val="none" w:color="auto"/>
                      <w:lang w:val="en-US" w:eastAsia="zh-CN" w:bidi="ar-SA"/>
                    </w:rPr>
                    <w:t>厂界东侧外1m处</w:t>
                  </w:r>
                </w:p>
              </w:tc>
              <w:tc>
                <w:tcPr>
                  <w:tcW w:w="1042" w:type="pct"/>
                  <w:vMerge w:val="restart"/>
                  <w:tcBorders>
                    <w:tl2br w:val="nil"/>
                    <w:tr2bl w:val="nil"/>
                  </w:tcBorders>
                  <w:noWrap w:val="0"/>
                  <w:vAlign w:val="center"/>
                </w:tcPr>
                <w:p w14:paraId="45DF8ADA">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color w:val="auto"/>
                      <w:spacing w:val="11"/>
                      <w:kern w:val="0"/>
                      <w:position w:val="0"/>
                      <w:sz w:val="21"/>
                      <w:szCs w:val="20"/>
                      <w:highlight w:val="none"/>
                      <w:u w:val="none" w:color="auto"/>
                      <w:lang w:val="en-US" w:eastAsia="zh-CN" w:bidi="ar-SA"/>
                    </w:rPr>
                    <w:t>等效连续A声级</w:t>
                  </w:r>
                </w:p>
              </w:tc>
              <w:tc>
                <w:tcPr>
                  <w:tcW w:w="1007" w:type="pct"/>
                  <w:vMerge w:val="restart"/>
                  <w:tcBorders>
                    <w:tl2br w:val="nil"/>
                    <w:tr2bl w:val="nil"/>
                  </w:tcBorders>
                  <w:noWrap w:val="0"/>
                  <w:vAlign w:val="center"/>
                </w:tcPr>
                <w:p w14:paraId="34039E71">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0"/>
                      <w:highlight w:val="none"/>
                      <w:u w:val="none" w:color="auto"/>
                      <w:lang w:val="en-US" w:eastAsia="zh-CN" w:bidi="ar-SA"/>
                    </w:rPr>
                    <w:t>每季度一次</w:t>
                  </w:r>
                </w:p>
              </w:tc>
              <w:tc>
                <w:tcPr>
                  <w:tcW w:w="1184" w:type="pct"/>
                  <w:vMerge w:val="restart"/>
                  <w:tcBorders>
                    <w:tl2br w:val="nil"/>
                    <w:tr2bl w:val="nil"/>
                  </w:tcBorders>
                  <w:noWrap w:val="0"/>
                  <w:vAlign w:val="center"/>
                </w:tcPr>
                <w:p w14:paraId="55EECF4F">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0"/>
                      <w:highlight w:val="none"/>
                      <w:u w:val="none" w:color="auto"/>
                      <w:lang w:val="en-US" w:eastAsia="zh-CN" w:bidi="ar-SA"/>
                    </w:rPr>
                    <w:t>《社会生活环境噪声排放标准》（GB 22337-2008）</w:t>
                  </w:r>
                  <w:r>
                    <w:rPr>
                      <w:rFonts w:hint="eastAsia" w:cs="Times New Roman"/>
                      <w:color w:val="auto"/>
                      <w:spacing w:val="11"/>
                      <w:kern w:val="0"/>
                      <w:position w:val="0"/>
                      <w:sz w:val="21"/>
                      <w:szCs w:val="20"/>
                      <w:highlight w:val="none"/>
                      <w:u w:val="none" w:color="auto"/>
                      <w:lang w:val="en-US" w:eastAsia="zh-CN" w:bidi="ar-SA"/>
                    </w:rPr>
                    <w:t>2</w:t>
                  </w:r>
                  <w:r>
                    <w:rPr>
                      <w:rFonts w:hint="default" w:ascii="Times New Roman" w:hAnsi="Times New Roman" w:eastAsia="宋体" w:cs="Times New Roman"/>
                      <w:color w:val="auto"/>
                      <w:spacing w:val="11"/>
                      <w:kern w:val="0"/>
                      <w:position w:val="0"/>
                      <w:sz w:val="21"/>
                      <w:szCs w:val="20"/>
                      <w:highlight w:val="none"/>
                      <w:u w:val="none" w:color="auto"/>
                      <w:lang w:val="en-US" w:eastAsia="zh-CN" w:bidi="ar-SA"/>
                    </w:rPr>
                    <w:t>类标准</w:t>
                  </w:r>
                </w:p>
              </w:tc>
            </w:tr>
            <w:tr w14:paraId="0CCAC7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11" w:type="pct"/>
                  <w:vMerge w:val="continue"/>
                  <w:tcBorders>
                    <w:tl2br w:val="nil"/>
                    <w:tr2bl w:val="nil"/>
                  </w:tcBorders>
                  <w:noWrap w:val="0"/>
                  <w:vAlign w:val="center"/>
                </w:tcPr>
                <w:p w14:paraId="41698D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p>
              </w:tc>
              <w:tc>
                <w:tcPr>
                  <w:tcW w:w="1154" w:type="pct"/>
                  <w:tcBorders>
                    <w:tl2br w:val="nil"/>
                    <w:tr2bl w:val="nil"/>
                  </w:tcBorders>
                  <w:shd w:val="clear" w:color="auto" w:fill="auto"/>
                  <w:noWrap w:val="0"/>
                  <w:vAlign w:val="center"/>
                </w:tcPr>
                <w:p w14:paraId="148118A3">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color w:val="auto"/>
                      <w:spacing w:val="11"/>
                      <w:kern w:val="0"/>
                      <w:position w:val="0"/>
                      <w:sz w:val="21"/>
                      <w:szCs w:val="20"/>
                      <w:highlight w:val="none"/>
                      <w:u w:val="none" w:color="auto"/>
                      <w:lang w:val="en-US" w:eastAsia="zh-CN" w:bidi="ar-SA"/>
                    </w:rPr>
                    <w:t>厂界西侧外1m处</w:t>
                  </w:r>
                </w:p>
              </w:tc>
              <w:tc>
                <w:tcPr>
                  <w:tcW w:w="1042" w:type="pct"/>
                  <w:vMerge w:val="continue"/>
                  <w:tcBorders>
                    <w:tl2br w:val="nil"/>
                    <w:tr2bl w:val="nil"/>
                  </w:tcBorders>
                  <w:noWrap w:val="0"/>
                  <w:vAlign w:val="center"/>
                </w:tcPr>
                <w:p w14:paraId="7B4C61F0">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0"/>
                      <w:highlight w:val="none"/>
                      <w:u w:val="none" w:color="auto"/>
                      <w:lang w:val="en-US" w:eastAsia="zh-CN" w:bidi="ar-SA"/>
                    </w:rPr>
                  </w:pPr>
                </w:p>
              </w:tc>
              <w:tc>
                <w:tcPr>
                  <w:tcW w:w="1007" w:type="pct"/>
                  <w:vMerge w:val="continue"/>
                  <w:tcBorders>
                    <w:tl2br w:val="nil"/>
                    <w:tr2bl w:val="nil"/>
                  </w:tcBorders>
                  <w:noWrap w:val="0"/>
                  <w:vAlign w:val="center"/>
                </w:tcPr>
                <w:p w14:paraId="14522A4E">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p>
              </w:tc>
              <w:tc>
                <w:tcPr>
                  <w:tcW w:w="1184" w:type="pct"/>
                  <w:vMerge w:val="continue"/>
                  <w:tcBorders>
                    <w:tl2br w:val="nil"/>
                    <w:tr2bl w:val="nil"/>
                  </w:tcBorders>
                  <w:noWrap w:val="0"/>
                  <w:vAlign w:val="center"/>
                </w:tcPr>
                <w:p w14:paraId="647F0BF3">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p>
              </w:tc>
            </w:tr>
            <w:tr w14:paraId="226789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1" w:type="pct"/>
                  <w:vMerge w:val="continue"/>
                  <w:tcBorders>
                    <w:tl2br w:val="nil"/>
                    <w:tr2bl w:val="nil"/>
                  </w:tcBorders>
                  <w:noWrap w:val="0"/>
                  <w:vAlign w:val="center"/>
                </w:tcPr>
                <w:p w14:paraId="2A50CF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p>
              </w:tc>
              <w:tc>
                <w:tcPr>
                  <w:tcW w:w="1154" w:type="pct"/>
                  <w:tcBorders>
                    <w:tl2br w:val="nil"/>
                    <w:tr2bl w:val="nil"/>
                  </w:tcBorders>
                  <w:shd w:val="clear" w:color="auto" w:fill="auto"/>
                  <w:noWrap w:val="0"/>
                  <w:vAlign w:val="center"/>
                </w:tcPr>
                <w:p w14:paraId="2994D2D5">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color w:val="auto"/>
                      <w:spacing w:val="11"/>
                      <w:kern w:val="0"/>
                      <w:position w:val="0"/>
                      <w:sz w:val="21"/>
                      <w:szCs w:val="20"/>
                      <w:highlight w:val="none"/>
                      <w:u w:val="none" w:color="auto"/>
                      <w:lang w:val="en-US" w:eastAsia="zh-CN" w:bidi="ar-SA"/>
                    </w:rPr>
                    <w:t>厂界北侧外1m处</w:t>
                  </w:r>
                </w:p>
              </w:tc>
              <w:tc>
                <w:tcPr>
                  <w:tcW w:w="1042" w:type="pct"/>
                  <w:vMerge w:val="continue"/>
                  <w:tcBorders>
                    <w:tl2br w:val="nil"/>
                    <w:tr2bl w:val="nil"/>
                  </w:tcBorders>
                  <w:noWrap w:val="0"/>
                  <w:vAlign w:val="center"/>
                </w:tcPr>
                <w:p w14:paraId="2E656F79">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0"/>
                      <w:highlight w:val="none"/>
                      <w:u w:val="none" w:color="auto"/>
                      <w:lang w:val="en-US" w:eastAsia="zh-CN" w:bidi="ar-SA"/>
                    </w:rPr>
                  </w:pPr>
                </w:p>
              </w:tc>
              <w:tc>
                <w:tcPr>
                  <w:tcW w:w="1007" w:type="pct"/>
                  <w:vMerge w:val="continue"/>
                  <w:tcBorders>
                    <w:tl2br w:val="nil"/>
                    <w:tr2bl w:val="nil"/>
                  </w:tcBorders>
                  <w:noWrap w:val="0"/>
                  <w:vAlign w:val="center"/>
                </w:tcPr>
                <w:p w14:paraId="1694C6DE">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p>
              </w:tc>
              <w:tc>
                <w:tcPr>
                  <w:tcW w:w="1184" w:type="pct"/>
                  <w:vMerge w:val="continue"/>
                  <w:tcBorders>
                    <w:tl2br w:val="nil"/>
                    <w:tr2bl w:val="nil"/>
                  </w:tcBorders>
                  <w:noWrap w:val="0"/>
                  <w:vAlign w:val="center"/>
                </w:tcPr>
                <w:p w14:paraId="2C3273C3">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p>
              </w:tc>
            </w:tr>
            <w:tr w14:paraId="3B739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1" w:type="pct"/>
                  <w:vMerge w:val="continue"/>
                  <w:tcBorders>
                    <w:tl2br w:val="nil"/>
                    <w:tr2bl w:val="nil"/>
                  </w:tcBorders>
                  <w:noWrap w:val="0"/>
                  <w:vAlign w:val="center"/>
                </w:tcPr>
                <w:p w14:paraId="74994A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p>
              </w:tc>
              <w:tc>
                <w:tcPr>
                  <w:tcW w:w="1154" w:type="pct"/>
                  <w:tcBorders>
                    <w:tl2br w:val="nil"/>
                    <w:tr2bl w:val="nil"/>
                  </w:tcBorders>
                  <w:noWrap w:val="0"/>
                  <w:vAlign w:val="center"/>
                </w:tcPr>
                <w:p w14:paraId="75F430C4">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color w:val="auto"/>
                      <w:spacing w:val="11"/>
                      <w:kern w:val="0"/>
                      <w:position w:val="0"/>
                      <w:sz w:val="21"/>
                      <w:szCs w:val="20"/>
                      <w:highlight w:val="none"/>
                      <w:u w:val="none" w:color="auto"/>
                      <w:lang w:val="en-US" w:eastAsia="zh-CN" w:bidi="ar-SA"/>
                    </w:rPr>
                    <w:t>厂界南侧外1m处</w:t>
                  </w:r>
                </w:p>
              </w:tc>
              <w:tc>
                <w:tcPr>
                  <w:tcW w:w="1042" w:type="pct"/>
                  <w:vMerge w:val="continue"/>
                  <w:tcBorders>
                    <w:tl2br w:val="nil"/>
                    <w:tr2bl w:val="nil"/>
                  </w:tcBorders>
                  <w:noWrap w:val="0"/>
                  <w:vAlign w:val="center"/>
                </w:tcPr>
                <w:p w14:paraId="163377DB">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0"/>
                      <w:highlight w:val="none"/>
                      <w:u w:val="none" w:color="auto"/>
                      <w:lang w:val="en-US" w:eastAsia="zh-CN" w:bidi="ar-SA"/>
                    </w:rPr>
                  </w:pPr>
                </w:p>
              </w:tc>
              <w:tc>
                <w:tcPr>
                  <w:tcW w:w="1007" w:type="pct"/>
                  <w:vMerge w:val="continue"/>
                  <w:tcBorders>
                    <w:tl2br w:val="nil"/>
                    <w:tr2bl w:val="nil"/>
                  </w:tcBorders>
                  <w:noWrap w:val="0"/>
                  <w:vAlign w:val="center"/>
                </w:tcPr>
                <w:p w14:paraId="228EE5EF">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p>
              </w:tc>
              <w:tc>
                <w:tcPr>
                  <w:tcW w:w="1184" w:type="pct"/>
                  <w:tcBorders>
                    <w:tl2br w:val="nil"/>
                    <w:tr2bl w:val="nil"/>
                  </w:tcBorders>
                  <w:noWrap w:val="0"/>
                  <w:vAlign w:val="center"/>
                </w:tcPr>
                <w:p w14:paraId="5072080F">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0"/>
                      <w:highlight w:val="none"/>
                      <w:u w:val="none" w:color="auto"/>
                      <w:lang w:val="en-US" w:eastAsia="zh-CN" w:bidi="ar-SA"/>
                    </w:rPr>
                    <w:t>《社会生活环境噪声排放标准》（GB 22337-2008）</w:t>
                  </w:r>
                  <w:r>
                    <w:rPr>
                      <w:rFonts w:hint="eastAsia" w:cs="Times New Roman"/>
                      <w:color w:val="auto"/>
                      <w:spacing w:val="11"/>
                      <w:kern w:val="0"/>
                      <w:position w:val="0"/>
                      <w:sz w:val="21"/>
                      <w:szCs w:val="20"/>
                      <w:highlight w:val="none"/>
                      <w:u w:val="none" w:color="auto"/>
                      <w:lang w:val="en-US" w:eastAsia="zh-CN" w:bidi="ar-SA"/>
                    </w:rPr>
                    <w:t>4</w:t>
                  </w:r>
                  <w:r>
                    <w:rPr>
                      <w:rFonts w:hint="default" w:ascii="Times New Roman" w:hAnsi="Times New Roman" w:eastAsia="宋体" w:cs="Times New Roman"/>
                      <w:color w:val="auto"/>
                      <w:spacing w:val="11"/>
                      <w:kern w:val="0"/>
                      <w:position w:val="0"/>
                      <w:sz w:val="21"/>
                      <w:szCs w:val="20"/>
                      <w:highlight w:val="none"/>
                      <w:u w:val="none" w:color="auto"/>
                      <w:lang w:val="en-US" w:eastAsia="zh-CN" w:bidi="ar-SA"/>
                    </w:rPr>
                    <w:t>类标准</w:t>
                  </w:r>
                </w:p>
              </w:tc>
            </w:tr>
          </w:tbl>
          <w:p w14:paraId="1156BFFB">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leftChars="0" w:right="0" w:firstLine="0" w:firstLineChars="0"/>
              <w:textAlignment w:val="auto"/>
              <w:rPr>
                <w:rFonts w:hint="default" w:ascii="Times New Roman" w:hAnsi="Times New Roman" w:cs="Times New Roman" w:eastAsiaTheme="minorEastAsia"/>
                <w:b/>
                <w:bCs/>
                <w:color w:val="auto"/>
                <w:spacing w:val="11"/>
                <w:position w:val="0"/>
                <w:sz w:val="24"/>
                <w:szCs w:val="24"/>
                <w:highlight w:val="none"/>
                <w:u w:val="none" w:color="auto"/>
              </w:rPr>
            </w:pPr>
            <w:r>
              <w:rPr>
                <w:rFonts w:hint="eastAsia" w:cs="Times New Roman" w:eastAsiaTheme="minorEastAsia"/>
                <w:b/>
                <w:bCs/>
                <w:color w:val="auto"/>
                <w:spacing w:val="11"/>
                <w:position w:val="0"/>
                <w:sz w:val="24"/>
                <w:szCs w:val="24"/>
                <w:highlight w:val="none"/>
                <w:u w:val="none" w:color="auto"/>
                <w:lang w:val="en-US" w:eastAsia="zh-CN"/>
              </w:rPr>
              <w:t>4</w:t>
            </w:r>
            <w:r>
              <w:rPr>
                <w:rFonts w:hint="default" w:ascii="Times New Roman" w:hAnsi="Times New Roman" w:cs="Times New Roman" w:eastAsiaTheme="minorEastAsia"/>
                <w:b/>
                <w:bCs/>
                <w:color w:val="auto"/>
                <w:spacing w:val="11"/>
                <w:position w:val="0"/>
                <w:sz w:val="24"/>
                <w:szCs w:val="24"/>
                <w:highlight w:val="none"/>
                <w:u w:val="none" w:color="auto"/>
              </w:rPr>
              <w:t>固体废物环境影响分析</w:t>
            </w:r>
          </w:p>
          <w:p w14:paraId="4F7F7699">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right="0" w:firstLine="524" w:firstLineChars="200"/>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2"/>
                <w:highlight w:val="none"/>
                <w:u w:val="none" w:color="auto"/>
                <w:lang w:val="en-US" w:eastAsia="zh-CN"/>
              </w:rPr>
              <w:t>项目</w:t>
            </w:r>
            <w:r>
              <w:rPr>
                <w:rFonts w:hint="default" w:ascii="Times New Roman" w:hAnsi="Times New Roman" w:cs="Times New Roman" w:eastAsiaTheme="minorEastAsia"/>
                <w:color w:val="auto"/>
                <w:spacing w:val="11"/>
                <w:position w:val="0"/>
                <w:sz w:val="24"/>
                <w:szCs w:val="24"/>
                <w:highlight w:val="none"/>
                <w:u w:val="none" w:color="auto"/>
                <w:lang w:val="en-US" w:eastAsia="zh-CN"/>
              </w:rPr>
              <w:t>所产生的固体废弃物主要医疗废物、污水处理站污泥、生活垃圾</w:t>
            </w:r>
            <w:r>
              <w:rPr>
                <w:rFonts w:hint="eastAsia" w:cs="Times New Roman" w:eastAsiaTheme="minorEastAsia"/>
                <w:color w:val="auto"/>
                <w:spacing w:val="11"/>
                <w:position w:val="0"/>
                <w:sz w:val="24"/>
                <w:szCs w:val="24"/>
                <w:highlight w:val="none"/>
                <w:u w:val="none" w:color="auto"/>
                <w:lang w:val="en-US" w:eastAsia="zh-CN"/>
              </w:rPr>
              <w:t>、中药药渣</w:t>
            </w:r>
            <w:r>
              <w:rPr>
                <w:rFonts w:hint="default" w:ascii="Times New Roman" w:hAnsi="Times New Roman" w:cs="Times New Roman" w:eastAsiaTheme="minorEastAsia"/>
                <w:color w:val="auto"/>
                <w:spacing w:val="11"/>
                <w:position w:val="0"/>
                <w:sz w:val="24"/>
                <w:szCs w:val="24"/>
                <w:highlight w:val="none"/>
                <w:u w:val="none" w:color="auto"/>
                <w:lang w:val="en-US" w:eastAsia="zh-CN"/>
              </w:rPr>
              <w:t>。</w:t>
            </w:r>
          </w:p>
          <w:p w14:paraId="4A6A1BE6">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（1）一般固废</w:t>
            </w:r>
          </w:p>
          <w:p w14:paraId="0796573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rPr>
              <w:t>①</w:t>
            </w:r>
            <w:r>
              <w:rPr>
                <w:rFonts w:hint="default" w:ascii="Times New Roman" w:hAnsi="Times New Roman" w:cs="Times New Roman" w:eastAsiaTheme="minorEastAsia"/>
                <w:color w:val="auto"/>
                <w:spacing w:val="11"/>
                <w:position w:val="0"/>
                <w:sz w:val="24"/>
                <w:szCs w:val="24"/>
                <w:highlight w:val="none"/>
                <w:u w:val="none" w:color="auto"/>
                <w:lang w:val="en-US" w:eastAsia="zh-CN"/>
              </w:rPr>
              <w:t>生活垃圾</w:t>
            </w:r>
            <w:r>
              <w:rPr>
                <w:rFonts w:hint="eastAsia" w:cs="Times New Roman" w:eastAsiaTheme="minorEastAsia"/>
                <w:color w:val="auto"/>
                <w:spacing w:val="11"/>
                <w:position w:val="0"/>
                <w:sz w:val="24"/>
                <w:szCs w:val="24"/>
                <w:highlight w:val="none"/>
                <w:u w:val="none" w:color="auto"/>
                <w:lang w:val="en-US" w:eastAsia="zh-CN"/>
              </w:rPr>
              <w:t>：本项目门诊住院综合楼共设床位360张，生活垃圾产量按1.0kg.d/人计算，生活垃圾产生量为131.4t/a，由环卫部门集中清运；</w:t>
            </w:r>
          </w:p>
          <w:p w14:paraId="1525B079">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default"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②中药药渣：本项目在蒸煮中药后，会产生一定量的中药药渣。根据建设单位提供的资料，中药渣产生量约0.12kg/床·d，项目设置床位360张，中药渣产生量约43.2kg/d（15.768t/a），收集暂存于生活垃圾暂存间，委托环卫部门处理。</w:t>
            </w:r>
          </w:p>
          <w:p w14:paraId="33D0CB42">
            <w:pPr>
              <w:rPr>
                <w:rFonts w:hint="default"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（2）危险废物</w:t>
            </w:r>
          </w:p>
          <w:p w14:paraId="5313311F">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①</w:t>
            </w:r>
            <w:r>
              <w:rPr>
                <w:rFonts w:hint="eastAsia" w:ascii="Times New Roman" w:hAnsi="Times New Roman" w:cs="Times New Roman" w:eastAsiaTheme="minorEastAsia"/>
                <w:color w:val="auto"/>
                <w:spacing w:val="11"/>
                <w:position w:val="0"/>
                <w:sz w:val="24"/>
                <w:szCs w:val="24"/>
                <w:highlight w:val="none"/>
                <w:u w:val="none" w:color="auto"/>
                <w:lang w:val="en-US" w:eastAsia="zh-CN"/>
              </w:rPr>
              <w:t>医疗废物：医疗废物主要来自各种医疗诊断、治疗过程中产生的各类固体废弃物，含大量的病原微生物、寄生虫，还含有其它有害物质，本项目的医疗废物一般可分为感染性废物、损伤性废物、药物性废物、化学性废物、病理性废物等，具体分类详见下表。</w:t>
            </w:r>
          </w:p>
          <w:p w14:paraId="44336D80">
            <w:pPr>
              <w:spacing w:line="240" w:lineRule="auto"/>
              <w:ind w:left="0" w:leftChars="0" w:firstLine="0" w:firstLineChars="0"/>
              <w:jc w:val="center"/>
              <w:rPr>
                <w:rFonts w:hint="eastAsia" w:ascii="Times New Roman" w:hAnsi="Times New Roman" w:cs="Times New Roman" w:eastAsiaTheme="minorEastAsia"/>
                <w:b/>
                <w:color w:val="auto"/>
                <w:spacing w:val="11"/>
                <w:position w:val="0"/>
                <w:sz w:val="21"/>
                <w:szCs w:val="21"/>
                <w:highlight w:val="none"/>
                <w:u w:val="none" w:color="auto"/>
                <w:lang w:val="en-US" w:eastAsia="zh-CN"/>
              </w:rPr>
            </w:pPr>
            <w:r>
              <w:rPr>
                <w:rFonts w:hint="eastAsia" w:ascii="Times New Roman" w:hAnsi="Times New Roman" w:cs="Times New Roman" w:eastAsiaTheme="minorEastAsia"/>
                <w:b/>
                <w:color w:val="auto"/>
                <w:spacing w:val="11"/>
                <w:position w:val="0"/>
                <w:sz w:val="21"/>
                <w:szCs w:val="21"/>
                <w:highlight w:val="none"/>
                <w:u w:val="none" w:color="auto"/>
                <w:lang w:val="en-US" w:eastAsia="zh-CN"/>
              </w:rPr>
              <w:t>表4-</w:t>
            </w:r>
            <w:r>
              <w:rPr>
                <w:rFonts w:hint="eastAsia" w:cs="Times New Roman" w:eastAsiaTheme="minorEastAsia"/>
                <w:b/>
                <w:color w:val="auto"/>
                <w:spacing w:val="11"/>
                <w:position w:val="0"/>
                <w:sz w:val="21"/>
                <w:szCs w:val="21"/>
                <w:highlight w:val="none"/>
                <w:u w:val="none" w:color="auto"/>
                <w:lang w:val="en-US" w:eastAsia="zh-CN"/>
              </w:rPr>
              <w:t>16</w:t>
            </w:r>
            <w:r>
              <w:rPr>
                <w:rFonts w:hint="eastAsia" w:ascii="Times New Roman" w:hAnsi="Times New Roman" w:cs="Times New Roman" w:eastAsiaTheme="minorEastAsia"/>
                <w:b/>
                <w:color w:val="auto"/>
                <w:spacing w:val="11"/>
                <w:position w:val="0"/>
                <w:sz w:val="21"/>
                <w:szCs w:val="21"/>
                <w:highlight w:val="none"/>
                <w:u w:val="none" w:color="auto"/>
                <w:lang w:val="en-US" w:eastAsia="zh-CN"/>
              </w:rPr>
              <w:t xml:space="preserve">  医疗废物分类目录</w:t>
            </w:r>
          </w:p>
          <w:tbl>
            <w:tblPr>
              <w:tblStyle w:val="25"/>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435"/>
              <w:gridCol w:w="3029"/>
              <w:gridCol w:w="3491"/>
            </w:tblGrid>
            <w:tr w14:paraId="552144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tcBorders>
                    <w:tl2br w:val="nil"/>
                    <w:tr2bl w:val="nil"/>
                  </w:tcBorders>
                  <w:noWrap w:val="0"/>
                  <w:vAlign w:val="center"/>
                </w:tcPr>
                <w:p w14:paraId="5F99B6C3">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类别</w:t>
                  </w:r>
                </w:p>
              </w:tc>
              <w:tc>
                <w:tcPr>
                  <w:tcW w:w="802" w:type="pct"/>
                  <w:tcBorders>
                    <w:tl2br w:val="nil"/>
                    <w:tr2bl w:val="nil"/>
                  </w:tcBorders>
                  <w:noWrap w:val="0"/>
                  <w:vAlign w:val="center"/>
                </w:tcPr>
                <w:p w14:paraId="1A98C7BC">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废物代码</w:t>
                  </w:r>
                </w:p>
              </w:tc>
              <w:tc>
                <w:tcPr>
                  <w:tcW w:w="1693" w:type="pct"/>
                  <w:tcBorders>
                    <w:tl2br w:val="nil"/>
                    <w:tr2bl w:val="nil"/>
                  </w:tcBorders>
                  <w:noWrap w:val="0"/>
                  <w:vAlign w:val="center"/>
                </w:tcPr>
                <w:p w14:paraId="643CC0FB">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特征</w:t>
                  </w:r>
                </w:p>
              </w:tc>
              <w:tc>
                <w:tcPr>
                  <w:tcW w:w="1951" w:type="pct"/>
                  <w:tcBorders>
                    <w:tl2br w:val="nil"/>
                    <w:tr2bl w:val="nil"/>
                  </w:tcBorders>
                  <w:noWrap w:val="0"/>
                  <w:vAlign w:val="center"/>
                </w:tcPr>
                <w:p w14:paraId="4ECC78DE">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常见组分或废物名称</w:t>
                  </w:r>
                </w:p>
              </w:tc>
            </w:tr>
            <w:tr w14:paraId="070DC7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Merge w:val="restart"/>
                  <w:tcBorders>
                    <w:tl2br w:val="nil"/>
                    <w:tr2bl w:val="nil"/>
                  </w:tcBorders>
                  <w:noWrap w:val="0"/>
                  <w:vAlign w:val="center"/>
                </w:tcPr>
                <w:p w14:paraId="0E8BD8FC">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HW01医疗废物</w:t>
                  </w:r>
                </w:p>
              </w:tc>
              <w:tc>
                <w:tcPr>
                  <w:tcW w:w="802" w:type="pct"/>
                  <w:tcBorders>
                    <w:tl2br w:val="nil"/>
                    <w:tr2bl w:val="nil"/>
                  </w:tcBorders>
                  <w:noWrap w:val="0"/>
                  <w:vAlign w:val="center"/>
                </w:tcPr>
                <w:p w14:paraId="3CC69C57">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感染性废物841-001-01</w:t>
                  </w:r>
                </w:p>
              </w:tc>
              <w:tc>
                <w:tcPr>
                  <w:tcW w:w="1693" w:type="pct"/>
                  <w:tcBorders>
                    <w:tl2br w:val="nil"/>
                    <w:tr2bl w:val="nil"/>
                  </w:tcBorders>
                  <w:noWrap w:val="0"/>
                  <w:vAlign w:val="center"/>
                </w:tcPr>
                <w:p w14:paraId="001481AA">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携带病原微生物，具有引发感染性疾病传播危险的医疗废物</w:t>
                  </w:r>
                </w:p>
              </w:tc>
              <w:tc>
                <w:tcPr>
                  <w:tcW w:w="1951" w:type="pct"/>
                  <w:tcBorders>
                    <w:tl2br w:val="nil"/>
                    <w:tr2bl w:val="nil"/>
                  </w:tcBorders>
                  <w:noWrap w:val="0"/>
                  <w:vAlign w:val="center"/>
                </w:tcPr>
                <w:p w14:paraId="5C109A7B">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被病人血液、体液、排泄物污染的物品；废弃的被服；其他实验室及科室废弃的血液、血清、分泌物等标本和容器；使用后的一次性使用医疗用品、医疗器械等</w:t>
                  </w:r>
                  <w:r>
                    <w:rPr>
                      <w:rFonts w:hint="eastAsia" w:cs="Times New Roman"/>
                      <w:b w:val="0"/>
                      <w:bCs w:val="0"/>
                      <w:color w:val="auto"/>
                      <w:spacing w:val="11"/>
                      <w:kern w:val="0"/>
                      <w:position w:val="0"/>
                      <w:sz w:val="21"/>
                      <w:szCs w:val="20"/>
                      <w:highlight w:val="none"/>
                      <w:u w:val="none" w:color="auto"/>
                      <w:lang w:val="en-US" w:eastAsia="zh-CN" w:bidi="ar-SA"/>
                    </w:rPr>
                    <w:t>；隔离传染病患者或者疑似传染病患者产生的废弃物</w:t>
                  </w:r>
                </w:p>
              </w:tc>
            </w:tr>
            <w:tr w14:paraId="11B4C2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Merge w:val="continue"/>
                  <w:tcBorders>
                    <w:tl2br w:val="nil"/>
                    <w:tr2bl w:val="nil"/>
                  </w:tcBorders>
                  <w:noWrap w:val="0"/>
                  <w:vAlign w:val="center"/>
                </w:tcPr>
                <w:p w14:paraId="5930FF2E">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p>
              </w:tc>
              <w:tc>
                <w:tcPr>
                  <w:tcW w:w="802" w:type="pct"/>
                  <w:tcBorders>
                    <w:tl2br w:val="nil"/>
                    <w:tr2bl w:val="nil"/>
                  </w:tcBorders>
                  <w:noWrap w:val="0"/>
                  <w:vAlign w:val="center"/>
                </w:tcPr>
                <w:p w14:paraId="7E72EA6F">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损伤性废物841-002-01</w:t>
                  </w:r>
                </w:p>
              </w:tc>
              <w:tc>
                <w:tcPr>
                  <w:tcW w:w="1693" w:type="pct"/>
                  <w:tcBorders>
                    <w:tl2br w:val="nil"/>
                    <w:tr2bl w:val="nil"/>
                  </w:tcBorders>
                  <w:noWrap w:val="0"/>
                  <w:vAlign w:val="center"/>
                </w:tcPr>
                <w:p w14:paraId="2F36DB4A">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能够刺伤或者割伤人体的废弃的医用锐器</w:t>
                  </w:r>
                </w:p>
              </w:tc>
              <w:tc>
                <w:tcPr>
                  <w:tcW w:w="1951" w:type="pct"/>
                  <w:tcBorders>
                    <w:tl2br w:val="nil"/>
                    <w:tr2bl w:val="nil"/>
                  </w:tcBorders>
                  <w:noWrap w:val="0"/>
                  <w:vAlign w:val="center"/>
                </w:tcPr>
                <w:p w14:paraId="518C282E">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医用针头、缝合针；各类医用锐器；玻璃试管、玻璃安瓿等</w:t>
                  </w:r>
                </w:p>
              </w:tc>
            </w:tr>
            <w:tr w14:paraId="4BB76C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Merge w:val="continue"/>
                  <w:tcBorders>
                    <w:tl2br w:val="nil"/>
                    <w:tr2bl w:val="nil"/>
                  </w:tcBorders>
                  <w:noWrap w:val="0"/>
                  <w:vAlign w:val="center"/>
                </w:tcPr>
                <w:p w14:paraId="37AB468C">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p>
              </w:tc>
              <w:tc>
                <w:tcPr>
                  <w:tcW w:w="802" w:type="pct"/>
                  <w:tcBorders>
                    <w:tl2br w:val="nil"/>
                    <w:tr2bl w:val="nil"/>
                  </w:tcBorders>
                  <w:noWrap w:val="0"/>
                  <w:vAlign w:val="center"/>
                </w:tcPr>
                <w:p w14:paraId="22B09F83">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病理性废物841-003-01</w:t>
                  </w:r>
                </w:p>
              </w:tc>
              <w:tc>
                <w:tcPr>
                  <w:tcW w:w="1693" w:type="pct"/>
                  <w:tcBorders>
                    <w:tl2br w:val="nil"/>
                    <w:tr2bl w:val="nil"/>
                  </w:tcBorders>
                  <w:noWrap w:val="0"/>
                  <w:vAlign w:val="center"/>
                </w:tcPr>
                <w:p w14:paraId="09AA261E">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诊疗过程中产生的人体废弃物</w:t>
                  </w:r>
                </w:p>
              </w:tc>
              <w:tc>
                <w:tcPr>
                  <w:tcW w:w="1951" w:type="pct"/>
                  <w:tcBorders>
                    <w:tl2br w:val="nil"/>
                    <w:tr2bl w:val="nil"/>
                  </w:tcBorders>
                  <w:noWrap w:val="0"/>
                  <w:vAlign w:val="center"/>
                </w:tcPr>
                <w:p w14:paraId="61FA1BD4">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病理切片废弃人体组织、病理蜡块；手术及其他医疗诊断中产生的废弃人体组织、器官、残肢等</w:t>
                  </w:r>
                </w:p>
              </w:tc>
            </w:tr>
            <w:tr w14:paraId="55D4ED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Merge w:val="continue"/>
                  <w:tcBorders>
                    <w:tl2br w:val="nil"/>
                    <w:tr2bl w:val="nil"/>
                  </w:tcBorders>
                  <w:noWrap w:val="0"/>
                  <w:vAlign w:val="center"/>
                </w:tcPr>
                <w:p w14:paraId="662A65EA">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p>
              </w:tc>
              <w:tc>
                <w:tcPr>
                  <w:tcW w:w="802" w:type="pct"/>
                  <w:tcBorders>
                    <w:tl2br w:val="nil"/>
                    <w:tr2bl w:val="nil"/>
                  </w:tcBorders>
                  <w:noWrap w:val="0"/>
                  <w:vAlign w:val="center"/>
                </w:tcPr>
                <w:p w14:paraId="66C57B24">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化学性废物841-004-01</w:t>
                  </w:r>
                </w:p>
              </w:tc>
              <w:tc>
                <w:tcPr>
                  <w:tcW w:w="1693" w:type="pct"/>
                  <w:tcBorders>
                    <w:tl2br w:val="nil"/>
                    <w:tr2bl w:val="nil"/>
                  </w:tcBorders>
                  <w:noWrap w:val="0"/>
                  <w:vAlign w:val="center"/>
                </w:tcPr>
                <w:p w14:paraId="06D38061">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具有毒性、腐蚀性、易燃易爆性的废弃的化学物品</w:t>
                  </w:r>
                </w:p>
              </w:tc>
              <w:tc>
                <w:tcPr>
                  <w:tcW w:w="1951" w:type="pct"/>
                  <w:tcBorders>
                    <w:tl2br w:val="nil"/>
                    <w:tr2bl w:val="nil"/>
                  </w:tcBorders>
                  <w:noWrap w:val="0"/>
                  <w:vAlign w:val="center"/>
                </w:tcPr>
                <w:p w14:paraId="451A77EC">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废弃的试剂、消毒剂等</w:t>
                  </w:r>
                </w:p>
              </w:tc>
            </w:tr>
            <w:tr w14:paraId="0E296B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Merge w:val="continue"/>
                  <w:tcBorders>
                    <w:tl2br w:val="nil"/>
                    <w:tr2bl w:val="nil"/>
                  </w:tcBorders>
                  <w:noWrap w:val="0"/>
                  <w:vAlign w:val="center"/>
                </w:tcPr>
                <w:p w14:paraId="6524C4D0">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p>
              </w:tc>
              <w:tc>
                <w:tcPr>
                  <w:tcW w:w="802" w:type="pct"/>
                  <w:tcBorders>
                    <w:tl2br w:val="nil"/>
                    <w:tr2bl w:val="nil"/>
                  </w:tcBorders>
                  <w:noWrap w:val="0"/>
                  <w:vAlign w:val="center"/>
                </w:tcPr>
                <w:p w14:paraId="7C64E003">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药物性废物841-005-01</w:t>
                  </w:r>
                </w:p>
              </w:tc>
              <w:tc>
                <w:tcPr>
                  <w:tcW w:w="1693" w:type="pct"/>
                  <w:tcBorders>
                    <w:tl2br w:val="nil"/>
                    <w:tr2bl w:val="nil"/>
                  </w:tcBorders>
                  <w:noWrap w:val="0"/>
                  <w:vAlign w:val="center"/>
                </w:tcPr>
                <w:p w14:paraId="21F13FE2">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过期、淘汰、变质或者被污染的废弃的药品</w:t>
                  </w:r>
                </w:p>
              </w:tc>
              <w:tc>
                <w:tcPr>
                  <w:tcW w:w="1951" w:type="pct"/>
                  <w:tcBorders>
                    <w:tl2br w:val="nil"/>
                    <w:tr2bl w:val="nil"/>
                  </w:tcBorders>
                  <w:noWrap w:val="0"/>
                  <w:vAlign w:val="center"/>
                </w:tcPr>
                <w:p w14:paraId="3465D0AD">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废弃的一般性药品，如：抗生素、处方类、非处方类药品等</w:t>
                  </w:r>
                </w:p>
              </w:tc>
            </w:tr>
          </w:tbl>
          <w:p w14:paraId="19B762D4">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门诊综合</w:t>
            </w:r>
            <w:r>
              <w:rPr>
                <w:rFonts w:hint="eastAsia" w:ascii="Times New Roman" w:hAnsi="Times New Roman" w:cs="Times New Roman" w:eastAsiaTheme="minorEastAsia"/>
                <w:color w:val="auto"/>
                <w:spacing w:val="11"/>
                <w:position w:val="0"/>
                <w:sz w:val="24"/>
                <w:szCs w:val="24"/>
                <w:highlight w:val="none"/>
                <w:u w:val="none" w:color="auto"/>
                <w:lang w:val="en-US" w:eastAsia="zh-CN"/>
              </w:rPr>
              <w:t>楼共设床位</w:t>
            </w:r>
            <w:r>
              <w:rPr>
                <w:rFonts w:hint="eastAsia" w:cs="Times New Roman" w:eastAsiaTheme="minorEastAsia"/>
                <w:color w:val="auto"/>
                <w:spacing w:val="11"/>
                <w:position w:val="0"/>
                <w:sz w:val="24"/>
                <w:szCs w:val="24"/>
                <w:highlight w:val="none"/>
                <w:u w:val="none" w:color="auto"/>
                <w:lang w:val="en-US" w:eastAsia="zh-CN"/>
              </w:rPr>
              <w:t>360</w:t>
            </w:r>
            <w:r>
              <w:rPr>
                <w:rFonts w:hint="eastAsia" w:ascii="Times New Roman" w:hAnsi="Times New Roman" w:cs="Times New Roman" w:eastAsiaTheme="minorEastAsia"/>
                <w:color w:val="auto"/>
                <w:spacing w:val="11"/>
                <w:position w:val="0"/>
                <w:sz w:val="24"/>
                <w:szCs w:val="24"/>
                <w:highlight w:val="none"/>
                <w:u w:val="none" w:color="auto"/>
                <w:lang w:val="en-US" w:eastAsia="zh-CN"/>
              </w:rPr>
              <w:t>张，门诊人数为</w:t>
            </w:r>
            <w:r>
              <w:rPr>
                <w:rFonts w:hint="eastAsia" w:cs="Times New Roman" w:eastAsiaTheme="minorEastAsia"/>
                <w:color w:val="auto"/>
                <w:spacing w:val="11"/>
                <w:position w:val="0"/>
                <w:sz w:val="24"/>
                <w:szCs w:val="24"/>
                <w:highlight w:val="none"/>
                <w:u w:val="none" w:color="auto"/>
                <w:lang w:val="en-US" w:eastAsia="zh-CN"/>
              </w:rPr>
              <w:t>680</w:t>
            </w:r>
            <w:r>
              <w:rPr>
                <w:rFonts w:hint="eastAsia" w:ascii="Times New Roman" w:hAnsi="Times New Roman" w:cs="Times New Roman" w:eastAsiaTheme="minorEastAsia"/>
                <w:color w:val="auto"/>
                <w:spacing w:val="11"/>
                <w:position w:val="0"/>
                <w:sz w:val="24"/>
                <w:szCs w:val="24"/>
                <w:highlight w:val="none"/>
                <w:u w:val="none" w:color="auto"/>
                <w:lang w:val="en-US" w:eastAsia="zh-CN"/>
              </w:rPr>
              <w:t>人/d，病房医疗废物按0.1kg/床·d计，门诊医疗废物按0.05kg/人·次计，则病房医疗废物产生量约为</w:t>
            </w:r>
            <w:r>
              <w:rPr>
                <w:rFonts w:hint="eastAsia" w:cs="Times New Roman" w:eastAsiaTheme="minorEastAsia"/>
                <w:color w:val="auto"/>
                <w:spacing w:val="11"/>
                <w:position w:val="0"/>
                <w:sz w:val="24"/>
                <w:szCs w:val="24"/>
                <w:highlight w:val="none"/>
                <w:u w:val="none" w:color="auto"/>
                <w:lang w:val="en-US" w:eastAsia="zh-CN"/>
              </w:rPr>
              <w:t>36</w:t>
            </w:r>
            <w:r>
              <w:rPr>
                <w:rFonts w:hint="eastAsia" w:ascii="Times New Roman" w:hAnsi="Times New Roman" w:cs="Times New Roman" w:eastAsiaTheme="minorEastAsia"/>
                <w:color w:val="auto"/>
                <w:spacing w:val="11"/>
                <w:position w:val="0"/>
                <w:sz w:val="24"/>
                <w:szCs w:val="24"/>
                <w:highlight w:val="none"/>
                <w:u w:val="none" w:color="auto"/>
                <w:lang w:val="en-US" w:eastAsia="zh-CN"/>
              </w:rPr>
              <w:t>kg/d（</w:t>
            </w:r>
            <w:r>
              <w:rPr>
                <w:rFonts w:hint="eastAsia" w:cs="Times New Roman" w:eastAsiaTheme="minorEastAsia"/>
                <w:color w:val="auto"/>
                <w:spacing w:val="11"/>
                <w:position w:val="0"/>
                <w:sz w:val="24"/>
                <w:szCs w:val="24"/>
                <w:highlight w:val="none"/>
                <w:u w:val="none" w:color="auto"/>
                <w:lang w:val="en-US" w:eastAsia="zh-CN"/>
              </w:rPr>
              <w:t>13.14</w:t>
            </w:r>
            <w:r>
              <w:rPr>
                <w:rFonts w:hint="eastAsia" w:ascii="Times New Roman" w:hAnsi="Times New Roman" w:cs="Times New Roman" w:eastAsiaTheme="minorEastAsia"/>
                <w:color w:val="auto"/>
                <w:spacing w:val="11"/>
                <w:position w:val="0"/>
                <w:sz w:val="24"/>
                <w:szCs w:val="24"/>
                <w:highlight w:val="none"/>
                <w:u w:val="none" w:color="auto"/>
                <w:lang w:val="en-US" w:eastAsia="zh-CN"/>
              </w:rPr>
              <w:t>t/a），门诊医疗废物产生量为</w:t>
            </w:r>
            <w:r>
              <w:rPr>
                <w:rFonts w:hint="eastAsia" w:cs="Times New Roman" w:eastAsiaTheme="minorEastAsia"/>
                <w:color w:val="auto"/>
                <w:spacing w:val="11"/>
                <w:position w:val="0"/>
                <w:sz w:val="24"/>
                <w:szCs w:val="24"/>
                <w:highlight w:val="none"/>
                <w:u w:val="none" w:color="auto"/>
                <w:lang w:val="en-US" w:eastAsia="zh-CN"/>
              </w:rPr>
              <w:t>34</w:t>
            </w:r>
            <w:r>
              <w:rPr>
                <w:rFonts w:hint="eastAsia" w:ascii="Times New Roman" w:hAnsi="Times New Roman" w:cs="Times New Roman" w:eastAsiaTheme="minorEastAsia"/>
                <w:color w:val="auto"/>
                <w:spacing w:val="11"/>
                <w:position w:val="0"/>
                <w:sz w:val="24"/>
                <w:szCs w:val="24"/>
                <w:highlight w:val="none"/>
                <w:u w:val="none" w:color="auto"/>
                <w:lang w:val="en-US" w:eastAsia="zh-CN"/>
              </w:rPr>
              <w:t>kg/d（</w:t>
            </w:r>
            <w:r>
              <w:rPr>
                <w:rFonts w:hint="eastAsia" w:cs="Times New Roman" w:eastAsiaTheme="minorEastAsia"/>
                <w:color w:val="auto"/>
                <w:spacing w:val="11"/>
                <w:position w:val="0"/>
                <w:sz w:val="24"/>
                <w:szCs w:val="24"/>
                <w:highlight w:val="none"/>
                <w:u w:val="none" w:color="auto"/>
                <w:lang w:val="en-US" w:eastAsia="zh-CN"/>
              </w:rPr>
              <w:t>12.41</w:t>
            </w:r>
            <w:r>
              <w:rPr>
                <w:rFonts w:hint="eastAsia" w:ascii="Times New Roman" w:hAnsi="Times New Roman" w:cs="Times New Roman" w:eastAsiaTheme="minorEastAsia"/>
                <w:color w:val="auto"/>
                <w:spacing w:val="11"/>
                <w:position w:val="0"/>
                <w:sz w:val="24"/>
                <w:szCs w:val="24"/>
                <w:highlight w:val="none"/>
                <w:u w:val="none" w:color="auto"/>
                <w:lang w:val="en-US" w:eastAsia="zh-CN"/>
              </w:rPr>
              <w:t>t/a），则医疗废物合计产生量约为</w:t>
            </w:r>
            <w:r>
              <w:rPr>
                <w:rFonts w:hint="eastAsia" w:cs="Times New Roman" w:eastAsiaTheme="minorEastAsia"/>
                <w:color w:val="auto"/>
                <w:spacing w:val="11"/>
                <w:position w:val="0"/>
                <w:sz w:val="24"/>
                <w:szCs w:val="24"/>
                <w:highlight w:val="none"/>
                <w:u w:val="none" w:color="auto"/>
                <w:lang w:val="en-US" w:eastAsia="zh-CN"/>
              </w:rPr>
              <w:t>70</w:t>
            </w:r>
            <w:r>
              <w:rPr>
                <w:rFonts w:hint="eastAsia" w:ascii="Times New Roman" w:hAnsi="Times New Roman" w:cs="Times New Roman" w:eastAsiaTheme="minorEastAsia"/>
                <w:color w:val="auto"/>
                <w:spacing w:val="11"/>
                <w:position w:val="0"/>
                <w:sz w:val="24"/>
                <w:szCs w:val="24"/>
                <w:highlight w:val="none"/>
                <w:u w:val="none" w:color="auto"/>
                <w:lang w:val="en-US" w:eastAsia="zh-CN"/>
              </w:rPr>
              <w:t>kg/d（</w:t>
            </w:r>
            <w:r>
              <w:rPr>
                <w:rFonts w:hint="eastAsia" w:cs="Times New Roman" w:eastAsiaTheme="minorEastAsia"/>
                <w:color w:val="auto"/>
                <w:spacing w:val="11"/>
                <w:position w:val="0"/>
                <w:sz w:val="24"/>
                <w:szCs w:val="24"/>
                <w:highlight w:val="none"/>
                <w:u w:val="none" w:color="auto"/>
                <w:lang w:val="en-US" w:eastAsia="zh-CN"/>
              </w:rPr>
              <w:t>25.55</w:t>
            </w:r>
            <w:r>
              <w:rPr>
                <w:rFonts w:hint="eastAsia" w:ascii="Times New Roman" w:hAnsi="Times New Roman" w:cs="Times New Roman" w:eastAsiaTheme="minorEastAsia"/>
                <w:color w:val="auto"/>
                <w:spacing w:val="11"/>
                <w:position w:val="0"/>
                <w:sz w:val="24"/>
                <w:szCs w:val="24"/>
                <w:highlight w:val="none"/>
                <w:u w:val="none" w:color="auto"/>
                <w:lang w:val="en-US" w:eastAsia="zh-CN"/>
              </w:rPr>
              <w:t>t/a），分类收集包装后暂存于</w:t>
            </w:r>
            <w:r>
              <w:rPr>
                <w:rFonts w:hint="eastAsia" w:cs="Times New Roman" w:eastAsiaTheme="minorEastAsia"/>
                <w:color w:val="auto"/>
                <w:spacing w:val="11"/>
                <w:position w:val="0"/>
                <w:sz w:val="24"/>
                <w:szCs w:val="24"/>
                <w:highlight w:val="none"/>
                <w:u w:val="none" w:color="auto"/>
                <w:lang w:val="en-US" w:eastAsia="zh-CN"/>
              </w:rPr>
              <w:t>医疗废物暂存间</w:t>
            </w:r>
            <w:r>
              <w:rPr>
                <w:rFonts w:hint="eastAsia" w:ascii="Times New Roman" w:hAnsi="Times New Roman" w:cs="Times New Roman" w:eastAsiaTheme="minorEastAsia"/>
                <w:color w:val="auto"/>
                <w:spacing w:val="11"/>
                <w:position w:val="0"/>
                <w:sz w:val="24"/>
                <w:szCs w:val="24"/>
                <w:highlight w:val="none"/>
                <w:u w:val="none" w:color="auto"/>
                <w:lang w:val="en-US" w:eastAsia="zh-CN"/>
              </w:rPr>
              <w:t>，交由有资质单位处理。</w:t>
            </w:r>
          </w:p>
          <w:p w14:paraId="1B2678B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本项目治疗过程中产生的失效、变质、不合格、伪劣的药物和药品，废药瓶等属于危险废物，根据建设单位提供资料可知，废药物、药品年产生量约为0.0</w:t>
            </w:r>
            <w:r>
              <w:rPr>
                <w:rFonts w:hint="eastAsia" w:cs="Times New Roman" w:eastAsiaTheme="minorEastAsia"/>
                <w:color w:val="auto"/>
                <w:spacing w:val="11"/>
                <w:position w:val="0"/>
                <w:sz w:val="24"/>
                <w:szCs w:val="24"/>
                <w:highlight w:val="none"/>
                <w:u w:val="none" w:color="auto"/>
                <w:lang w:val="en-US" w:eastAsia="zh-CN"/>
              </w:rPr>
              <w:t>7</w:t>
            </w:r>
            <w:r>
              <w:rPr>
                <w:rFonts w:hint="eastAsia" w:ascii="Times New Roman" w:hAnsi="Times New Roman" w:cs="Times New Roman" w:eastAsiaTheme="minorEastAsia"/>
                <w:color w:val="auto"/>
                <w:spacing w:val="11"/>
                <w:position w:val="0"/>
                <w:sz w:val="24"/>
                <w:szCs w:val="24"/>
                <w:highlight w:val="none"/>
                <w:u w:val="none" w:color="auto"/>
                <w:lang w:val="en-US" w:eastAsia="zh-CN"/>
              </w:rPr>
              <w:t>t/a，分类收集包装后暂存于医疗废物暂存间，交由</w:t>
            </w:r>
            <w:r>
              <w:rPr>
                <w:rFonts w:hint="eastAsia" w:ascii="Times New Roman" w:hAnsi="Times New Roman" w:cs="Times New Roman" w:eastAsiaTheme="minorEastAsia"/>
                <w:b w:val="0"/>
                <w:bCs w:val="0"/>
                <w:color w:val="auto"/>
                <w:spacing w:val="11"/>
                <w:position w:val="0"/>
                <w:sz w:val="24"/>
                <w:szCs w:val="24"/>
                <w:highlight w:val="none"/>
                <w:u w:val="none" w:color="auto"/>
                <w:lang w:val="en-US" w:eastAsia="zh-CN"/>
              </w:rPr>
              <w:t>永州市医疗废物集中处置有限公司</w:t>
            </w:r>
            <w:r>
              <w:rPr>
                <w:rFonts w:hint="eastAsia" w:cs="Times New Roman" w:eastAsiaTheme="minorEastAsia"/>
                <w:b w:val="0"/>
                <w:bCs w:val="0"/>
                <w:color w:val="auto"/>
                <w:spacing w:val="11"/>
                <w:position w:val="0"/>
                <w:sz w:val="24"/>
                <w:szCs w:val="24"/>
                <w:highlight w:val="none"/>
                <w:u w:val="none" w:color="auto"/>
                <w:lang w:val="en-US" w:eastAsia="zh-CN"/>
              </w:rPr>
              <w:t>处理</w:t>
            </w:r>
            <w:r>
              <w:rPr>
                <w:rFonts w:hint="eastAsia" w:ascii="Times New Roman" w:hAnsi="Times New Roman" w:cs="Times New Roman" w:eastAsiaTheme="minorEastAsia"/>
                <w:color w:val="auto"/>
                <w:spacing w:val="11"/>
                <w:position w:val="0"/>
                <w:sz w:val="24"/>
                <w:szCs w:val="24"/>
                <w:highlight w:val="none"/>
                <w:u w:val="none" w:color="auto"/>
                <w:lang w:val="en-US" w:eastAsia="zh-CN"/>
              </w:rPr>
              <w:t>。</w:t>
            </w:r>
          </w:p>
          <w:p w14:paraId="7A8EB551">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医院在病理、血液检查及化验等工作中使用重铬酸钾、三氧化铬、铬酸钾等化学品形成的污水</w:t>
            </w:r>
            <w:r>
              <w:rPr>
                <w:rFonts w:hint="eastAsia" w:cs="Times New Roman" w:eastAsiaTheme="minorEastAsia"/>
                <w:color w:val="auto"/>
                <w:spacing w:val="11"/>
                <w:position w:val="0"/>
                <w:sz w:val="24"/>
                <w:szCs w:val="24"/>
                <w:highlight w:val="none"/>
                <w:u w:val="none" w:color="auto"/>
                <w:lang w:val="en-US" w:eastAsia="zh-CN"/>
              </w:rPr>
              <w:t>中含重金属，</w:t>
            </w:r>
            <w:r>
              <w:rPr>
                <w:rFonts w:hint="eastAsia" w:cs="Times New Roman"/>
                <w:bCs/>
                <w:color w:val="auto"/>
                <w:spacing w:val="11"/>
                <w:szCs w:val="24"/>
                <w:highlight w:val="none"/>
                <w:u w:val="none"/>
                <w:lang w:val="en-US" w:eastAsia="zh-CN"/>
              </w:rPr>
              <w:t>本评价要求将该部分废水收集后交由有资质单位进行处理。该部分废水产生量为</w:t>
            </w:r>
            <w:r>
              <w:rPr>
                <w:rFonts w:hint="eastAsia" w:ascii="Times New Roman" w:hAnsi="Times New Roman" w:eastAsia="宋体" w:cs="Times New Roman"/>
                <w:bCs/>
                <w:color w:val="auto"/>
                <w:spacing w:val="11"/>
                <w:szCs w:val="24"/>
                <w:highlight w:val="none"/>
                <w:u w:val="none"/>
                <w:lang w:val="en-US" w:eastAsia="zh-CN"/>
              </w:rPr>
              <w:t>0.2m</w:t>
            </w:r>
            <w:r>
              <w:rPr>
                <w:rFonts w:hint="eastAsia" w:ascii="Times New Roman" w:hAnsi="Times New Roman" w:eastAsia="宋体" w:cs="Times New Roman"/>
                <w:bCs/>
                <w:color w:val="auto"/>
                <w:spacing w:val="11"/>
                <w:szCs w:val="24"/>
                <w:highlight w:val="none"/>
                <w:u w:val="none"/>
                <w:vertAlign w:val="superscript"/>
                <w:lang w:val="en-US" w:eastAsia="zh-CN"/>
              </w:rPr>
              <w:t>3</w:t>
            </w:r>
            <w:r>
              <w:rPr>
                <w:rFonts w:hint="eastAsia" w:ascii="Times New Roman" w:hAnsi="Times New Roman" w:eastAsia="宋体" w:cs="Times New Roman"/>
                <w:bCs/>
                <w:color w:val="auto"/>
                <w:spacing w:val="11"/>
                <w:szCs w:val="24"/>
                <w:highlight w:val="none"/>
                <w:u w:val="none"/>
                <w:lang w:val="en-US" w:eastAsia="zh-CN"/>
              </w:rPr>
              <w:t>/d（</w:t>
            </w:r>
            <w:r>
              <w:rPr>
                <w:rFonts w:hint="eastAsia" w:cs="Times New Roman"/>
                <w:bCs/>
                <w:color w:val="auto"/>
                <w:spacing w:val="11"/>
                <w:szCs w:val="24"/>
                <w:highlight w:val="none"/>
                <w:u w:val="none"/>
                <w:lang w:val="en-US" w:eastAsia="zh-CN"/>
              </w:rPr>
              <w:t>73</w:t>
            </w:r>
            <w:r>
              <w:rPr>
                <w:rFonts w:hint="eastAsia" w:ascii="Times New Roman" w:hAnsi="Times New Roman" w:eastAsia="宋体" w:cs="Times New Roman"/>
                <w:bCs/>
                <w:color w:val="auto"/>
                <w:spacing w:val="11"/>
                <w:szCs w:val="24"/>
                <w:highlight w:val="none"/>
                <w:u w:val="none"/>
                <w:lang w:val="en-US" w:eastAsia="zh-CN"/>
              </w:rPr>
              <w:t>m</w:t>
            </w:r>
            <w:r>
              <w:rPr>
                <w:rFonts w:hint="eastAsia" w:ascii="Times New Roman" w:hAnsi="Times New Roman" w:eastAsia="宋体" w:cs="Times New Roman"/>
                <w:bCs/>
                <w:color w:val="auto"/>
                <w:spacing w:val="11"/>
                <w:szCs w:val="24"/>
                <w:highlight w:val="none"/>
                <w:u w:val="none"/>
                <w:vertAlign w:val="superscript"/>
                <w:lang w:val="en-US" w:eastAsia="zh-CN"/>
              </w:rPr>
              <w:t>3</w:t>
            </w:r>
            <w:r>
              <w:rPr>
                <w:rFonts w:hint="eastAsia" w:ascii="Times New Roman" w:hAnsi="Times New Roman" w:eastAsia="宋体" w:cs="Times New Roman"/>
                <w:bCs/>
                <w:color w:val="auto"/>
                <w:spacing w:val="11"/>
                <w:szCs w:val="24"/>
                <w:highlight w:val="none"/>
                <w:u w:val="none"/>
                <w:lang w:val="en-US" w:eastAsia="zh-CN"/>
              </w:rPr>
              <w:t>/a）。</w:t>
            </w:r>
          </w:p>
          <w:p w14:paraId="783FEB28">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②污水处理站污泥</w:t>
            </w:r>
          </w:p>
          <w:p w14:paraId="4067C162">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项目废水处理</w:t>
            </w:r>
            <w:r>
              <w:rPr>
                <w:rFonts w:hint="eastAsia" w:cs="Times New Roman" w:eastAsiaTheme="minorEastAsia"/>
                <w:color w:val="auto"/>
                <w:spacing w:val="11"/>
                <w:position w:val="0"/>
                <w:sz w:val="24"/>
                <w:szCs w:val="24"/>
                <w:highlight w:val="none"/>
                <w:u w:val="none" w:color="auto"/>
                <w:lang w:val="en-US" w:eastAsia="zh-CN"/>
              </w:rPr>
              <w:t>新增</w:t>
            </w:r>
            <w:r>
              <w:rPr>
                <w:rFonts w:hint="eastAsia" w:ascii="Times New Roman" w:hAnsi="Times New Roman" w:cs="Times New Roman" w:eastAsiaTheme="minorEastAsia"/>
                <w:color w:val="auto"/>
                <w:spacing w:val="11"/>
                <w:position w:val="0"/>
                <w:sz w:val="24"/>
                <w:szCs w:val="24"/>
                <w:highlight w:val="none"/>
                <w:u w:val="none" w:color="auto"/>
                <w:lang w:val="en-US" w:eastAsia="zh-CN"/>
              </w:rPr>
              <w:t>污泥主要</w:t>
            </w:r>
            <w:r>
              <w:rPr>
                <w:rFonts w:hint="eastAsia" w:cs="Times New Roman" w:eastAsiaTheme="minorEastAsia"/>
                <w:color w:val="auto"/>
                <w:spacing w:val="11"/>
                <w:position w:val="0"/>
                <w:sz w:val="24"/>
                <w:szCs w:val="24"/>
                <w:highlight w:val="none"/>
                <w:u w:val="none" w:color="auto"/>
                <w:lang w:val="en-US" w:eastAsia="zh-CN"/>
              </w:rPr>
              <w:t>为</w:t>
            </w:r>
            <w:r>
              <w:rPr>
                <w:rFonts w:hint="eastAsia" w:ascii="Times New Roman" w:hAnsi="Times New Roman" w:cs="Times New Roman" w:eastAsiaTheme="minorEastAsia"/>
                <w:color w:val="auto"/>
                <w:spacing w:val="11"/>
                <w:position w:val="0"/>
                <w:sz w:val="24"/>
                <w:szCs w:val="24"/>
                <w:highlight w:val="none"/>
                <w:u w:val="none" w:color="auto"/>
                <w:lang w:val="en-US" w:eastAsia="zh-CN"/>
              </w:rPr>
              <w:t>院区废水处理站新增污泥，具体分析如下：</w:t>
            </w:r>
          </w:p>
          <w:p w14:paraId="7F89B70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项目新增废水处理量为</w:t>
            </w:r>
            <w:r>
              <w:rPr>
                <w:rFonts w:hint="eastAsia" w:cs="Times New Roman" w:eastAsiaTheme="minorEastAsia"/>
                <w:color w:val="auto"/>
                <w:spacing w:val="11"/>
                <w:position w:val="0"/>
                <w:sz w:val="24"/>
                <w:szCs w:val="24"/>
                <w:highlight w:val="none"/>
                <w:u w:val="none" w:color="auto"/>
                <w:lang w:val="en-US" w:eastAsia="zh-CN"/>
              </w:rPr>
              <w:t>116896.725m</w:t>
            </w:r>
            <w:r>
              <w:rPr>
                <w:rFonts w:hint="eastAsia" w:cs="Times New Roman" w:eastAsiaTheme="minorEastAsia"/>
                <w:color w:val="auto"/>
                <w:spacing w:val="11"/>
                <w:position w:val="0"/>
                <w:sz w:val="24"/>
                <w:szCs w:val="24"/>
                <w:highlight w:val="none"/>
                <w:u w:val="none" w:color="auto"/>
                <w:vertAlign w:val="superscript"/>
                <w:lang w:val="en-US" w:eastAsia="zh-CN"/>
              </w:rPr>
              <w:t>3</w:t>
            </w:r>
            <w:r>
              <w:rPr>
                <w:rFonts w:hint="eastAsia" w:ascii="Times New Roman" w:hAnsi="Times New Roman" w:cs="Times New Roman" w:eastAsiaTheme="minorEastAsia"/>
                <w:color w:val="auto"/>
                <w:spacing w:val="11"/>
                <w:position w:val="0"/>
                <w:sz w:val="24"/>
                <w:szCs w:val="24"/>
                <w:highlight w:val="none"/>
                <w:u w:val="none" w:color="auto"/>
                <w:lang w:val="en-US" w:eastAsia="zh-CN"/>
              </w:rPr>
              <w:t>/a，根据项目现有运行情况，污泥产生系数按0.2kg污泥/吨·废水计，则拟建项目新增污泥产生量约为</w:t>
            </w:r>
            <w:r>
              <w:rPr>
                <w:rFonts w:hint="eastAsia" w:cs="Times New Roman" w:eastAsiaTheme="minorEastAsia"/>
                <w:color w:val="auto"/>
                <w:spacing w:val="11"/>
                <w:position w:val="0"/>
                <w:sz w:val="24"/>
                <w:szCs w:val="24"/>
                <w:highlight w:val="none"/>
                <w:u w:val="none" w:color="auto"/>
                <w:lang w:val="en-US" w:eastAsia="zh-CN"/>
              </w:rPr>
              <w:t>23.38</w:t>
            </w:r>
            <w:r>
              <w:rPr>
                <w:rFonts w:hint="eastAsia" w:ascii="Times New Roman" w:hAnsi="Times New Roman" w:cs="Times New Roman" w:eastAsiaTheme="minorEastAsia"/>
                <w:color w:val="auto"/>
                <w:spacing w:val="11"/>
                <w:position w:val="0"/>
                <w:sz w:val="24"/>
                <w:szCs w:val="24"/>
                <w:highlight w:val="none"/>
                <w:u w:val="none" w:color="auto"/>
                <w:lang w:val="en-US" w:eastAsia="zh-CN"/>
              </w:rPr>
              <w:t>t/a，污泥消毒后清掏，作为危险废物交由</w:t>
            </w:r>
            <w:r>
              <w:rPr>
                <w:rFonts w:hint="eastAsia" w:cs="Times New Roman" w:eastAsiaTheme="minorEastAsia"/>
                <w:color w:val="auto"/>
                <w:spacing w:val="11"/>
                <w:position w:val="0"/>
                <w:sz w:val="24"/>
                <w:szCs w:val="24"/>
                <w:highlight w:val="none"/>
                <w:u w:val="none" w:color="auto"/>
                <w:lang w:val="en-US" w:eastAsia="zh-CN"/>
              </w:rPr>
              <w:t>永州市医疗废物集中处置有限公司</w:t>
            </w:r>
            <w:r>
              <w:rPr>
                <w:rFonts w:hint="eastAsia" w:ascii="Times New Roman" w:hAnsi="Times New Roman" w:cs="Times New Roman" w:eastAsiaTheme="minorEastAsia"/>
                <w:color w:val="auto"/>
                <w:spacing w:val="11"/>
                <w:position w:val="0"/>
                <w:sz w:val="24"/>
                <w:szCs w:val="24"/>
                <w:highlight w:val="none"/>
                <w:u w:val="none" w:color="auto"/>
                <w:lang w:val="en-US" w:eastAsia="zh-CN"/>
              </w:rPr>
              <w:t>处置。</w:t>
            </w:r>
          </w:p>
          <w:p w14:paraId="771F9793">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对照《国家危险废物名录》（2025年版），本项目固废代码以及产生、处置情况详见下表。</w:t>
            </w:r>
          </w:p>
          <w:p w14:paraId="191C34E7">
            <w:pPr>
              <w:spacing w:line="240" w:lineRule="auto"/>
              <w:ind w:left="0" w:leftChars="0" w:firstLine="0" w:firstLineChars="0"/>
              <w:jc w:val="center"/>
              <w:rPr>
                <w:rFonts w:hint="default" w:ascii="Times New Roman" w:hAnsi="Times New Roman" w:cs="Times New Roman" w:eastAsiaTheme="minorEastAsia"/>
                <w:b/>
                <w:color w:val="auto"/>
                <w:spacing w:val="11"/>
                <w:position w:val="0"/>
                <w:sz w:val="21"/>
                <w:szCs w:val="21"/>
                <w:highlight w:val="none"/>
                <w:u w:val="single" w:color="auto"/>
                <w:lang w:val="en-US"/>
              </w:rPr>
            </w:pPr>
            <w:r>
              <w:rPr>
                <w:rFonts w:hint="default" w:ascii="Times New Roman" w:hAnsi="Times New Roman" w:cs="Times New Roman" w:eastAsiaTheme="minorEastAsia"/>
                <w:b/>
                <w:color w:val="auto"/>
                <w:spacing w:val="11"/>
                <w:position w:val="0"/>
                <w:sz w:val="21"/>
                <w:szCs w:val="21"/>
                <w:highlight w:val="none"/>
                <w:u w:val="single" w:color="auto"/>
              </w:rPr>
              <w:t>表</w:t>
            </w:r>
            <w:r>
              <w:rPr>
                <w:rFonts w:hint="default" w:ascii="Times New Roman" w:hAnsi="Times New Roman" w:cs="Times New Roman" w:eastAsiaTheme="minorEastAsia"/>
                <w:b/>
                <w:color w:val="auto"/>
                <w:spacing w:val="11"/>
                <w:position w:val="0"/>
                <w:sz w:val="21"/>
                <w:szCs w:val="21"/>
                <w:highlight w:val="none"/>
                <w:u w:val="single" w:color="auto"/>
                <w:lang w:val="en-US" w:eastAsia="zh-CN"/>
              </w:rPr>
              <w:t>4-</w:t>
            </w:r>
            <w:r>
              <w:rPr>
                <w:rFonts w:hint="eastAsia" w:ascii="Times New Roman" w:hAnsi="Times New Roman" w:cs="Times New Roman" w:eastAsiaTheme="minorEastAsia"/>
                <w:b/>
                <w:color w:val="auto"/>
                <w:spacing w:val="11"/>
                <w:position w:val="0"/>
                <w:sz w:val="21"/>
                <w:szCs w:val="21"/>
                <w:highlight w:val="none"/>
                <w:u w:val="single" w:color="auto"/>
                <w:lang w:val="en-US" w:eastAsia="zh-CN"/>
              </w:rPr>
              <w:t>1</w:t>
            </w:r>
            <w:r>
              <w:rPr>
                <w:rFonts w:hint="eastAsia" w:cs="Times New Roman" w:eastAsiaTheme="minorEastAsia"/>
                <w:b/>
                <w:color w:val="auto"/>
                <w:spacing w:val="11"/>
                <w:position w:val="0"/>
                <w:sz w:val="21"/>
                <w:szCs w:val="21"/>
                <w:highlight w:val="none"/>
                <w:u w:val="single" w:color="auto"/>
                <w:lang w:val="en-US" w:eastAsia="zh-CN"/>
              </w:rPr>
              <w:t>7</w:t>
            </w:r>
            <w:r>
              <w:rPr>
                <w:rFonts w:hint="eastAsia" w:ascii="Times New Roman" w:hAnsi="Times New Roman" w:cs="Times New Roman" w:eastAsiaTheme="minorEastAsia"/>
                <w:b/>
                <w:color w:val="auto"/>
                <w:spacing w:val="11"/>
                <w:position w:val="0"/>
                <w:sz w:val="21"/>
                <w:szCs w:val="21"/>
                <w:highlight w:val="none"/>
                <w:u w:val="single" w:color="auto"/>
                <w:lang w:val="en-US" w:eastAsia="zh-CN"/>
              </w:rPr>
              <w:t xml:space="preserve"> </w:t>
            </w:r>
            <w:r>
              <w:rPr>
                <w:rFonts w:hint="default" w:ascii="Times New Roman" w:hAnsi="Times New Roman" w:cs="Times New Roman" w:eastAsiaTheme="minorEastAsia"/>
                <w:b/>
                <w:color w:val="auto"/>
                <w:spacing w:val="11"/>
                <w:position w:val="0"/>
                <w:sz w:val="21"/>
                <w:szCs w:val="21"/>
                <w:highlight w:val="none"/>
                <w:u w:val="single" w:color="auto"/>
              </w:rPr>
              <w:t xml:space="preserve"> </w:t>
            </w:r>
            <w:r>
              <w:rPr>
                <w:rFonts w:hint="default" w:ascii="Times New Roman" w:hAnsi="Times New Roman" w:cs="Times New Roman" w:eastAsiaTheme="minorEastAsia"/>
                <w:b/>
                <w:color w:val="auto"/>
                <w:spacing w:val="11"/>
                <w:position w:val="0"/>
                <w:sz w:val="21"/>
                <w:szCs w:val="21"/>
                <w:highlight w:val="none"/>
                <w:u w:val="single" w:color="auto"/>
                <w:lang w:val="en-US" w:eastAsia="zh-CN"/>
              </w:rPr>
              <w:t>项目</w:t>
            </w:r>
            <w:r>
              <w:rPr>
                <w:rFonts w:hint="eastAsia" w:ascii="Times New Roman" w:hAnsi="Times New Roman" w:cs="Times New Roman" w:eastAsiaTheme="minorEastAsia"/>
                <w:b/>
                <w:color w:val="auto"/>
                <w:spacing w:val="11"/>
                <w:position w:val="0"/>
                <w:sz w:val="21"/>
                <w:szCs w:val="21"/>
                <w:highlight w:val="none"/>
                <w:u w:val="single" w:color="auto"/>
                <w:lang w:val="en-US" w:eastAsia="zh-CN"/>
              </w:rPr>
              <w:t>固废产生及处置情况</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681"/>
              <w:gridCol w:w="1153"/>
              <w:gridCol w:w="1541"/>
              <w:gridCol w:w="1841"/>
              <w:gridCol w:w="2090"/>
            </w:tblGrid>
            <w:tr w14:paraId="0CAC65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6" w:type="pct"/>
                  <w:tcBorders>
                    <w:tl2br w:val="nil"/>
                    <w:tr2bl w:val="nil"/>
                  </w:tcBorders>
                  <w:noWrap w:val="0"/>
                  <w:vAlign w:val="center"/>
                </w:tcPr>
                <w:p w14:paraId="6A2ABF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0"/>
                      <w:position w:val="0"/>
                      <w:sz w:val="21"/>
                      <w:szCs w:val="21"/>
                      <w:highlight w:val="none"/>
                      <w:u w:val="single" w:color="auto"/>
                      <w:lang w:val="en-US" w:eastAsia="zh-CN" w:bidi="ar-SA"/>
                    </w:rPr>
                    <w:t>序号</w:t>
                  </w:r>
                </w:p>
              </w:tc>
              <w:tc>
                <w:tcPr>
                  <w:tcW w:w="939" w:type="pct"/>
                  <w:tcBorders>
                    <w:tl2br w:val="nil"/>
                    <w:tr2bl w:val="nil"/>
                  </w:tcBorders>
                  <w:noWrap w:val="0"/>
                  <w:vAlign w:val="center"/>
                </w:tcPr>
                <w:p w14:paraId="4A6D5EA1">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b w:val="0"/>
                      <w:bCs w:val="0"/>
                      <w:color w:val="auto"/>
                      <w:spacing w:val="11"/>
                      <w:kern w:val="0"/>
                      <w:position w:val="0"/>
                      <w:sz w:val="21"/>
                      <w:szCs w:val="21"/>
                      <w:highlight w:val="none"/>
                      <w:u w:val="single" w:color="auto"/>
                      <w:lang w:val="en-US" w:eastAsia="zh-CN" w:bidi="ar-SA"/>
                    </w:rPr>
                    <w:t>名称</w:t>
                  </w:r>
                </w:p>
              </w:tc>
              <w:tc>
                <w:tcPr>
                  <w:tcW w:w="644" w:type="pct"/>
                  <w:tcBorders>
                    <w:tl2br w:val="nil"/>
                    <w:tr2bl w:val="nil"/>
                  </w:tcBorders>
                  <w:noWrap w:val="0"/>
                  <w:vAlign w:val="center"/>
                </w:tcPr>
                <w:p w14:paraId="28E4941E">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b w:val="0"/>
                      <w:bCs w:val="0"/>
                      <w:color w:val="auto"/>
                      <w:spacing w:val="11"/>
                      <w:kern w:val="0"/>
                      <w:position w:val="0"/>
                      <w:sz w:val="21"/>
                      <w:szCs w:val="21"/>
                      <w:highlight w:val="none"/>
                      <w:u w:val="single" w:color="auto"/>
                      <w:lang w:val="en-US" w:eastAsia="zh-CN" w:bidi="ar-SA"/>
                    </w:rPr>
                    <w:t>产生量</w:t>
                  </w:r>
                </w:p>
              </w:tc>
              <w:tc>
                <w:tcPr>
                  <w:tcW w:w="861" w:type="pct"/>
                  <w:tcBorders>
                    <w:tl2br w:val="nil"/>
                    <w:tr2bl w:val="nil"/>
                  </w:tcBorders>
                  <w:noWrap w:val="0"/>
                  <w:vAlign w:val="center"/>
                </w:tcPr>
                <w:p w14:paraId="0331A61A">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b w:val="0"/>
                      <w:bCs w:val="0"/>
                      <w:color w:val="auto"/>
                      <w:spacing w:val="11"/>
                      <w:kern w:val="0"/>
                      <w:position w:val="0"/>
                      <w:sz w:val="21"/>
                      <w:szCs w:val="21"/>
                      <w:highlight w:val="none"/>
                      <w:u w:val="single" w:color="auto"/>
                      <w:lang w:val="en-US" w:eastAsia="zh-CN" w:bidi="ar-SA"/>
                    </w:rPr>
                    <w:t>废物类别</w:t>
                  </w:r>
                </w:p>
              </w:tc>
              <w:tc>
                <w:tcPr>
                  <w:tcW w:w="1029" w:type="pct"/>
                  <w:tcBorders>
                    <w:tl2br w:val="nil"/>
                    <w:tr2bl w:val="nil"/>
                  </w:tcBorders>
                  <w:noWrap w:val="0"/>
                  <w:vAlign w:val="center"/>
                </w:tcPr>
                <w:p w14:paraId="31000121">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b w:val="0"/>
                      <w:bCs w:val="0"/>
                      <w:color w:val="auto"/>
                      <w:spacing w:val="11"/>
                      <w:kern w:val="0"/>
                      <w:position w:val="0"/>
                      <w:sz w:val="21"/>
                      <w:szCs w:val="21"/>
                      <w:highlight w:val="none"/>
                      <w:u w:val="single" w:color="auto"/>
                      <w:lang w:val="en-US" w:eastAsia="zh-CN" w:bidi="ar-SA"/>
                    </w:rPr>
                    <w:t>固废代码</w:t>
                  </w:r>
                </w:p>
              </w:tc>
              <w:tc>
                <w:tcPr>
                  <w:tcW w:w="1168" w:type="pct"/>
                  <w:tcBorders>
                    <w:tl2br w:val="nil"/>
                    <w:tr2bl w:val="nil"/>
                  </w:tcBorders>
                  <w:noWrap w:val="0"/>
                  <w:vAlign w:val="center"/>
                </w:tcPr>
                <w:p w14:paraId="0D04BF87">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b w:val="0"/>
                      <w:bCs w:val="0"/>
                      <w:color w:val="auto"/>
                      <w:spacing w:val="11"/>
                      <w:kern w:val="0"/>
                      <w:position w:val="0"/>
                      <w:sz w:val="21"/>
                      <w:szCs w:val="21"/>
                      <w:highlight w:val="none"/>
                      <w:u w:val="single" w:color="auto"/>
                      <w:lang w:val="en-US" w:eastAsia="zh-CN" w:bidi="ar-SA"/>
                    </w:rPr>
                    <w:t>处置方式</w:t>
                  </w:r>
                </w:p>
              </w:tc>
            </w:tr>
            <w:tr w14:paraId="2F86DD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56" w:type="pct"/>
                  <w:tcBorders>
                    <w:tl2br w:val="nil"/>
                    <w:tr2bl w:val="nil"/>
                  </w:tcBorders>
                  <w:noWrap w:val="0"/>
                  <w:vAlign w:val="center"/>
                </w:tcPr>
                <w:p w14:paraId="55A75B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0"/>
                      <w:position w:val="0"/>
                      <w:sz w:val="21"/>
                      <w:szCs w:val="21"/>
                      <w:highlight w:val="none"/>
                      <w:u w:val="single" w:color="auto"/>
                      <w:lang w:val="en-US" w:eastAsia="zh-CN" w:bidi="ar-SA"/>
                    </w:rPr>
                    <w:t>1</w:t>
                  </w:r>
                </w:p>
              </w:tc>
              <w:tc>
                <w:tcPr>
                  <w:tcW w:w="939" w:type="pct"/>
                  <w:tcBorders>
                    <w:tl2br w:val="nil"/>
                    <w:tr2bl w:val="nil"/>
                  </w:tcBorders>
                  <w:shd w:val="clear" w:color="auto" w:fill="auto"/>
                  <w:noWrap w:val="0"/>
                  <w:vAlign w:val="center"/>
                </w:tcPr>
                <w:p w14:paraId="5C3DE762">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kern w:val="2"/>
                      <w:position w:val="0"/>
                      <w:sz w:val="21"/>
                      <w:szCs w:val="21"/>
                      <w:highlight w:val="none"/>
                      <w:u w:val="single" w:color="auto"/>
                      <w:lang w:val="en-US" w:eastAsia="zh-CN" w:bidi="ar-SA"/>
                    </w:rPr>
                    <w:t>日常</w:t>
                  </w: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生活</w:t>
                  </w: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垃圾</w:t>
                  </w:r>
                </w:p>
              </w:tc>
              <w:tc>
                <w:tcPr>
                  <w:tcW w:w="644" w:type="pct"/>
                  <w:tcBorders>
                    <w:tl2br w:val="nil"/>
                    <w:tr2bl w:val="nil"/>
                  </w:tcBorders>
                  <w:shd w:val="clear" w:color="auto" w:fill="auto"/>
                  <w:noWrap w:val="0"/>
                  <w:vAlign w:val="center"/>
                </w:tcPr>
                <w:p w14:paraId="57BDEE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position w:val="0"/>
                      <w:sz w:val="21"/>
                      <w:szCs w:val="21"/>
                      <w:highlight w:val="none"/>
                      <w:u w:val="single" w:color="auto"/>
                      <w:lang w:val="en-US" w:eastAsia="zh-CN"/>
                    </w:rPr>
                    <w:t>131.4t/a</w:t>
                  </w:r>
                </w:p>
              </w:tc>
              <w:tc>
                <w:tcPr>
                  <w:tcW w:w="861" w:type="pct"/>
                  <w:vMerge w:val="restart"/>
                  <w:tcBorders>
                    <w:tl2br w:val="nil"/>
                    <w:tr2bl w:val="nil"/>
                  </w:tcBorders>
                  <w:noWrap w:val="0"/>
                  <w:vAlign w:val="center"/>
                </w:tcPr>
                <w:p w14:paraId="6E29F02E">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0"/>
                      <w:position w:val="0"/>
                      <w:sz w:val="21"/>
                      <w:szCs w:val="21"/>
                      <w:highlight w:val="none"/>
                      <w:u w:val="single" w:color="auto"/>
                      <w:lang w:val="en-US" w:eastAsia="zh-CN" w:bidi="ar-SA"/>
                    </w:rPr>
                    <w:t>一般固废</w:t>
                  </w:r>
                </w:p>
              </w:tc>
              <w:tc>
                <w:tcPr>
                  <w:tcW w:w="1029" w:type="pct"/>
                  <w:tcBorders>
                    <w:tl2br w:val="nil"/>
                    <w:tr2bl w:val="nil"/>
                  </w:tcBorders>
                  <w:noWrap w:val="0"/>
                  <w:vAlign w:val="center"/>
                </w:tcPr>
                <w:p w14:paraId="61ADA412">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w:t>
                  </w:r>
                </w:p>
              </w:tc>
              <w:tc>
                <w:tcPr>
                  <w:tcW w:w="1168" w:type="pct"/>
                  <w:vMerge w:val="restart"/>
                  <w:tcBorders>
                    <w:tl2br w:val="nil"/>
                    <w:tr2bl w:val="nil"/>
                  </w:tcBorders>
                  <w:noWrap w:val="0"/>
                  <w:vAlign w:val="center"/>
                </w:tcPr>
                <w:p w14:paraId="20D40FAF">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t>由环卫部门集中清运</w:t>
                  </w:r>
                </w:p>
              </w:tc>
            </w:tr>
            <w:tr w14:paraId="6FFC64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56" w:type="pct"/>
                  <w:tcBorders>
                    <w:tl2br w:val="nil"/>
                    <w:tr2bl w:val="nil"/>
                  </w:tcBorders>
                  <w:shd w:val="clear" w:color="auto" w:fill="auto"/>
                  <w:noWrap w:val="0"/>
                  <w:vAlign w:val="center"/>
                </w:tcPr>
                <w:p w14:paraId="203108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2</w:t>
                  </w:r>
                </w:p>
              </w:tc>
              <w:tc>
                <w:tcPr>
                  <w:tcW w:w="939" w:type="pct"/>
                  <w:tcBorders>
                    <w:tl2br w:val="nil"/>
                    <w:tr2bl w:val="nil"/>
                  </w:tcBorders>
                  <w:shd w:val="clear" w:color="auto" w:fill="auto"/>
                  <w:noWrap w:val="0"/>
                  <w:vAlign w:val="center"/>
                </w:tcPr>
                <w:p w14:paraId="0696ECC8">
                  <w:pPr>
                    <w:widowControl w:val="0"/>
                    <w:bidi w:val="0"/>
                    <w:adjustRightInd w:val="0"/>
                    <w:snapToGrid w:val="0"/>
                    <w:spacing w:line="240" w:lineRule="auto"/>
                    <w:ind w:firstLine="0" w:firstLineChars="0"/>
                    <w:jc w:val="center"/>
                    <w:rPr>
                      <w:rFonts w:hint="eastAsia"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kern w:val="2"/>
                      <w:position w:val="0"/>
                      <w:sz w:val="21"/>
                      <w:szCs w:val="21"/>
                      <w:highlight w:val="none"/>
                      <w:u w:val="single" w:color="auto"/>
                      <w:lang w:val="en-US" w:eastAsia="zh-CN" w:bidi="ar-SA"/>
                    </w:rPr>
                    <w:t>中药药渣</w:t>
                  </w:r>
                </w:p>
              </w:tc>
              <w:tc>
                <w:tcPr>
                  <w:tcW w:w="644" w:type="pct"/>
                  <w:tcBorders>
                    <w:tl2br w:val="nil"/>
                    <w:tr2bl w:val="nil"/>
                  </w:tcBorders>
                  <w:shd w:val="clear" w:color="auto" w:fill="auto"/>
                  <w:noWrap w:val="0"/>
                  <w:vAlign w:val="center"/>
                </w:tcPr>
                <w:p w14:paraId="755CA8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15.768t/a</w:t>
                  </w:r>
                </w:p>
              </w:tc>
              <w:tc>
                <w:tcPr>
                  <w:tcW w:w="861" w:type="pct"/>
                  <w:vMerge w:val="continue"/>
                  <w:tcBorders>
                    <w:tl2br w:val="nil"/>
                    <w:tr2bl w:val="nil"/>
                  </w:tcBorders>
                  <w:noWrap w:val="0"/>
                  <w:vAlign w:val="center"/>
                </w:tcPr>
                <w:p w14:paraId="36143AB5">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1"/>
                      <w:highlight w:val="none"/>
                      <w:u w:val="single" w:color="auto"/>
                      <w:lang w:val="en-US" w:eastAsia="zh-CN" w:bidi="ar-SA"/>
                    </w:rPr>
                  </w:pPr>
                </w:p>
              </w:tc>
              <w:tc>
                <w:tcPr>
                  <w:tcW w:w="1029" w:type="pct"/>
                  <w:tcBorders>
                    <w:tl2br w:val="nil"/>
                    <w:tr2bl w:val="nil"/>
                  </w:tcBorders>
                  <w:noWrap w:val="0"/>
                  <w:vAlign w:val="center"/>
                </w:tcPr>
                <w:p w14:paraId="75463D3B">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w:t>
                  </w:r>
                </w:p>
              </w:tc>
              <w:tc>
                <w:tcPr>
                  <w:tcW w:w="1168" w:type="pct"/>
                  <w:vMerge w:val="continue"/>
                  <w:tcBorders>
                    <w:tl2br w:val="nil"/>
                    <w:tr2bl w:val="nil"/>
                  </w:tcBorders>
                  <w:noWrap w:val="0"/>
                  <w:vAlign w:val="center"/>
                </w:tcPr>
                <w:p w14:paraId="5E91BBB7">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p>
              </w:tc>
            </w:tr>
            <w:tr w14:paraId="14EFD1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tcBorders>
                    <w:tl2br w:val="nil"/>
                    <w:tr2bl w:val="nil"/>
                  </w:tcBorders>
                  <w:shd w:val="clear" w:color="auto" w:fill="auto"/>
                  <w:noWrap w:val="0"/>
                  <w:vAlign w:val="center"/>
                </w:tcPr>
                <w:p w14:paraId="798F8A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3</w:t>
                  </w:r>
                </w:p>
              </w:tc>
              <w:tc>
                <w:tcPr>
                  <w:tcW w:w="939" w:type="pct"/>
                  <w:tcBorders>
                    <w:tl2br w:val="nil"/>
                    <w:tr2bl w:val="nil"/>
                  </w:tcBorders>
                  <w:shd w:val="clear" w:color="auto" w:fill="auto"/>
                  <w:noWrap w:val="0"/>
                  <w:vAlign w:val="center"/>
                </w:tcPr>
                <w:p w14:paraId="324EBD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医疗废物</w:t>
                  </w:r>
                </w:p>
              </w:tc>
              <w:tc>
                <w:tcPr>
                  <w:tcW w:w="644" w:type="pct"/>
                  <w:tcBorders>
                    <w:tl2br w:val="nil"/>
                    <w:tr2bl w:val="nil"/>
                  </w:tcBorders>
                  <w:shd w:val="clear" w:color="auto" w:fill="auto"/>
                  <w:noWrap w:val="0"/>
                  <w:vAlign w:val="center"/>
                </w:tcPr>
                <w:p w14:paraId="0BFB4C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25.55t/a</w:t>
                  </w:r>
                </w:p>
              </w:tc>
              <w:tc>
                <w:tcPr>
                  <w:tcW w:w="861" w:type="pct"/>
                  <w:vMerge w:val="restart"/>
                  <w:tcBorders>
                    <w:tl2br w:val="nil"/>
                    <w:tr2bl w:val="nil"/>
                  </w:tcBorders>
                  <w:noWrap w:val="0"/>
                  <w:vAlign w:val="center"/>
                </w:tcPr>
                <w:p w14:paraId="32EEE19B">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0"/>
                      <w:position w:val="0"/>
                      <w:sz w:val="21"/>
                      <w:szCs w:val="21"/>
                      <w:highlight w:val="none"/>
                      <w:u w:val="single" w:color="auto"/>
                      <w:lang w:val="en-US" w:eastAsia="zh-CN" w:bidi="ar-SA"/>
                    </w:rPr>
                    <w:t>危险废物</w:t>
                  </w:r>
                </w:p>
              </w:tc>
              <w:tc>
                <w:tcPr>
                  <w:tcW w:w="1029" w:type="pct"/>
                  <w:tcBorders>
                    <w:tl2br w:val="nil"/>
                    <w:tr2bl w:val="nil"/>
                  </w:tcBorders>
                  <w:shd w:val="clear" w:color="auto" w:fill="auto"/>
                  <w:noWrap w:val="0"/>
                  <w:vAlign w:val="center"/>
                </w:tcPr>
                <w:p w14:paraId="72CC6412">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t>HW01 841-001-01</w:t>
                  </w:r>
                  <w:r>
                    <w:rPr>
                      <w:rFonts w:hint="eastAsia" w:cs="Times New Roman"/>
                      <w:color w:val="auto"/>
                      <w:spacing w:val="11"/>
                      <w:kern w:val="0"/>
                      <w:position w:val="0"/>
                      <w:sz w:val="21"/>
                      <w:szCs w:val="21"/>
                      <w:highlight w:val="none"/>
                      <w:u w:val="single" w:color="auto"/>
                      <w:lang w:val="en-US" w:eastAsia="zh-CN" w:bidi="ar-SA"/>
                    </w:rPr>
                    <w:t>~HW01 841-004-01</w:t>
                  </w:r>
                </w:p>
              </w:tc>
              <w:tc>
                <w:tcPr>
                  <w:tcW w:w="1168" w:type="pct"/>
                  <w:vMerge w:val="restart"/>
                  <w:tcBorders>
                    <w:tl2br w:val="nil"/>
                    <w:tr2bl w:val="nil"/>
                  </w:tcBorders>
                  <w:noWrap w:val="0"/>
                  <w:vAlign w:val="center"/>
                </w:tcPr>
                <w:p w14:paraId="37FDB01C">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t>交由永州市医疗废物集中处置有限公司</w:t>
                  </w:r>
                  <w:r>
                    <w:rPr>
                      <w:rFonts w:hint="eastAsia" w:cs="Times New Roman"/>
                      <w:color w:val="auto"/>
                      <w:spacing w:val="11"/>
                      <w:kern w:val="0"/>
                      <w:position w:val="0"/>
                      <w:sz w:val="21"/>
                      <w:szCs w:val="21"/>
                      <w:highlight w:val="none"/>
                      <w:u w:val="single" w:color="auto"/>
                      <w:lang w:val="en-US" w:eastAsia="zh-CN" w:bidi="ar-SA"/>
                    </w:rPr>
                    <w:t>处理</w:t>
                  </w:r>
                </w:p>
              </w:tc>
            </w:tr>
            <w:tr w14:paraId="2263D2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tcBorders>
                    <w:tl2br w:val="nil"/>
                    <w:tr2bl w:val="nil"/>
                  </w:tcBorders>
                  <w:shd w:val="clear" w:color="auto" w:fill="auto"/>
                  <w:noWrap w:val="0"/>
                  <w:vAlign w:val="center"/>
                </w:tcPr>
                <w:p w14:paraId="0FE6BA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4</w:t>
                  </w:r>
                </w:p>
              </w:tc>
              <w:tc>
                <w:tcPr>
                  <w:tcW w:w="939" w:type="pct"/>
                  <w:tcBorders>
                    <w:tl2br w:val="nil"/>
                    <w:tr2bl w:val="nil"/>
                  </w:tcBorders>
                  <w:shd w:val="clear" w:color="auto" w:fill="auto"/>
                  <w:noWrap w:val="0"/>
                  <w:vAlign w:val="center"/>
                </w:tcPr>
                <w:p w14:paraId="6CB25628">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污水处理站污泥</w:t>
                  </w:r>
                </w:p>
              </w:tc>
              <w:tc>
                <w:tcPr>
                  <w:tcW w:w="644" w:type="pct"/>
                  <w:tcBorders>
                    <w:tl2br w:val="nil"/>
                    <w:tr2bl w:val="nil"/>
                  </w:tcBorders>
                  <w:shd w:val="clear" w:color="auto" w:fill="auto"/>
                  <w:noWrap w:val="0"/>
                  <w:vAlign w:val="center"/>
                </w:tcPr>
                <w:p w14:paraId="0545A8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kern w:val="2"/>
                      <w:position w:val="0"/>
                      <w:sz w:val="21"/>
                      <w:szCs w:val="21"/>
                      <w:highlight w:val="none"/>
                      <w:u w:val="single" w:color="auto"/>
                      <w:lang w:val="en-US" w:eastAsia="zh-CN" w:bidi="ar-SA"/>
                    </w:rPr>
                    <w:t>23.38</w:t>
                  </w: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t/a</w:t>
                  </w:r>
                </w:p>
              </w:tc>
              <w:tc>
                <w:tcPr>
                  <w:tcW w:w="861" w:type="pct"/>
                  <w:vMerge w:val="continue"/>
                  <w:tcBorders>
                    <w:tl2br w:val="nil"/>
                    <w:tr2bl w:val="nil"/>
                  </w:tcBorders>
                  <w:noWrap w:val="0"/>
                  <w:vAlign w:val="center"/>
                </w:tcPr>
                <w:p w14:paraId="06C48643">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p>
              </w:tc>
              <w:tc>
                <w:tcPr>
                  <w:tcW w:w="1029" w:type="pct"/>
                  <w:tcBorders>
                    <w:tl2br w:val="nil"/>
                    <w:tr2bl w:val="nil"/>
                  </w:tcBorders>
                  <w:shd w:val="clear" w:color="auto" w:fill="auto"/>
                  <w:noWrap w:val="0"/>
                  <w:vAlign w:val="center"/>
                </w:tcPr>
                <w:p w14:paraId="0CA4E8A6">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t>HW</w:t>
                  </w:r>
                  <w:r>
                    <w:rPr>
                      <w:rFonts w:hint="eastAsia" w:cs="Times New Roman"/>
                      <w:color w:val="auto"/>
                      <w:spacing w:val="11"/>
                      <w:kern w:val="0"/>
                      <w:position w:val="0"/>
                      <w:sz w:val="21"/>
                      <w:szCs w:val="21"/>
                      <w:highlight w:val="none"/>
                      <w:u w:val="single" w:color="auto"/>
                      <w:lang w:val="en-US" w:eastAsia="zh-CN" w:bidi="ar-SA"/>
                    </w:rPr>
                    <w:t xml:space="preserve">49 </w:t>
                  </w:r>
                </w:p>
                <w:p w14:paraId="02A75E51">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772-006-49</w:t>
                  </w:r>
                </w:p>
              </w:tc>
              <w:tc>
                <w:tcPr>
                  <w:tcW w:w="1168" w:type="pct"/>
                  <w:vMerge w:val="continue"/>
                  <w:tcBorders>
                    <w:tl2br w:val="nil"/>
                    <w:tr2bl w:val="nil"/>
                  </w:tcBorders>
                  <w:noWrap w:val="0"/>
                  <w:vAlign w:val="center"/>
                </w:tcPr>
                <w:p w14:paraId="4F7EB8BB">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p>
              </w:tc>
            </w:tr>
            <w:tr w14:paraId="389D8D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tcBorders>
                    <w:tl2br w:val="nil"/>
                    <w:tr2bl w:val="nil"/>
                  </w:tcBorders>
                  <w:shd w:val="clear" w:color="auto" w:fill="auto"/>
                  <w:noWrap w:val="0"/>
                  <w:vAlign w:val="center"/>
                </w:tcPr>
                <w:p w14:paraId="0BBD03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5</w:t>
                  </w:r>
                </w:p>
              </w:tc>
              <w:tc>
                <w:tcPr>
                  <w:tcW w:w="939" w:type="pct"/>
                  <w:tcBorders>
                    <w:tl2br w:val="nil"/>
                    <w:tr2bl w:val="nil"/>
                  </w:tcBorders>
                  <w:shd w:val="clear" w:color="auto" w:fill="auto"/>
                  <w:noWrap w:val="0"/>
                  <w:vAlign w:val="center"/>
                </w:tcPr>
                <w:p w14:paraId="2A3ECD2A">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药物性废物</w:t>
                  </w:r>
                </w:p>
              </w:tc>
              <w:tc>
                <w:tcPr>
                  <w:tcW w:w="644" w:type="pct"/>
                  <w:tcBorders>
                    <w:tl2br w:val="nil"/>
                    <w:tr2bl w:val="nil"/>
                  </w:tcBorders>
                  <w:shd w:val="clear" w:color="auto" w:fill="auto"/>
                  <w:noWrap w:val="0"/>
                  <w:vAlign w:val="center"/>
                </w:tcPr>
                <w:p w14:paraId="4C5EBF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kern w:val="2"/>
                      <w:position w:val="0"/>
                      <w:sz w:val="21"/>
                      <w:szCs w:val="21"/>
                      <w:highlight w:val="none"/>
                      <w:u w:val="single" w:color="auto"/>
                      <w:lang w:val="en-US" w:eastAsia="zh-CN" w:bidi="ar-SA"/>
                    </w:rPr>
                    <w:t>0.07t/a</w:t>
                  </w:r>
                </w:p>
              </w:tc>
              <w:tc>
                <w:tcPr>
                  <w:tcW w:w="861" w:type="pct"/>
                  <w:vMerge w:val="continue"/>
                  <w:tcBorders>
                    <w:tl2br w:val="nil"/>
                    <w:tr2bl w:val="nil"/>
                  </w:tcBorders>
                  <w:noWrap w:val="0"/>
                  <w:vAlign w:val="center"/>
                </w:tcPr>
                <w:p w14:paraId="01F9D297">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p>
              </w:tc>
              <w:tc>
                <w:tcPr>
                  <w:tcW w:w="1029" w:type="pct"/>
                  <w:tcBorders>
                    <w:tl2br w:val="nil"/>
                    <w:tr2bl w:val="nil"/>
                  </w:tcBorders>
                  <w:shd w:val="clear" w:color="auto" w:fill="auto"/>
                  <w:noWrap w:val="0"/>
                  <w:vAlign w:val="center"/>
                </w:tcPr>
                <w:p w14:paraId="6B59D42C">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 xml:space="preserve">HW01 </w:t>
                  </w:r>
                </w:p>
                <w:p w14:paraId="55409A00">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841-005-01</w:t>
                  </w:r>
                </w:p>
              </w:tc>
              <w:tc>
                <w:tcPr>
                  <w:tcW w:w="1168" w:type="pct"/>
                  <w:vMerge w:val="continue"/>
                  <w:tcBorders>
                    <w:tl2br w:val="nil"/>
                    <w:tr2bl w:val="nil"/>
                  </w:tcBorders>
                  <w:noWrap w:val="0"/>
                  <w:vAlign w:val="center"/>
                </w:tcPr>
                <w:p w14:paraId="243818D7">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p>
              </w:tc>
            </w:tr>
            <w:tr w14:paraId="608657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tcBorders>
                    <w:tl2br w:val="nil"/>
                    <w:tr2bl w:val="nil"/>
                  </w:tcBorders>
                  <w:shd w:val="clear" w:color="auto" w:fill="auto"/>
                  <w:noWrap w:val="0"/>
                  <w:vAlign w:val="center"/>
                </w:tcPr>
                <w:p w14:paraId="065FD3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6</w:t>
                  </w:r>
                </w:p>
              </w:tc>
              <w:tc>
                <w:tcPr>
                  <w:tcW w:w="939" w:type="pct"/>
                  <w:tcBorders>
                    <w:tl2br w:val="nil"/>
                    <w:tr2bl w:val="nil"/>
                  </w:tcBorders>
                  <w:shd w:val="clear" w:color="auto" w:fill="auto"/>
                  <w:noWrap w:val="0"/>
                  <w:vAlign w:val="center"/>
                </w:tcPr>
                <w:p w14:paraId="5A14CF4B">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含铬污水</w:t>
                  </w:r>
                </w:p>
              </w:tc>
              <w:tc>
                <w:tcPr>
                  <w:tcW w:w="644" w:type="pct"/>
                  <w:tcBorders>
                    <w:tl2br w:val="nil"/>
                    <w:tr2bl w:val="nil"/>
                  </w:tcBorders>
                  <w:shd w:val="clear" w:color="auto" w:fill="auto"/>
                  <w:noWrap w:val="0"/>
                  <w:vAlign w:val="center"/>
                </w:tcPr>
                <w:p w14:paraId="5A6CE1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11"/>
                      <w:kern w:val="2"/>
                      <w:position w:val="0"/>
                      <w:sz w:val="21"/>
                      <w:szCs w:val="21"/>
                      <w:highlight w:val="none"/>
                      <w:u w:val="single" w:color="auto"/>
                      <w:lang w:val="en-US" w:eastAsia="zh-CN" w:bidi="ar-SA"/>
                    </w:rPr>
                  </w:pPr>
                  <w:r>
                    <w:rPr>
                      <w:rFonts w:hint="eastAsia" w:cs="Times New Roman"/>
                      <w:bCs/>
                      <w:color w:val="auto"/>
                      <w:spacing w:val="11"/>
                      <w:sz w:val="21"/>
                      <w:szCs w:val="21"/>
                      <w:highlight w:val="none"/>
                      <w:u w:val="single" w:color="auto"/>
                      <w:lang w:val="en-US" w:eastAsia="zh-CN"/>
                    </w:rPr>
                    <w:t>73</w:t>
                  </w:r>
                  <w:r>
                    <w:rPr>
                      <w:rFonts w:hint="eastAsia" w:ascii="Times New Roman" w:hAnsi="Times New Roman" w:eastAsia="宋体" w:cs="Times New Roman"/>
                      <w:bCs/>
                      <w:color w:val="auto"/>
                      <w:spacing w:val="11"/>
                      <w:sz w:val="21"/>
                      <w:szCs w:val="21"/>
                      <w:highlight w:val="none"/>
                      <w:u w:val="single" w:color="auto"/>
                      <w:lang w:val="en-US" w:eastAsia="zh-CN"/>
                    </w:rPr>
                    <w:t>m</w:t>
                  </w:r>
                  <w:r>
                    <w:rPr>
                      <w:rFonts w:hint="eastAsia" w:ascii="Times New Roman" w:hAnsi="Times New Roman" w:eastAsia="宋体" w:cs="Times New Roman"/>
                      <w:bCs/>
                      <w:color w:val="auto"/>
                      <w:spacing w:val="11"/>
                      <w:sz w:val="21"/>
                      <w:szCs w:val="21"/>
                      <w:highlight w:val="none"/>
                      <w:u w:val="single" w:color="auto"/>
                      <w:vertAlign w:val="superscript"/>
                      <w:lang w:val="en-US" w:eastAsia="zh-CN"/>
                    </w:rPr>
                    <w:t>3</w:t>
                  </w:r>
                  <w:r>
                    <w:rPr>
                      <w:rFonts w:hint="eastAsia" w:ascii="Times New Roman" w:hAnsi="Times New Roman" w:eastAsia="宋体" w:cs="Times New Roman"/>
                      <w:bCs/>
                      <w:color w:val="auto"/>
                      <w:spacing w:val="11"/>
                      <w:sz w:val="21"/>
                      <w:szCs w:val="21"/>
                      <w:highlight w:val="none"/>
                      <w:u w:val="single" w:color="auto"/>
                      <w:lang w:val="en-US" w:eastAsia="zh-CN"/>
                    </w:rPr>
                    <w:t>/a</w:t>
                  </w:r>
                </w:p>
              </w:tc>
              <w:tc>
                <w:tcPr>
                  <w:tcW w:w="861" w:type="pct"/>
                  <w:vMerge w:val="continue"/>
                  <w:tcBorders>
                    <w:tl2br w:val="nil"/>
                    <w:tr2bl w:val="nil"/>
                  </w:tcBorders>
                  <w:noWrap w:val="0"/>
                  <w:vAlign w:val="center"/>
                </w:tcPr>
                <w:p w14:paraId="5B19CAF9">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p>
              </w:tc>
              <w:tc>
                <w:tcPr>
                  <w:tcW w:w="1029" w:type="pct"/>
                  <w:tcBorders>
                    <w:tl2br w:val="nil"/>
                    <w:tr2bl w:val="nil"/>
                  </w:tcBorders>
                  <w:shd w:val="clear" w:color="auto" w:fill="auto"/>
                  <w:noWrap w:val="0"/>
                  <w:vAlign w:val="center"/>
                </w:tcPr>
                <w:p w14:paraId="51FD66F2">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HW01 841-001-01</w:t>
                  </w:r>
                </w:p>
              </w:tc>
              <w:tc>
                <w:tcPr>
                  <w:tcW w:w="1168" w:type="pct"/>
                  <w:vMerge w:val="continue"/>
                  <w:tcBorders>
                    <w:tl2br w:val="nil"/>
                    <w:tr2bl w:val="nil"/>
                  </w:tcBorders>
                  <w:noWrap w:val="0"/>
                  <w:vAlign w:val="center"/>
                </w:tcPr>
                <w:p w14:paraId="3677BF2A">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p>
              </w:tc>
            </w:tr>
          </w:tbl>
          <w:p w14:paraId="37F2DA6A">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Autospacing="0" w:line="360" w:lineRule="auto"/>
              <w:ind w:left="0" w:leftChars="0" w:right="0" w:firstLine="0" w:firstLineChars="0"/>
              <w:textAlignment w:val="auto"/>
              <w:rPr>
                <w:rFonts w:hint="eastAsia" w:ascii="Times New Roman" w:hAnsi="Times New Roman" w:cs="Times New Roman" w:eastAsiaTheme="minorEastAsia"/>
                <w:b/>
                <w:bCs/>
                <w:color w:val="auto"/>
                <w:spacing w:val="11"/>
                <w:position w:val="0"/>
                <w:sz w:val="24"/>
                <w:szCs w:val="24"/>
                <w:highlight w:val="none"/>
                <w:u w:val="none" w:color="auto"/>
                <w:lang w:val="en-US" w:eastAsia="zh-CN"/>
              </w:rPr>
            </w:pPr>
            <w:r>
              <w:rPr>
                <w:rFonts w:hint="eastAsia" w:ascii="Times New Roman" w:hAnsi="Times New Roman" w:cs="Times New Roman" w:eastAsiaTheme="minorEastAsia"/>
                <w:b/>
                <w:bCs/>
                <w:color w:val="auto"/>
                <w:spacing w:val="11"/>
                <w:position w:val="0"/>
                <w:sz w:val="24"/>
                <w:szCs w:val="24"/>
                <w:highlight w:val="none"/>
                <w:u w:val="none" w:color="auto"/>
                <w:lang w:val="en-US" w:eastAsia="zh-CN"/>
              </w:rPr>
              <w:t>4.1管理要求</w:t>
            </w:r>
          </w:p>
          <w:p w14:paraId="60260C53">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（1）一般工业固废</w:t>
            </w:r>
          </w:p>
          <w:p w14:paraId="35B6B9AD">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yellow"/>
                <w:u w:val="none" w:color="auto"/>
                <w:lang w:val="en-US" w:eastAsia="zh-CN"/>
              </w:rPr>
            </w:pPr>
            <w:r>
              <w:rPr>
                <w:rFonts w:hint="eastAsia" w:ascii="Times New Roman" w:hAnsi="Times New Roman" w:cs="Times New Roman" w:eastAsiaTheme="minorEastAsia"/>
                <w:color w:val="auto"/>
                <w:spacing w:val="11"/>
                <w:position w:val="0"/>
                <w:szCs w:val="24"/>
                <w:highlight w:val="none"/>
                <w:u w:val="none" w:color="auto"/>
              </w:rPr>
              <w:t>本项目</w:t>
            </w:r>
            <w:r>
              <w:rPr>
                <w:rFonts w:hint="eastAsia" w:cs="Times New Roman" w:eastAsiaTheme="minorEastAsia"/>
                <w:color w:val="auto"/>
                <w:spacing w:val="11"/>
                <w:position w:val="0"/>
                <w:szCs w:val="24"/>
                <w:highlight w:val="none"/>
                <w:u w:val="none" w:color="auto"/>
                <w:lang w:val="en-US" w:eastAsia="zh-CN"/>
              </w:rPr>
              <w:t>院内设置垃圾分类收集桶，生活垃圾收集后由环卫部门统一清运处理，</w:t>
            </w:r>
            <w:r>
              <w:rPr>
                <w:rFonts w:ascii="Times New Roman" w:hAnsi="Times New Roman" w:cs="Times New Roman" w:eastAsiaTheme="minorEastAsia"/>
                <w:color w:val="auto"/>
                <w:spacing w:val="11"/>
                <w:position w:val="0"/>
                <w:szCs w:val="24"/>
                <w:highlight w:val="none"/>
                <w:u w:val="none" w:color="auto"/>
              </w:rPr>
              <w:t>项目所有固废要按照“减量化、资源化、无害化”处理原则，加强固体废物的内部管理，建立固体废物产生、外运、处置及最终去向的详细账单，按废物转移交换处置管理办法实施追踪管理，并落实安全管理责任，避免二次污染。一般工业固废暂存场所</w:t>
            </w:r>
            <w:r>
              <w:rPr>
                <w:rFonts w:hint="eastAsia" w:ascii="Times New Roman" w:hAnsi="Times New Roman" w:cs="Times New Roman" w:eastAsiaTheme="minorEastAsia"/>
                <w:color w:val="auto"/>
                <w:spacing w:val="11"/>
                <w:position w:val="0"/>
                <w:szCs w:val="24"/>
                <w:highlight w:val="none"/>
                <w:u w:val="none" w:color="auto"/>
                <w:lang w:val="en-US" w:eastAsia="zh-CN"/>
              </w:rPr>
              <w:t>应</w:t>
            </w:r>
            <w:r>
              <w:rPr>
                <w:rFonts w:ascii="Times New Roman" w:hAnsi="Times New Roman" w:cs="Times New Roman" w:eastAsiaTheme="minorEastAsia"/>
                <w:color w:val="auto"/>
                <w:spacing w:val="11"/>
                <w:position w:val="0"/>
                <w:szCs w:val="24"/>
                <w:highlight w:val="none"/>
                <w:u w:val="none" w:color="auto"/>
              </w:rPr>
              <w:t>按照</w:t>
            </w:r>
            <w:r>
              <w:rPr>
                <w:rFonts w:hint="default" w:ascii="Times New Roman" w:hAnsi="Times New Roman" w:cs="Times New Roman" w:eastAsiaTheme="minorEastAsia"/>
                <w:color w:val="auto"/>
                <w:spacing w:val="11"/>
                <w:position w:val="0"/>
                <w:szCs w:val="24"/>
                <w:highlight w:val="none"/>
                <w:u w:val="none" w:color="auto"/>
                <w:lang w:val="en-US" w:eastAsia="zh-CN"/>
              </w:rPr>
              <w:t>《一般工业固体废物贮存和填埋污染控制标准》（GB18599-2020）中规定其贮存过程应满足相应防渗漏、防雨淋、防扬尘等环境保护要求</w:t>
            </w:r>
            <w:r>
              <w:rPr>
                <w:rFonts w:ascii="Times New Roman" w:hAnsi="Times New Roman" w:cs="Times New Roman" w:eastAsiaTheme="minorEastAsia"/>
                <w:color w:val="auto"/>
                <w:spacing w:val="11"/>
                <w:position w:val="0"/>
                <w:szCs w:val="24"/>
                <w:highlight w:val="none"/>
                <w:u w:val="none" w:color="auto"/>
              </w:rPr>
              <w:t>，固废按相关标准和要求妥善处置</w:t>
            </w:r>
            <w:r>
              <w:rPr>
                <w:rFonts w:hint="default" w:ascii="Times New Roman" w:hAnsi="Times New Roman" w:cs="Times New Roman" w:eastAsiaTheme="minorEastAsia"/>
                <w:color w:val="auto"/>
                <w:spacing w:val="11"/>
                <w:position w:val="0"/>
                <w:szCs w:val="24"/>
                <w:highlight w:val="none"/>
                <w:u w:val="none" w:color="auto"/>
                <w:lang w:val="en-US" w:eastAsia="zh-CN"/>
              </w:rPr>
              <w:t>。</w:t>
            </w:r>
          </w:p>
          <w:p w14:paraId="085C623B">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（2）危险废物</w:t>
            </w:r>
          </w:p>
          <w:p w14:paraId="76747792">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default" w:ascii="Times New Roman" w:hAnsi="Times New Roman" w:cs="Times New Roman" w:eastAsiaTheme="minorEastAsia"/>
                <w:color w:val="auto"/>
                <w:spacing w:val="11"/>
                <w:position w:val="0"/>
                <w:szCs w:val="24"/>
                <w:highlight w:val="none"/>
                <w:u w:val="none" w:color="auto"/>
                <w:lang w:val="en-US" w:eastAsia="zh-CN"/>
              </w:rPr>
              <w:t>建设单位应委托有资质的单位</w:t>
            </w:r>
            <w:r>
              <w:rPr>
                <w:rFonts w:hint="eastAsia" w:cs="Times New Roman" w:eastAsiaTheme="minorEastAsia"/>
                <w:color w:val="auto"/>
                <w:spacing w:val="11"/>
                <w:position w:val="0"/>
                <w:szCs w:val="24"/>
                <w:highlight w:val="none"/>
                <w:u w:val="none" w:color="auto"/>
                <w:lang w:val="en-US" w:eastAsia="zh-CN"/>
              </w:rPr>
              <w:t>对危险废物</w:t>
            </w:r>
            <w:r>
              <w:rPr>
                <w:rFonts w:hint="default" w:ascii="Times New Roman" w:hAnsi="Times New Roman" w:cs="Times New Roman" w:eastAsiaTheme="minorEastAsia"/>
                <w:color w:val="auto"/>
                <w:spacing w:val="11"/>
                <w:position w:val="0"/>
                <w:szCs w:val="24"/>
                <w:highlight w:val="none"/>
                <w:u w:val="none" w:color="auto"/>
                <w:lang w:val="en-US" w:eastAsia="zh-CN"/>
              </w:rPr>
              <w:t>进行处理处置，</w:t>
            </w:r>
            <w:r>
              <w:rPr>
                <w:rFonts w:hint="eastAsia" w:cs="Times New Roman" w:eastAsiaTheme="minorEastAsia"/>
                <w:color w:val="auto"/>
                <w:spacing w:val="11"/>
                <w:position w:val="0"/>
                <w:szCs w:val="24"/>
                <w:highlight w:val="none"/>
                <w:u w:val="none" w:color="auto"/>
                <w:lang w:val="en-US" w:eastAsia="zh-CN"/>
              </w:rPr>
              <w:t>建设单位拟</w:t>
            </w:r>
            <w:r>
              <w:rPr>
                <w:rFonts w:hint="default" w:ascii="Times New Roman" w:hAnsi="Times New Roman" w:cs="Times New Roman" w:eastAsiaTheme="minorEastAsia"/>
                <w:color w:val="auto"/>
                <w:spacing w:val="11"/>
                <w:position w:val="0"/>
                <w:szCs w:val="24"/>
                <w:highlight w:val="none"/>
                <w:u w:val="none" w:color="auto"/>
                <w:lang w:val="en-US" w:eastAsia="zh-CN"/>
              </w:rPr>
              <w:t>设置</w:t>
            </w:r>
            <w:r>
              <w:rPr>
                <w:rFonts w:hint="eastAsia" w:cs="Times New Roman" w:eastAsiaTheme="minorEastAsia"/>
                <w:color w:val="auto"/>
                <w:spacing w:val="11"/>
                <w:position w:val="0"/>
                <w:szCs w:val="24"/>
                <w:highlight w:val="none"/>
                <w:u w:val="none" w:color="auto"/>
                <w:lang w:val="en-US" w:eastAsia="zh-CN"/>
              </w:rPr>
              <w:t>医疗废物暂存间（20m</w:t>
            </w:r>
            <w:r>
              <w:rPr>
                <w:rFonts w:hint="eastAsia" w:cs="Times New Roman" w:eastAsiaTheme="minorEastAsia"/>
                <w:color w:val="auto"/>
                <w:spacing w:val="11"/>
                <w:position w:val="0"/>
                <w:szCs w:val="24"/>
                <w:highlight w:val="none"/>
                <w:u w:val="none" w:color="auto"/>
                <w:vertAlign w:val="superscript"/>
                <w:lang w:val="en-US" w:eastAsia="zh-CN"/>
              </w:rPr>
              <w:t>2</w:t>
            </w:r>
            <w:r>
              <w:rPr>
                <w:rFonts w:hint="eastAsia" w:cs="Times New Roman" w:eastAsiaTheme="minorEastAsia"/>
                <w:color w:val="auto"/>
                <w:spacing w:val="11"/>
                <w:position w:val="0"/>
                <w:szCs w:val="24"/>
                <w:highlight w:val="none"/>
                <w:u w:val="none" w:color="auto"/>
                <w:lang w:val="en-US" w:eastAsia="zh-CN"/>
              </w:rPr>
              <w:t>）</w:t>
            </w:r>
            <w:r>
              <w:rPr>
                <w:rFonts w:hint="default" w:ascii="Times New Roman" w:hAnsi="Times New Roman" w:cs="Times New Roman" w:eastAsiaTheme="minorEastAsia"/>
                <w:color w:val="auto"/>
                <w:spacing w:val="11"/>
                <w:position w:val="0"/>
                <w:szCs w:val="24"/>
                <w:highlight w:val="none"/>
                <w:u w:val="none" w:color="auto"/>
                <w:lang w:val="en-US" w:eastAsia="zh-CN"/>
              </w:rPr>
              <w:t>，并加以防风、防渗、防雨、防晒处理，其储存处设置明显的危险废物临时储存场所标识，严格按照国家危险废物的相关管理要求及规范进行管理</w:t>
            </w:r>
            <w:r>
              <w:rPr>
                <w:rFonts w:hint="eastAsia" w:cs="Times New Roman" w:eastAsiaTheme="minorEastAsia"/>
                <w:color w:val="auto"/>
                <w:spacing w:val="11"/>
                <w:position w:val="0"/>
                <w:szCs w:val="24"/>
                <w:highlight w:val="none"/>
                <w:u w:val="none" w:color="auto"/>
                <w:lang w:val="en-US" w:eastAsia="zh-CN"/>
              </w:rPr>
              <w:t>。危险废物</w:t>
            </w:r>
            <w:r>
              <w:rPr>
                <w:rFonts w:hint="default" w:ascii="Times New Roman" w:hAnsi="Times New Roman" w:cs="Times New Roman" w:eastAsiaTheme="minorEastAsia"/>
                <w:color w:val="auto"/>
                <w:spacing w:val="11"/>
                <w:position w:val="0"/>
                <w:szCs w:val="24"/>
                <w:highlight w:val="none"/>
                <w:u w:val="none" w:color="auto"/>
                <w:lang w:val="en-US" w:eastAsia="zh-CN"/>
              </w:rPr>
              <w:t xml:space="preserve">外运时需要严格按照国家环境保护总局令第5号文件《危险废物转移联单管理办法》的相关规定报批危险废物转移计划，应做到不沿途抛洒；因此，必须加强对固体废弃物的管理，确保各类固体废弃物的妥善处置。 </w:t>
            </w:r>
          </w:p>
          <w:p w14:paraId="12448185">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default" w:ascii="Times New Roman" w:hAnsi="Times New Roman" w:cs="Times New Roman" w:eastAsiaTheme="minorEastAsia"/>
                <w:color w:val="auto"/>
                <w:spacing w:val="11"/>
                <w:position w:val="0"/>
                <w:szCs w:val="24"/>
                <w:highlight w:val="none"/>
                <w:u w:val="none" w:color="auto"/>
                <w:lang w:val="en-US" w:eastAsia="zh-CN"/>
              </w:rPr>
              <w:t xml:space="preserve">根据《危险废物贮存污染控制标准》（GB18597-2023），项目产生的危险废物需建设专用的危险废物贮存设施，必须进行预处理，使之稳定后贮存；医疗废物种类繁多，建设单位应对医疗废物进行分类收集，收集后临时存放在医疗废物暂存间内，参考国务院[2003]第380号令《医疗废物管理条例》以及卫生部[2003]第36号令《医疗卫生机构医疗废物管理办法》等，对项目医疗废物的收集及储运提出以下污染防治措施： </w:t>
            </w:r>
          </w:p>
          <w:p w14:paraId="7FC1E6AF">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default" w:ascii="Times New Roman" w:hAnsi="Times New Roman" w:cs="Times New Roman" w:eastAsiaTheme="minorEastAsia"/>
                <w:color w:val="auto"/>
                <w:spacing w:val="11"/>
                <w:position w:val="0"/>
                <w:szCs w:val="24"/>
                <w:highlight w:val="none"/>
                <w:u w:val="none" w:color="auto"/>
                <w:lang w:val="en-US" w:eastAsia="zh-CN"/>
              </w:rPr>
              <w:t xml:space="preserve">①分类收集 </w:t>
            </w:r>
          </w:p>
          <w:p w14:paraId="46437B7A">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default" w:ascii="Times New Roman" w:hAnsi="Times New Roman" w:cs="Times New Roman" w:eastAsiaTheme="minorEastAsia"/>
                <w:color w:val="auto"/>
                <w:spacing w:val="11"/>
                <w:position w:val="0"/>
                <w:szCs w:val="24"/>
                <w:highlight w:val="none"/>
                <w:u w:val="none" w:color="auto"/>
                <w:lang w:val="en-US" w:eastAsia="zh-CN"/>
              </w:rPr>
              <w:t xml:space="preserve">本项目医疗废物统一收集至医疗废物暂存间，根据医疗废物的类别，将医疗废物分置于符合《医疗废物专用包装物、容器的标准和警示标识的规定》的包装物或者容器内，有机、无机，液体、固体必须分开收集；感染性废物、病理性废物、损伤性废物、药物性废物及化学性废物不能混合收集；少量的药物性废物可以混入感染性废物，但应当在标签上注明。 </w:t>
            </w:r>
          </w:p>
          <w:p w14:paraId="71DA9366">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default" w:ascii="Times New Roman" w:hAnsi="Times New Roman" w:cs="Times New Roman" w:eastAsiaTheme="minorEastAsia"/>
                <w:color w:val="auto"/>
                <w:spacing w:val="11"/>
                <w:position w:val="0"/>
                <w:szCs w:val="24"/>
                <w:highlight w:val="none"/>
                <w:u w:val="none" w:color="auto"/>
                <w:lang w:val="en-US" w:eastAsia="zh-CN"/>
              </w:rPr>
              <w:t xml:space="preserve">②收集容器设置要求 </w:t>
            </w:r>
          </w:p>
          <w:p w14:paraId="420A7B31">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default" w:ascii="Times New Roman" w:hAnsi="Times New Roman" w:cs="Times New Roman" w:eastAsiaTheme="minorEastAsia"/>
                <w:color w:val="auto"/>
                <w:spacing w:val="11"/>
                <w:position w:val="0"/>
                <w:szCs w:val="24"/>
                <w:highlight w:val="none"/>
                <w:u w:val="none" w:color="auto"/>
                <w:lang w:val="en-US" w:eastAsia="zh-CN"/>
              </w:rPr>
              <w:t xml:space="preserve">收集容器应符合《医疗废物专用包装物、容器的标准和警示标识的规定》（环发[2003]188号）要求。盛装医疗废物的每个包装物、容器外表面应当有警示标识，在每个包装物、容器上应当系中文标签，中文标签的内容应当包括：医疗废物产生单位、产生日期、类别及需要的特别说明等。 </w:t>
            </w:r>
          </w:p>
          <w:p w14:paraId="6BF244E0">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default" w:ascii="Times New Roman" w:hAnsi="Times New Roman" w:cs="Times New Roman" w:eastAsiaTheme="minorEastAsia"/>
                <w:color w:val="auto"/>
                <w:spacing w:val="11"/>
                <w:position w:val="0"/>
                <w:szCs w:val="24"/>
                <w:highlight w:val="none"/>
                <w:u w:val="none" w:color="auto"/>
                <w:lang w:val="en-US" w:eastAsia="zh-CN"/>
              </w:rPr>
              <w:t xml:space="preserve">③分类管理与处置 </w:t>
            </w:r>
          </w:p>
          <w:p w14:paraId="323A9918">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default" w:ascii="Times New Roman" w:hAnsi="Times New Roman" w:cs="Times New Roman" w:eastAsiaTheme="minorEastAsia"/>
                <w:color w:val="auto"/>
                <w:spacing w:val="11"/>
                <w:position w:val="0"/>
                <w:szCs w:val="24"/>
                <w:highlight w:val="none"/>
                <w:u w:val="none" w:color="auto"/>
                <w:lang w:val="en-US" w:eastAsia="zh-CN"/>
              </w:rPr>
              <w:t>按照《医疗废物专用包装物、容器的标准和警示标识的规定》，根据医疗废物的类别，将医疗废物分置于符合的包装物或容器内；在盛装医疗废物前，应当对医疗废物包装物或者容器进行认真检查，确保无破损、渗漏和其它缺陷；盛装的医疗废物达到包装物或者容51器的3/4时，应当使用有效的封口方式，使包装物或者容器的封口紧实、严密；包装物或者容器的外表面被感染性废物污染时，应当对被污染处进行消毒处理或者增加一层包装；放入包装物或者容器内的感染性废物、损伤性废物不得取出。医疗废物分类收集后，一次性医疗器械毁形消毒后交由有危险废物资质单位进行处理；医疗废物中病原体的培养基、标本和菌种、毒种保存液等高危险废物，应当首先在产生地点进行压力蒸汽灭菌或者化学消毒处理，然后按感染性废物收集处理；玻璃类委托相关单位进行综合利用；化学性废物中批量的废化学试剂、废消毒剂应当交由专门机构处置；废弃的麻醉、精神、毒性等药品及其相关的废物的管理，依照有关法律、行政法规和国家有关规定、标准执行。</w:t>
            </w:r>
          </w:p>
          <w:p w14:paraId="1993BE94">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default" w:ascii="Times New Roman" w:hAnsi="Times New Roman" w:cs="Times New Roman" w:eastAsiaTheme="minorEastAsia"/>
                <w:color w:val="auto"/>
                <w:spacing w:val="11"/>
                <w:position w:val="0"/>
                <w:szCs w:val="24"/>
                <w:highlight w:val="none"/>
                <w:u w:val="none" w:color="auto"/>
                <w:lang w:val="en-US" w:eastAsia="zh-CN"/>
              </w:rPr>
              <w:t xml:space="preserve">④暂时贮存设施要求 </w:t>
            </w:r>
          </w:p>
          <w:p w14:paraId="0F981FC0">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default" w:ascii="Times New Roman" w:hAnsi="Times New Roman" w:cs="Times New Roman" w:eastAsiaTheme="minorEastAsia"/>
                <w:color w:val="auto"/>
                <w:spacing w:val="11"/>
                <w:position w:val="0"/>
                <w:szCs w:val="24"/>
                <w:highlight w:val="none"/>
                <w:u w:val="none" w:color="auto"/>
                <w:lang w:val="en-US" w:eastAsia="zh-CN"/>
              </w:rPr>
              <w:t xml:space="preserve">医疗废物贮存间应按照《医疗卫生机构医疗废物管理办法》规定，达到以下要求：远离医疗区、食品加工区、人员活动区和生活垃圾存放场所，方便医疗废物运送人员及运送工具、车辆的出入；有严密的封闭措施，设专（兼）职人员管理，防止非工作人员接触医疗废物；有防鼠、防蚊蝇、防蟑螂的安全措施；防止渗漏和雨水冲刷；易于清洁和消毒；避免阳光直射；设有明显的医疗废物警示标识和“禁止吸烟、饮食”的警示标识；暂时贮存病理性废物，应当具备低温贮存或者防腐条件。 </w:t>
            </w:r>
          </w:p>
          <w:p w14:paraId="62118A8A">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default" w:ascii="Times New Roman" w:hAnsi="Times New Roman" w:cs="Times New Roman" w:eastAsiaTheme="minorEastAsia"/>
                <w:color w:val="auto"/>
                <w:spacing w:val="11"/>
                <w:position w:val="0"/>
                <w:szCs w:val="24"/>
                <w:highlight w:val="none"/>
                <w:u w:val="none" w:color="auto"/>
                <w:lang w:val="en-US" w:eastAsia="zh-CN"/>
              </w:rPr>
              <w:t xml:space="preserve">⑤暂贮时间要求 </w:t>
            </w:r>
          </w:p>
          <w:p w14:paraId="01F9C15C">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default" w:ascii="Times New Roman" w:hAnsi="Times New Roman" w:cs="Times New Roman" w:eastAsiaTheme="minorEastAsia"/>
                <w:color w:val="auto"/>
                <w:spacing w:val="11"/>
                <w:position w:val="0"/>
                <w:szCs w:val="24"/>
                <w:highlight w:val="none"/>
                <w:u w:val="none" w:color="auto"/>
                <w:lang w:val="en-US" w:eastAsia="zh-CN"/>
              </w:rPr>
              <w:t xml:space="preserve">根据《危险废物贮存污染控制标准》，医院产生的临床废物常温下贮存期不得超过 1 天，于 5 摄氏度以下冷藏，不得超过 7 天。《医疗卫生机构医疗废物管理办法》规定医疗废物暂时贮存的时间不得超过 2 天。另外医疗废物暂存间均应满足防雨、防渗、防流失的要求，地面与裙角要用坚固、防渗的材料建造；贮存危险废物的容器和包装物以及贮存场所设置危险废物识别标志。 </w:t>
            </w:r>
          </w:p>
          <w:p w14:paraId="7887FA37">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default" w:ascii="Times New Roman" w:hAnsi="Times New Roman" w:cs="Times New Roman" w:eastAsiaTheme="minorEastAsia"/>
                <w:color w:val="auto"/>
                <w:spacing w:val="11"/>
                <w:position w:val="0"/>
                <w:szCs w:val="24"/>
                <w:highlight w:val="none"/>
                <w:u w:val="none" w:color="auto"/>
                <w:lang w:val="en-US" w:eastAsia="zh-CN"/>
              </w:rPr>
              <w:t xml:space="preserve">⑥危废暂存设施要求 </w:t>
            </w:r>
          </w:p>
          <w:p w14:paraId="374A1F04">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default" w:ascii="Times New Roman" w:hAnsi="Times New Roman" w:cs="Times New Roman" w:eastAsiaTheme="minorEastAsia"/>
                <w:color w:val="auto"/>
                <w:spacing w:val="11"/>
                <w:position w:val="0"/>
                <w:szCs w:val="24"/>
                <w:highlight w:val="none"/>
                <w:u w:val="none" w:color="auto"/>
                <w:lang w:val="en-US" w:eastAsia="zh-CN"/>
              </w:rPr>
              <w:t>厂内危险废物暂存场所应按照《危险废物贮存污染物控制标准》（GB18597-20</w:t>
            </w:r>
            <w:r>
              <w:rPr>
                <w:rFonts w:hint="eastAsia" w:ascii="Times New Roman" w:hAnsi="Times New Roman" w:cs="Times New Roman" w:eastAsiaTheme="minorEastAsia"/>
                <w:color w:val="auto"/>
                <w:spacing w:val="11"/>
                <w:position w:val="0"/>
                <w:szCs w:val="24"/>
                <w:highlight w:val="none"/>
                <w:u w:val="none" w:color="auto"/>
                <w:lang w:val="en-US" w:eastAsia="zh-CN"/>
              </w:rPr>
              <w:t>23</w:t>
            </w:r>
            <w:r>
              <w:rPr>
                <w:rFonts w:hint="default" w:ascii="Times New Roman" w:hAnsi="Times New Roman" w:cs="Times New Roman" w:eastAsiaTheme="minorEastAsia"/>
                <w:color w:val="auto"/>
                <w:spacing w:val="11"/>
                <w:position w:val="0"/>
                <w:szCs w:val="24"/>
                <w:highlight w:val="none"/>
                <w:u w:val="none" w:color="auto"/>
                <w:lang w:val="en-US" w:eastAsia="zh-CN"/>
              </w:rPr>
              <w:t xml:space="preserve">）及修改单的规定设置，具体要求如下： </w:t>
            </w:r>
          </w:p>
          <w:p w14:paraId="258FB26E">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eastAsia" w:cs="Times New Roman" w:eastAsiaTheme="minorEastAsia"/>
                <w:color w:val="auto"/>
                <w:spacing w:val="11"/>
                <w:position w:val="0"/>
                <w:szCs w:val="24"/>
                <w:highlight w:val="none"/>
                <w:u w:val="none" w:color="auto"/>
                <w:lang w:val="en-US" w:eastAsia="zh-CN"/>
              </w:rPr>
              <w:t>A.</w:t>
            </w:r>
            <w:r>
              <w:rPr>
                <w:rFonts w:hint="default" w:ascii="Times New Roman" w:hAnsi="Times New Roman" w:cs="Times New Roman" w:eastAsiaTheme="minorEastAsia"/>
                <w:color w:val="auto"/>
                <w:spacing w:val="11"/>
                <w:position w:val="0"/>
                <w:szCs w:val="24"/>
                <w:highlight w:val="none"/>
                <w:u w:val="none" w:color="auto"/>
                <w:lang w:val="en-US" w:eastAsia="zh-CN"/>
              </w:rPr>
              <w:t xml:space="preserve">所有产生的危险废物均应使用符合标准要求的容器盛装，装载危险废物的容器及材质要满足相应的强度要求，且必须完好无损； </w:t>
            </w:r>
          </w:p>
          <w:p w14:paraId="48927486">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eastAsia" w:cs="Times New Roman" w:eastAsiaTheme="minorEastAsia"/>
                <w:color w:val="auto"/>
                <w:spacing w:val="11"/>
                <w:position w:val="0"/>
                <w:szCs w:val="24"/>
                <w:highlight w:val="none"/>
                <w:u w:val="none" w:color="auto"/>
                <w:lang w:val="en-US" w:eastAsia="zh-CN"/>
              </w:rPr>
              <w:t>B.</w:t>
            </w:r>
            <w:r>
              <w:rPr>
                <w:rFonts w:hint="default" w:ascii="Times New Roman" w:hAnsi="Times New Roman" w:cs="Times New Roman" w:eastAsiaTheme="minorEastAsia"/>
                <w:color w:val="auto"/>
                <w:spacing w:val="11"/>
                <w:position w:val="0"/>
                <w:szCs w:val="24"/>
                <w:highlight w:val="none"/>
                <w:u w:val="none" w:color="auto"/>
                <w:lang w:val="en-US" w:eastAsia="zh-CN"/>
              </w:rPr>
              <w:t xml:space="preserve">禁止将不相容（相互反应）的危险废物在同一容器内混装，装危险废物的容器上必须粘贴符合标准附录A所示的标签； </w:t>
            </w:r>
          </w:p>
          <w:p w14:paraId="29B78BF2">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eastAsia" w:cs="Times New Roman" w:eastAsiaTheme="minorEastAsia"/>
                <w:color w:val="auto"/>
                <w:spacing w:val="11"/>
                <w:position w:val="0"/>
                <w:szCs w:val="24"/>
                <w:highlight w:val="none"/>
                <w:u w:val="none" w:color="auto"/>
                <w:lang w:val="en-US" w:eastAsia="zh-CN"/>
              </w:rPr>
              <w:t>C.</w:t>
            </w:r>
            <w:r>
              <w:rPr>
                <w:rFonts w:hint="default" w:ascii="Times New Roman" w:hAnsi="Times New Roman" w:cs="Times New Roman" w:eastAsiaTheme="minorEastAsia"/>
                <w:color w:val="auto"/>
                <w:spacing w:val="11"/>
                <w:position w:val="0"/>
                <w:szCs w:val="24"/>
                <w:highlight w:val="none"/>
                <w:u w:val="none" w:color="auto"/>
                <w:lang w:val="en-US" w:eastAsia="zh-CN"/>
              </w:rPr>
              <w:t xml:space="preserve">危险废物贮存间的地面与裙脚要用坚固、防渗的材料建造，建筑材料必须与危险废物相容，应设计堵截泄露的裙脚，地面与裙脚所围建的溶剂不低于堵截最大容器的最大储量或总储量的五分之一，不相容的危险废物必须分开存放，并设有隔离间隔断； </w:t>
            </w:r>
          </w:p>
          <w:p w14:paraId="333882D0">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eastAsia" w:cs="Times New Roman" w:eastAsiaTheme="minorEastAsia"/>
                <w:color w:val="auto"/>
                <w:spacing w:val="11"/>
                <w:position w:val="0"/>
                <w:szCs w:val="24"/>
                <w:highlight w:val="none"/>
                <w:u w:val="none" w:color="auto"/>
                <w:lang w:val="en-US" w:eastAsia="zh-CN"/>
              </w:rPr>
              <w:t>D.</w:t>
            </w:r>
            <w:r>
              <w:rPr>
                <w:rFonts w:hint="default" w:ascii="Times New Roman" w:hAnsi="Times New Roman" w:cs="Times New Roman" w:eastAsiaTheme="minorEastAsia"/>
                <w:color w:val="auto"/>
                <w:spacing w:val="11"/>
                <w:position w:val="0"/>
                <w:szCs w:val="24"/>
                <w:highlight w:val="none"/>
                <w:u w:val="none" w:color="auto"/>
                <w:lang w:val="en-US" w:eastAsia="zh-CN"/>
              </w:rPr>
              <w:t xml:space="preserve">厂内建立危险废物台账管理制度，作好危险废物情况的记录，记录上须注明危险废物的名称、来源、数量、特性和包装容器的类别、入库日期、存放库位、废物出库日期及接受单位名称，危险废物的记录和货单在危险废物回取后应继续保留三年； </w:t>
            </w:r>
          </w:p>
          <w:p w14:paraId="1986A151">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eastAsia" w:cs="Times New Roman" w:eastAsiaTheme="minorEastAsia"/>
                <w:color w:val="auto"/>
                <w:spacing w:val="11"/>
                <w:position w:val="0"/>
                <w:szCs w:val="24"/>
                <w:highlight w:val="none"/>
                <w:u w:val="none" w:color="auto"/>
                <w:lang w:val="en-US" w:eastAsia="zh-CN"/>
              </w:rPr>
              <w:t>E.</w:t>
            </w:r>
            <w:r>
              <w:rPr>
                <w:rFonts w:hint="default" w:ascii="Times New Roman" w:hAnsi="Times New Roman" w:cs="Times New Roman" w:eastAsiaTheme="minorEastAsia"/>
                <w:color w:val="auto"/>
                <w:spacing w:val="11"/>
                <w:position w:val="0"/>
                <w:szCs w:val="24"/>
                <w:highlight w:val="none"/>
                <w:u w:val="none" w:color="auto"/>
                <w:lang w:val="en-US" w:eastAsia="zh-CN"/>
              </w:rPr>
              <w:t xml:space="preserve">必须定期对贮存的危险废物包装容器及贮存设施进行检查，发现破损，应及时采取措施清理更换； </w:t>
            </w:r>
          </w:p>
          <w:p w14:paraId="0170D0E8">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eastAsia" w:cs="Times New Roman" w:eastAsiaTheme="minorEastAsia"/>
                <w:color w:val="auto"/>
                <w:spacing w:val="11"/>
                <w:position w:val="0"/>
                <w:szCs w:val="24"/>
                <w:highlight w:val="none"/>
                <w:u w:val="none" w:color="auto"/>
                <w:lang w:val="en-US" w:eastAsia="zh-CN"/>
              </w:rPr>
              <w:t>F.</w:t>
            </w:r>
            <w:r>
              <w:rPr>
                <w:rFonts w:hint="default" w:ascii="Times New Roman" w:hAnsi="Times New Roman" w:cs="Times New Roman" w:eastAsiaTheme="minorEastAsia"/>
                <w:color w:val="auto"/>
                <w:spacing w:val="11"/>
                <w:position w:val="0"/>
                <w:szCs w:val="24"/>
                <w:highlight w:val="none"/>
                <w:u w:val="none" w:color="auto"/>
                <w:lang w:val="en-US" w:eastAsia="zh-CN"/>
              </w:rPr>
              <w:t>危险废物贮存设施必须按照《环境保护图形标志 固体废物贮存（处置）场》（GB15562.2‐1995）</w:t>
            </w:r>
            <w:r>
              <w:rPr>
                <w:rFonts w:hint="eastAsia" w:ascii="Times New Roman" w:hAnsi="Times New Roman" w:cs="Times New Roman" w:eastAsiaTheme="minorEastAsia"/>
                <w:color w:val="auto"/>
                <w:spacing w:val="11"/>
                <w:position w:val="0"/>
                <w:szCs w:val="24"/>
                <w:highlight w:val="none"/>
                <w:u w:val="none" w:color="auto"/>
                <w:lang w:val="en-US" w:eastAsia="zh-CN"/>
              </w:rPr>
              <w:t>及修改清单</w:t>
            </w:r>
            <w:r>
              <w:rPr>
                <w:rFonts w:hint="default" w:ascii="Times New Roman" w:hAnsi="Times New Roman" w:cs="Times New Roman" w:eastAsiaTheme="minorEastAsia"/>
                <w:color w:val="auto"/>
                <w:spacing w:val="11"/>
                <w:position w:val="0"/>
                <w:szCs w:val="24"/>
                <w:highlight w:val="none"/>
                <w:u w:val="none" w:color="auto"/>
                <w:lang w:val="en-US" w:eastAsia="zh-CN"/>
              </w:rPr>
              <w:t>的规定设置警示标志。</w:t>
            </w:r>
          </w:p>
          <w:p w14:paraId="748B9C5D">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b/>
                <w:bCs/>
                <w:color w:val="auto"/>
                <w:spacing w:val="11"/>
                <w:position w:val="0"/>
                <w:szCs w:val="24"/>
                <w:highlight w:val="none"/>
                <w:u w:val="none" w:color="auto"/>
                <w:lang w:val="en-US" w:eastAsia="zh-CN"/>
              </w:rPr>
            </w:pPr>
            <w:r>
              <w:rPr>
                <w:rFonts w:hint="default" w:ascii="Times New Roman" w:hAnsi="Times New Roman" w:cs="Times New Roman" w:eastAsiaTheme="minorEastAsia"/>
                <w:b/>
                <w:bCs/>
                <w:color w:val="auto"/>
                <w:spacing w:val="11"/>
                <w:position w:val="0"/>
                <w:szCs w:val="24"/>
                <w:highlight w:val="none"/>
                <w:u w:val="none" w:color="auto"/>
                <w:lang w:val="en-US" w:eastAsia="zh-CN"/>
              </w:rPr>
              <w:t xml:space="preserve">危险固废相关管理计划： </w:t>
            </w:r>
          </w:p>
          <w:p w14:paraId="6141DCC1">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eastAsia" w:ascii="Times New Roman" w:hAnsi="Times New Roman" w:cs="Times New Roman" w:eastAsiaTheme="minorEastAsia"/>
                <w:color w:val="auto"/>
                <w:spacing w:val="11"/>
                <w:position w:val="0"/>
                <w:szCs w:val="24"/>
                <w:highlight w:val="none"/>
                <w:u w:val="none" w:color="auto"/>
                <w:lang w:val="en-US" w:eastAsia="zh-CN"/>
              </w:rPr>
              <w:t>①</w:t>
            </w:r>
            <w:r>
              <w:rPr>
                <w:rFonts w:hint="default" w:ascii="Times New Roman" w:hAnsi="Times New Roman" w:cs="Times New Roman" w:eastAsiaTheme="minorEastAsia"/>
                <w:color w:val="auto"/>
                <w:spacing w:val="11"/>
                <w:position w:val="0"/>
                <w:szCs w:val="24"/>
                <w:highlight w:val="none"/>
                <w:u w:val="none" w:color="auto"/>
                <w:lang w:val="en-US" w:eastAsia="zh-CN"/>
              </w:rPr>
              <w:t xml:space="preserve">本项目按照危险废物相关导则、标准、技术规范等要求，严格落实危险废物环境管理与监测制度，专人对项目危险废物收集、贮存、运输、利用、处置各环节全过程进行监管。对列入《国家危险废物名录》附录《危险废物豁免管理清单》中危险废物，在所列的豁免环节，且满足相应的豁免条件，按照豁免内容的规定实行豁免管理。 </w:t>
            </w:r>
          </w:p>
          <w:p w14:paraId="4B44AD7F">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eastAsia" w:ascii="Times New Roman" w:hAnsi="Times New Roman" w:cs="Times New Roman" w:eastAsiaTheme="minorEastAsia"/>
                <w:color w:val="auto"/>
                <w:spacing w:val="11"/>
                <w:position w:val="0"/>
                <w:szCs w:val="24"/>
                <w:highlight w:val="none"/>
                <w:u w:val="none" w:color="auto"/>
                <w:lang w:val="en-US" w:eastAsia="zh-CN"/>
              </w:rPr>
              <w:t>②</w:t>
            </w:r>
            <w:r>
              <w:rPr>
                <w:rFonts w:hint="default" w:ascii="Times New Roman" w:hAnsi="Times New Roman" w:cs="Times New Roman" w:eastAsiaTheme="minorEastAsia"/>
                <w:color w:val="auto"/>
                <w:spacing w:val="11"/>
                <w:position w:val="0"/>
                <w:szCs w:val="24"/>
                <w:highlight w:val="none"/>
                <w:u w:val="none" w:color="auto"/>
                <w:lang w:val="en-US" w:eastAsia="zh-CN"/>
              </w:rPr>
              <w:t xml:space="preserve">企业明确固体废物污染防治的责任主体，建立风险管理及应急救援体系，执行环境监测计划、转移联单管理制度及国家和省有关转移管理的相关规定、处置过程安全操作规程、人员考核制度、档案管理制度、处置全过程管理制度。 </w:t>
            </w:r>
          </w:p>
          <w:p w14:paraId="69769119">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Cs w:val="24"/>
                <w:highlight w:val="none"/>
                <w:u w:val="none" w:color="auto"/>
                <w:lang w:val="en-US" w:eastAsia="zh-CN"/>
              </w:rPr>
              <w:t>从上面的分析可知，本项目各类固废均将得到妥善处置，受委托方采用的处理/处置方法经济技术上可行，最大限度的回收了资源，使有毒有害物质无害化，固体废物的处理/处置率达到了100%，不直接外排，不会对当地卫生环境构成明显的不利影响。</w:t>
            </w:r>
          </w:p>
          <w:p w14:paraId="690878C2">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通过采取上述措施后，本项目固体废物均可得到妥善的处理，对区域环境影响较小。</w:t>
            </w:r>
          </w:p>
          <w:p w14:paraId="685BA40B">
            <w:pPr>
              <w:pStyle w:val="32"/>
              <w:ind w:left="0" w:leftChars="0" w:firstLine="0" w:firstLineChars="0"/>
              <w:rPr>
                <w:rFonts w:hint="default" w:ascii="Times New Roman" w:hAnsi="Times New Roman" w:cs="Times New Roman" w:eastAsiaTheme="minorEastAsia"/>
                <w:b/>
                <w:bCs/>
                <w:color w:val="auto"/>
                <w:spacing w:val="11"/>
                <w:position w:val="0"/>
                <w:sz w:val="24"/>
                <w:szCs w:val="24"/>
                <w:highlight w:val="none"/>
                <w:u w:val="single" w:color="auto"/>
                <w:lang w:val="en-US" w:eastAsia="zh-CN"/>
              </w:rPr>
            </w:pPr>
            <w:r>
              <w:rPr>
                <w:rFonts w:hint="eastAsia" w:ascii="Times New Roman" w:hAnsi="Times New Roman" w:cs="Times New Roman" w:eastAsiaTheme="minorEastAsia"/>
                <w:b/>
                <w:bCs/>
                <w:color w:val="auto"/>
                <w:spacing w:val="11"/>
                <w:position w:val="0"/>
                <w:sz w:val="24"/>
                <w:szCs w:val="24"/>
                <w:highlight w:val="none"/>
                <w:u w:val="single" w:color="auto"/>
                <w:lang w:val="en-US" w:eastAsia="zh-CN"/>
              </w:rPr>
              <w:t>5三本账分析</w:t>
            </w:r>
          </w:p>
          <w:p w14:paraId="29E886FE">
            <w:pPr>
              <w:spacing w:line="240" w:lineRule="auto"/>
              <w:ind w:firstLine="0" w:firstLineChars="0"/>
              <w:jc w:val="center"/>
              <w:rPr>
                <w:rFonts w:ascii="Times New Roman" w:hAnsi="Times New Roman" w:eastAsia="宋体" w:cs="Times New Roman"/>
                <w:b/>
                <w:bCs/>
                <w:color w:val="auto"/>
                <w:spacing w:val="11"/>
                <w:position w:val="0"/>
                <w:sz w:val="21"/>
                <w:szCs w:val="21"/>
                <w:highlight w:val="none"/>
                <w:u w:val="single" w:color="auto"/>
              </w:rPr>
            </w:pPr>
            <w:r>
              <w:rPr>
                <w:rFonts w:ascii="Times New Roman" w:hAnsi="Times New Roman" w:eastAsia="宋体" w:cs="Times New Roman"/>
                <w:b/>
                <w:bCs/>
                <w:color w:val="auto"/>
                <w:spacing w:val="11"/>
                <w:position w:val="0"/>
                <w:sz w:val="21"/>
                <w:szCs w:val="21"/>
                <w:highlight w:val="none"/>
                <w:u w:val="single" w:color="auto"/>
              </w:rPr>
              <w:t>表</w:t>
            </w:r>
            <w:r>
              <w:rPr>
                <w:rFonts w:hint="eastAsia" w:ascii="Times New Roman" w:hAnsi="Times New Roman" w:eastAsia="宋体" w:cs="Times New Roman"/>
                <w:b/>
                <w:bCs/>
                <w:color w:val="auto"/>
                <w:spacing w:val="11"/>
                <w:position w:val="0"/>
                <w:sz w:val="21"/>
                <w:szCs w:val="21"/>
                <w:highlight w:val="none"/>
                <w:u w:val="single" w:color="auto"/>
              </w:rPr>
              <w:t>4-</w:t>
            </w:r>
            <w:r>
              <w:rPr>
                <w:rFonts w:hint="eastAsia" w:ascii="Times New Roman" w:hAnsi="Times New Roman" w:eastAsia="宋体" w:cs="Times New Roman"/>
                <w:b/>
                <w:bCs/>
                <w:color w:val="auto"/>
                <w:spacing w:val="11"/>
                <w:position w:val="0"/>
                <w:sz w:val="21"/>
                <w:szCs w:val="21"/>
                <w:highlight w:val="none"/>
                <w:u w:val="single" w:color="auto"/>
                <w:lang w:val="en-US" w:eastAsia="zh-CN"/>
              </w:rPr>
              <w:t>1</w:t>
            </w:r>
            <w:r>
              <w:rPr>
                <w:rFonts w:hint="eastAsia" w:cs="Times New Roman"/>
                <w:b/>
                <w:bCs/>
                <w:color w:val="auto"/>
                <w:spacing w:val="11"/>
                <w:position w:val="0"/>
                <w:sz w:val="21"/>
                <w:szCs w:val="21"/>
                <w:highlight w:val="none"/>
                <w:u w:val="single" w:color="auto"/>
                <w:lang w:val="en-US" w:eastAsia="zh-CN"/>
              </w:rPr>
              <w:t>8</w:t>
            </w:r>
            <w:r>
              <w:rPr>
                <w:rFonts w:hint="eastAsia" w:ascii="Times New Roman" w:hAnsi="Times New Roman" w:eastAsia="宋体" w:cs="Times New Roman"/>
                <w:b/>
                <w:bCs/>
                <w:color w:val="auto"/>
                <w:spacing w:val="11"/>
                <w:position w:val="0"/>
                <w:sz w:val="21"/>
                <w:szCs w:val="21"/>
                <w:highlight w:val="none"/>
                <w:u w:val="single" w:color="auto"/>
              </w:rPr>
              <w:t xml:space="preserve">  项目建成后全院污染物排放“三本帐"一览表</w:t>
            </w:r>
          </w:p>
          <w:tbl>
            <w:tblPr>
              <w:tblStyle w:val="25"/>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6"/>
              <w:gridCol w:w="882"/>
              <w:gridCol w:w="1036"/>
              <w:gridCol w:w="1034"/>
              <w:gridCol w:w="916"/>
              <w:gridCol w:w="1150"/>
              <w:gridCol w:w="1376"/>
              <w:gridCol w:w="1281"/>
            </w:tblGrid>
            <w:tr w14:paraId="34618E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1" w:type="pct"/>
                  <w:gridSpan w:val="3"/>
                  <w:tcBorders>
                    <w:tl2br w:val="nil"/>
                    <w:tr2bl w:val="nil"/>
                  </w:tcBorders>
                  <w:vAlign w:val="center"/>
                </w:tcPr>
                <w:p w14:paraId="783DA3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种类</w:t>
                  </w:r>
                </w:p>
              </w:tc>
              <w:tc>
                <w:tcPr>
                  <w:tcW w:w="579" w:type="pct"/>
                  <w:tcBorders>
                    <w:tl2br w:val="nil"/>
                    <w:tr2bl w:val="nil"/>
                  </w:tcBorders>
                  <w:vAlign w:val="center"/>
                </w:tcPr>
                <w:p w14:paraId="24A522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污染物名称</w:t>
                  </w:r>
                </w:p>
              </w:tc>
              <w:tc>
                <w:tcPr>
                  <w:tcW w:w="578" w:type="pct"/>
                  <w:tcBorders>
                    <w:tl2br w:val="nil"/>
                    <w:tr2bl w:val="nil"/>
                  </w:tcBorders>
                  <w:vAlign w:val="center"/>
                </w:tcPr>
                <w:p w14:paraId="1B46B6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原有项目排放量</w:t>
                  </w:r>
                </w:p>
              </w:tc>
              <w:tc>
                <w:tcPr>
                  <w:tcW w:w="512" w:type="pct"/>
                  <w:tcBorders>
                    <w:tl2br w:val="nil"/>
                    <w:tr2bl w:val="nil"/>
                  </w:tcBorders>
                  <w:vAlign w:val="center"/>
                </w:tcPr>
                <w:p w14:paraId="3F7044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w:t>
                  </w:r>
                  <w:r>
                    <w:rPr>
                      <w:rFonts w:hint="default" w:ascii="Times New Roman" w:hAnsi="Times New Roman" w:eastAsia="宋体" w:cs="Times New Roman"/>
                      <w:color w:val="auto"/>
                      <w:spacing w:val="11"/>
                      <w:position w:val="0"/>
                      <w:sz w:val="21"/>
                      <w:szCs w:val="21"/>
                      <w:highlight w:val="none"/>
                      <w:u w:val="single" w:color="auto"/>
                      <w:lang w:val="en-US" w:eastAsia="zh-CN"/>
                    </w:rPr>
                    <w:t>以新代老</w:t>
                  </w:r>
                  <w:r>
                    <w:rPr>
                      <w:rFonts w:hint="eastAsia" w:cs="Times New Roman"/>
                      <w:color w:val="auto"/>
                      <w:spacing w:val="11"/>
                      <w:position w:val="0"/>
                      <w:sz w:val="21"/>
                      <w:szCs w:val="21"/>
                      <w:highlight w:val="none"/>
                      <w:u w:val="single" w:color="auto"/>
                      <w:lang w:val="en-US" w:eastAsia="zh-CN"/>
                    </w:rPr>
                    <w:t>”</w:t>
                  </w:r>
                  <w:r>
                    <w:rPr>
                      <w:rFonts w:hint="default" w:ascii="Times New Roman" w:hAnsi="Times New Roman" w:eastAsia="宋体" w:cs="Times New Roman"/>
                      <w:color w:val="auto"/>
                      <w:spacing w:val="11"/>
                      <w:position w:val="0"/>
                      <w:sz w:val="21"/>
                      <w:szCs w:val="21"/>
                      <w:highlight w:val="none"/>
                      <w:u w:val="single" w:color="auto"/>
                      <w:lang w:val="en-US" w:eastAsia="zh-CN"/>
                    </w:rPr>
                    <w:t>削减量</w:t>
                  </w:r>
                </w:p>
              </w:tc>
              <w:tc>
                <w:tcPr>
                  <w:tcW w:w="643" w:type="pct"/>
                  <w:tcBorders>
                    <w:tl2br w:val="nil"/>
                    <w:tr2bl w:val="nil"/>
                  </w:tcBorders>
                  <w:vAlign w:val="center"/>
                </w:tcPr>
                <w:p w14:paraId="7C7AC2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拟建项目排放量</w:t>
                  </w:r>
                </w:p>
              </w:tc>
              <w:tc>
                <w:tcPr>
                  <w:tcW w:w="769" w:type="pct"/>
                  <w:tcBorders>
                    <w:tl2br w:val="nil"/>
                    <w:tr2bl w:val="nil"/>
                  </w:tcBorders>
                  <w:vAlign w:val="center"/>
                </w:tcPr>
                <w:p w14:paraId="644BC8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全院排放量</w:t>
                  </w:r>
                </w:p>
              </w:tc>
              <w:tc>
                <w:tcPr>
                  <w:tcW w:w="716" w:type="pct"/>
                  <w:tcBorders>
                    <w:tl2br w:val="nil"/>
                    <w:tr2bl w:val="nil"/>
                  </w:tcBorders>
                  <w:vAlign w:val="center"/>
                </w:tcPr>
                <w:p w14:paraId="47F90B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增减量</w:t>
                  </w:r>
                </w:p>
              </w:tc>
            </w:tr>
            <w:tr w14:paraId="4B4D3C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1" w:type="pct"/>
                  <w:gridSpan w:val="3"/>
                  <w:vMerge w:val="restart"/>
                  <w:tcBorders>
                    <w:tl2br w:val="nil"/>
                    <w:tr2bl w:val="nil"/>
                  </w:tcBorders>
                  <w:vAlign w:val="center"/>
                </w:tcPr>
                <w:p w14:paraId="334BB5A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rPr>
                  </w:pPr>
                  <w:r>
                    <w:rPr>
                      <w:rFonts w:hint="eastAsia" w:ascii="Times New Roman" w:hAnsi="Times New Roman" w:eastAsia="宋体" w:cs="Times New Roman"/>
                      <w:color w:val="auto"/>
                      <w:spacing w:val="11"/>
                      <w:position w:val="0"/>
                      <w:sz w:val="21"/>
                      <w:szCs w:val="21"/>
                      <w:highlight w:val="none"/>
                      <w:u w:val="single" w:color="auto"/>
                      <w:lang w:val="en-US" w:eastAsia="zh-CN"/>
                    </w:rPr>
                    <w:t>水污染物</w:t>
                  </w:r>
                </w:p>
              </w:tc>
              <w:tc>
                <w:tcPr>
                  <w:tcW w:w="579" w:type="pct"/>
                  <w:tcBorders>
                    <w:tl2br w:val="nil"/>
                    <w:tr2bl w:val="nil"/>
                  </w:tcBorders>
                  <w:shd w:val="clear" w:color="auto" w:fill="auto"/>
                  <w:vAlign w:val="center"/>
                </w:tcPr>
                <w:p w14:paraId="58AA297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ascii="Times New Roman" w:hAnsi="Times New Roman" w:eastAsia="宋体" w:cs="Times New Roman"/>
                      <w:b w:val="0"/>
                      <w:bCs w:val="0"/>
                      <w:color w:val="auto"/>
                      <w:sz w:val="21"/>
                      <w:szCs w:val="21"/>
                      <w:highlight w:val="none"/>
                      <w:u w:val="single" w:color="auto"/>
                    </w:rPr>
                    <w:t>COD</w:t>
                  </w:r>
                  <w:r>
                    <w:rPr>
                      <w:rFonts w:ascii="Times New Roman" w:hAnsi="Times New Roman" w:eastAsia="宋体" w:cs="Times New Roman"/>
                      <w:b w:val="0"/>
                      <w:bCs w:val="0"/>
                      <w:color w:val="auto"/>
                      <w:sz w:val="21"/>
                      <w:szCs w:val="21"/>
                      <w:highlight w:val="none"/>
                      <w:u w:val="single" w:color="auto"/>
                      <w:vertAlign w:val="subscript"/>
                    </w:rPr>
                    <w:t>Cr</w:t>
                  </w:r>
                </w:p>
              </w:tc>
              <w:tc>
                <w:tcPr>
                  <w:tcW w:w="578" w:type="pct"/>
                  <w:tcBorders>
                    <w:tl2br w:val="nil"/>
                    <w:tr2bl w:val="nil"/>
                  </w:tcBorders>
                  <w:shd w:val="clear" w:color="auto" w:fill="auto"/>
                  <w:vAlign w:val="center"/>
                </w:tcPr>
                <w:p w14:paraId="77EE20E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sz w:val="21"/>
                      <w:szCs w:val="21"/>
                      <w:highlight w:val="none"/>
                      <w:u w:val="single" w:color="auto"/>
                      <w:lang w:val="en-US" w:eastAsia="zh-CN"/>
                    </w:rPr>
                    <w:t>8.18t/a</w:t>
                  </w:r>
                </w:p>
              </w:tc>
              <w:tc>
                <w:tcPr>
                  <w:tcW w:w="512" w:type="pct"/>
                  <w:tcBorders>
                    <w:tl2br w:val="nil"/>
                    <w:tr2bl w:val="nil"/>
                  </w:tcBorders>
                  <w:vAlign w:val="center"/>
                </w:tcPr>
                <w:p w14:paraId="2ACE50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shd w:val="clear" w:color="auto" w:fill="auto"/>
                  <w:vAlign w:val="center"/>
                </w:tcPr>
                <w:p w14:paraId="3EED7C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29.22t/a</w:t>
                  </w:r>
                </w:p>
              </w:tc>
              <w:tc>
                <w:tcPr>
                  <w:tcW w:w="769" w:type="pct"/>
                  <w:tcBorders>
                    <w:tl2br w:val="nil"/>
                    <w:tr2bl w:val="nil"/>
                  </w:tcBorders>
                  <w:shd w:val="clear" w:color="auto" w:fill="auto"/>
                  <w:vAlign w:val="center"/>
                </w:tcPr>
                <w:p w14:paraId="7D3315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37.4t/a</w:t>
                  </w:r>
                </w:p>
              </w:tc>
              <w:tc>
                <w:tcPr>
                  <w:tcW w:w="716" w:type="pct"/>
                  <w:tcBorders>
                    <w:tl2br w:val="nil"/>
                    <w:tr2bl w:val="nil"/>
                  </w:tcBorders>
                  <w:shd w:val="clear" w:color="auto" w:fill="auto"/>
                  <w:vAlign w:val="center"/>
                </w:tcPr>
                <w:p w14:paraId="0A12A4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w:t>
                  </w: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29.22t/a</w:t>
                  </w:r>
                </w:p>
              </w:tc>
            </w:tr>
            <w:tr w14:paraId="14EBA8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1" w:type="pct"/>
                  <w:gridSpan w:val="3"/>
                  <w:vMerge w:val="continue"/>
                  <w:tcBorders>
                    <w:tl2br w:val="nil"/>
                    <w:tr2bl w:val="nil"/>
                  </w:tcBorders>
                  <w:vAlign w:val="center"/>
                </w:tcPr>
                <w:p w14:paraId="6F3F65E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579" w:type="pct"/>
                  <w:tcBorders>
                    <w:tl2br w:val="nil"/>
                    <w:tr2bl w:val="nil"/>
                  </w:tcBorders>
                  <w:shd w:val="clear" w:color="auto" w:fill="auto"/>
                  <w:vAlign w:val="center"/>
                </w:tcPr>
                <w:p w14:paraId="1D3DB40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ascii="Times New Roman" w:hAnsi="Times New Roman" w:eastAsia="宋体" w:cs="Times New Roman"/>
                      <w:b w:val="0"/>
                      <w:bCs w:val="0"/>
                      <w:color w:val="auto"/>
                      <w:sz w:val="21"/>
                      <w:szCs w:val="21"/>
                      <w:highlight w:val="none"/>
                      <w:u w:val="single" w:color="auto"/>
                    </w:rPr>
                    <w:t>BOD</w:t>
                  </w:r>
                  <w:r>
                    <w:rPr>
                      <w:rFonts w:ascii="Times New Roman" w:hAnsi="Times New Roman" w:eastAsia="宋体" w:cs="Times New Roman"/>
                      <w:b w:val="0"/>
                      <w:bCs w:val="0"/>
                      <w:color w:val="auto"/>
                      <w:sz w:val="21"/>
                      <w:szCs w:val="21"/>
                      <w:highlight w:val="none"/>
                      <w:u w:val="single" w:color="auto"/>
                      <w:vertAlign w:val="subscript"/>
                    </w:rPr>
                    <w:t>5</w:t>
                  </w:r>
                </w:p>
              </w:tc>
              <w:tc>
                <w:tcPr>
                  <w:tcW w:w="578" w:type="pct"/>
                  <w:tcBorders>
                    <w:tl2br w:val="nil"/>
                    <w:tr2bl w:val="nil"/>
                  </w:tcBorders>
                  <w:shd w:val="clear" w:color="auto" w:fill="auto"/>
                  <w:vAlign w:val="center"/>
                </w:tcPr>
                <w:p w14:paraId="30325D6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sz w:val="21"/>
                      <w:szCs w:val="21"/>
                      <w:highlight w:val="none"/>
                      <w:u w:val="single" w:color="auto"/>
                      <w:lang w:val="en-US" w:eastAsia="zh-CN"/>
                    </w:rPr>
                    <w:t>2.5t/a</w:t>
                  </w:r>
                </w:p>
              </w:tc>
              <w:tc>
                <w:tcPr>
                  <w:tcW w:w="512" w:type="pct"/>
                  <w:tcBorders>
                    <w:tl2br w:val="nil"/>
                    <w:tr2bl w:val="nil"/>
                  </w:tcBorders>
                  <w:shd w:val="clear" w:color="auto" w:fill="auto"/>
                  <w:vAlign w:val="center"/>
                </w:tcPr>
                <w:p w14:paraId="39AF13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shd w:val="clear" w:color="auto" w:fill="auto"/>
                  <w:vAlign w:val="center"/>
                </w:tcPr>
                <w:p w14:paraId="1A3995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11.69t/a</w:t>
                  </w:r>
                </w:p>
              </w:tc>
              <w:tc>
                <w:tcPr>
                  <w:tcW w:w="769" w:type="pct"/>
                  <w:tcBorders>
                    <w:tl2br w:val="nil"/>
                    <w:tr2bl w:val="nil"/>
                  </w:tcBorders>
                  <w:shd w:val="clear" w:color="auto" w:fill="auto"/>
                  <w:vAlign w:val="center"/>
                </w:tcPr>
                <w:p w14:paraId="250A7C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14.19t/a</w:t>
                  </w:r>
                </w:p>
              </w:tc>
              <w:tc>
                <w:tcPr>
                  <w:tcW w:w="716" w:type="pct"/>
                  <w:tcBorders>
                    <w:tl2br w:val="nil"/>
                    <w:tr2bl w:val="nil"/>
                  </w:tcBorders>
                  <w:shd w:val="clear" w:color="auto" w:fill="auto"/>
                  <w:vAlign w:val="center"/>
                </w:tcPr>
                <w:p w14:paraId="3C6855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w:t>
                  </w: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11.69t/a</w:t>
                  </w:r>
                </w:p>
              </w:tc>
            </w:tr>
            <w:tr w14:paraId="4105FE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1" w:type="pct"/>
                  <w:gridSpan w:val="3"/>
                  <w:vMerge w:val="continue"/>
                  <w:tcBorders>
                    <w:tl2br w:val="nil"/>
                    <w:tr2bl w:val="nil"/>
                  </w:tcBorders>
                  <w:vAlign w:val="center"/>
                </w:tcPr>
                <w:p w14:paraId="566BF9C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579" w:type="pct"/>
                  <w:tcBorders>
                    <w:tl2br w:val="nil"/>
                    <w:tr2bl w:val="nil"/>
                  </w:tcBorders>
                  <w:shd w:val="clear" w:color="auto" w:fill="auto"/>
                  <w:vAlign w:val="center"/>
                </w:tcPr>
                <w:p w14:paraId="26C01D8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ascii="Times New Roman" w:hAnsi="Times New Roman" w:eastAsia="宋体" w:cs="Times New Roman"/>
                      <w:b w:val="0"/>
                      <w:bCs w:val="0"/>
                      <w:color w:val="auto"/>
                      <w:sz w:val="21"/>
                      <w:szCs w:val="21"/>
                      <w:highlight w:val="none"/>
                      <w:u w:val="single" w:color="auto"/>
                    </w:rPr>
                    <w:t>SS</w:t>
                  </w:r>
                </w:p>
              </w:tc>
              <w:tc>
                <w:tcPr>
                  <w:tcW w:w="578" w:type="pct"/>
                  <w:tcBorders>
                    <w:tl2br w:val="nil"/>
                    <w:tr2bl w:val="nil"/>
                  </w:tcBorders>
                  <w:shd w:val="clear" w:color="auto" w:fill="auto"/>
                  <w:vAlign w:val="center"/>
                </w:tcPr>
                <w:p w14:paraId="2517AE6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sz w:val="21"/>
                      <w:szCs w:val="21"/>
                      <w:highlight w:val="none"/>
                      <w:u w:val="single" w:color="auto"/>
                      <w:lang w:val="en-US" w:eastAsia="zh-CN"/>
                    </w:rPr>
                    <w:t>1.05t/a</w:t>
                  </w:r>
                </w:p>
              </w:tc>
              <w:tc>
                <w:tcPr>
                  <w:tcW w:w="512" w:type="pct"/>
                  <w:tcBorders>
                    <w:tl2br w:val="nil"/>
                    <w:tr2bl w:val="nil"/>
                  </w:tcBorders>
                  <w:shd w:val="clear" w:color="auto" w:fill="auto"/>
                  <w:vAlign w:val="center"/>
                </w:tcPr>
                <w:p w14:paraId="0D4C5F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shd w:val="clear" w:color="auto" w:fill="auto"/>
                  <w:vAlign w:val="center"/>
                </w:tcPr>
                <w:p w14:paraId="231B2B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7.01t/a</w:t>
                  </w:r>
                </w:p>
              </w:tc>
              <w:tc>
                <w:tcPr>
                  <w:tcW w:w="769" w:type="pct"/>
                  <w:tcBorders>
                    <w:tl2br w:val="nil"/>
                    <w:tr2bl w:val="nil"/>
                  </w:tcBorders>
                  <w:shd w:val="clear" w:color="auto" w:fill="auto"/>
                  <w:vAlign w:val="center"/>
                </w:tcPr>
                <w:p w14:paraId="60ADBA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8.06t/a</w:t>
                  </w:r>
                </w:p>
              </w:tc>
              <w:tc>
                <w:tcPr>
                  <w:tcW w:w="716" w:type="pct"/>
                  <w:tcBorders>
                    <w:tl2br w:val="nil"/>
                    <w:tr2bl w:val="nil"/>
                  </w:tcBorders>
                  <w:shd w:val="clear" w:color="auto" w:fill="auto"/>
                  <w:vAlign w:val="center"/>
                </w:tcPr>
                <w:p w14:paraId="00941B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w:t>
                  </w: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7.01t/a</w:t>
                  </w:r>
                </w:p>
              </w:tc>
            </w:tr>
            <w:tr w14:paraId="4BD005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1" w:type="pct"/>
                  <w:gridSpan w:val="3"/>
                  <w:vMerge w:val="continue"/>
                  <w:tcBorders>
                    <w:tl2br w:val="nil"/>
                    <w:tr2bl w:val="nil"/>
                  </w:tcBorders>
                  <w:vAlign w:val="center"/>
                </w:tcPr>
                <w:p w14:paraId="509C651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rPr>
                  </w:pPr>
                </w:p>
              </w:tc>
              <w:tc>
                <w:tcPr>
                  <w:tcW w:w="579" w:type="pct"/>
                  <w:tcBorders>
                    <w:tl2br w:val="nil"/>
                    <w:tr2bl w:val="nil"/>
                  </w:tcBorders>
                  <w:shd w:val="clear" w:color="auto" w:fill="auto"/>
                  <w:vAlign w:val="center"/>
                </w:tcPr>
                <w:p w14:paraId="6680D1B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ascii="Times New Roman" w:hAnsi="Times New Roman" w:eastAsia="宋体" w:cs="Times New Roman"/>
                      <w:b w:val="0"/>
                      <w:bCs w:val="0"/>
                      <w:color w:val="auto"/>
                      <w:sz w:val="21"/>
                      <w:szCs w:val="21"/>
                      <w:highlight w:val="none"/>
                      <w:u w:val="single" w:color="auto"/>
                    </w:rPr>
                    <w:t>NH</w:t>
                  </w:r>
                  <w:r>
                    <w:rPr>
                      <w:rFonts w:ascii="Times New Roman" w:hAnsi="Times New Roman" w:eastAsia="宋体" w:cs="Times New Roman"/>
                      <w:b w:val="0"/>
                      <w:bCs w:val="0"/>
                      <w:color w:val="auto"/>
                      <w:sz w:val="21"/>
                      <w:szCs w:val="21"/>
                      <w:highlight w:val="none"/>
                      <w:u w:val="single" w:color="auto"/>
                      <w:vertAlign w:val="subscript"/>
                    </w:rPr>
                    <w:t>3</w:t>
                  </w:r>
                  <w:r>
                    <w:rPr>
                      <w:rFonts w:ascii="Times New Roman" w:hAnsi="Times New Roman" w:eastAsia="宋体" w:cs="Times New Roman"/>
                      <w:b w:val="0"/>
                      <w:bCs w:val="0"/>
                      <w:color w:val="auto"/>
                      <w:sz w:val="21"/>
                      <w:szCs w:val="21"/>
                      <w:highlight w:val="none"/>
                      <w:u w:val="single" w:color="auto"/>
                    </w:rPr>
                    <w:t>-N</w:t>
                  </w:r>
                </w:p>
              </w:tc>
              <w:tc>
                <w:tcPr>
                  <w:tcW w:w="578" w:type="pct"/>
                  <w:tcBorders>
                    <w:tl2br w:val="nil"/>
                    <w:tr2bl w:val="nil"/>
                  </w:tcBorders>
                  <w:shd w:val="clear" w:color="auto" w:fill="auto"/>
                  <w:vAlign w:val="center"/>
                </w:tcPr>
                <w:p w14:paraId="55EB914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sz w:val="21"/>
                      <w:szCs w:val="21"/>
                      <w:highlight w:val="none"/>
                      <w:u w:val="single" w:color="auto"/>
                      <w:lang w:val="en-US" w:eastAsia="zh-CN"/>
                    </w:rPr>
                    <w:t>1.28t/a</w:t>
                  </w:r>
                </w:p>
              </w:tc>
              <w:tc>
                <w:tcPr>
                  <w:tcW w:w="512" w:type="pct"/>
                  <w:tcBorders>
                    <w:tl2br w:val="nil"/>
                    <w:tr2bl w:val="nil"/>
                  </w:tcBorders>
                  <w:vAlign w:val="center"/>
                </w:tcPr>
                <w:p w14:paraId="26DB47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shd w:val="clear" w:color="auto" w:fill="auto"/>
                  <w:vAlign w:val="center"/>
                </w:tcPr>
                <w:p w14:paraId="0F5B9C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4.09t/a</w:t>
                  </w:r>
                </w:p>
              </w:tc>
              <w:tc>
                <w:tcPr>
                  <w:tcW w:w="769" w:type="pct"/>
                  <w:tcBorders>
                    <w:tl2br w:val="nil"/>
                    <w:tr2bl w:val="nil"/>
                  </w:tcBorders>
                  <w:shd w:val="clear" w:color="auto" w:fill="auto"/>
                  <w:vAlign w:val="center"/>
                </w:tcPr>
                <w:p w14:paraId="247E0D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5.37t/a</w:t>
                  </w:r>
                </w:p>
              </w:tc>
              <w:tc>
                <w:tcPr>
                  <w:tcW w:w="716" w:type="pct"/>
                  <w:tcBorders>
                    <w:tl2br w:val="nil"/>
                    <w:tr2bl w:val="nil"/>
                  </w:tcBorders>
                  <w:shd w:val="clear" w:color="auto" w:fill="auto"/>
                  <w:vAlign w:val="center"/>
                </w:tcPr>
                <w:p w14:paraId="37B141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w:t>
                  </w: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4.09t/a</w:t>
                  </w:r>
                </w:p>
              </w:tc>
            </w:tr>
            <w:tr w14:paraId="5E876C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1" w:type="pct"/>
                  <w:gridSpan w:val="3"/>
                  <w:vMerge w:val="continue"/>
                  <w:tcBorders>
                    <w:tl2br w:val="nil"/>
                    <w:tr2bl w:val="nil"/>
                  </w:tcBorders>
                  <w:vAlign w:val="center"/>
                </w:tcPr>
                <w:p w14:paraId="70BFE6B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rPr>
                  </w:pPr>
                </w:p>
              </w:tc>
              <w:tc>
                <w:tcPr>
                  <w:tcW w:w="579" w:type="pct"/>
                  <w:tcBorders>
                    <w:tl2br w:val="nil"/>
                    <w:tr2bl w:val="nil"/>
                  </w:tcBorders>
                  <w:shd w:val="clear" w:color="auto" w:fill="auto"/>
                  <w:vAlign w:val="center"/>
                </w:tcPr>
                <w:p w14:paraId="75BC538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ascii="Times New Roman" w:hAnsi="Times New Roman" w:eastAsia="宋体" w:cs="Times New Roman"/>
                      <w:b w:val="0"/>
                      <w:bCs w:val="0"/>
                      <w:color w:val="auto"/>
                      <w:sz w:val="21"/>
                      <w:szCs w:val="21"/>
                      <w:highlight w:val="none"/>
                      <w:u w:val="single" w:color="auto"/>
                    </w:rPr>
                    <w:t>粪大肠菌群</w:t>
                  </w:r>
                </w:p>
              </w:tc>
              <w:tc>
                <w:tcPr>
                  <w:tcW w:w="578" w:type="pct"/>
                  <w:tcBorders>
                    <w:tl2br w:val="nil"/>
                    <w:tr2bl w:val="nil"/>
                  </w:tcBorders>
                  <w:shd w:val="clear" w:color="auto" w:fill="auto"/>
                  <w:vAlign w:val="center"/>
                </w:tcPr>
                <w:p w14:paraId="76DF4E7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sz w:val="21"/>
                      <w:szCs w:val="21"/>
                      <w:highlight w:val="none"/>
                      <w:u w:val="single" w:color="auto"/>
                      <w:lang w:val="en-US" w:eastAsia="zh-CN"/>
                    </w:rPr>
                    <w:t>/</w:t>
                  </w:r>
                </w:p>
              </w:tc>
              <w:tc>
                <w:tcPr>
                  <w:tcW w:w="512" w:type="pct"/>
                  <w:tcBorders>
                    <w:tl2br w:val="nil"/>
                    <w:tr2bl w:val="nil"/>
                  </w:tcBorders>
                  <w:vAlign w:val="center"/>
                </w:tcPr>
                <w:p w14:paraId="1D6B9C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vAlign w:val="center"/>
                </w:tcPr>
                <w:p w14:paraId="2389EF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w:t>
                  </w:r>
                </w:p>
              </w:tc>
              <w:tc>
                <w:tcPr>
                  <w:tcW w:w="769" w:type="pct"/>
                  <w:tcBorders>
                    <w:tl2br w:val="nil"/>
                    <w:tr2bl w:val="nil"/>
                  </w:tcBorders>
                  <w:vAlign w:val="center"/>
                </w:tcPr>
                <w:p w14:paraId="7EB39C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716" w:type="pct"/>
                  <w:tcBorders>
                    <w:tl2br w:val="nil"/>
                    <w:tr2bl w:val="nil"/>
                  </w:tcBorders>
                  <w:vAlign w:val="center"/>
                </w:tcPr>
                <w:p w14:paraId="6A9E4B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r>
            <w:tr w14:paraId="4C6118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vMerge w:val="restart"/>
                  <w:tcBorders>
                    <w:tl2br w:val="nil"/>
                    <w:tr2bl w:val="nil"/>
                  </w:tcBorders>
                  <w:vAlign w:val="center"/>
                </w:tcPr>
                <w:p w14:paraId="6E6DEB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大气污染物</w:t>
                  </w:r>
                </w:p>
              </w:tc>
              <w:tc>
                <w:tcPr>
                  <w:tcW w:w="277" w:type="pct"/>
                  <w:tcBorders>
                    <w:tl2br w:val="nil"/>
                    <w:tr2bl w:val="nil"/>
                  </w:tcBorders>
                  <w:vAlign w:val="center"/>
                </w:tcPr>
                <w:p w14:paraId="160EF5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有组织</w:t>
                  </w:r>
                </w:p>
              </w:tc>
              <w:tc>
                <w:tcPr>
                  <w:tcW w:w="493" w:type="pct"/>
                  <w:tcBorders>
                    <w:tl2br w:val="nil"/>
                    <w:tr2bl w:val="nil"/>
                  </w:tcBorders>
                  <w:vAlign w:val="center"/>
                </w:tcPr>
                <w:p w14:paraId="52D8AB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食堂</w:t>
                  </w:r>
                </w:p>
              </w:tc>
              <w:tc>
                <w:tcPr>
                  <w:tcW w:w="579" w:type="pct"/>
                  <w:tcBorders>
                    <w:tl2br w:val="nil"/>
                    <w:tr2bl w:val="nil"/>
                  </w:tcBorders>
                  <w:vAlign w:val="center"/>
                </w:tcPr>
                <w:p w14:paraId="6B0A7C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油烟</w:t>
                  </w:r>
                </w:p>
              </w:tc>
              <w:tc>
                <w:tcPr>
                  <w:tcW w:w="578" w:type="pct"/>
                  <w:tcBorders>
                    <w:tl2br w:val="nil"/>
                    <w:tr2bl w:val="nil"/>
                  </w:tcBorders>
                  <w:vAlign w:val="center"/>
                </w:tcPr>
                <w:p w14:paraId="41FC5F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8.76kg/a</w:t>
                  </w:r>
                </w:p>
              </w:tc>
              <w:tc>
                <w:tcPr>
                  <w:tcW w:w="512" w:type="pct"/>
                  <w:tcBorders>
                    <w:tl2br w:val="nil"/>
                    <w:tr2bl w:val="nil"/>
                  </w:tcBorders>
                  <w:vAlign w:val="center"/>
                </w:tcPr>
                <w:p w14:paraId="36F892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vAlign w:val="center"/>
                </w:tcPr>
                <w:p w14:paraId="347BF0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769" w:type="pct"/>
                  <w:tcBorders>
                    <w:tl2br w:val="nil"/>
                    <w:tr2bl w:val="nil"/>
                  </w:tcBorders>
                  <w:vAlign w:val="center"/>
                </w:tcPr>
                <w:p w14:paraId="2F4700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716" w:type="pct"/>
                  <w:tcBorders>
                    <w:tl2br w:val="nil"/>
                    <w:tr2bl w:val="nil"/>
                  </w:tcBorders>
                  <w:vAlign w:val="center"/>
                </w:tcPr>
                <w:p w14:paraId="08FF1F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r>
            <w:tr w14:paraId="75715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vMerge w:val="continue"/>
                  <w:tcBorders>
                    <w:tl2br w:val="nil"/>
                    <w:tr2bl w:val="nil"/>
                  </w:tcBorders>
                  <w:vAlign w:val="center"/>
                </w:tcPr>
                <w:p w14:paraId="29D7D7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277" w:type="pct"/>
                  <w:vMerge w:val="restart"/>
                  <w:tcBorders>
                    <w:tl2br w:val="nil"/>
                    <w:tr2bl w:val="nil"/>
                  </w:tcBorders>
                  <w:vAlign w:val="center"/>
                </w:tcPr>
                <w:p w14:paraId="2908E7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无组织</w:t>
                  </w:r>
                </w:p>
              </w:tc>
              <w:tc>
                <w:tcPr>
                  <w:tcW w:w="493" w:type="pct"/>
                  <w:vMerge w:val="restart"/>
                  <w:tcBorders>
                    <w:tl2br w:val="nil"/>
                    <w:tr2bl w:val="nil"/>
                  </w:tcBorders>
                  <w:vAlign w:val="center"/>
                </w:tcPr>
                <w:p w14:paraId="211D2F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污水处理站废气</w:t>
                  </w:r>
                </w:p>
              </w:tc>
              <w:tc>
                <w:tcPr>
                  <w:tcW w:w="579" w:type="pct"/>
                  <w:tcBorders>
                    <w:tl2br w:val="nil"/>
                    <w:tr2bl w:val="nil"/>
                  </w:tcBorders>
                  <w:vAlign w:val="center"/>
                </w:tcPr>
                <w:p w14:paraId="415F29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ascii="Times New Roman" w:hAnsi="Times New Roman" w:eastAsia="宋体" w:cs="Times New Roman"/>
                      <w:color w:val="auto"/>
                      <w:sz w:val="21"/>
                      <w:szCs w:val="21"/>
                      <w:highlight w:val="none"/>
                      <w:u w:val="single" w:color="auto"/>
                    </w:rPr>
                    <w:t>NH</w:t>
                  </w:r>
                  <w:r>
                    <w:rPr>
                      <w:rFonts w:ascii="Times New Roman" w:hAnsi="Times New Roman" w:eastAsia="宋体" w:cs="Times New Roman"/>
                      <w:color w:val="auto"/>
                      <w:sz w:val="21"/>
                      <w:szCs w:val="21"/>
                      <w:highlight w:val="none"/>
                      <w:u w:val="single" w:color="auto"/>
                      <w:vertAlign w:val="subscript"/>
                    </w:rPr>
                    <w:t>3</w:t>
                  </w:r>
                </w:p>
              </w:tc>
              <w:tc>
                <w:tcPr>
                  <w:tcW w:w="578" w:type="pct"/>
                  <w:vMerge w:val="restart"/>
                  <w:tcBorders>
                    <w:tl2br w:val="nil"/>
                    <w:tr2bl w:val="nil"/>
                  </w:tcBorders>
                  <w:vAlign w:val="center"/>
                </w:tcPr>
                <w:p w14:paraId="6E81F2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少量</w:t>
                  </w:r>
                </w:p>
              </w:tc>
              <w:tc>
                <w:tcPr>
                  <w:tcW w:w="512" w:type="pct"/>
                  <w:tcBorders>
                    <w:tl2br w:val="nil"/>
                    <w:tr2bl w:val="nil"/>
                  </w:tcBorders>
                  <w:vAlign w:val="center"/>
                </w:tcPr>
                <w:p w14:paraId="73828D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shd w:val="clear" w:color="auto" w:fill="auto"/>
                  <w:vAlign w:val="center"/>
                </w:tcPr>
                <w:p w14:paraId="64078465">
                  <w:pPr>
                    <w:adjustRightInd/>
                    <w:snapToGrid/>
                    <w:spacing w:line="240" w:lineRule="auto"/>
                    <w:ind w:firstLine="0" w:firstLineChars="0"/>
                    <w:jc w:val="center"/>
                    <w:rPr>
                      <w:rFonts w:hint="eastAsia" w:ascii="Times New Roman" w:hAnsi="Times New Roman" w:eastAsia="宋体" w:cs="Times New Roman"/>
                      <w:color w:val="auto"/>
                      <w:spacing w:val="11"/>
                      <w:kern w:val="2"/>
                      <w:sz w:val="21"/>
                      <w:szCs w:val="21"/>
                      <w:highlight w:val="none"/>
                      <w:u w:val="single" w:color="auto"/>
                      <w:lang w:val="en-US" w:eastAsia="zh-CN" w:bidi="ar-SA"/>
                    </w:rPr>
                  </w:pPr>
                  <w:r>
                    <w:rPr>
                      <w:rFonts w:hint="eastAsia" w:ascii="Times New Roman" w:hAnsi="Times New Roman" w:eastAsia="宋体" w:cs="Times New Roman"/>
                      <w:color w:val="auto"/>
                      <w:spacing w:val="11"/>
                      <w:kern w:val="2"/>
                      <w:sz w:val="21"/>
                      <w:szCs w:val="21"/>
                      <w:highlight w:val="none"/>
                      <w:u w:val="single" w:color="auto"/>
                      <w:lang w:val="en-US" w:eastAsia="zh-CN" w:bidi="ar-SA"/>
                    </w:rPr>
                    <w:t>30.58kg/a</w:t>
                  </w:r>
                </w:p>
              </w:tc>
              <w:tc>
                <w:tcPr>
                  <w:tcW w:w="769" w:type="pct"/>
                  <w:tcBorders>
                    <w:tl2br w:val="nil"/>
                    <w:tr2bl w:val="nil"/>
                  </w:tcBorders>
                  <w:shd w:val="clear" w:color="auto" w:fill="auto"/>
                  <w:vAlign w:val="center"/>
                </w:tcPr>
                <w:p w14:paraId="1F4F650D">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u w:val="single" w:color="auto"/>
                      <w:lang w:val="en-US" w:eastAsia="zh-CN" w:bidi="ar-SA"/>
                    </w:rPr>
                  </w:pPr>
                  <w:r>
                    <w:rPr>
                      <w:rFonts w:hint="eastAsia" w:ascii="Times New Roman" w:hAnsi="Times New Roman" w:eastAsia="宋体" w:cs="Times New Roman"/>
                      <w:color w:val="auto"/>
                      <w:spacing w:val="11"/>
                      <w:kern w:val="2"/>
                      <w:sz w:val="21"/>
                      <w:szCs w:val="21"/>
                      <w:highlight w:val="none"/>
                      <w:u w:val="single" w:color="auto"/>
                      <w:lang w:val="en-US" w:eastAsia="zh-CN" w:bidi="ar-SA"/>
                    </w:rPr>
                    <w:t>30.58kg/a</w:t>
                  </w:r>
                </w:p>
              </w:tc>
              <w:tc>
                <w:tcPr>
                  <w:tcW w:w="716" w:type="pct"/>
                  <w:tcBorders>
                    <w:tl2br w:val="nil"/>
                    <w:tr2bl w:val="nil"/>
                  </w:tcBorders>
                  <w:shd w:val="clear" w:color="auto" w:fill="auto"/>
                  <w:vAlign w:val="center"/>
                </w:tcPr>
                <w:p w14:paraId="4B114C07">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u w:val="single" w:color="auto"/>
                      <w:lang w:val="en-US" w:eastAsia="zh-CN" w:bidi="ar-SA"/>
                    </w:rPr>
                  </w:pPr>
                  <w:r>
                    <w:rPr>
                      <w:rFonts w:hint="eastAsia" w:ascii="Times New Roman" w:hAnsi="Times New Roman" w:eastAsia="宋体" w:cs="Times New Roman"/>
                      <w:color w:val="auto"/>
                      <w:spacing w:val="11"/>
                      <w:kern w:val="2"/>
                      <w:sz w:val="21"/>
                      <w:szCs w:val="21"/>
                      <w:highlight w:val="none"/>
                      <w:u w:val="single" w:color="auto"/>
                      <w:lang w:val="en-US" w:eastAsia="zh-CN" w:bidi="ar-SA"/>
                    </w:rPr>
                    <w:t>+30.58kg/a</w:t>
                  </w:r>
                </w:p>
              </w:tc>
            </w:tr>
            <w:tr w14:paraId="5BAB1A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vMerge w:val="continue"/>
                  <w:tcBorders>
                    <w:tl2br w:val="nil"/>
                    <w:tr2bl w:val="nil"/>
                  </w:tcBorders>
                  <w:vAlign w:val="center"/>
                </w:tcPr>
                <w:p w14:paraId="04FCE9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277" w:type="pct"/>
                  <w:vMerge w:val="continue"/>
                  <w:tcBorders>
                    <w:tl2br w:val="nil"/>
                    <w:tr2bl w:val="nil"/>
                  </w:tcBorders>
                  <w:vAlign w:val="center"/>
                </w:tcPr>
                <w:p w14:paraId="68F838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493" w:type="pct"/>
                  <w:vMerge w:val="continue"/>
                  <w:tcBorders>
                    <w:tl2br w:val="nil"/>
                    <w:tr2bl w:val="nil"/>
                  </w:tcBorders>
                  <w:vAlign w:val="center"/>
                </w:tcPr>
                <w:p w14:paraId="30CEAD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579" w:type="pct"/>
                  <w:tcBorders>
                    <w:tl2br w:val="nil"/>
                    <w:tr2bl w:val="nil"/>
                  </w:tcBorders>
                  <w:vAlign w:val="center"/>
                </w:tcPr>
                <w:p w14:paraId="17588B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ascii="Times New Roman" w:hAnsi="Times New Roman" w:eastAsia="宋体" w:cs="Times New Roman"/>
                      <w:color w:val="auto"/>
                      <w:sz w:val="21"/>
                      <w:szCs w:val="21"/>
                      <w:highlight w:val="none"/>
                      <w:u w:val="single" w:color="auto"/>
                    </w:rPr>
                    <w:t>H</w:t>
                  </w:r>
                  <w:r>
                    <w:rPr>
                      <w:rFonts w:ascii="Times New Roman" w:hAnsi="Times New Roman" w:eastAsia="宋体" w:cs="Times New Roman"/>
                      <w:color w:val="auto"/>
                      <w:sz w:val="21"/>
                      <w:szCs w:val="21"/>
                      <w:highlight w:val="none"/>
                      <w:u w:val="single" w:color="auto"/>
                      <w:vertAlign w:val="subscript"/>
                    </w:rPr>
                    <w:t>2</w:t>
                  </w:r>
                  <w:r>
                    <w:rPr>
                      <w:rFonts w:ascii="Times New Roman" w:hAnsi="Times New Roman" w:eastAsia="宋体" w:cs="Times New Roman"/>
                      <w:color w:val="auto"/>
                      <w:sz w:val="21"/>
                      <w:szCs w:val="21"/>
                      <w:highlight w:val="none"/>
                      <w:u w:val="single" w:color="auto"/>
                    </w:rPr>
                    <w:t>S</w:t>
                  </w:r>
                </w:p>
              </w:tc>
              <w:tc>
                <w:tcPr>
                  <w:tcW w:w="578" w:type="pct"/>
                  <w:vMerge w:val="continue"/>
                  <w:tcBorders>
                    <w:tl2br w:val="nil"/>
                    <w:tr2bl w:val="nil"/>
                  </w:tcBorders>
                  <w:vAlign w:val="center"/>
                </w:tcPr>
                <w:p w14:paraId="2BB35F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512" w:type="pct"/>
                  <w:tcBorders>
                    <w:tl2br w:val="nil"/>
                    <w:tr2bl w:val="nil"/>
                  </w:tcBorders>
                  <w:vAlign w:val="center"/>
                </w:tcPr>
                <w:p w14:paraId="30DB0F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shd w:val="clear" w:color="auto" w:fill="auto"/>
                  <w:vAlign w:val="center"/>
                </w:tcPr>
                <w:p w14:paraId="46D89F50">
                  <w:pPr>
                    <w:adjustRightInd/>
                    <w:snapToGrid/>
                    <w:spacing w:line="240" w:lineRule="auto"/>
                    <w:ind w:firstLine="0" w:firstLineChars="0"/>
                    <w:jc w:val="center"/>
                    <w:rPr>
                      <w:rFonts w:hint="eastAsia" w:ascii="Times New Roman" w:hAnsi="Times New Roman" w:eastAsia="宋体" w:cs="Times New Roman"/>
                      <w:color w:val="auto"/>
                      <w:spacing w:val="11"/>
                      <w:kern w:val="2"/>
                      <w:sz w:val="21"/>
                      <w:szCs w:val="21"/>
                      <w:highlight w:val="none"/>
                      <w:u w:val="single" w:color="auto"/>
                      <w:lang w:val="en-US" w:eastAsia="zh-CN" w:bidi="ar-SA"/>
                    </w:rPr>
                  </w:pPr>
                  <w:r>
                    <w:rPr>
                      <w:rFonts w:hint="eastAsia" w:ascii="Times New Roman" w:hAnsi="Times New Roman" w:eastAsia="宋体" w:cs="Times New Roman"/>
                      <w:color w:val="auto"/>
                      <w:spacing w:val="11"/>
                      <w:kern w:val="2"/>
                      <w:sz w:val="21"/>
                      <w:szCs w:val="21"/>
                      <w:highlight w:val="none"/>
                      <w:u w:val="single" w:color="auto"/>
                      <w:lang w:val="en-US" w:eastAsia="zh-CN" w:bidi="ar-SA"/>
                    </w:rPr>
                    <w:t>1.18kg/a</w:t>
                  </w:r>
                </w:p>
              </w:tc>
              <w:tc>
                <w:tcPr>
                  <w:tcW w:w="769" w:type="pct"/>
                  <w:tcBorders>
                    <w:tl2br w:val="nil"/>
                    <w:tr2bl w:val="nil"/>
                  </w:tcBorders>
                  <w:shd w:val="clear" w:color="auto" w:fill="auto"/>
                  <w:vAlign w:val="center"/>
                </w:tcPr>
                <w:p w14:paraId="4EF54166">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u w:val="single" w:color="auto"/>
                      <w:lang w:val="en-US" w:eastAsia="zh-CN" w:bidi="ar-SA"/>
                    </w:rPr>
                  </w:pPr>
                  <w:r>
                    <w:rPr>
                      <w:rFonts w:hint="eastAsia" w:ascii="Times New Roman" w:hAnsi="Times New Roman" w:eastAsia="宋体" w:cs="Times New Roman"/>
                      <w:color w:val="auto"/>
                      <w:spacing w:val="11"/>
                      <w:kern w:val="2"/>
                      <w:sz w:val="21"/>
                      <w:szCs w:val="21"/>
                      <w:highlight w:val="none"/>
                      <w:u w:val="single" w:color="auto"/>
                      <w:lang w:val="en-US" w:eastAsia="zh-CN" w:bidi="ar-SA"/>
                    </w:rPr>
                    <w:t>1.18kg/a</w:t>
                  </w:r>
                </w:p>
              </w:tc>
              <w:tc>
                <w:tcPr>
                  <w:tcW w:w="716" w:type="pct"/>
                  <w:tcBorders>
                    <w:tl2br w:val="nil"/>
                    <w:tr2bl w:val="nil"/>
                  </w:tcBorders>
                  <w:shd w:val="clear" w:color="auto" w:fill="auto"/>
                  <w:vAlign w:val="center"/>
                </w:tcPr>
                <w:p w14:paraId="5881140F">
                  <w:pPr>
                    <w:adjustRightInd/>
                    <w:snapToGrid/>
                    <w:spacing w:line="240" w:lineRule="auto"/>
                    <w:ind w:firstLine="0" w:firstLineChars="0"/>
                    <w:jc w:val="center"/>
                    <w:rPr>
                      <w:rFonts w:hint="eastAsia" w:ascii="Times New Roman" w:hAnsi="Times New Roman" w:eastAsia="宋体" w:cs="Times New Roman"/>
                      <w:color w:val="auto"/>
                      <w:spacing w:val="11"/>
                      <w:kern w:val="2"/>
                      <w:sz w:val="21"/>
                      <w:szCs w:val="21"/>
                      <w:highlight w:val="none"/>
                      <w:u w:val="single" w:color="auto"/>
                      <w:lang w:val="en-US" w:eastAsia="zh-CN" w:bidi="ar-SA"/>
                    </w:rPr>
                  </w:pPr>
                  <w:r>
                    <w:rPr>
                      <w:rFonts w:hint="eastAsia" w:ascii="Times New Roman" w:hAnsi="Times New Roman" w:eastAsia="宋体" w:cs="Times New Roman"/>
                      <w:color w:val="auto"/>
                      <w:spacing w:val="11"/>
                      <w:kern w:val="2"/>
                      <w:sz w:val="21"/>
                      <w:szCs w:val="21"/>
                      <w:highlight w:val="none"/>
                      <w:u w:val="single" w:color="auto"/>
                      <w:lang w:val="en-US" w:eastAsia="zh-CN" w:bidi="ar-SA"/>
                    </w:rPr>
                    <w:t>+1.18kg/a</w:t>
                  </w:r>
                </w:p>
              </w:tc>
            </w:tr>
            <w:tr w14:paraId="5C8828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vMerge w:val="continue"/>
                  <w:tcBorders>
                    <w:tl2br w:val="nil"/>
                    <w:tr2bl w:val="nil"/>
                  </w:tcBorders>
                  <w:vAlign w:val="center"/>
                </w:tcPr>
                <w:p w14:paraId="436473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277" w:type="pct"/>
                  <w:vMerge w:val="continue"/>
                  <w:tcBorders>
                    <w:tl2br w:val="nil"/>
                    <w:tr2bl w:val="nil"/>
                  </w:tcBorders>
                  <w:vAlign w:val="center"/>
                </w:tcPr>
                <w:p w14:paraId="566582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493" w:type="pct"/>
                  <w:vMerge w:val="restart"/>
                  <w:tcBorders>
                    <w:tl2br w:val="nil"/>
                    <w:tr2bl w:val="nil"/>
                  </w:tcBorders>
                  <w:vAlign w:val="center"/>
                </w:tcPr>
                <w:p w14:paraId="7F4CF5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地下停车场汽车尾气</w:t>
                  </w:r>
                </w:p>
              </w:tc>
              <w:tc>
                <w:tcPr>
                  <w:tcW w:w="579" w:type="pct"/>
                  <w:tcBorders>
                    <w:tl2br w:val="nil"/>
                    <w:tr2bl w:val="nil"/>
                  </w:tcBorders>
                  <w:shd w:val="clear" w:color="auto" w:fill="auto"/>
                  <w:vAlign w:val="center"/>
                </w:tcPr>
                <w:p w14:paraId="36D53999">
                  <w:pPr>
                    <w:pStyle w:val="63"/>
                    <w:ind w:firstLine="0" w:firstLineChars="0"/>
                    <w:rPr>
                      <w:rFonts w:ascii="Times New Roman" w:hAnsi="Times New Roman" w:eastAsia="宋体" w:cs="Times New Roman"/>
                      <w:color w:val="auto"/>
                      <w:kern w:val="2"/>
                      <w:sz w:val="21"/>
                      <w:szCs w:val="21"/>
                      <w:u w:val="single" w:color="auto"/>
                      <w:lang w:val="en-US" w:eastAsia="zh-CN" w:bidi="ar-SA"/>
                    </w:rPr>
                  </w:pPr>
                  <w:r>
                    <w:rPr>
                      <w:rFonts w:ascii="Times New Roman" w:hAnsi="Times New Roman"/>
                      <w:color w:val="auto"/>
                      <w:kern w:val="2"/>
                      <w:sz w:val="21"/>
                      <w:szCs w:val="21"/>
                      <w:u w:val="single" w:color="auto"/>
                    </w:rPr>
                    <w:t>CO</w:t>
                  </w:r>
                </w:p>
              </w:tc>
              <w:tc>
                <w:tcPr>
                  <w:tcW w:w="578" w:type="pct"/>
                  <w:tcBorders>
                    <w:tl2br w:val="nil"/>
                    <w:tr2bl w:val="nil"/>
                  </w:tcBorders>
                  <w:shd w:val="clear" w:color="auto" w:fill="auto"/>
                  <w:vAlign w:val="center"/>
                </w:tcPr>
                <w:p w14:paraId="43212F97">
                  <w:pPr>
                    <w:pStyle w:val="63"/>
                    <w:ind w:firstLine="0" w:firstLineChars="0"/>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color w:val="auto"/>
                      <w:kern w:val="2"/>
                      <w:sz w:val="21"/>
                      <w:szCs w:val="21"/>
                      <w:u w:val="single" w:color="auto"/>
                    </w:rPr>
                    <w:t>1.75</w:t>
                  </w:r>
                  <w:r>
                    <w:rPr>
                      <w:rFonts w:ascii="Times New Roman" w:hAnsi="Times New Roman"/>
                      <w:color w:val="auto"/>
                      <w:kern w:val="2"/>
                      <w:sz w:val="21"/>
                      <w:szCs w:val="21"/>
                      <w:u w:val="single" w:color="auto"/>
                    </w:rPr>
                    <w:t>t/a</w:t>
                  </w:r>
                </w:p>
              </w:tc>
              <w:tc>
                <w:tcPr>
                  <w:tcW w:w="512" w:type="pct"/>
                  <w:tcBorders>
                    <w:tl2br w:val="nil"/>
                    <w:tr2bl w:val="nil"/>
                  </w:tcBorders>
                  <w:vAlign w:val="center"/>
                </w:tcPr>
                <w:p w14:paraId="3590C9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vMerge w:val="restart"/>
                  <w:tcBorders>
                    <w:tl2br w:val="nil"/>
                    <w:tr2bl w:val="nil"/>
                  </w:tcBorders>
                  <w:shd w:val="clear" w:color="auto" w:fill="auto"/>
                  <w:vAlign w:val="center"/>
                </w:tcPr>
                <w:p w14:paraId="10DF0F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少量</w:t>
                  </w:r>
                </w:p>
              </w:tc>
              <w:tc>
                <w:tcPr>
                  <w:tcW w:w="769" w:type="pct"/>
                  <w:vMerge w:val="restart"/>
                  <w:tcBorders>
                    <w:tl2br w:val="nil"/>
                    <w:tr2bl w:val="nil"/>
                  </w:tcBorders>
                  <w:shd w:val="clear" w:color="auto" w:fill="auto"/>
                  <w:vAlign w:val="center"/>
                </w:tcPr>
                <w:p w14:paraId="39553C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position w:val="0"/>
                      <w:sz w:val="21"/>
                      <w:szCs w:val="21"/>
                      <w:highlight w:val="none"/>
                      <w:u w:val="single" w:color="auto"/>
                      <w:lang w:val="en-US" w:eastAsia="zh-CN"/>
                    </w:rPr>
                    <w:t>少量</w:t>
                  </w:r>
                </w:p>
              </w:tc>
              <w:tc>
                <w:tcPr>
                  <w:tcW w:w="716" w:type="pct"/>
                  <w:vMerge w:val="restart"/>
                  <w:tcBorders>
                    <w:tl2br w:val="nil"/>
                    <w:tr2bl w:val="nil"/>
                  </w:tcBorders>
                  <w:shd w:val="clear" w:color="auto" w:fill="auto"/>
                  <w:vAlign w:val="center"/>
                </w:tcPr>
                <w:p w14:paraId="5992BA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position w:val="0"/>
                      <w:sz w:val="21"/>
                      <w:szCs w:val="21"/>
                      <w:highlight w:val="none"/>
                      <w:u w:val="single" w:color="auto"/>
                      <w:lang w:val="en-US" w:eastAsia="zh-CN"/>
                    </w:rPr>
                    <w:t>增加</w:t>
                  </w:r>
                  <w:r>
                    <w:rPr>
                      <w:rFonts w:hint="default" w:ascii="Times New Roman" w:hAnsi="Times New Roman" w:eastAsia="宋体" w:cs="Times New Roman"/>
                      <w:color w:val="auto"/>
                      <w:spacing w:val="11"/>
                      <w:position w:val="0"/>
                      <w:sz w:val="21"/>
                      <w:szCs w:val="21"/>
                      <w:highlight w:val="none"/>
                      <w:u w:val="single" w:color="auto"/>
                      <w:lang w:val="en-US" w:eastAsia="zh-CN"/>
                    </w:rPr>
                    <w:t>少量</w:t>
                  </w:r>
                </w:p>
              </w:tc>
            </w:tr>
            <w:tr w14:paraId="0F21A9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vMerge w:val="continue"/>
                  <w:tcBorders>
                    <w:tl2br w:val="nil"/>
                    <w:tr2bl w:val="nil"/>
                  </w:tcBorders>
                  <w:vAlign w:val="center"/>
                </w:tcPr>
                <w:p w14:paraId="208285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277" w:type="pct"/>
                  <w:vMerge w:val="continue"/>
                  <w:tcBorders>
                    <w:tl2br w:val="nil"/>
                    <w:tr2bl w:val="nil"/>
                  </w:tcBorders>
                  <w:vAlign w:val="center"/>
                </w:tcPr>
                <w:p w14:paraId="546590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493" w:type="pct"/>
                  <w:vMerge w:val="continue"/>
                  <w:tcBorders>
                    <w:tl2br w:val="nil"/>
                    <w:tr2bl w:val="nil"/>
                  </w:tcBorders>
                  <w:vAlign w:val="center"/>
                </w:tcPr>
                <w:p w14:paraId="4DF89E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579" w:type="pct"/>
                  <w:tcBorders>
                    <w:tl2br w:val="nil"/>
                    <w:tr2bl w:val="nil"/>
                  </w:tcBorders>
                  <w:shd w:val="clear" w:color="auto" w:fill="auto"/>
                  <w:vAlign w:val="center"/>
                </w:tcPr>
                <w:p w14:paraId="629762D7">
                  <w:pPr>
                    <w:pStyle w:val="63"/>
                    <w:ind w:firstLine="0" w:firstLineChars="0"/>
                    <w:rPr>
                      <w:rFonts w:ascii="Times New Roman" w:hAnsi="Times New Roman" w:eastAsia="宋体" w:cs="Times New Roman"/>
                      <w:color w:val="auto"/>
                      <w:kern w:val="2"/>
                      <w:sz w:val="21"/>
                      <w:szCs w:val="21"/>
                      <w:u w:val="single" w:color="auto"/>
                      <w:lang w:val="en-US" w:eastAsia="zh-CN" w:bidi="ar-SA"/>
                    </w:rPr>
                  </w:pPr>
                  <w:r>
                    <w:rPr>
                      <w:rFonts w:ascii="Times New Roman" w:hAnsi="Times New Roman"/>
                      <w:color w:val="auto"/>
                      <w:kern w:val="2"/>
                      <w:sz w:val="21"/>
                      <w:szCs w:val="21"/>
                      <w:u w:val="single" w:color="auto"/>
                    </w:rPr>
                    <w:t>THC</w:t>
                  </w:r>
                </w:p>
              </w:tc>
              <w:tc>
                <w:tcPr>
                  <w:tcW w:w="578" w:type="pct"/>
                  <w:tcBorders>
                    <w:tl2br w:val="nil"/>
                    <w:tr2bl w:val="nil"/>
                  </w:tcBorders>
                  <w:shd w:val="clear" w:color="auto" w:fill="auto"/>
                  <w:vAlign w:val="center"/>
                </w:tcPr>
                <w:p w14:paraId="152CFA8E">
                  <w:pPr>
                    <w:pStyle w:val="63"/>
                    <w:ind w:firstLine="0" w:firstLineChars="0"/>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color w:val="auto"/>
                      <w:kern w:val="2"/>
                      <w:sz w:val="21"/>
                      <w:szCs w:val="21"/>
                      <w:u w:val="single" w:color="auto"/>
                    </w:rPr>
                    <w:t>0.133</w:t>
                  </w:r>
                  <w:r>
                    <w:rPr>
                      <w:rFonts w:ascii="Times New Roman" w:hAnsi="Times New Roman"/>
                      <w:color w:val="auto"/>
                      <w:kern w:val="2"/>
                      <w:sz w:val="21"/>
                      <w:szCs w:val="21"/>
                      <w:u w:val="single" w:color="auto"/>
                    </w:rPr>
                    <w:t>t/a</w:t>
                  </w:r>
                </w:p>
              </w:tc>
              <w:tc>
                <w:tcPr>
                  <w:tcW w:w="512" w:type="pct"/>
                  <w:tcBorders>
                    <w:tl2br w:val="nil"/>
                    <w:tr2bl w:val="nil"/>
                  </w:tcBorders>
                  <w:vAlign w:val="center"/>
                </w:tcPr>
                <w:p w14:paraId="0E51D6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vMerge w:val="continue"/>
                  <w:tcBorders>
                    <w:tl2br w:val="nil"/>
                    <w:tr2bl w:val="nil"/>
                  </w:tcBorders>
                  <w:shd w:val="clear" w:color="auto" w:fill="auto"/>
                  <w:vAlign w:val="center"/>
                </w:tcPr>
                <w:p w14:paraId="0825C906">
                  <w:pPr>
                    <w:adjustRightInd/>
                    <w:snapToGrid/>
                    <w:spacing w:line="240" w:lineRule="auto"/>
                    <w:ind w:firstLine="0" w:firstLineChars="0"/>
                    <w:jc w:val="center"/>
                    <w:rPr>
                      <w:rFonts w:hint="eastAsia" w:cs="Times New Roman"/>
                      <w:color w:val="auto"/>
                      <w:spacing w:val="11"/>
                      <w:kern w:val="2"/>
                      <w:sz w:val="21"/>
                      <w:szCs w:val="21"/>
                      <w:highlight w:val="none"/>
                      <w:u w:val="single" w:color="auto"/>
                      <w:lang w:val="en-US" w:eastAsia="zh-CN" w:bidi="ar-SA"/>
                    </w:rPr>
                  </w:pPr>
                </w:p>
              </w:tc>
              <w:tc>
                <w:tcPr>
                  <w:tcW w:w="769" w:type="pct"/>
                  <w:vMerge w:val="continue"/>
                  <w:tcBorders>
                    <w:tl2br w:val="nil"/>
                    <w:tr2bl w:val="nil"/>
                  </w:tcBorders>
                  <w:shd w:val="clear" w:color="auto" w:fill="auto"/>
                  <w:vAlign w:val="center"/>
                </w:tcPr>
                <w:p w14:paraId="051C2E4D">
                  <w:pPr>
                    <w:adjustRightInd/>
                    <w:snapToGrid/>
                    <w:spacing w:line="240" w:lineRule="auto"/>
                    <w:ind w:firstLine="0" w:firstLineChars="0"/>
                    <w:jc w:val="center"/>
                    <w:rPr>
                      <w:rFonts w:hint="eastAsia" w:cs="Times New Roman"/>
                      <w:color w:val="auto"/>
                      <w:spacing w:val="11"/>
                      <w:kern w:val="2"/>
                      <w:sz w:val="21"/>
                      <w:szCs w:val="21"/>
                      <w:highlight w:val="none"/>
                      <w:u w:val="single" w:color="auto"/>
                      <w:lang w:val="en-US" w:eastAsia="zh-CN" w:bidi="ar-SA"/>
                    </w:rPr>
                  </w:pPr>
                </w:p>
              </w:tc>
              <w:tc>
                <w:tcPr>
                  <w:tcW w:w="716" w:type="pct"/>
                  <w:vMerge w:val="continue"/>
                  <w:tcBorders>
                    <w:tl2br w:val="nil"/>
                    <w:tr2bl w:val="nil"/>
                  </w:tcBorders>
                  <w:vAlign w:val="center"/>
                </w:tcPr>
                <w:p w14:paraId="4B3571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11"/>
                      <w:position w:val="0"/>
                      <w:sz w:val="21"/>
                      <w:szCs w:val="21"/>
                      <w:highlight w:val="none"/>
                      <w:u w:val="single" w:color="auto"/>
                      <w:lang w:val="en-US" w:eastAsia="zh-CN"/>
                    </w:rPr>
                  </w:pPr>
                </w:p>
              </w:tc>
            </w:tr>
            <w:tr w14:paraId="7706B9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vMerge w:val="continue"/>
                  <w:tcBorders>
                    <w:tl2br w:val="nil"/>
                    <w:tr2bl w:val="nil"/>
                  </w:tcBorders>
                  <w:vAlign w:val="center"/>
                </w:tcPr>
                <w:p w14:paraId="11E280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277" w:type="pct"/>
                  <w:vMerge w:val="continue"/>
                  <w:tcBorders>
                    <w:tl2br w:val="nil"/>
                    <w:tr2bl w:val="nil"/>
                  </w:tcBorders>
                  <w:vAlign w:val="center"/>
                </w:tcPr>
                <w:p w14:paraId="1B2F3C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493" w:type="pct"/>
                  <w:vMerge w:val="continue"/>
                  <w:tcBorders>
                    <w:tl2br w:val="nil"/>
                    <w:tr2bl w:val="nil"/>
                  </w:tcBorders>
                  <w:vAlign w:val="center"/>
                </w:tcPr>
                <w:p w14:paraId="0F3BD5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579" w:type="pct"/>
                  <w:tcBorders>
                    <w:tl2br w:val="nil"/>
                    <w:tr2bl w:val="nil"/>
                  </w:tcBorders>
                  <w:shd w:val="clear" w:color="auto" w:fill="auto"/>
                  <w:vAlign w:val="center"/>
                </w:tcPr>
                <w:p w14:paraId="0E609201">
                  <w:pPr>
                    <w:pStyle w:val="63"/>
                    <w:ind w:firstLine="0" w:firstLineChars="0"/>
                    <w:rPr>
                      <w:rFonts w:ascii="Times New Roman" w:hAnsi="Times New Roman" w:eastAsia="宋体" w:cs="Times New Roman"/>
                      <w:color w:val="auto"/>
                      <w:kern w:val="2"/>
                      <w:sz w:val="21"/>
                      <w:szCs w:val="21"/>
                      <w:u w:val="single" w:color="auto"/>
                      <w:lang w:val="en-US" w:eastAsia="zh-CN" w:bidi="ar-SA"/>
                    </w:rPr>
                  </w:pPr>
                  <w:r>
                    <w:rPr>
                      <w:rFonts w:ascii="Times New Roman" w:hAnsi="Times New Roman"/>
                      <w:color w:val="auto"/>
                      <w:kern w:val="2"/>
                      <w:sz w:val="21"/>
                      <w:szCs w:val="21"/>
                      <w:u w:val="single" w:color="auto"/>
                    </w:rPr>
                    <w:t>NO</w:t>
                  </w:r>
                  <w:r>
                    <w:rPr>
                      <w:rFonts w:ascii="Times New Roman" w:hAnsi="Times New Roman"/>
                      <w:color w:val="auto"/>
                      <w:kern w:val="2"/>
                      <w:sz w:val="21"/>
                      <w:szCs w:val="21"/>
                      <w:u w:val="single" w:color="auto"/>
                      <w:vertAlign w:val="subscript"/>
                    </w:rPr>
                    <w:t>x</w:t>
                  </w:r>
                </w:p>
              </w:tc>
              <w:tc>
                <w:tcPr>
                  <w:tcW w:w="578" w:type="pct"/>
                  <w:tcBorders>
                    <w:tl2br w:val="nil"/>
                    <w:tr2bl w:val="nil"/>
                  </w:tcBorders>
                  <w:shd w:val="clear" w:color="auto" w:fill="auto"/>
                  <w:vAlign w:val="center"/>
                </w:tcPr>
                <w:p w14:paraId="402BA7DB">
                  <w:pPr>
                    <w:pStyle w:val="63"/>
                    <w:ind w:firstLine="0" w:firstLineChars="0"/>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color w:val="auto"/>
                      <w:kern w:val="2"/>
                      <w:sz w:val="21"/>
                      <w:szCs w:val="21"/>
                      <w:u w:val="single" w:color="auto"/>
                    </w:rPr>
                    <w:t>0.013</w:t>
                  </w:r>
                  <w:r>
                    <w:rPr>
                      <w:rFonts w:ascii="Times New Roman" w:hAnsi="Times New Roman"/>
                      <w:color w:val="auto"/>
                      <w:kern w:val="2"/>
                      <w:sz w:val="21"/>
                      <w:szCs w:val="21"/>
                      <w:u w:val="single" w:color="auto"/>
                    </w:rPr>
                    <w:t>t/a</w:t>
                  </w:r>
                </w:p>
              </w:tc>
              <w:tc>
                <w:tcPr>
                  <w:tcW w:w="512" w:type="pct"/>
                  <w:tcBorders>
                    <w:tl2br w:val="nil"/>
                    <w:tr2bl w:val="nil"/>
                  </w:tcBorders>
                  <w:vAlign w:val="center"/>
                </w:tcPr>
                <w:p w14:paraId="14D51A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vMerge w:val="continue"/>
                  <w:tcBorders>
                    <w:tl2br w:val="nil"/>
                    <w:tr2bl w:val="nil"/>
                  </w:tcBorders>
                  <w:shd w:val="clear" w:color="auto" w:fill="auto"/>
                  <w:vAlign w:val="center"/>
                </w:tcPr>
                <w:p w14:paraId="0AA38A88">
                  <w:pPr>
                    <w:adjustRightInd/>
                    <w:snapToGrid/>
                    <w:spacing w:line="240" w:lineRule="auto"/>
                    <w:ind w:firstLine="0" w:firstLineChars="0"/>
                    <w:jc w:val="center"/>
                    <w:rPr>
                      <w:rFonts w:hint="eastAsia" w:cs="Times New Roman"/>
                      <w:color w:val="auto"/>
                      <w:spacing w:val="11"/>
                      <w:kern w:val="2"/>
                      <w:sz w:val="21"/>
                      <w:szCs w:val="21"/>
                      <w:highlight w:val="none"/>
                      <w:u w:val="single" w:color="auto"/>
                      <w:lang w:val="en-US" w:eastAsia="zh-CN" w:bidi="ar-SA"/>
                    </w:rPr>
                  </w:pPr>
                </w:p>
              </w:tc>
              <w:tc>
                <w:tcPr>
                  <w:tcW w:w="769" w:type="pct"/>
                  <w:vMerge w:val="continue"/>
                  <w:tcBorders>
                    <w:tl2br w:val="nil"/>
                    <w:tr2bl w:val="nil"/>
                  </w:tcBorders>
                  <w:shd w:val="clear" w:color="auto" w:fill="auto"/>
                  <w:vAlign w:val="center"/>
                </w:tcPr>
                <w:p w14:paraId="1C457986">
                  <w:pPr>
                    <w:adjustRightInd/>
                    <w:snapToGrid/>
                    <w:spacing w:line="240" w:lineRule="auto"/>
                    <w:ind w:firstLine="0" w:firstLineChars="0"/>
                    <w:jc w:val="center"/>
                    <w:rPr>
                      <w:rFonts w:hint="eastAsia" w:cs="Times New Roman"/>
                      <w:color w:val="auto"/>
                      <w:spacing w:val="11"/>
                      <w:kern w:val="2"/>
                      <w:sz w:val="21"/>
                      <w:szCs w:val="21"/>
                      <w:highlight w:val="none"/>
                      <w:u w:val="single" w:color="auto"/>
                      <w:lang w:val="en-US" w:eastAsia="zh-CN" w:bidi="ar-SA"/>
                    </w:rPr>
                  </w:pPr>
                </w:p>
              </w:tc>
              <w:tc>
                <w:tcPr>
                  <w:tcW w:w="716" w:type="pct"/>
                  <w:vMerge w:val="continue"/>
                  <w:tcBorders>
                    <w:tl2br w:val="nil"/>
                    <w:tr2bl w:val="nil"/>
                  </w:tcBorders>
                  <w:vAlign w:val="center"/>
                </w:tcPr>
                <w:p w14:paraId="7D3E8B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11"/>
                      <w:position w:val="0"/>
                      <w:sz w:val="21"/>
                      <w:szCs w:val="21"/>
                      <w:highlight w:val="none"/>
                      <w:u w:val="single" w:color="auto"/>
                      <w:lang w:val="en-US" w:eastAsia="zh-CN"/>
                    </w:rPr>
                  </w:pPr>
                </w:p>
              </w:tc>
            </w:tr>
            <w:tr w14:paraId="56BB0C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vMerge w:val="continue"/>
                  <w:tcBorders>
                    <w:tl2br w:val="nil"/>
                    <w:tr2bl w:val="nil"/>
                  </w:tcBorders>
                  <w:vAlign w:val="center"/>
                </w:tcPr>
                <w:p w14:paraId="707A2E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277" w:type="pct"/>
                  <w:vMerge w:val="continue"/>
                  <w:tcBorders>
                    <w:tl2br w:val="nil"/>
                    <w:tr2bl w:val="nil"/>
                  </w:tcBorders>
                  <w:vAlign w:val="center"/>
                </w:tcPr>
                <w:p w14:paraId="6C514A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493" w:type="pct"/>
                  <w:vMerge w:val="restart"/>
                  <w:tcBorders>
                    <w:tl2br w:val="nil"/>
                    <w:tr2bl w:val="nil"/>
                  </w:tcBorders>
                  <w:shd w:val="clear" w:color="auto" w:fill="auto"/>
                  <w:vAlign w:val="center"/>
                </w:tcPr>
                <w:p w14:paraId="154511F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eastAsia="宋体" w:cs="Times New Roman"/>
                      <w:color w:val="auto"/>
                      <w:sz w:val="21"/>
                      <w:szCs w:val="21"/>
                      <w:highlight w:val="none"/>
                      <w:u w:val="single" w:color="auto"/>
                    </w:rPr>
                    <w:t>柴油发电机</w:t>
                  </w:r>
                </w:p>
              </w:tc>
              <w:tc>
                <w:tcPr>
                  <w:tcW w:w="579" w:type="pct"/>
                  <w:tcBorders>
                    <w:tl2br w:val="nil"/>
                    <w:tr2bl w:val="nil"/>
                  </w:tcBorders>
                  <w:shd w:val="clear" w:color="auto" w:fill="auto"/>
                  <w:vAlign w:val="center"/>
                </w:tcPr>
                <w:p w14:paraId="50D804B9">
                  <w:pPr>
                    <w:pStyle w:val="63"/>
                    <w:ind w:firstLine="0" w:firstLineChars="0"/>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color w:val="auto"/>
                      <w:kern w:val="2"/>
                      <w:sz w:val="21"/>
                      <w:szCs w:val="21"/>
                      <w:highlight w:val="none"/>
                      <w:u w:val="single" w:color="auto"/>
                    </w:rPr>
                    <w:t>CO</w:t>
                  </w:r>
                </w:p>
              </w:tc>
              <w:tc>
                <w:tcPr>
                  <w:tcW w:w="578" w:type="pct"/>
                  <w:tcBorders>
                    <w:tl2br w:val="nil"/>
                    <w:tr2bl w:val="nil"/>
                  </w:tcBorders>
                  <w:shd w:val="clear" w:color="auto" w:fill="auto"/>
                  <w:vAlign w:val="center"/>
                </w:tcPr>
                <w:p w14:paraId="68FD2AC7">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single" w:color="auto"/>
                      <w:lang w:val="en-US" w:eastAsia="zh-CN" w:bidi="ar-SA"/>
                    </w:rPr>
                  </w:pPr>
                  <w:r>
                    <w:rPr>
                      <w:rFonts w:hint="eastAsia" w:ascii="Times New Roman" w:hAnsi="Times New Roman" w:eastAsia="宋体" w:cs="Times New Roman"/>
                      <w:b w:val="0"/>
                      <w:bCs w:val="0"/>
                      <w:color w:val="auto"/>
                      <w:kern w:val="2"/>
                      <w:sz w:val="21"/>
                      <w:szCs w:val="21"/>
                      <w:u w:val="single" w:color="auto"/>
                      <w:lang w:val="en-US" w:eastAsia="zh-CN" w:bidi="ar-SA"/>
                    </w:rPr>
                    <w:t>0.067t/a</w:t>
                  </w:r>
                </w:p>
              </w:tc>
              <w:tc>
                <w:tcPr>
                  <w:tcW w:w="512" w:type="pct"/>
                  <w:tcBorders>
                    <w:tl2br w:val="nil"/>
                    <w:tr2bl w:val="nil"/>
                  </w:tcBorders>
                  <w:vAlign w:val="center"/>
                </w:tcPr>
                <w:p w14:paraId="32E6CE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vMerge w:val="restart"/>
                  <w:tcBorders>
                    <w:tl2br w:val="nil"/>
                    <w:tr2bl w:val="nil"/>
                  </w:tcBorders>
                  <w:vAlign w:val="center"/>
                </w:tcPr>
                <w:p w14:paraId="3B2A92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w:t>
                  </w:r>
                </w:p>
              </w:tc>
              <w:tc>
                <w:tcPr>
                  <w:tcW w:w="769" w:type="pct"/>
                  <w:vMerge w:val="restart"/>
                  <w:tcBorders>
                    <w:tl2br w:val="nil"/>
                    <w:tr2bl w:val="nil"/>
                  </w:tcBorders>
                  <w:shd w:val="clear" w:color="auto" w:fill="auto"/>
                  <w:vAlign w:val="center"/>
                </w:tcPr>
                <w:p w14:paraId="36CA5D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kern w:val="2"/>
                      <w:position w:val="0"/>
                      <w:sz w:val="21"/>
                      <w:szCs w:val="21"/>
                      <w:highlight w:val="none"/>
                      <w:u w:val="single" w:color="auto"/>
                      <w:lang w:val="en-US" w:eastAsia="zh-CN" w:bidi="ar-SA"/>
                    </w:rPr>
                    <w:t>/</w:t>
                  </w:r>
                </w:p>
              </w:tc>
              <w:tc>
                <w:tcPr>
                  <w:tcW w:w="716" w:type="pct"/>
                  <w:vMerge w:val="restart"/>
                  <w:tcBorders>
                    <w:tl2br w:val="nil"/>
                    <w:tr2bl w:val="nil"/>
                  </w:tcBorders>
                  <w:shd w:val="clear" w:color="auto" w:fill="auto"/>
                  <w:vAlign w:val="center"/>
                </w:tcPr>
                <w:p w14:paraId="2EE610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kern w:val="2"/>
                      <w:position w:val="0"/>
                      <w:sz w:val="21"/>
                      <w:szCs w:val="21"/>
                      <w:highlight w:val="none"/>
                      <w:u w:val="single" w:color="auto"/>
                      <w:lang w:val="en-US" w:eastAsia="zh-CN" w:bidi="ar-SA"/>
                    </w:rPr>
                    <w:t>/</w:t>
                  </w:r>
                </w:p>
              </w:tc>
            </w:tr>
            <w:tr w14:paraId="724C4D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vMerge w:val="continue"/>
                  <w:tcBorders>
                    <w:tl2br w:val="nil"/>
                    <w:tr2bl w:val="nil"/>
                  </w:tcBorders>
                  <w:vAlign w:val="center"/>
                </w:tcPr>
                <w:p w14:paraId="226F40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277" w:type="pct"/>
                  <w:vMerge w:val="continue"/>
                  <w:tcBorders>
                    <w:tl2br w:val="nil"/>
                    <w:tr2bl w:val="nil"/>
                  </w:tcBorders>
                  <w:vAlign w:val="center"/>
                </w:tcPr>
                <w:p w14:paraId="2D1615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493" w:type="pct"/>
                  <w:vMerge w:val="continue"/>
                  <w:tcBorders>
                    <w:tl2br w:val="nil"/>
                    <w:tr2bl w:val="nil"/>
                  </w:tcBorders>
                  <w:shd w:val="clear" w:color="auto" w:fill="auto"/>
                  <w:vAlign w:val="center"/>
                </w:tcPr>
                <w:p w14:paraId="7A39A7E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color="auto"/>
                    </w:rPr>
                  </w:pPr>
                </w:p>
              </w:tc>
              <w:tc>
                <w:tcPr>
                  <w:tcW w:w="579" w:type="pct"/>
                  <w:tcBorders>
                    <w:tl2br w:val="nil"/>
                    <w:tr2bl w:val="nil"/>
                  </w:tcBorders>
                  <w:shd w:val="clear" w:color="auto" w:fill="auto"/>
                  <w:vAlign w:val="center"/>
                </w:tcPr>
                <w:p w14:paraId="194BCDC3">
                  <w:pPr>
                    <w:pStyle w:val="63"/>
                    <w:ind w:firstLine="0" w:firstLineChars="0"/>
                    <w:rPr>
                      <w:rFonts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color w:val="auto"/>
                      <w:kern w:val="2"/>
                      <w:sz w:val="21"/>
                      <w:szCs w:val="21"/>
                      <w:highlight w:val="none"/>
                      <w:u w:val="single" w:color="auto"/>
                    </w:rPr>
                    <w:t>HC+NOx</w:t>
                  </w:r>
                </w:p>
              </w:tc>
              <w:tc>
                <w:tcPr>
                  <w:tcW w:w="578" w:type="pct"/>
                  <w:tcBorders>
                    <w:tl2br w:val="nil"/>
                    <w:tr2bl w:val="nil"/>
                  </w:tcBorders>
                  <w:shd w:val="clear" w:color="auto" w:fill="auto"/>
                  <w:vAlign w:val="center"/>
                </w:tcPr>
                <w:p w14:paraId="70E5C564">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u w:val="single" w:color="auto"/>
                      <w:lang w:val="en-US" w:eastAsia="zh-CN" w:bidi="ar-SA"/>
                    </w:rPr>
                  </w:pPr>
                  <w:r>
                    <w:rPr>
                      <w:rFonts w:hint="eastAsia" w:ascii="Times New Roman" w:hAnsi="Times New Roman" w:eastAsia="宋体" w:cs="Times New Roman"/>
                      <w:b w:val="0"/>
                      <w:bCs w:val="0"/>
                      <w:color w:val="auto"/>
                      <w:kern w:val="2"/>
                      <w:sz w:val="21"/>
                      <w:szCs w:val="21"/>
                      <w:u w:val="single" w:color="auto"/>
                      <w:lang w:val="en-US" w:eastAsia="zh-CN" w:bidi="ar-SA"/>
                    </w:rPr>
                    <w:t>0.077t/a</w:t>
                  </w:r>
                </w:p>
              </w:tc>
              <w:tc>
                <w:tcPr>
                  <w:tcW w:w="512" w:type="pct"/>
                  <w:tcBorders>
                    <w:tl2br w:val="nil"/>
                    <w:tr2bl w:val="nil"/>
                  </w:tcBorders>
                  <w:shd w:val="clear" w:color="auto" w:fill="auto"/>
                  <w:vAlign w:val="center"/>
                </w:tcPr>
                <w:p w14:paraId="458BF7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vMerge w:val="continue"/>
                  <w:tcBorders>
                    <w:tl2br w:val="nil"/>
                    <w:tr2bl w:val="nil"/>
                  </w:tcBorders>
                  <w:vAlign w:val="center"/>
                </w:tcPr>
                <w:p w14:paraId="6ACD64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11"/>
                      <w:position w:val="0"/>
                      <w:sz w:val="21"/>
                      <w:szCs w:val="21"/>
                      <w:highlight w:val="none"/>
                      <w:u w:val="single" w:color="auto"/>
                      <w:lang w:val="en-US" w:eastAsia="zh-CN"/>
                    </w:rPr>
                  </w:pPr>
                </w:p>
              </w:tc>
              <w:tc>
                <w:tcPr>
                  <w:tcW w:w="769" w:type="pct"/>
                  <w:vMerge w:val="continue"/>
                  <w:tcBorders>
                    <w:tl2br w:val="nil"/>
                    <w:tr2bl w:val="nil"/>
                  </w:tcBorders>
                  <w:shd w:val="clear" w:color="auto" w:fill="auto"/>
                  <w:vAlign w:val="center"/>
                </w:tcPr>
                <w:p w14:paraId="11E336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11"/>
                      <w:position w:val="0"/>
                      <w:sz w:val="21"/>
                      <w:szCs w:val="21"/>
                      <w:highlight w:val="none"/>
                      <w:u w:val="single" w:color="auto"/>
                      <w:lang w:val="en-US" w:eastAsia="zh-CN"/>
                    </w:rPr>
                  </w:pPr>
                </w:p>
              </w:tc>
              <w:tc>
                <w:tcPr>
                  <w:tcW w:w="716" w:type="pct"/>
                  <w:vMerge w:val="continue"/>
                  <w:tcBorders>
                    <w:tl2br w:val="nil"/>
                    <w:tr2bl w:val="nil"/>
                  </w:tcBorders>
                  <w:shd w:val="clear" w:color="auto" w:fill="auto"/>
                  <w:vAlign w:val="center"/>
                </w:tcPr>
                <w:p w14:paraId="1298D3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11"/>
                      <w:position w:val="0"/>
                      <w:sz w:val="21"/>
                      <w:szCs w:val="21"/>
                      <w:highlight w:val="none"/>
                      <w:u w:val="single" w:color="auto"/>
                      <w:lang w:val="en-US" w:eastAsia="zh-CN"/>
                    </w:rPr>
                  </w:pPr>
                </w:p>
              </w:tc>
            </w:tr>
            <w:tr w14:paraId="4C1EC5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vMerge w:val="continue"/>
                  <w:tcBorders>
                    <w:tl2br w:val="nil"/>
                    <w:tr2bl w:val="nil"/>
                  </w:tcBorders>
                  <w:vAlign w:val="center"/>
                </w:tcPr>
                <w:p w14:paraId="7BDB6D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277" w:type="pct"/>
                  <w:vMerge w:val="continue"/>
                  <w:tcBorders>
                    <w:tl2br w:val="nil"/>
                    <w:tr2bl w:val="nil"/>
                  </w:tcBorders>
                  <w:vAlign w:val="center"/>
                </w:tcPr>
                <w:p w14:paraId="045BEA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493" w:type="pct"/>
                  <w:tcBorders>
                    <w:tl2br w:val="nil"/>
                    <w:tr2bl w:val="nil"/>
                  </w:tcBorders>
                  <w:vAlign w:val="center"/>
                </w:tcPr>
                <w:p w14:paraId="7CED81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煎药废气</w:t>
                  </w:r>
                </w:p>
              </w:tc>
              <w:tc>
                <w:tcPr>
                  <w:tcW w:w="579" w:type="pct"/>
                  <w:tcBorders>
                    <w:tl2br w:val="nil"/>
                    <w:tr2bl w:val="nil"/>
                  </w:tcBorders>
                  <w:shd w:val="clear" w:color="auto" w:fill="auto"/>
                  <w:vAlign w:val="center"/>
                </w:tcPr>
                <w:p w14:paraId="58BC447F">
                  <w:pPr>
                    <w:pStyle w:val="63"/>
                    <w:ind w:firstLine="0" w:firstLineChars="0"/>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color w:val="auto"/>
                      <w:kern w:val="2"/>
                      <w:sz w:val="21"/>
                      <w:szCs w:val="21"/>
                      <w:highlight w:val="none"/>
                      <w:u w:val="single" w:color="auto"/>
                    </w:rPr>
                    <w:t>中医异味</w:t>
                  </w:r>
                </w:p>
              </w:tc>
              <w:tc>
                <w:tcPr>
                  <w:tcW w:w="578" w:type="pct"/>
                  <w:tcBorders>
                    <w:tl2br w:val="nil"/>
                    <w:tr2bl w:val="nil"/>
                  </w:tcBorders>
                  <w:shd w:val="clear" w:color="auto" w:fill="auto"/>
                  <w:vAlign w:val="center"/>
                </w:tcPr>
                <w:p w14:paraId="0528E926">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single" w:color="auto"/>
                      <w:lang w:val="en-US" w:eastAsia="zh-CN" w:bidi="ar-SA"/>
                    </w:rPr>
                  </w:pPr>
                  <w:r>
                    <w:rPr>
                      <w:rFonts w:hint="eastAsia" w:ascii="Times New Roman" w:hAnsi="Times New Roman" w:eastAsia="宋体" w:cs="Times New Roman"/>
                      <w:b w:val="0"/>
                      <w:bCs w:val="0"/>
                      <w:color w:val="auto"/>
                      <w:kern w:val="2"/>
                      <w:sz w:val="21"/>
                      <w:szCs w:val="21"/>
                      <w:u w:val="single" w:color="auto"/>
                      <w:lang w:val="en-US" w:eastAsia="zh-CN" w:bidi="ar-SA"/>
                    </w:rPr>
                    <w:t>少量</w:t>
                  </w:r>
                </w:p>
              </w:tc>
              <w:tc>
                <w:tcPr>
                  <w:tcW w:w="512" w:type="pct"/>
                  <w:tcBorders>
                    <w:tl2br w:val="nil"/>
                    <w:tr2bl w:val="nil"/>
                  </w:tcBorders>
                  <w:vAlign w:val="center"/>
                </w:tcPr>
                <w:p w14:paraId="57734E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shd w:val="clear" w:color="auto" w:fill="auto"/>
                  <w:vAlign w:val="center"/>
                </w:tcPr>
                <w:p w14:paraId="3C557D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少量</w:t>
                  </w:r>
                </w:p>
              </w:tc>
              <w:tc>
                <w:tcPr>
                  <w:tcW w:w="769" w:type="pct"/>
                  <w:tcBorders>
                    <w:tl2br w:val="nil"/>
                    <w:tr2bl w:val="nil"/>
                  </w:tcBorders>
                  <w:vAlign w:val="center"/>
                </w:tcPr>
                <w:p w14:paraId="731844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少量</w:t>
                  </w:r>
                </w:p>
              </w:tc>
              <w:tc>
                <w:tcPr>
                  <w:tcW w:w="716" w:type="pct"/>
                  <w:tcBorders>
                    <w:tl2br w:val="nil"/>
                    <w:tr2bl w:val="nil"/>
                  </w:tcBorders>
                  <w:vAlign w:val="center"/>
                </w:tcPr>
                <w:p w14:paraId="7703E7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增加</w:t>
                  </w:r>
                  <w:r>
                    <w:rPr>
                      <w:rFonts w:hint="default" w:ascii="Times New Roman" w:hAnsi="Times New Roman" w:eastAsia="宋体" w:cs="Times New Roman"/>
                      <w:color w:val="auto"/>
                      <w:spacing w:val="11"/>
                      <w:position w:val="0"/>
                      <w:sz w:val="21"/>
                      <w:szCs w:val="21"/>
                      <w:highlight w:val="none"/>
                      <w:u w:val="single" w:color="auto"/>
                      <w:lang w:val="en-US" w:eastAsia="zh-CN"/>
                    </w:rPr>
                    <w:t>少量</w:t>
                  </w:r>
                </w:p>
              </w:tc>
            </w:tr>
            <w:tr w14:paraId="7396C4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vMerge w:val="continue"/>
                  <w:tcBorders>
                    <w:tl2br w:val="nil"/>
                    <w:tr2bl w:val="nil"/>
                  </w:tcBorders>
                  <w:vAlign w:val="center"/>
                </w:tcPr>
                <w:p w14:paraId="46AD48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277" w:type="pct"/>
                  <w:vMerge w:val="continue"/>
                  <w:tcBorders>
                    <w:tl2br w:val="nil"/>
                    <w:tr2bl w:val="nil"/>
                  </w:tcBorders>
                  <w:vAlign w:val="center"/>
                </w:tcPr>
                <w:p w14:paraId="0DDBE8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1072" w:type="pct"/>
                  <w:gridSpan w:val="2"/>
                  <w:tcBorders>
                    <w:tl2br w:val="nil"/>
                    <w:tr2bl w:val="nil"/>
                  </w:tcBorders>
                  <w:vAlign w:val="center"/>
                </w:tcPr>
                <w:p w14:paraId="4C42F8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检验科等其他废气</w:t>
                  </w:r>
                </w:p>
              </w:tc>
              <w:tc>
                <w:tcPr>
                  <w:tcW w:w="578" w:type="pct"/>
                  <w:tcBorders>
                    <w:tl2br w:val="nil"/>
                    <w:tr2bl w:val="nil"/>
                  </w:tcBorders>
                  <w:vAlign w:val="center"/>
                </w:tcPr>
                <w:p w14:paraId="59E2DE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w:t>
                  </w:r>
                </w:p>
              </w:tc>
              <w:tc>
                <w:tcPr>
                  <w:tcW w:w="512" w:type="pct"/>
                  <w:tcBorders>
                    <w:tl2br w:val="nil"/>
                    <w:tr2bl w:val="nil"/>
                  </w:tcBorders>
                  <w:vAlign w:val="center"/>
                </w:tcPr>
                <w:p w14:paraId="07F15B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w:t>
                  </w:r>
                </w:p>
              </w:tc>
              <w:tc>
                <w:tcPr>
                  <w:tcW w:w="643" w:type="pct"/>
                  <w:tcBorders>
                    <w:tl2br w:val="nil"/>
                    <w:tr2bl w:val="nil"/>
                  </w:tcBorders>
                  <w:shd w:val="clear" w:color="auto" w:fill="auto"/>
                  <w:vAlign w:val="center"/>
                </w:tcPr>
                <w:p w14:paraId="700266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少量</w:t>
                  </w:r>
                </w:p>
              </w:tc>
              <w:tc>
                <w:tcPr>
                  <w:tcW w:w="769" w:type="pct"/>
                  <w:tcBorders>
                    <w:tl2br w:val="nil"/>
                    <w:tr2bl w:val="nil"/>
                  </w:tcBorders>
                  <w:shd w:val="clear" w:color="auto" w:fill="auto"/>
                  <w:vAlign w:val="center"/>
                </w:tcPr>
                <w:p w14:paraId="2E9E82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position w:val="0"/>
                      <w:sz w:val="21"/>
                      <w:szCs w:val="21"/>
                      <w:highlight w:val="none"/>
                      <w:u w:val="single" w:color="auto"/>
                      <w:lang w:val="en-US" w:eastAsia="zh-CN"/>
                    </w:rPr>
                    <w:t>少量</w:t>
                  </w:r>
                </w:p>
              </w:tc>
              <w:tc>
                <w:tcPr>
                  <w:tcW w:w="716" w:type="pct"/>
                  <w:tcBorders>
                    <w:tl2br w:val="nil"/>
                    <w:tr2bl w:val="nil"/>
                  </w:tcBorders>
                  <w:shd w:val="clear" w:color="auto" w:fill="auto"/>
                  <w:vAlign w:val="center"/>
                </w:tcPr>
                <w:p w14:paraId="18C042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position w:val="0"/>
                      <w:sz w:val="21"/>
                      <w:szCs w:val="21"/>
                      <w:highlight w:val="none"/>
                      <w:u w:val="single" w:color="auto"/>
                      <w:lang w:val="en-US" w:eastAsia="zh-CN"/>
                    </w:rPr>
                    <w:t>增加</w:t>
                  </w:r>
                  <w:r>
                    <w:rPr>
                      <w:rFonts w:hint="default" w:ascii="Times New Roman" w:hAnsi="Times New Roman" w:eastAsia="宋体" w:cs="Times New Roman"/>
                      <w:color w:val="auto"/>
                      <w:spacing w:val="11"/>
                      <w:position w:val="0"/>
                      <w:sz w:val="21"/>
                      <w:szCs w:val="21"/>
                      <w:highlight w:val="none"/>
                      <w:u w:val="single" w:color="auto"/>
                      <w:lang w:val="en-US" w:eastAsia="zh-CN"/>
                    </w:rPr>
                    <w:t>少量</w:t>
                  </w:r>
                </w:p>
              </w:tc>
            </w:tr>
            <w:tr w14:paraId="1EA992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1" w:type="pct"/>
                  <w:gridSpan w:val="3"/>
                  <w:vMerge w:val="restart"/>
                  <w:tcBorders>
                    <w:tl2br w:val="nil"/>
                    <w:tr2bl w:val="nil"/>
                  </w:tcBorders>
                  <w:vAlign w:val="center"/>
                </w:tcPr>
                <w:p w14:paraId="78496C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固废</w:t>
                  </w:r>
                </w:p>
              </w:tc>
              <w:tc>
                <w:tcPr>
                  <w:tcW w:w="579" w:type="pct"/>
                  <w:tcBorders>
                    <w:tl2br w:val="nil"/>
                    <w:tr2bl w:val="nil"/>
                  </w:tcBorders>
                  <w:shd w:val="clear" w:color="auto" w:fill="auto"/>
                  <w:vAlign w:val="center"/>
                </w:tcPr>
                <w:p w14:paraId="410C22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rPr>
                    <w:t>生活垃圾</w:t>
                  </w:r>
                </w:p>
              </w:tc>
              <w:tc>
                <w:tcPr>
                  <w:tcW w:w="578" w:type="pct"/>
                  <w:tcBorders>
                    <w:tl2br w:val="nil"/>
                    <w:tr2bl w:val="nil"/>
                  </w:tcBorders>
                  <w:shd w:val="clear" w:color="auto" w:fill="auto"/>
                  <w:vAlign w:val="center"/>
                </w:tcPr>
                <w:p w14:paraId="3BC07790">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50.07t/a</w:t>
                  </w:r>
                </w:p>
              </w:tc>
              <w:tc>
                <w:tcPr>
                  <w:tcW w:w="512" w:type="pct"/>
                  <w:tcBorders>
                    <w:tl2br w:val="nil"/>
                    <w:tr2bl w:val="nil"/>
                  </w:tcBorders>
                  <w:vAlign w:val="center"/>
                </w:tcPr>
                <w:p w14:paraId="686EA3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w:t>
                  </w:r>
                </w:p>
              </w:tc>
              <w:tc>
                <w:tcPr>
                  <w:tcW w:w="643" w:type="pct"/>
                  <w:tcBorders>
                    <w:tl2br w:val="nil"/>
                    <w:tr2bl w:val="nil"/>
                  </w:tcBorders>
                  <w:shd w:val="clear" w:color="auto" w:fill="auto"/>
                  <w:vAlign w:val="center"/>
                </w:tcPr>
                <w:p w14:paraId="02FA13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131.4t/a</w:t>
                  </w:r>
                </w:p>
              </w:tc>
              <w:tc>
                <w:tcPr>
                  <w:tcW w:w="769" w:type="pct"/>
                  <w:tcBorders>
                    <w:tl2br w:val="nil"/>
                    <w:tr2bl w:val="nil"/>
                  </w:tcBorders>
                  <w:shd w:val="clear" w:color="auto" w:fill="auto"/>
                  <w:vAlign w:val="center"/>
                </w:tcPr>
                <w:p w14:paraId="5FC41E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181.47t/a</w:t>
                  </w:r>
                </w:p>
              </w:tc>
              <w:tc>
                <w:tcPr>
                  <w:tcW w:w="716" w:type="pct"/>
                  <w:tcBorders>
                    <w:tl2br w:val="nil"/>
                    <w:tr2bl w:val="nil"/>
                  </w:tcBorders>
                  <w:shd w:val="clear" w:color="auto" w:fill="auto"/>
                  <w:vAlign w:val="center"/>
                </w:tcPr>
                <w:p w14:paraId="507BC1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+131.4t/a</w:t>
                  </w:r>
                </w:p>
              </w:tc>
            </w:tr>
            <w:tr w14:paraId="68937C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1" w:type="pct"/>
                  <w:gridSpan w:val="3"/>
                  <w:vMerge w:val="continue"/>
                  <w:tcBorders>
                    <w:tl2br w:val="nil"/>
                    <w:tr2bl w:val="nil"/>
                  </w:tcBorders>
                  <w:vAlign w:val="center"/>
                </w:tcPr>
                <w:p w14:paraId="1484E9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79" w:type="pct"/>
                  <w:tcBorders>
                    <w:tl2br w:val="nil"/>
                    <w:tr2bl w:val="nil"/>
                  </w:tcBorders>
                  <w:shd w:val="clear" w:color="auto" w:fill="auto"/>
                  <w:vAlign w:val="center"/>
                </w:tcPr>
                <w:p w14:paraId="134A67D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rPr>
                    <w:t>中药药渣</w:t>
                  </w:r>
                </w:p>
              </w:tc>
              <w:tc>
                <w:tcPr>
                  <w:tcW w:w="578" w:type="pct"/>
                  <w:tcBorders>
                    <w:tl2br w:val="nil"/>
                    <w:tr2bl w:val="nil"/>
                  </w:tcBorders>
                  <w:shd w:val="clear" w:color="auto" w:fill="auto"/>
                  <w:vAlign w:val="center"/>
                </w:tcPr>
                <w:p w14:paraId="7728B0CF">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1.2t/a</w:t>
                  </w:r>
                </w:p>
              </w:tc>
              <w:tc>
                <w:tcPr>
                  <w:tcW w:w="512" w:type="pct"/>
                  <w:tcBorders>
                    <w:tl2br w:val="nil"/>
                    <w:tr2bl w:val="nil"/>
                  </w:tcBorders>
                  <w:vAlign w:val="center"/>
                </w:tcPr>
                <w:p w14:paraId="2C262E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w:t>
                  </w:r>
                </w:p>
              </w:tc>
              <w:tc>
                <w:tcPr>
                  <w:tcW w:w="643" w:type="pct"/>
                  <w:tcBorders>
                    <w:tl2br w:val="nil"/>
                    <w:tr2bl w:val="nil"/>
                  </w:tcBorders>
                  <w:shd w:val="clear" w:color="auto" w:fill="auto"/>
                  <w:vAlign w:val="center"/>
                </w:tcPr>
                <w:p w14:paraId="730D16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15.768t/a</w:t>
                  </w:r>
                </w:p>
              </w:tc>
              <w:tc>
                <w:tcPr>
                  <w:tcW w:w="769" w:type="pct"/>
                  <w:tcBorders>
                    <w:tl2br w:val="nil"/>
                    <w:tr2bl w:val="nil"/>
                  </w:tcBorders>
                  <w:shd w:val="clear" w:color="auto" w:fill="auto"/>
                  <w:vAlign w:val="center"/>
                </w:tcPr>
                <w:p w14:paraId="259F85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16.968t/a</w:t>
                  </w:r>
                </w:p>
              </w:tc>
              <w:tc>
                <w:tcPr>
                  <w:tcW w:w="716" w:type="pct"/>
                  <w:tcBorders>
                    <w:tl2br w:val="nil"/>
                    <w:tr2bl w:val="nil"/>
                  </w:tcBorders>
                  <w:shd w:val="clear" w:color="auto" w:fill="auto"/>
                  <w:vAlign w:val="center"/>
                </w:tcPr>
                <w:p w14:paraId="1226BA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+15.768t/a</w:t>
                  </w:r>
                </w:p>
              </w:tc>
            </w:tr>
            <w:tr w14:paraId="6C28E8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1" w:type="pct"/>
                  <w:gridSpan w:val="3"/>
                  <w:vMerge w:val="continue"/>
                  <w:tcBorders>
                    <w:tl2br w:val="nil"/>
                    <w:tr2bl w:val="nil"/>
                  </w:tcBorders>
                  <w:vAlign w:val="center"/>
                </w:tcPr>
                <w:p w14:paraId="628AAD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79" w:type="pct"/>
                  <w:tcBorders>
                    <w:tl2br w:val="nil"/>
                    <w:tr2bl w:val="nil"/>
                  </w:tcBorders>
                  <w:shd w:val="clear" w:color="auto" w:fill="auto"/>
                  <w:vAlign w:val="center"/>
                </w:tcPr>
                <w:p w14:paraId="70B0A0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rPr>
                    <w:t>医疗废物</w:t>
                  </w:r>
                </w:p>
              </w:tc>
              <w:tc>
                <w:tcPr>
                  <w:tcW w:w="578" w:type="pct"/>
                  <w:tcBorders>
                    <w:tl2br w:val="nil"/>
                    <w:tr2bl w:val="nil"/>
                  </w:tcBorders>
                  <w:shd w:val="clear" w:color="auto" w:fill="auto"/>
                  <w:vAlign w:val="center"/>
                </w:tcPr>
                <w:p w14:paraId="1BFCB92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sz w:val="21"/>
                      <w:szCs w:val="21"/>
                      <w:highlight w:val="none"/>
                      <w:u w:val="single" w:color="auto"/>
                      <w:lang w:val="en-US" w:eastAsia="zh-CN"/>
                    </w:rPr>
                    <w:t>17.47t/a</w:t>
                  </w:r>
                </w:p>
              </w:tc>
              <w:tc>
                <w:tcPr>
                  <w:tcW w:w="512" w:type="pct"/>
                  <w:tcBorders>
                    <w:tl2br w:val="nil"/>
                    <w:tr2bl w:val="nil"/>
                  </w:tcBorders>
                  <w:shd w:val="clear" w:color="auto" w:fill="auto"/>
                  <w:vAlign w:val="center"/>
                </w:tcPr>
                <w:p w14:paraId="202831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w:t>
                  </w:r>
                </w:p>
              </w:tc>
              <w:tc>
                <w:tcPr>
                  <w:tcW w:w="643" w:type="pct"/>
                  <w:tcBorders>
                    <w:tl2br w:val="nil"/>
                    <w:tr2bl w:val="nil"/>
                  </w:tcBorders>
                  <w:shd w:val="clear" w:color="auto" w:fill="auto"/>
                  <w:vAlign w:val="center"/>
                </w:tcPr>
                <w:p w14:paraId="599F31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25.55t/a</w:t>
                  </w:r>
                </w:p>
              </w:tc>
              <w:tc>
                <w:tcPr>
                  <w:tcW w:w="769" w:type="pct"/>
                  <w:tcBorders>
                    <w:tl2br w:val="nil"/>
                    <w:tr2bl w:val="nil"/>
                  </w:tcBorders>
                  <w:shd w:val="clear" w:color="auto" w:fill="auto"/>
                  <w:vAlign w:val="center"/>
                </w:tcPr>
                <w:p w14:paraId="39FCF9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43.02t/a</w:t>
                  </w:r>
                </w:p>
              </w:tc>
              <w:tc>
                <w:tcPr>
                  <w:tcW w:w="716" w:type="pct"/>
                  <w:tcBorders>
                    <w:tl2br w:val="nil"/>
                    <w:tr2bl w:val="nil"/>
                  </w:tcBorders>
                  <w:shd w:val="clear" w:color="auto" w:fill="auto"/>
                  <w:vAlign w:val="center"/>
                </w:tcPr>
                <w:p w14:paraId="559C4DD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+25.55t/a</w:t>
                  </w:r>
                </w:p>
              </w:tc>
            </w:tr>
            <w:tr w14:paraId="648FE7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1" w:type="pct"/>
                  <w:gridSpan w:val="3"/>
                  <w:vMerge w:val="continue"/>
                  <w:tcBorders>
                    <w:tl2br w:val="nil"/>
                    <w:tr2bl w:val="nil"/>
                  </w:tcBorders>
                  <w:vAlign w:val="center"/>
                </w:tcPr>
                <w:p w14:paraId="1C2C8F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79" w:type="pct"/>
                  <w:tcBorders>
                    <w:tl2br w:val="nil"/>
                    <w:tr2bl w:val="nil"/>
                  </w:tcBorders>
                  <w:shd w:val="clear" w:color="auto" w:fill="auto"/>
                  <w:vAlign w:val="center"/>
                </w:tcPr>
                <w:p w14:paraId="7A7E11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污水处理站污泥</w:t>
                  </w:r>
                </w:p>
              </w:tc>
              <w:tc>
                <w:tcPr>
                  <w:tcW w:w="578" w:type="pct"/>
                  <w:tcBorders>
                    <w:tl2br w:val="nil"/>
                    <w:tr2bl w:val="nil"/>
                  </w:tcBorders>
                  <w:shd w:val="clear" w:color="auto" w:fill="auto"/>
                  <w:vAlign w:val="center"/>
                </w:tcPr>
                <w:p w14:paraId="0889B008">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1.93t/a</w:t>
                  </w:r>
                </w:p>
              </w:tc>
              <w:tc>
                <w:tcPr>
                  <w:tcW w:w="512" w:type="pct"/>
                  <w:tcBorders>
                    <w:tl2br w:val="nil"/>
                    <w:tr2bl w:val="nil"/>
                  </w:tcBorders>
                  <w:shd w:val="clear" w:color="auto" w:fill="auto"/>
                  <w:vAlign w:val="center"/>
                </w:tcPr>
                <w:p w14:paraId="312C16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w:t>
                  </w:r>
                </w:p>
              </w:tc>
              <w:tc>
                <w:tcPr>
                  <w:tcW w:w="643" w:type="pct"/>
                  <w:tcBorders>
                    <w:tl2br w:val="nil"/>
                    <w:tr2bl w:val="nil"/>
                  </w:tcBorders>
                  <w:shd w:val="clear" w:color="auto" w:fill="auto"/>
                  <w:vAlign w:val="center"/>
                </w:tcPr>
                <w:p w14:paraId="690270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23.38t/a</w:t>
                  </w:r>
                </w:p>
              </w:tc>
              <w:tc>
                <w:tcPr>
                  <w:tcW w:w="769" w:type="pct"/>
                  <w:tcBorders>
                    <w:tl2br w:val="nil"/>
                    <w:tr2bl w:val="nil"/>
                  </w:tcBorders>
                  <w:shd w:val="clear" w:color="auto" w:fill="auto"/>
                  <w:vAlign w:val="center"/>
                </w:tcPr>
                <w:p w14:paraId="038591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25.31t/a</w:t>
                  </w:r>
                </w:p>
              </w:tc>
              <w:tc>
                <w:tcPr>
                  <w:tcW w:w="716" w:type="pct"/>
                  <w:tcBorders>
                    <w:tl2br w:val="nil"/>
                    <w:tr2bl w:val="nil"/>
                  </w:tcBorders>
                  <w:shd w:val="clear" w:color="auto" w:fill="auto"/>
                  <w:vAlign w:val="center"/>
                </w:tcPr>
                <w:p w14:paraId="7E3D67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+23.38t/a</w:t>
                  </w:r>
                </w:p>
              </w:tc>
            </w:tr>
            <w:tr w14:paraId="68FCBE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1" w:type="pct"/>
                  <w:gridSpan w:val="3"/>
                  <w:vMerge w:val="continue"/>
                  <w:tcBorders>
                    <w:tl2br w:val="nil"/>
                    <w:tr2bl w:val="nil"/>
                  </w:tcBorders>
                  <w:vAlign w:val="center"/>
                </w:tcPr>
                <w:p w14:paraId="469E4F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79" w:type="pct"/>
                  <w:tcBorders>
                    <w:tl2br w:val="nil"/>
                    <w:tr2bl w:val="nil"/>
                  </w:tcBorders>
                  <w:shd w:val="clear" w:color="auto" w:fill="auto"/>
                  <w:vAlign w:val="center"/>
                </w:tcPr>
                <w:p w14:paraId="1BAF3F69">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药物性废物</w:t>
                  </w:r>
                </w:p>
              </w:tc>
              <w:tc>
                <w:tcPr>
                  <w:tcW w:w="578" w:type="pct"/>
                  <w:tcBorders>
                    <w:tl2br w:val="nil"/>
                    <w:tr2bl w:val="nil"/>
                  </w:tcBorders>
                  <w:shd w:val="clear" w:color="auto" w:fill="auto"/>
                  <w:vAlign w:val="center"/>
                </w:tcPr>
                <w:p w14:paraId="01D662C7">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w:t>
                  </w:r>
                </w:p>
              </w:tc>
              <w:tc>
                <w:tcPr>
                  <w:tcW w:w="512" w:type="pct"/>
                  <w:tcBorders>
                    <w:tl2br w:val="nil"/>
                    <w:tr2bl w:val="nil"/>
                  </w:tcBorders>
                  <w:vAlign w:val="center"/>
                </w:tcPr>
                <w:p w14:paraId="200C23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w:t>
                  </w:r>
                </w:p>
              </w:tc>
              <w:tc>
                <w:tcPr>
                  <w:tcW w:w="643" w:type="pct"/>
                  <w:tcBorders>
                    <w:tl2br w:val="nil"/>
                    <w:tr2bl w:val="nil"/>
                  </w:tcBorders>
                  <w:shd w:val="clear" w:color="auto" w:fill="auto"/>
                  <w:vAlign w:val="center"/>
                </w:tcPr>
                <w:p w14:paraId="39890D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0.07t/a</w:t>
                  </w:r>
                </w:p>
              </w:tc>
              <w:tc>
                <w:tcPr>
                  <w:tcW w:w="769" w:type="pct"/>
                  <w:tcBorders>
                    <w:tl2br w:val="nil"/>
                    <w:tr2bl w:val="nil"/>
                  </w:tcBorders>
                  <w:shd w:val="clear" w:color="auto" w:fill="auto"/>
                  <w:vAlign w:val="center"/>
                </w:tcPr>
                <w:p w14:paraId="18D04F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0.07t/a</w:t>
                  </w:r>
                </w:p>
              </w:tc>
              <w:tc>
                <w:tcPr>
                  <w:tcW w:w="716" w:type="pct"/>
                  <w:tcBorders>
                    <w:tl2br w:val="nil"/>
                    <w:tr2bl w:val="nil"/>
                  </w:tcBorders>
                  <w:shd w:val="clear" w:color="auto" w:fill="auto"/>
                  <w:vAlign w:val="center"/>
                </w:tcPr>
                <w:p w14:paraId="6103D5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+0.07t/a</w:t>
                  </w:r>
                </w:p>
              </w:tc>
            </w:tr>
            <w:tr w14:paraId="3773BF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1" w:type="pct"/>
                  <w:gridSpan w:val="3"/>
                  <w:vMerge w:val="continue"/>
                  <w:tcBorders>
                    <w:tl2br w:val="nil"/>
                    <w:tr2bl w:val="nil"/>
                  </w:tcBorders>
                  <w:vAlign w:val="center"/>
                </w:tcPr>
                <w:p w14:paraId="78116E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79" w:type="pct"/>
                  <w:tcBorders>
                    <w:tl2br w:val="nil"/>
                    <w:tr2bl w:val="nil"/>
                  </w:tcBorders>
                  <w:shd w:val="clear" w:color="auto" w:fill="auto"/>
                  <w:vAlign w:val="center"/>
                </w:tcPr>
                <w:p w14:paraId="0C71A0B7">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kern w:val="2"/>
                      <w:position w:val="0"/>
                      <w:sz w:val="21"/>
                      <w:szCs w:val="21"/>
                      <w:highlight w:val="none"/>
                      <w:u w:val="single" w:color="auto"/>
                      <w:lang w:val="en-US" w:eastAsia="zh-CN" w:bidi="ar-SA"/>
                    </w:rPr>
                    <w:t>含铬污水</w:t>
                  </w:r>
                </w:p>
              </w:tc>
              <w:tc>
                <w:tcPr>
                  <w:tcW w:w="578" w:type="pct"/>
                  <w:tcBorders>
                    <w:tl2br w:val="nil"/>
                    <w:tr2bl w:val="nil"/>
                  </w:tcBorders>
                  <w:shd w:val="clear" w:color="auto" w:fill="auto"/>
                  <w:vAlign w:val="center"/>
                </w:tcPr>
                <w:p w14:paraId="4B82274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ascii="Times New Roman" w:hAnsi="Times New Roman" w:eastAsia="宋体" w:cs="Times New Roman"/>
                      <w:b w:val="0"/>
                      <w:bCs w:val="0"/>
                      <w:color w:val="auto"/>
                      <w:kern w:val="2"/>
                      <w:sz w:val="21"/>
                      <w:szCs w:val="21"/>
                      <w:highlight w:val="none"/>
                      <w:u w:val="single" w:color="auto"/>
                      <w:lang w:val="en-US" w:eastAsia="zh-CN" w:bidi="ar-SA"/>
                    </w:rPr>
                    <w:t>/</w:t>
                  </w:r>
                </w:p>
              </w:tc>
              <w:tc>
                <w:tcPr>
                  <w:tcW w:w="512" w:type="pct"/>
                  <w:tcBorders>
                    <w:tl2br w:val="nil"/>
                    <w:tr2bl w:val="nil"/>
                  </w:tcBorders>
                  <w:vAlign w:val="center"/>
                </w:tcPr>
                <w:p w14:paraId="237BE0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w:t>
                  </w:r>
                </w:p>
              </w:tc>
              <w:tc>
                <w:tcPr>
                  <w:tcW w:w="643" w:type="pct"/>
                  <w:tcBorders>
                    <w:tl2br w:val="nil"/>
                    <w:tr2bl w:val="nil"/>
                  </w:tcBorders>
                  <w:shd w:val="clear" w:color="auto" w:fill="auto"/>
                  <w:vAlign w:val="center"/>
                </w:tcPr>
                <w:p w14:paraId="2F6B7A40">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bCs/>
                      <w:color w:val="auto"/>
                      <w:spacing w:val="11"/>
                      <w:sz w:val="21"/>
                      <w:szCs w:val="21"/>
                      <w:highlight w:val="none"/>
                      <w:u w:val="single" w:color="auto"/>
                      <w:lang w:val="en-US" w:eastAsia="zh-CN"/>
                    </w:rPr>
                    <w:t>73</w:t>
                  </w:r>
                  <w:r>
                    <w:rPr>
                      <w:rFonts w:hint="eastAsia" w:ascii="Times New Roman" w:hAnsi="Times New Roman" w:eastAsia="宋体" w:cs="Times New Roman"/>
                      <w:bCs/>
                      <w:color w:val="auto"/>
                      <w:spacing w:val="11"/>
                      <w:sz w:val="21"/>
                      <w:szCs w:val="21"/>
                      <w:highlight w:val="none"/>
                      <w:u w:val="single" w:color="auto"/>
                      <w:lang w:val="en-US" w:eastAsia="zh-CN"/>
                    </w:rPr>
                    <w:t>m</w:t>
                  </w:r>
                  <w:r>
                    <w:rPr>
                      <w:rFonts w:hint="eastAsia" w:ascii="Times New Roman" w:hAnsi="Times New Roman" w:eastAsia="宋体" w:cs="Times New Roman"/>
                      <w:bCs/>
                      <w:color w:val="auto"/>
                      <w:spacing w:val="11"/>
                      <w:sz w:val="21"/>
                      <w:szCs w:val="21"/>
                      <w:highlight w:val="none"/>
                      <w:u w:val="single" w:color="auto"/>
                      <w:vertAlign w:val="superscript"/>
                      <w:lang w:val="en-US" w:eastAsia="zh-CN"/>
                    </w:rPr>
                    <w:t>3</w:t>
                  </w:r>
                  <w:r>
                    <w:rPr>
                      <w:rFonts w:hint="eastAsia" w:ascii="Times New Roman" w:hAnsi="Times New Roman" w:eastAsia="宋体" w:cs="Times New Roman"/>
                      <w:bCs/>
                      <w:color w:val="auto"/>
                      <w:spacing w:val="11"/>
                      <w:sz w:val="21"/>
                      <w:szCs w:val="21"/>
                      <w:highlight w:val="none"/>
                      <w:u w:val="single" w:color="auto"/>
                      <w:lang w:val="en-US" w:eastAsia="zh-CN"/>
                    </w:rPr>
                    <w:t>/a</w:t>
                  </w:r>
                </w:p>
              </w:tc>
              <w:tc>
                <w:tcPr>
                  <w:tcW w:w="769" w:type="pct"/>
                  <w:tcBorders>
                    <w:tl2br w:val="nil"/>
                    <w:tr2bl w:val="nil"/>
                  </w:tcBorders>
                  <w:shd w:val="clear" w:color="auto" w:fill="auto"/>
                  <w:vAlign w:val="center"/>
                </w:tcPr>
                <w:p w14:paraId="579FA9E2">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bCs/>
                      <w:color w:val="auto"/>
                      <w:spacing w:val="11"/>
                      <w:sz w:val="21"/>
                      <w:szCs w:val="21"/>
                      <w:highlight w:val="none"/>
                      <w:u w:val="single" w:color="auto"/>
                      <w:lang w:val="en-US" w:eastAsia="zh-CN"/>
                    </w:rPr>
                    <w:t>73</w:t>
                  </w:r>
                  <w:r>
                    <w:rPr>
                      <w:rFonts w:hint="eastAsia" w:ascii="Times New Roman" w:hAnsi="Times New Roman" w:eastAsia="宋体" w:cs="Times New Roman"/>
                      <w:bCs/>
                      <w:color w:val="auto"/>
                      <w:spacing w:val="11"/>
                      <w:sz w:val="21"/>
                      <w:szCs w:val="21"/>
                      <w:highlight w:val="none"/>
                      <w:u w:val="single" w:color="auto"/>
                      <w:lang w:val="en-US" w:eastAsia="zh-CN"/>
                    </w:rPr>
                    <w:t>m</w:t>
                  </w:r>
                  <w:r>
                    <w:rPr>
                      <w:rFonts w:hint="eastAsia" w:ascii="Times New Roman" w:hAnsi="Times New Roman" w:eastAsia="宋体" w:cs="Times New Roman"/>
                      <w:bCs/>
                      <w:color w:val="auto"/>
                      <w:spacing w:val="11"/>
                      <w:sz w:val="21"/>
                      <w:szCs w:val="21"/>
                      <w:highlight w:val="none"/>
                      <w:u w:val="single" w:color="auto"/>
                      <w:vertAlign w:val="superscript"/>
                      <w:lang w:val="en-US" w:eastAsia="zh-CN"/>
                    </w:rPr>
                    <w:t>3</w:t>
                  </w:r>
                  <w:r>
                    <w:rPr>
                      <w:rFonts w:hint="eastAsia" w:ascii="Times New Roman" w:hAnsi="Times New Roman" w:eastAsia="宋体" w:cs="Times New Roman"/>
                      <w:bCs/>
                      <w:color w:val="auto"/>
                      <w:spacing w:val="11"/>
                      <w:sz w:val="21"/>
                      <w:szCs w:val="21"/>
                      <w:highlight w:val="none"/>
                      <w:u w:val="single" w:color="auto"/>
                      <w:lang w:val="en-US" w:eastAsia="zh-CN"/>
                    </w:rPr>
                    <w:t>/a</w:t>
                  </w:r>
                </w:p>
              </w:tc>
              <w:tc>
                <w:tcPr>
                  <w:tcW w:w="716" w:type="pct"/>
                  <w:tcBorders>
                    <w:tl2br w:val="nil"/>
                    <w:tr2bl w:val="nil"/>
                  </w:tcBorders>
                  <w:shd w:val="clear" w:color="auto" w:fill="auto"/>
                  <w:vAlign w:val="center"/>
                </w:tcPr>
                <w:p w14:paraId="31B15B0C">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bCs/>
                      <w:color w:val="auto"/>
                      <w:spacing w:val="11"/>
                      <w:sz w:val="21"/>
                      <w:szCs w:val="21"/>
                      <w:highlight w:val="none"/>
                      <w:u w:val="single" w:color="auto"/>
                      <w:lang w:val="en-US" w:eastAsia="zh-CN"/>
                    </w:rPr>
                    <w:t>+73</w:t>
                  </w:r>
                  <w:r>
                    <w:rPr>
                      <w:rFonts w:hint="eastAsia" w:ascii="Times New Roman" w:hAnsi="Times New Roman" w:eastAsia="宋体" w:cs="Times New Roman"/>
                      <w:bCs/>
                      <w:color w:val="auto"/>
                      <w:spacing w:val="11"/>
                      <w:sz w:val="21"/>
                      <w:szCs w:val="21"/>
                      <w:highlight w:val="none"/>
                      <w:u w:val="single" w:color="auto"/>
                      <w:lang w:val="en-US" w:eastAsia="zh-CN"/>
                    </w:rPr>
                    <w:t>m</w:t>
                  </w:r>
                  <w:r>
                    <w:rPr>
                      <w:rFonts w:hint="eastAsia" w:ascii="Times New Roman" w:hAnsi="Times New Roman" w:eastAsia="宋体" w:cs="Times New Roman"/>
                      <w:bCs/>
                      <w:color w:val="auto"/>
                      <w:spacing w:val="11"/>
                      <w:sz w:val="21"/>
                      <w:szCs w:val="21"/>
                      <w:highlight w:val="none"/>
                      <w:u w:val="single" w:color="auto"/>
                      <w:vertAlign w:val="superscript"/>
                      <w:lang w:val="en-US" w:eastAsia="zh-CN"/>
                    </w:rPr>
                    <w:t>3</w:t>
                  </w:r>
                  <w:r>
                    <w:rPr>
                      <w:rFonts w:hint="eastAsia" w:ascii="Times New Roman" w:hAnsi="Times New Roman" w:eastAsia="宋体" w:cs="Times New Roman"/>
                      <w:bCs/>
                      <w:color w:val="auto"/>
                      <w:spacing w:val="11"/>
                      <w:sz w:val="21"/>
                      <w:szCs w:val="21"/>
                      <w:highlight w:val="none"/>
                      <w:u w:val="single" w:color="auto"/>
                      <w:lang w:val="en-US" w:eastAsia="zh-CN"/>
                    </w:rPr>
                    <w:t>/a</w:t>
                  </w:r>
                </w:p>
              </w:tc>
            </w:tr>
            <w:tr w14:paraId="279FF9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1" w:type="pct"/>
                  <w:gridSpan w:val="3"/>
                  <w:vMerge w:val="continue"/>
                  <w:tcBorders>
                    <w:tl2br w:val="nil"/>
                    <w:tr2bl w:val="nil"/>
                  </w:tcBorders>
                  <w:vAlign w:val="center"/>
                </w:tcPr>
                <w:p w14:paraId="41552E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79" w:type="pct"/>
                  <w:tcBorders>
                    <w:tl2br w:val="nil"/>
                    <w:tr2bl w:val="nil"/>
                  </w:tcBorders>
                  <w:shd w:val="clear" w:color="auto" w:fill="auto"/>
                  <w:vAlign w:val="center"/>
                </w:tcPr>
                <w:p w14:paraId="278136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rPr>
                    <w:t>废活性炭</w:t>
                  </w:r>
                </w:p>
              </w:tc>
              <w:tc>
                <w:tcPr>
                  <w:tcW w:w="578" w:type="pct"/>
                  <w:tcBorders>
                    <w:tl2br w:val="nil"/>
                    <w:tr2bl w:val="nil"/>
                  </w:tcBorders>
                  <w:shd w:val="clear" w:color="auto" w:fill="auto"/>
                  <w:vAlign w:val="center"/>
                </w:tcPr>
                <w:p w14:paraId="6AB8233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sz w:val="21"/>
                      <w:szCs w:val="21"/>
                      <w:highlight w:val="none"/>
                      <w:u w:val="single" w:color="auto"/>
                      <w:lang w:val="en-US" w:eastAsia="zh-CN"/>
                    </w:rPr>
                    <w:t>0.1t/a</w:t>
                  </w:r>
                </w:p>
              </w:tc>
              <w:tc>
                <w:tcPr>
                  <w:tcW w:w="512" w:type="pct"/>
                  <w:tcBorders>
                    <w:tl2br w:val="nil"/>
                    <w:tr2bl w:val="nil"/>
                  </w:tcBorders>
                  <w:vAlign w:val="center"/>
                </w:tcPr>
                <w:p w14:paraId="534CEF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vAlign w:val="center"/>
                </w:tcPr>
                <w:p w14:paraId="51F1E2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w:t>
                  </w:r>
                </w:p>
              </w:tc>
              <w:tc>
                <w:tcPr>
                  <w:tcW w:w="769" w:type="pct"/>
                  <w:tcBorders>
                    <w:tl2br w:val="nil"/>
                    <w:tr2bl w:val="nil"/>
                  </w:tcBorders>
                  <w:shd w:val="clear" w:color="auto" w:fill="auto"/>
                  <w:vAlign w:val="center"/>
                </w:tcPr>
                <w:p w14:paraId="020A16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0.1t/a</w:t>
                  </w:r>
                </w:p>
              </w:tc>
              <w:tc>
                <w:tcPr>
                  <w:tcW w:w="716" w:type="pct"/>
                  <w:tcBorders>
                    <w:tl2br w:val="nil"/>
                    <w:tr2bl w:val="nil"/>
                  </w:tcBorders>
                  <w:shd w:val="clear" w:color="auto" w:fill="auto"/>
                  <w:vAlign w:val="center"/>
                </w:tcPr>
                <w:p w14:paraId="2BC60E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w:t>
                  </w:r>
                </w:p>
              </w:tc>
            </w:tr>
          </w:tbl>
          <w:p w14:paraId="7BC0145A">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leftChars="0" w:right="0" w:firstLine="0" w:firstLineChars="0"/>
              <w:textAlignment w:val="auto"/>
              <w:rPr>
                <w:rFonts w:hint="default" w:ascii="Times New Roman" w:hAnsi="Times New Roman" w:cs="Times New Roman" w:eastAsiaTheme="minorEastAsia"/>
                <w:b/>
                <w:bCs/>
                <w:color w:val="auto"/>
                <w:spacing w:val="11"/>
                <w:position w:val="0"/>
                <w:sz w:val="24"/>
                <w:szCs w:val="24"/>
                <w:highlight w:val="none"/>
                <w:u w:val="none" w:color="auto"/>
                <w:lang w:val="en-US" w:eastAsia="zh-CN"/>
              </w:rPr>
            </w:pPr>
            <w:r>
              <w:rPr>
                <w:rFonts w:hint="eastAsia" w:cs="Times New Roman" w:eastAsiaTheme="minorEastAsia"/>
                <w:b/>
                <w:bCs/>
                <w:color w:val="auto"/>
                <w:spacing w:val="11"/>
                <w:position w:val="0"/>
                <w:sz w:val="24"/>
                <w:szCs w:val="24"/>
                <w:highlight w:val="none"/>
                <w:u w:val="none" w:color="auto"/>
                <w:lang w:val="en-US" w:eastAsia="zh-CN"/>
              </w:rPr>
              <w:t>6</w:t>
            </w:r>
            <w:r>
              <w:rPr>
                <w:rFonts w:hint="eastAsia" w:ascii="Times New Roman" w:hAnsi="Times New Roman" w:cs="Times New Roman" w:eastAsiaTheme="minorEastAsia"/>
                <w:b/>
                <w:bCs/>
                <w:color w:val="auto"/>
                <w:spacing w:val="11"/>
                <w:position w:val="0"/>
                <w:sz w:val="24"/>
                <w:szCs w:val="24"/>
                <w:highlight w:val="none"/>
                <w:u w:val="none" w:color="auto"/>
                <w:lang w:val="en-US" w:eastAsia="zh-CN"/>
              </w:rPr>
              <w:t>地下水、土壤环境影响分析</w:t>
            </w:r>
          </w:p>
          <w:p w14:paraId="0AB41961">
            <w:pPr>
              <w:ind w:firstLine="480"/>
              <w:rPr>
                <w:rFonts w:hint="eastAsia" w:ascii="Times New Roman" w:hAnsi="Times New Roman" w:eastAsia="宋体" w:cs="Times New Roman"/>
                <w:color w:val="auto"/>
                <w:spacing w:val="11"/>
                <w:position w:val="0"/>
                <w:szCs w:val="24"/>
                <w:highlight w:val="none"/>
                <w:u w:val="none" w:color="auto"/>
              </w:rPr>
            </w:pPr>
            <w:r>
              <w:rPr>
                <w:rFonts w:hint="eastAsia" w:ascii="Times New Roman" w:hAnsi="Times New Roman" w:eastAsia="宋体" w:cs="Times New Roman"/>
                <w:color w:val="auto"/>
                <w:spacing w:val="11"/>
                <w:position w:val="0"/>
                <w:szCs w:val="24"/>
                <w:highlight w:val="none"/>
                <w:u w:val="none" w:color="auto"/>
              </w:rPr>
              <w:t>根据生态环境部办公厅2020年12月24日印发的《建设项目环境影响报告表编制技术指南（污染影响类）（试行）》中具体编制要求“原则上不开展地下水、土壤环境质量现状调查。建设项目存在土壤环境污染途径的，应结合污染源、保护目标分布情况开展现状调查以留作背景值。”结合现场及工艺分析调查，本项目场地地面</w:t>
            </w:r>
            <w:r>
              <w:rPr>
                <w:rFonts w:hint="eastAsia" w:ascii="Times New Roman" w:hAnsi="Times New Roman" w:eastAsia="宋体" w:cs="Times New Roman"/>
                <w:color w:val="auto"/>
                <w:spacing w:val="11"/>
                <w:position w:val="0"/>
                <w:szCs w:val="24"/>
                <w:highlight w:val="none"/>
                <w:u w:val="none" w:color="auto"/>
                <w:lang w:eastAsia="zh-CN"/>
              </w:rPr>
              <w:t>、</w:t>
            </w:r>
            <w:r>
              <w:rPr>
                <w:rFonts w:hint="eastAsia" w:cs="Times New Roman"/>
                <w:color w:val="auto"/>
                <w:spacing w:val="11"/>
                <w:position w:val="0"/>
                <w:szCs w:val="24"/>
                <w:highlight w:val="none"/>
                <w:u w:val="none" w:color="auto"/>
                <w:lang w:val="en-US" w:eastAsia="zh-CN"/>
              </w:rPr>
              <w:t>预处理池</w:t>
            </w:r>
            <w:r>
              <w:rPr>
                <w:rFonts w:hint="eastAsia" w:ascii="Times New Roman" w:hAnsi="Times New Roman" w:eastAsia="宋体" w:cs="Times New Roman"/>
                <w:color w:val="auto"/>
                <w:spacing w:val="11"/>
                <w:position w:val="0"/>
                <w:szCs w:val="24"/>
                <w:highlight w:val="none"/>
                <w:u w:val="none" w:color="auto"/>
                <w:lang w:val="en-US" w:eastAsia="zh-CN"/>
              </w:rPr>
              <w:t>拟做</w:t>
            </w:r>
            <w:r>
              <w:rPr>
                <w:rFonts w:hint="eastAsia" w:ascii="Times New Roman" w:hAnsi="Times New Roman" w:eastAsia="宋体" w:cs="Times New Roman"/>
                <w:color w:val="auto"/>
                <w:spacing w:val="11"/>
                <w:position w:val="0"/>
                <w:szCs w:val="24"/>
                <w:highlight w:val="none"/>
                <w:u w:val="none" w:color="auto"/>
              </w:rPr>
              <w:t>硬化</w:t>
            </w:r>
            <w:r>
              <w:rPr>
                <w:rFonts w:hint="eastAsia" w:ascii="Times New Roman" w:hAnsi="Times New Roman" w:eastAsia="宋体" w:cs="Times New Roman"/>
                <w:color w:val="auto"/>
                <w:spacing w:val="11"/>
                <w:position w:val="0"/>
                <w:szCs w:val="24"/>
                <w:highlight w:val="none"/>
                <w:u w:val="none" w:color="auto"/>
                <w:lang w:eastAsia="zh-CN"/>
              </w:rPr>
              <w:t>、</w:t>
            </w:r>
            <w:r>
              <w:rPr>
                <w:rFonts w:hint="eastAsia" w:ascii="Times New Roman" w:hAnsi="Times New Roman" w:eastAsia="宋体" w:cs="Times New Roman"/>
                <w:color w:val="auto"/>
                <w:spacing w:val="11"/>
                <w:position w:val="0"/>
                <w:szCs w:val="24"/>
                <w:highlight w:val="none"/>
                <w:u w:val="none" w:color="auto"/>
                <w:lang w:val="en-US" w:eastAsia="zh-CN"/>
              </w:rPr>
              <w:t>防渗防漏处理</w:t>
            </w:r>
            <w:r>
              <w:rPr>
                <w:rFonts w:hint="eastAsia" w:ascii="Times New Roman" w:hAnsi="Times New Roman" w:eastAsia="宋体" w:cs="Times New Roman"/>
                <w:color w:val="auto"/>
                <w:spacing w:val="11"/>
                <w:position w:val="0"/>
                <w:szCs w:val="24"/>
                <w:highlight w:val="none"/>
                <w:u w:val="none" w:color="auto"/>
              </w:rPr>
              <w:t>，不存在土壤和地下水的污染途径。</w:t>
            </w:r>
          </w:p>
          <w:p w14:paraId="050EB89E">
            <w:pPr>
              <w:keepNext w:val="0"/>
              <w:keepLines w:val="0"/>
              <w:suppressLineNumbers w:val="0"/>
              <w:spacing w:before="0" w:beforeAutospacing="0" w:after="0" w:afterAutospacing="0" w:line="360" w:lineRule="auto"/>
              <w:ind w:left="0" w:leftChars="0" w:right="0" w:firstLine="0" w:firstLineChars="0"/>
              <w:rPr>
                <w:rFonts w:hint="default" w:ascii="Times New Roman" w:hAnsi="Times New Roman" w:cs="Times New Roman" w:eastAsiaTheme="minorEastAsia"/>
                <w:b/>
                <w:bCs/>
                <w:color w:val="auto"/>
                <w:spacing w:val="11"/>
                <w:position w:val="0"/>
                <w:sz w:val="24"/>
                <w:szCs w:val="24"/>
                <w:highlight w:val="none"/>
                <w:u w:val="none" w:color="auto"/>
                <w:lang w:val="en-US" w:eastAsia="zh-CN"/>
              </w:rPr>
            </w:pPr>
            <w:r>
              <w:rPr>
                <w:rFonts w:hint="eastAsia" w:cs="Times New Roman" w:eastAsiaTheme="minorEastAsia"/>
                <w:b/>
                <w:bCs/>
                <w:color w:val="auto"/>
                <w:spacing w:val="11"/>
                <w:position w:val="0"/>
                <w:sz w:val="24"/>
                <w:szCs w:val="24"/>
                <w:highlight w:val="none"/>
                <w:u w:val="none" w:color="auto"/>
                <w:lang w:val="en-US" w:eastAsia="zh-CN"/>
              </w:rPr>
              <w:t>7</w:t>
            </w:r>
            <w:r>
              <w:rPr>
                <w:rFonts w:hint="default" w:ascii="Times New Roman" w:hAnsi="Times New Roman" w:cs="Times New Roman" w:eastAsiaTheme="minorEastAsia"/>
                <w:b/>
                <w:bCs/>
                <w:color w:val="auto"/>
                <w:spacing w:val="11"/>
                <w:position w:val="0"/>
                <w:sz w:val="24"/>
                <w:szCs w:val="24"/>
                <w:highlight w:val="none"/>
                <w:u w:val="none" w:color="auto"/>
                <w:lang w:val="en-US" w:eastAsia="zh-CN"/>
              </w:rPr>
              <w:t>环境风险分析</w:t>
            </w:r>
          </w:p>
          <w:p w14:paraId="20226EB1">
            <w:pPr>
              <w:keepNext w:val="0"/>
              <w:keepLines w:val="0"/>
              <w:suppressLineNumbers w:val="0"/>
              <w:spacing w:before="0" w:beforeAutospacing="0" w:after="0" w:afterAutospacing="0" w:line="360" w:lineRule="auto"/>
              <w:ind w:left="0" w:leftChars="0" w:right="0" w:firstLine="0" w:firstLineChars="0"/>
              <w:rPr>
                <w:rFonts w:hint="default" w:ascii="Times New Roman" w:hAnsi="Times New Roman" w:cs="Times New Roman" w:eastAsiaTheme="minorEastAsia"/>
                <w:b/>
                <w:bCs/>
                <w:color w:val="auto"/>
                <w:spacing w:val="11"/>
                <w:position w:val="0"/>
                <w:sz w:val="24"/>
                <w:szCs w:val="24"/>
                <w:highlight w:val="none"/>
                <w:u w:val="none" w:color="auto"/>
                <w:lang w:val="en-US" w:eastAsia="zh-CN"/>
              </w:rPr>
            </w:pPr>
            <w:r>
              <w:rPr>
                <w:rFonts w:hint="eastAsia" w:cs="Times New Roman" w:eastAsiaTheme="minorEastAsia"/>
                <w:b/>
                <w:bCs/>
                <w:color w:val="auto"/>
                <w:spacing w:val="11"/>
                <w:position w:val="0"/>
                <w:sz w:val="24"/>
                <w:szCs w:val="24"/>
                <w:highlight w:val="none"/>
                <w:u w:val="none" w:color="auto"/>
                <w:lang w:val="en-US" w:eastAsia="zh-CN"/>
              </w:rPr>
              <w:t>7</w:t>
            </w:r>
            <w:r>
              <w:rPr>
                <w:rFonts w:hint="default" w:ascii="Times New Roman" w:hAnsi="Times New Roman" w:cs="Times New Roman" w:eastAsiaTheme="minorEastAsia"/>
                <w:b/>
                <w:bCs/>
                <w:color w:val="auto"/>
                <w:spacing w:val="11"/>
                <w:position w:val="0"/>
                <w:sz w:val="24"/>
                <w:szCs w:val="24"/>
                <w:highlight w:val="none"/>
                <w:u w:val="none" w:color="auto"/>
                <w:lang w:val="en-US" w:eastAsia="zh-CN"/>
              </w:rPr>
              <w:t>.1环境风险评价等级</w:t>
            </w:r>
          </w:p>
          <w:p w14:paraId="77209DDE">
            <w:pPr>
              <w:ind w:firstLine="480"/>
              <w:rPr>
                <w:rFonts w:hint="eastAsia" w:ascii="Times New Roman" w:hAnsi="Times New Roman" w:eastAsia="宋体" w:cs="Times New Roman"/>
                <w:color w:val="auto"/>
                <w:spacing w:val="11"/>
                <w:position w:val="0"/>
                <w:szCs w:val="24"/>
                <w:highlight w:val="none"/>
                <w:u w:val="none" w:color="auto"/>
                <w:lang w:val="en-US" w:eastAsia="zh-CN"/>
              </w:rPr>
            </w:pPr>
            <w:r>
              <w:rPr>
                <w:rFonts w:hint="eastAsia" w:ascii="Times New Roman" w:hAnsi="Times New Roman" w:eastAsia="宋体" w:cs="Times New Roman"/>
                <w:color w:val="auto"/>
                <w:spacing w:val="11"/>
                <w:position w:val="0"/>
                <w:szCs w:val="24"/>
                <w:highlight w:val="none"/>
                <w:u w:val="none" w:color="auto"/>
                <w:lang w:val="en-US" w:eastAsia="zh-CN"/>
              </w:rPr>
              <w:t>根据《建设项目环境风险评价技术导则》（HJ 169-2018）要求，对于涉及有毒有害和易燃易爆危险物质的生产、使用、储存（包括使用管线输运）的建设项目可能发生的突发性事故（不包括人为破坏及自然灾害引发的事故）应进行环境风险评价。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55961144">
            <w:pPr>
              <w:ind w:firstLine="480"/>
              <w:rPr>
                <w:rFonts w:hint="eastAsia" w:ascii="Times New Roman" w:hAnsi="Times New Roman" w:eastAsia="宋体" w:cs="Times New Roman"/>
                <w:color w:val="auto"/>
                <w:spacing w:val="11"/>
                <w:position w:val="0"/>
                <w:szCs w:val="24"/>
                <w:highlight w:val="none"/>
                <w:u w:val="none" w:color="auto"/>
                <w:lang w:val="en-US" w:eastAsia="zh-CN"/>
              </w:rPr>
            </w:pPr>
            <w:r>
              <w:rPr>
                <w:rFonts w:hint="eastAsia" w:ascii="Times New Roman" w:hAnsi="Times New Roman" w:eastAsia="宋体" w:cs="Times New Roman"/>
                <w:color w:val="auto"/>
                <w:spacing w:val="11"/>
                <w:position w:val="0"/>
                <w:szCs w:val="24"/>
                <w:highlight w:val="none"/>
                <w:u w:val="none" w:color="auto"/>
                <w:lang w:val="en-US" w:eastAsia="zh-CN"/>
              </w:rPr>
              <w:t>根据《建设项目环境风险评价技术导则》（HJ169－2018））附录B中风险物质临界量计算，本项目Q值计算结果如下：经计算，项目危险物质数量与临界量比值（Q）&lt;1。</w:t>
            </w:r>
          </w:p>
          <w:p w14:paraId="640685AE">
            <w:pPr>
              <w:spacing w:line="240" w:lineRule="auto"/>
              <w:ind w:firstLine="0" w:firstLineChars="0"/>
              <w:jc w:val="center"/>
              <w:rPr>
                <w:rFonts w:ascii="Times New Roman" w:hAnsi="Times New Roman" w:eastAsia="宋体" w:cs="Times New Roman"/>
                <w:b/>
                <w:bCs/>
                <w:color w:val="auto"/>
                <w:spacing w:val="11"/>
                <w:position w:val="0"/>
                <w:sz w:val="21"/>
                <w:szCs w:val="21"/>
                <w:highlight w:val="none"/>
                <w:u w:val="none" w:color="auto"/>
              </w:rPr>
            </w:pPr>
            <w:r>
              <w:rPr>
                <w:rFonts w:ascii="Times New Roman" w:hAnsi="Times New Roman" w:eastAsia="宋体" w:cs="Times New Roman"/>
                <w:b/>
                <w:bCs/>
                <w:color w:val="auto"/>
                <w:spacing w:val="11"/>
                <w:position w:val="0"/>
                <w:sz w:val="21"/>
                <w:szCs w:val="21"/>
                <w:highlight w:val="none"/>
                <w:u w:val="none" w:color="auto"/>
              </w:rPr>
              <w:t>表</w:t>
            </w:r>
            <w:r>
              <w:rPr>
                <w:rFonts w:hint="eastAsia" w:ascii="Times New Roman" w:hAnsi="Times New Roman" w:eastAsia="宋体" w:cs="Times New Roman"/>
                <w:b/>
                <w:bCs/>
                <w:color w:val="auto"/>
                <w:spacing w:val="11"/>
                <w:position w:val="0"/>
                <w:sz w:val="21"/>
                <w:szCs w:val="21"/>
                <w:highlight w:val="none"/>
                <w:u w:val="none" w:color="auto"/>
              </w:rPr>
              <w:t>4-</w:t>
            </w:r>
            <w:r>
              <w:rPr>
                <w:rFonts w:hint="eastAsia" w:cs="Times New Roman"/>
                <w:b/>
                <w:bCs/>
                <w:color w:val="auto"/>
                <w:spacing w:val="11"/>
                <w:position w:val="0"/>
                <w:sz w:val="21"/>
                <w:szCs w:val="21"/>
                <w:highlight w:val="none"/>
                <w:u w:val="none" w:color="auto"/>
                <w:lang w:val="en-US" w:eastAsia="zh-CN"/>
              </w:rPr>
              <w:t>19</w:t>
            </w:r>
            <w:r>
              <w:rPr>
                <w:rFonts w:hint="eastAsia" w:ascii="Times New Roman" w:hAnsi="Times New Roman" w:eastAsia="宋体" w:cs="Times New Roman"/>
                <w:b/>
                <w:bCs/>
                <w:color w:val="auto"/>
                <w:spacing w:val="11"/>
                <w:position w:val="0"/>
                <w:sz w:val="21"/>
                <w:szCs w:val="21"/>
                <w:highlight w:val="none"/>
                <w:u w:val="none" w:color="auto"/>
              </w:rPr>
              <w:t xml:space="preserve">  </w:t>
            </w:r>
            <w:r>
              <w:rPr>
                <w:rFonts w:ascii="Times New Roman" w:hAnsi="Times New Roman" w:eastAsia="宋体" w:cs="Times New Roman"/>
                <w:b/>
                <w:bCs/>
                <w:color w:val="auto"/>
                <w:spacing w:val="11"/>
                <w:position w:val="0"/>
                <w:sz w:val="21"/>
                <w:szCs w:val="21"/>
                <w:highlight w:val="none"/>
                <w:u w:val="none" w:color="auto"/>
              </w:rPr>
              <w:t>项目重大危险源判别表</w:t>
            </w:r>
          </w:p>
          <w:tbl>
            <w:tblPr>
              <w:tblStyle w:val="24"/>
              <w:tblW w:w="492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1707"/>
              <w:gridCol w:w="1834"/>
              <w:gridCol w:w="1243"/>
              <w:gridCol w:w="1647"/>
              <w:gridCol w:w="1173"/>
            </w:tblGrid>
            <w:tr w14:paraId="3F239A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pct"/>
                  <w:tcBorders>
                    <w:tl2br w:val="nil"/>
                    <w:tr2bl w:val="nil"/>
                  </w:tcBorders>
                  <w:noWrap w:val="0"/>
                  <w:vAlign w:val="center"/>
                </w:tcPr>
                <w:p w14:paraId="006A2B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none" w:color="auto"/>
                    </w:rPr>
                  </w:pPr>
                  <w:r>
                    <w:rPr>
                      <w:rFonts w:ascii="Times New Roman" w:hAnsi="Times New Roman" w:eastAsia="宋体" w:cs="Times New Roman"/>
                      <w:color w:val="auto"/>
                      <w:spacing w:val="11"/>
                      <w:position w:val="0"/>
                      <w:sz w:val="21"/>
                      <w:szCs w:val="21"/>
                      <w:highlight w:val="none"/>
                      <w:u w:val="none" w:color="auto"/>
                    </w:rPr>
                    <w:t>序号</w:t>
                  </w:r>
                </w:p>
              </w:tc>
              <w:tc>
                <w:tcPr>
                  <w:tcW w:w="969" w:type="pct"/>
                  <w:tcBorders>
                    <w:tl2br w:val="nil"/>
                    <w:tr2bl w:val="nil"/>
                  </w:tcBorders>
                  <w:noWrap w:val="0"/>
                  <w:vAlign w:val="center"/>
                </w:tcPr>
                <w:p w14:paraId="37B062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none" w:color="auto"/>
                    </w:rPr>
                  </w:pPr>
                  <w:r>
                    <w:rPr>
                      <w:rFonts w:ascii="Times New Roman" w:hAnsi="Times New Roman" w:eastAsia="宋体" w:cs="Times New Roman"/>
                      <w:color w:val="auto"/>
                      <w:spacing w:val="11"/>
                      <w:position w:val="0"/>
                      <w:sz w:val="21"/>
                      <w:szCs w:val="21"/>
                      <w:highlight w:val="none"/>
                      <w:u w:val="none" w:color="auto"/>
                    </w:rPr>
                    <w:t>危险物质类别</w:t>
                  </w:r>
                </w:p>
              </w:tc>
              <w:tc>
                <w:tcPr>
                  <w:tcW w:w="1041" w:type="pct"/>
                  <w:tcBorders>
                    <w:tl2br w:val="nil"/>
                    <w:tr2bl w:val="nil"/>
                  </w:tcBorders>
                  <w:noWrap w:val="0"/>
                  <w:vAlign w:val="center"/>
                </w:tcPr>
                <w:p w14:paraId="654B10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none" w:color="auto"/>
                    </w:rPr>
                  </w:pPr>
                  <w:r>
                    <w:rPr>
                      <w:rFonts w:ascii="Times New Roman" w:hAnsi="Times New Roman" w:eastAsia="宋体" w:cs="Times New Roman"/>
                      <w:color w:val="auto"/>
                      <w:spacing w:val="11"/>
                      <w:position w:val="0"/>
                      <w:sz w:val="21"/>
                      <w:szCs w:val="21"/>
                      <w:highlight w:val="none"/>
                      <w:u w:val="none" w:color="auto"/>
                    </w:rPr>
                    <w:t>最大存在总量qn/t</w:t>
                  </w:r>
                </w:p>
              </w:tc>
              <w:tc>
                <w:tcPr>
                  <w:tcW w:w="705" w:type="pct"/>
                  <w:tcBorders>
                    <w:tl2br w:val="nil"/>
                    <w:tr2bl w:val="nil"/>
                  </w:tcBorders>
                  <w:noWrap w:val="0"/>
                  <w:vAlign w:val="center"/>
                </w:tcPr>
                <w:p w14:paraId="611823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none" w:color="auto"/>
                    </w:rPr>
                  </w:pPr>
                  <w:r>
                    <w:rPr>
                      <w:rFonts w:ascii="Times New Roman" w:hAnsi="Times New Roman" w:eastAsia="宋体" w:cs="Times New Roman"/>
                      <w:color w:val="auto"/>
                      <w:spacing w:val="11"/>
                      <w:position w:val="0"/>
                      <w:sz w:val="21"/>
                      <w:szCs w:val="21"/>
                      <w:highlight w:val="none"/>
                      <w:u w:val="none" w:color="auto"/>
                    </w:rPr>
                    <w:t>临界量Qn/t</w:t>
                  </w:r>
                </w:p>
              </w:tc>
              <w:tc>
                <w:tcPr>
                  <w:tcW w:w="935" w:type="pct"/>
                  <w:tcBorders>
                    <w:tl2br w:val="nil"/>
                    <w:tr2bl w:val="nil"/>
                  </w:tcBorders>
                  <w:noWrap w:val="0"/>
                  <w:vAlign w:val="center"/>
                </w:tcPr>
                <w:p w14:paraId="651C73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none" w:color="auto"/>
                    </w:rPr>
                  </w:pPr>
                  <w:r>
                    <w:rPr>
                      <w:rFonts w:ascii="Times New Roman" w:hAnsi="Times New Roman" w:eastAsia="宋体" w:cs="Times New Roman"/>
                      <w:color w:val="auto"/>
                      <w:spacing w:val="11"/>
                      <w:position w:val="0"/>
                      <w:sz w:val="21"/>
                      <w:szCs w:val="21"/>
                      <w:highlight w:val="none"/>
                      <w:u w:val="none" w:color="auto"/>
                    </w:rPr>
                    <w:t>该危险物质</w:t>
                  </w:r>
                </w:p>
                <w:p w14:paraId="4E8183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none" w:color="auto"/>
                    </w:rPr>
                  </w:pPr>
                  <w:r>
                    <w:rPr>
                      <w:rFonts w:ascii="Times New Roman" w:hAnsi="Times New Roman" w:eastAsia="宋体" w:cs="Times New Roman"/>
                      <w:color w:val="auto"/>
                      <w:spacing w:val="11"/>
                      <w:position w:val="0"/>
                      <w:sz w:val="21"/>
                      <w:szCs w:val="21"/>
                      <w:highlight w:val="none"/>
                      <w:u w:val="none" w:color="auto"/>
                    </w:rPr>
                    <w:t>q/Q值</w:t>
                  </w:r>
                </w:p>
              </w:tc>
              <w:tc>
                <w:tcPr>
                  <w:tcW w:w="666" w:type="pct"/>
                  <w:tcBorders>
                    <w:tl2br w:val="nil"/>
                    <w:tr2bl w:val="nil"/>
                  </w:tcBorders>
                  <w:noWrap w:val="0"/>
                  <w:vAlign w:val="center"/>
                </w:tcPr>
                <w:p w14:paraId="6A8F36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none" w:color="auto"/>
                    </w:rPr>
                  </w:pPr>
                  <w:r>
                    <w:rPr>
                      <w:rFonts w:ascii="Times New Roman" w:hAnsi="Times New Roman" w:eastAsia="宋体" w:cs="Times New Roman"/>
                      <w:color w:val="auto"/>
                      <w:spacing w:val="11"/>
                      <w:position w:val="0"/>
                      <w:sz w:val="21"/>
                      <w:szCs w:val="21"/>
                      <w:highlight w:val="none"/>
                      <w:u w:val="none" w:color="auto"/>
                    </w:rPr>
                    <w:t>所在位置</w:t>
                  </w:r>
                </w:p>
              </w:tc>
            </w:tr>
            <w:tr w14:paraId="6F8731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pct"/>
                  <w:tcBorders>
                    <w:tl2br w:val="nil"/>
                    <w:tr2bl w:val="nil"/>
                  </w:tcBorders>
                  <w:noWrap w:val="0"/>
                  <w:vAlign w:val="center"/>
                </w:tcPr>
                <w:p w14:paraId="0305C2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none" w:color="auto"/>
                    </w:rPr>
                  </w:pPr>
                  <w:r>
                    <w:rPr>
                      <w:rFonts w:ascii="Times New Roman" w:hAnsi="Times New Roman" w:eastAsia="宋体" w:cs="Times New Roman"/>
                      <w:color w:val="auto"/>
                      <w:spacing w:val="11"/>
                      <w:position w:val="0"/>
                      <w:sz w:val="21"/>
                      <w:szCs w:val="21"/>
                      <w:highlight w:val="none"/>
                      <w:u w:val="none" w:color="auto"/>
                    </w:rPr>
                    <w:t>1</w:t>
                  </w:r>
                </w:p>
              </w:tc>
              <w:tc>
                <w:tcPr>
                  <w:tcW w:w="969" w:type="pct"/>
                  <w:tcBorders>
                    <w:tl2br w:val="nil"/>
                    <w:tr2bl w:val="nil"/>
                  </w:tcBorders>
                  <w:shd w:val="clear" w:color="auto" w:fill="auto"/>
                  <w:noWrap w:val="0"/>
                  <w:vAlign w:val="center"/>
                </w:tcPr>
                <w:p w14:paraId="62C2E0F4">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spacing w:val="11"/>
                      <w:kern w:val="2"/>
                      <w:sz w:val="21"/>
                      <w:szCs w:val="21"/>
                      <w:highlight w:val="none"/>
                      <w:vertAlign w:val="baseline"/>
                      <w:lang w:val="en-US" w:eastAsia="zh-CN" w:bidi="ar-SA"/>
                    </w:rPr>
                  </w:pPr>
                  <w:r>
                    <w:rPr>
                      <w:rFonts w:hint="default" w:ascii="Times New Roman" w:hAnsi="Times New Roman" w:eastAsia="宋体" w:cs="Times New Roman"/>
                      <w:b w:val="0"/>
                      <w:bCs w:val="0"/>
                      <w:color w:val="auto"/>
                      <w:spacing w:val="11"/>
                      <w:sz w:val="21"/>
                      <w:szCs w:val="21"/>
                      <w:highlight w:val="none"/>
                      <w:vertAlign w:val="baseline"/>
                      <w:lang w:val="en-US" w:eastAsia="zh-CN"/>
                    </w:rPr>
                    <w:t>医疗废物</w:t>
                  </w:r>
                </w:p>
              </w:tc>
              <w:tc>
                <w:tcPr>
                  <w:tcW w:w="1041" w:type="pct"/>
                  <w:tcBorders>
                    <w:tl2br w:val="nil"/>
                    <w:tr2bl w:val="nil"/>
                  </w:tcBorders>
                  <w:shd w:val="clear" w:color="auto" w:fill="auto"/>
                  <w:noWrap w:val="0"/>
                  <w:vAlign w:val="center"/>
                </w:tcPr>
                <w:p w14:paraId="1B4BDE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cs="Times New Roman"/>
                      <w:color w:val="auto"/>
                      <w:spacing w:val="11"/>
                      <w:position w:val="0"/>
                      <w:sz w:val="21"/>
                      <w:szCs w:val="21"/>
                      <w:highlight w:val="none"/>
                      <w:u w:val="none" w:color="auto"/>
                      <w:lang w:val="en-US" w:eastAsia="zh-CN"/>
                    </w:rPr>
                    <w:t>0.14</w:t>
                  </w:r>
                </w:p>
              </w:tc>
              <w:tc>
                <w:tcPr>
                  <w:tcW w:w="705" w:type="pct"/>
                  <w:tcBorders>
                    <w:tl2br w:val="nil"/>
                    <w:tr2bl w:val="nil"/>
                  </w:tcBorders>
                  <w:noWrap w:val="0"/>
                  <w:vAlign w:val="center"/>
                </w:tcPr>
                <w:p w14:paraId="7C0459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50</w:t>
                  </w:r>
                </w:p>
              </w:tc>
              <w:tc>
                <w:tcPr>
                  <w:tcW w:w="935" w:type="pct"/>
                  <w:tcBorders>
                    <w:tl2br w:val="nil"/>
                    <w:tr2bl w:val="nil"/>
                  </w:tcBorders>
                  <w:noWrap w:val="0"/>
                  <w:vAlign w:val="center"/>
                </w:tcPr>
                <w:p w14:paraId="26BCE1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0.0028</w:t>
                  </w:r>
                </w:p>
              </w:tc>
              <w:tc>
                <w:tcPr>
                  <w:tcW w:w="666" w:type="pct"/>
                  <w:tcBorders>
                    <w:tl2br w:val="nil"/>
                    <w:tr2bl w:val="nil"/>
                  </w:tcBorders>
                  <w:noWrap w:val="0"/>
                  <w:vAlign w:val="center"/>
                </w:tcPr>
                <w:p w14:paraId="0A0C73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医疗废物暂存间</w:t>
                  </w:r>
                </w:p>
              </w:tc>
            </w:tr>
            <w:tr w14:paraId="67E5F5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pct"/>
                  <w:tcBorders>
                    <w:tl2br w:val="nil"/>
                    <w:tr2bl w:val="nil"/>
                  </w:tcBorders>
                  <w:noWrap w:val="0"/>
                  <w:vAlign w:val="center"/>
                </w:tcPr>
                <w:p w14:paraId="7F0CEB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2</w:t>
                  </w:r>
                </w:p>
              </w:tc>
              <w:tc>
                <w:tcPr>
                  <w:tcW w:w="969" w:type="pct"/>
                  <w:tcBorders>
                    <w:tl2br w:val="nil"/>
                    <w:tr2bl w:val="nil"/>
                  </w:tcBorders>
                  <w:shd w:val="clear" w:color="auto" w:fill="auto"/>
                  <w:noWrap w:val="0"/>
                  <w:vAlign w:val="center"/>
                </w:tcPr>
                <w:p w14:paraId="1D81EB3D">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11"/>
                      <w:sz w:val="21"/>
                      <w:szCs w:val="21"/>
                      <w:highlight w:val="none"/>
                      <w:vertAlign w:val="baseline"/>
                      <w:lang w:val="en-US" w:eastAsia="zh-CN"/>
                    </w:rPr>
                  </w:pPr>
                  <w:r>
                    <w:rPr>
                      <w:rFonts w:hint="default" w:ascii="Times New Roman" w:hAnsi="Times New Roman" w:eastAsia="宋体" w:cs="Times New Roman"/>
                      <w:b w:val="0"/>
                      <w:bCs w:val="0"/>
                      <w:color w:val="auto"/>
                      <w:spacing w:val="11"/>
                      <w:sz w:val="21"/>
                      <w:szCs w:val="21"/>
                      <w:highlight w:val="none"/>
                      <w:vertAlign w:val="baseline"/>
                      <w:lang w:val="en-US" w:eastAsia="zh-CN"/>
                    </w:rPr>
                    <w:t>含铬污水</w:t>
                  </w:r>
                </w:p>
              </w:tc>
              <w:tc>
                <w:tcPr>
                  <w:tcW w:w="1041" w:type="pct"/>
                  <w:tcBorders>
                    <w:tl2br w:val="nil"/>
                    <w:tr2bl w:val="nil"/>
                  </w:tcBorders>
                  <w:shd w:val="clear" w:color="auto" w:fill="auto"/>
                  <w:noWrap w:val="0"/>
                  <w:vAlign w:val="center"/>
                </w:tcPr>
                <w:p w14:paraId="257570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0.4</w:t>
                  </w:r>
                </w:p>
              </w:tc>
              <w:tc>
                <w:tcPr>
                  <w:tcW w:w="705" w:type="pct"/>
                  <w:tcBorders>
                    <w:tl2br w:val="nil"/>
                    <w:tr2bl w:val="nil"/>
                  </w:tcBorders>
                  <w:noWrap w:val="0"/>
                  <w:vAlign w:val="center"/>
                </w:tcPr>
                <w:p w14:paraId="6C46F2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50</w:t>
                  </w:r>
                </w:p>
              </w:tc>
              <w:tc>
                <w:tcPr>
                  <w:tcW w:w="935" w:type="pct"/>
                  <w:tcBorders>
                    <w:tl2br w:val="nil"/>
                    <w:tr2bl w:val="nil"/>
                  </w:tcBorders>
                  <w:noWrap w:val="0"/>
                  <w:vAlign w:val="center"/>
                </w:tcPr>
                <w:p w14:paraId="42191F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0.008</w:t>
                  </w:r>
                </w:p>
              </w:tc>
              <w:tc>
                <w:tcPr>
                  <w:tcW w:w="666" w:type="pct"/>
                  <w:tcBorders>
                    <w:tl2br w:val="nil"/>
                    <w:tr2bl w:val="nil"/>
                  </w:tcBorders>
                  <w:noWrap w:val="0"/>
                  <w:vAlign w:val="center"/>
                </w:tcPr>
                <w:p w14:paraId="2AADE2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11"/>
                      <w:position w:val="0"/>
                      <w:sz w:val="21"/>
                      <w:szCs w:val="21"/>
                      <w:highlight w:val="none"/>
                      <w:u w:val="none" w:color="auto"/>
                      <w:lang w:val="en-US" w:eastAsia="zh-CN"/>
                    </w:rPr>
                  </w:pPr>
                </w:p>
              </w:tc>
            </w:tr>
            <w:tr w14:paraId="231B3C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8" w:type="pct"/>
                  <w:gridSpan w:val="4"/>
                  <w:tcBorders>
                    <w:tl2br w:val="nil"/>
                    <w:tr2bl w:val="nil"/>
                  </w:tcBorders>
                  <w:noWrap w:val="0"/>
                  <w:vAlign w:val="center"/>
                </w:tcPr>
                <w:p w14:paraId="48229D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val="en-US" w:eastAsia="zh-CN"/>
                    </w:rPr>
                  </w:pPr>
                  <w:r>
                    <w:rPr>
                      <w:rFonts w:hint="eastAsia" w:ascii="Times New Roman" w:hAnsi="Times New Roman" w:eastAsia="宋体" w:cs="Times New Roman"/>
                      <w:color w:val="auto"/>
                      <w:spacing w:val="11"/>
                      <w:position w:val="0"/>
                      <w:sz w:val="21"/>
                      <w:szCs w:val="21"/>
                      <w:highlight w:val="none"/>
                      <w:u w:val="none" w:color="auto"/>
                      <w:lang w:val="en-US" w:eastAsia="zh-CN"/>
                    </w:rPr>
                    <w:t>合计</w:t>
                  </w:r>
                </w:p>
              </w:tc>
              <w:tc>
                <w:tcPr>
                  <w:tcW w:w="935" w:type="pct"/>
                  <w:tcBorders>
                    <w:tl2br w:val="nil"/>
                    <w:tr2bl w:val="nil"/>
                  </w:tcBorders>
                  <w:noWrap w:val="0"/>
                  <w:vAlign w:val="center"/>
                </w:tcPr>
                <w:p w14:paraId="63038F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ascii="Times New Roman" w:hAnsi="Times New Roman" w:eastAsia="宋体" w:cs="Times New Roman"/>
                      <w:color w:val="auto"/>
                      <w:spacing w:val="11"/>
                      <w:position w:val="0"/>
                      <w:sz w:val="21"/>
                      <w:szCs w:val="21"/>
                      <w:highlight w:val="none"/>
                      <w:u w:val="none" w:color="auto"/>
                      <w:lang w:val="en-US" w:eastAsia="zh-CN"/>
                    </w:rPr>
                    <w:t>0.0</w:t>
                  </w:r>
                  <w:r>
                    <w:rPr>
                      <w:rFonts w:hint="eastAsia" w:cs="Times New Roman"/>
                      <w:color w:val="auto"/>
                      <w:spacing w:val="11"/>
                      <w:position w:val="0"/>
                      <w:sz w:val="21"/>
                      <w:szCs w:val="21"/>
                      <w:highlight w:val="none"/>
                      <w:u w:val="none" w:color="auto"/>
                      <w:lang w:val="en-US" w:eastAsia="zh-CN"/>
                    </w:rPr>
                    <w:t>108</w:t>
                  </w:r>
                </w:p>
              </w:tc>
              <w:tc>
                <w:tcPr>
                  <w:tcW w:w="666" w:type="pct"/>
                  <w:tcBorders>
                    <w:tl2br w:val="nil"/>
                    <w:tr2bl w:val="nil"/>
                  </w:tcBorders>
                  <w:noWrap w:val="0"/>
                  <w:vAlign w:val="center"/>
                </w:tcPr>
                <w:p w14:paraId="32E2F2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val="en-US" w:eastAsia="zh-CN"/>
                    </w:rPr>
                  </w:pPr>
                </w:p>
              </w:tc>
            </w:tr>
          </w:tbl>
          <w:p w14:paraId="498E9B7C">
            <w:pPr>
              <w:keepNext w:val="0"/>
              <w:keepLines w:val="0"/>
              <w:pageBreakBefore w:val="0"/>
              <w:widowControl w:val="0"/>
              <w:kinsoku/>
              <w:wordWrap/>
              <w:overflowPunct/>
              <w:topLinePunct w:val="0"/>
              <w:autoSpaceDE/>
              <w:autoSpaceDN/>
              <w:bidi w:val="0"/>
              <w:adjustRightInd w:val="0"/>
              <w:snapToGrid w:val="0"/>
              <w:spacing w:before="167" w:beforeLines="50"/>
              <w:ind w:firstLine="480"/>
              <w:textAlignment w:val="auto"/>
              <w:rPr>
                <w:rFonts w:ascii="Times New Roman" w:hAnsi="Times New Roman" w:eastAsia="宋体" w:cs="Times New Roman"/>
                <w:color w:val="auto"/>
                <w:spacing w:val="11"/>
                <w:position w:val="0"/>
                <w:szCs w:val="24"/>
                <w:u w:val="none" w:color="auto"/>
              </w:rPr>
            </w:pPr>
            <w:r>
              <w:rPr>
                <w:rFonts w:ascii="Times New Roman" w:hAnsi="Times New Roman" w:eastAsia="宋体" w:cs="Times New Roman"/>
                <w:color w:val="auto"/>
                <w:spacing w:val="11"/>
                <w:position w:val="0"/>
                <w:szCs w:val="24"/>
                <w:u w:val="none" w:color="auto"/>
              </w:rPr>
              <w:t>根据《建设项目环境风险评价技术导则》（HJ169-2018）附录C，按下式计算物质总量与其临界量的比值（Q）：</w:t>
            </w:r>
          </w:p>
          <w:p w14:paraId="1FE2134B">
            <w:pPr>
              <w:adjustRightInd/>
              <w:snapToGrid/>
              <w:spacing w:line="240" w:lineRule="auto"/>
              <w:ind w:firstLine="0" w:firstLineChars="0"/>
              <w:jc w:val="center"/>
              <w:rPr>
                <w:rFonts w:ascii="Times New Roman" w:hAnsi="Times New Roman" w:eastAsia="宋体" w:cs="Times New Roman"/>
                <w:color w:val="auto"/>
                <w:spacing w:val="11"/>
                <w:position w:val="0"/>
                <w:sz w:val="21"/>
                <w:szCs w:val="20"/>
                <w:u w:val="none" w:color="auto"/>
              </w:rPr>
            </w:pPr>
            <w:r>
              <w:rPr>
                <w:rFonts w:ascii="Times New Roman" w:hAnsi="Times New Roman" w:eastAsia="宋体" w:cs="Times New Roman"/>
                <w:color w:val="auto"/>
                <w:spacing w:val="11"/>
                <w:position w:val="0"/>
                <w:sz w:val="21"/>
                <w:szCs w:val="20"/>
                <w:u w:val="none" w:color="auto"/>
              </w:rPr>
              <w:drawing>
                <wp:inline distT="0" distB="0" distL="114300" distR="114300">
                  <wp:extent cx="1175385" cy="406400"/>
                  <wp:effectExtent l="0" t="0" r="5715" b="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21">
                            <a:clrChange>
                              <a:clrFrom>
                                <a:srgbClr val="FFFFFF"/>
                              </a:clrFrom>
                              <a:clrTo>
                                <a:srgbClr val="FFFFFF">
                                  <a:alpha val="0"/>
                                </a:srgbClr>
                              </a:clrTo>
                            </a:clrChange>
                          </a:blip>
                          <a:stretch>
                            <a:fillRect/>
                          </a:stretch>
                        </pic:blipFill>
                        <pic:spPr>
                          <a:xfrm>
                            <a:off x="0" y="0"/>
                            <a:ext cx="1175385" cy="406400"/>
                          </a:xfrm>
                          <a:prstGeom prst="rect">
                            <a:avLst/>
                          </a:prstGeom>
                          <a:noFill/>
                          <a:ln>
                            <a:noFill/>
                          </a:ln>
                        </pic:spPr>
                      </pic:pic>
                    </a:graphicData>
                  </a:graphic>
                </wp:inline>
              </w:drawing>
            </w:r>
          </w:p>
          <w:p w14:paraId="1685DE3B">
            <w:pPr>
              <w:ind w:firstLine="480"/>
              <w:rPr>
                <w:rFonts w:ascii="Times New Roman" w:hAnsi="Times New Roman" w:eastAsia="宋体" w:cs="Times New Roman"/>
                <w:color w:val="auto"/>
                <w:spacing w:val="11"/>
                <w:position w:val="0"/>
                <w:szCs w:val="24"/>
                <w:u w:val="none" w:color="auto"/>
              </w:rPr>
            </w:pPr>
            <w:r>
              <w:rPr>
                <w:rFonts w:ascii="Times New Roman" w:hAnsi="Times New Roman" w:eastAsia="宋体" w:cs="Times New Roman"/>
                <w:color w:val="auto"/>
                <w:spacing w:val="11"/>
                <w:position w:val="0"/>
                <w:szCs w:val="24"/>
                <w:u w:val="none" w:color="auto"/>
              </w:rPr>
              <w:t>式中：q</w:t>
            </w:r>
            <w:r>
              <w:rPr>
                <w:rFonts w:ascii="Times New Roman" w:hAnsi="Times New Roman" w:eastAsia="宋体" w:cs="Times New Roman"/>
                <w:color w:val="auto"/>
                <w:spacing w:val="11"/>
                <w:position w:val="0"/>
                <w:szCs w:val="24"/>
                <w:u w:val="none" w:color="auto"/>
                <w:vertAlign w:val="subscript"/>
              </w:rPr>
              <w:t>1</w:t>
            </w:r>
            <w:r>
              <w:rPr>
                <w:rFonts w:hint="eastAsia" w:ascii="Times New Roman" w:hAnsi="Times New Roman" w:eastAsia="宋体" w:cs="Times New Roman"/>
                <w:color w:val="auto"/>
                <w:spacing w:val="11"/>
                <w:position w:val="0"/>
                <w:szCs w:val="24"/>
                <w:u w:val="none" w:color="auto"/>
              </w:rPr>
              <w:t>，</w:t>
            </w:r>
            <w:r>
              <w:rPr>
                <w:rFonts w:ascii="Times New Roman" w:hAnsi="Times New Roman" w:eastAsia="宋体" w:cs="Times New Roman"/>
                <w:color w:val="auto"/>
                <w:spacing w:val="11"/>
                <w:position w:val="0"/>
                <w:szCs w:val="24"/>
                <w:u w:val="none" w:color="auto"/>
              </w:rPr>
              <w:t>q</w:t>
            </w:r>
            <w:r>
              <w:rPr>
                <w:rFonts w:ascii="Times New Roman" w:hAnsi="Times New Roman" w:eastAsia="宋体" w:cs="Times New Roman"/>
                <w:color w:val="auto"/>
                <w:spacing w:val="11"/>
                <w:position w:val="0"/>
                <w:szCs w:val="24"/>
                <w:u w:val="none" w:color="auto"/>
                <w:vertAlign w:val="subscript"/>
              </w:rPr>
              <w:t>2</w:t>
            </w:r>
            <w:r>
              <w:rPr>
                <w:rFonts w:ascii="Times New Roman" w:hAnsi="Times New Roman" w:eastAsia="宋体" w:cs="Times New Roman"/>
                <w:color w:val="auto"/>
                <w:spacing w:val="11"/>
                <w:position w:val="0"/>
                <w:szCs w:val="24"/>
                <w:u w:val="none" w:color="auto"/>
              </w:rPr>
              <w:t>,…qn—每种危险物质的最大存在量，t；</w:t>
            </w:r>
          </w:p>
          <w:p w14:paraId="0C597708">
            <w:pPr>
              <w:ind w:firstLine="1310" w:firstLineChars="500"/>
              <w:rPr>
                <w:rFonts w:ascii="Times New Roman" w:hAnsi="Times New Roman" w:eastAsia="宋体" w:cs="Times New Roman"/>
                <w:color w:val="auto"/>
                <w:spacing w:val="11"/>
                <w:position w:val="0"/>
                <w:szCs w:val="24"/>
                <w:u w:val="none" w:color="auto"/>
              </w:rPr>
            </w:pPr>
            <w:r>
              <w:rPr>
                <w:rFonts w:ascii="Times New Roman" w:hAnsi="Times New Roman" w:eastAsia="宋体" w:cs="Times New Roman"/>
                <w:color w:val="auto"/>
                <w:spacing w:val="11"/>
                <w:position w:val="0"/>
                <w:szCs w:val="24"/>
                <w:u w:val="none" w:color="auto"/>
              </w:rPr>
              <w:t>Q</w:t>
            </w:r>
            <w:r>
              <w:rPr>
                <w:rFonts w:ascii="Times New Roman" w:hAnsi="Times New Roman" w:eastAsia="宋体" w:cs="Times New Roman"/>
                <w:color w:val="auto"/>
                <w:spacing w:val="11"/>
                <w:position w:val="0"/>
                <w:szCs w:val="24"/>
                <w:u w:val="none" w:color="auto"/>
                <w:vertAlign w:val="subscript"/>
              </w:rPr>
              <w:t>1</w:t>
            </w:r>
            <w:r>
              <w:rPr>
                <w:rFonts w:hint="eastAsia" w:ascii="Times New Roman" w:hAnsi="Times New Roman" w:eastAsia="宋体" w:cs="Times New Roman"/>
                <w:color w:val="auto"/>
                <w:spacing w:val="11"/>
                <w:position w:val="0"/>
                <w:szCs w:val="24"/>
                <w:u w:val="none" w:color="auto"/>
              </w:rPr>
              <w:t>，</w:t>
            </w:r>
            <w:r>
              <w:rPr>
                <w:rFonts w:ascii="Times New Roman" w:hAnsi="Times New Roman" w:eastAsia="宋体" w:cs="Times New Roman"/>
                <w:color w:val="auto"/>
                <w:spacing w:val="11"/>
                <w:position w:val="0"/>
                <w:szCs w:val="24"/>
                <w:u w:val="none" w:color="auto"/>
              </w:rPr>
              <w:t>Q</w:t>
            </w:r>
            <w:r>
              <w:rPr>
                <w:rFonts w:ascii="Times New Roman" w:hAnsi="Times New Roman" w:eastAsia="宋体" w:cs="Times New Roman"/>
                <w:color w:val="auto"/>
                <w:spacing w:val="11"/>
                <w:position w:val="0"/>
                <w:szCs w:val="24"/>
                <w:u w:val="none" w:color="auto"/>
                <w:vertAlign w:val="subscript"/>
              </w:rPr>
              <w:t>2</w:t>
            </w:r>
            <w:r>
              <w:rPr>
                <w:rFonts w:ascii="Times New Roman" w:hAnsi="Times New Roman" w:eastAsia="宋体" w:cs="Times New Roman"/>
                <w:color w:val="auto"/>
                <w:spacing w:val="11"/>
                <w:position w:val="0"/>
                <w:szCs w:val="24"/>
                <w:u w:val="none" w:color="auto"/>
              </w:rPr>
              <w:t>,…Qn—每种危险物质的临界量，t。</w:t>
            </w:r>
          </w:p>
          <w:p w14:paraId="36741643">
            <w:pPr>
              <w:ind w:firstLine="1310" w:firstLineChars="500"/>
              <w:rPr>
                <w:rFonts w:ascii="Times New Roman" w:hAnsi="Times New Roman" w:eastAsia="宋体" w:cs="Times New Roman"/>
                <w:color w:val="auto"/>
                <w:spacing w:val="11"/>
                <w:position w:val="0"/>
                <w:szCs w:val="24"/>
                <w:u w:val="none" w:color="auto"/>
              </w:rPr>
            </w:pPr>
            <w:r>
              <w:rPr>
                <w:rFonts w:ascii="Times New Roman" w:hAnsi="Times New Roman" w:eastAsia="宋体" w:cs="Times New Roman"/>
                <w:color w:val="auto"/>
                <w:spacing w:val="11"/>
                <w:position w:val="0"/>
                <w:szCs w:val="24"/>
                <w:u w:val="none" w:color="auto"/>
              </w:rPr>
              <w:t>当Q＜1时，该项目环境风险潜势为Ⅰ。</w:t>
            </w:r>
          </w:p>
          <w:p w14:paraId="087E4010">
            <w:pPr>
              <w:ind w:firstLine="1310" w:firstLineChars="500"/>
              <w:rPr>
                <w:rFonts w:ascii="Times New Roman" w:hAnsi="Times New Roman" w:eastAsia="宋体" w:cs="Times New Roman"/>
                <w:color w:val="auto"/>
                <w:spacing w:val="11"/>
                <w:position w:val="0"/>
                <w:szCs w:val="24"/>
                <w:u w:val="none" w:color="auto"/>
              </w:rPr>
            </w:pPr>
            <w:r>
              <w:rPr>
                <w:rFonts w:ascii="Times New Roman" w:hAnsi="Times New Roman" w:eastAsia="宋体" w:cs="Times New Roman"/>
                <w:color w:val="auto"/>
                <w:spacing w:val="11"/>
                <w:position w:val="0"/>
                <w:szCs w:val="24"/>
                <w:u w:val="none" w:color="auto"/>
              </w:rPr>
              <w:t>当Q≥1时，将Q值划分为：（1）1≤Q＜10；（2）10≤Q＜100；（3）Q≥100。</w:t>
            </w:r>
          </w:p>
          <w:p w14:paraId="6F2833C3">
            <w:pPr>
              <w:ind w:firstLine="480"/>
              <w:rPr>
                <w:rFonts w:ascii="Times New Roman" w:hAnsi="Times New Roman" w:eastAsia="宋体" w:cs="Times New Roman"/>
                <w:color w:val="auto"/>
                <w:spacing w:val="11"/>
                <w:position w:val="0"/>
                <w:szCs w:val="24"/>
                <w:u w:val="none" w:color="auto"/>
              </w:rPr>
            </w:pPr>
            <w:r>
              <w:rPr>
                <w:rFonts w:ascii="Times New Roman" w:hAnsi="Times New Roman" w:eastAsia="宋体" w:cs="Times New Roman"/>
                <w:color w:val="auto"/>
                <w:spacing w:val="11"/>
                <w:position w:val="0"/>
                <w:szCs w:val="24"/>
                <w:u w:val="none" w:color="auto"/>
              </w:rPr>
              <w:t>经计算，项目危险物质数量与临界量比值（Q）=</w:t>
            </w:r>
            <w:r>
              <w:rPr>
                <w:rFonts w:hint="eastAsia" w:ascii="Times New Roman" w:hAnsi="Times New Roman" w:eastAsia="宋体" w:cs="Times New Roman"/>
                <w:color w:val="auto"/>
                <w:spacing w:val="11"/>
                <w:position w:val="0"/>
                <w:szCs w:val="24"/>
                <w:u w:val="none" w:color="auto"/>
                <w:lang w:val="en-US" w:eastAsia="zh-CN"/>
              </w:rPr>
              <w:t>0.0108</w:t>
            </w:r>
            <w:r>
              <w:rPr>
                <w:rFonts w:ascii="Times New Roman" w:hAnsi="Times New Roman" w:eastAsia="宋体" w:cs="Times New Roman"/>
                <w:color w:val="auto"/>
                <w:spacing w:val="11"/>
                <w:position w:val="0"/>
                <w:szCs w:val="24"/>
                <w:u w:val="none" w:color="auto"/>
              </w:rPr>
              <w:t>&lt;1。根据《建设项目环境风险评价技术导则》（HJ/T169-2018）附录C</w:t>
            </w:r>
            <w:r>
              <w:rPr>
                <w:rFonts w:hint="eastAsia" w:ascii="Times New Roman" w:hAnsi="Times New Roman" w:eastAsia="宋体" w:cs="Times New Roman"/>
                <w:color w:val="auto"/>
                <w:spacing w:val="11"/>
                <w:position w:val="0"/>
                <w:szCs w:val="24"/>
                <w:u w:val="none" w:color="auto"/>
              </w:rPr>
              <w:t>“</w:t>
            </w:r>
            <w:r>
              <w:rPr>
                <w:rFonts w:ascii="Times New Roman" w:hAnsi="Times New Roman" w:eastAsia="宋体" w:cs="Times New Roman"/>
                <w:color w:val="auto"/>
                <w:spacing w:val="11"/>
                <w:position w:val="0"/>
                <w:szCs w:val="24"/>
                <w:u w:val="none" w:color="auto"/>
              </w:rPr>
              <w:t>险物质数量及工艺系统危险性（P）分级</w:t>
            </w:r>
            <w:r>
              <w:rPr>
                <w:rFonts w:hint="eastAsia" w:ascii="Times New Roman" w:hAnsi="Times New Roman" w:eastAsia="宋体" w:cs="Times New Roman"/>
                <w:color w:val="auto"/>
                <w:spacing w:val="11"/>
                <w:position w:val="0"/>
                <w:szCs w:val="24"/>
                <w:u w:val="none" w:color="auto"/>
              </w:rPr>
              <w:t>”</w:t>
            </w:r>
            <w:r>
              <w:rPr>
                <w:rFonts w:ascii="Times New Roman" w:hAnsi="Times New Roman" w:eastAsia="宋体" w:cs="Times New Roman"/>
                <w:color w:val="auto"/>
                <w:spacing w:val="11"/>
                <w:position w:val="0"/>
                <w:szCs w:val="24"/>
                <w:u w:val="none" w:color="auto"/>
              </w:rPr>
              <w:t>中C.1.1规定：当Q&lt;1时，项目风险潜势为I。本项目的环境风险评价可开展简要分析。</w:t>
            </w:r>
          </w:p>
          <w:p w14:paraId="0FE1A3E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outlineLvl w:val="2"/>
              <w:rPr>
                <w:rFonts w:hint="default" w:ascii="Times New Roman" w:hAnsi="Times New Roman" w:eastAsia="宋体" w:cs="Times New Roman"/>
                <w:b/>
                <w:bCs/>
                <w:color w:val="auto"/>
                <w:spacing w:val="11"/>
                <w:kern w:val="2"/>
                <w:position w:val="0"/>
                <w:sz w:val="24"/>
                <w:szCs w:val="22"/>
                <w:highlight w:val="none"/>
                <w:u w:val="none" w:color="auto"/>
                <w:lang w:val="en-US" w:eastAsia="zh-CN" w:bidi="ar-SA"/>
              </w:rPr>
            </w:pPr>
            <w:r>
              <w:rPr>
                <w:rFonts w:hint="eastAsia" w:cs="Times New Roman"/>
                <w:b/>
                <w:bCs/>
                <w:color w:val="auto"/>
                <w:spacing w:val="11"/>
                <w:kern w:val="2"/>
                <w:position w:val="0"/>
                <w:sz w:val="24"/>
                <w:szCs w:val="22"/>
                <w:highlight w:val="none"/>
                <w:u w:val="none" w:color="auto"/>
                <w:lang w:val="en-US" w:eastAsia="zh-CN" w:bidi="ar-SA"/>
              </w:rPr>
              <w:t>7</w:t>
            </w:r>
            <w:r>
              <w:rPr>
                <w:rFonts w:hint="default" w:ascii="Times New Roman" w:hAnsi="Times New Roman" w:eastAsia="宋体" w:cs="Times New Roman"/>
                <w:b/>
                <w:bCs/>
                <w:color w:val="auto"/>
                <w:spacing w:val="11"/>
                <w:kern w:val="2"/>
                <w:position w:val="0"/>
                <w:sz w:val="24"/>
                <w:szCs w:val="22"/>
                <w:highlight w:val="none"/>
                <w:u w:val="none" w:color="auto"/>
                <w:lang w:val="en-US" w:eastAsia="zh-CN" w:bidi="ar-SA"/>
              </w:rPr>
              <w:t>.2环境风险识别</w:t>
            </w:r>
          </w:p>
          <w:p w14:paraId="7A68736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none" w:color="auto"/>
                <w:lang w:val="en-US" w:eastAsia="zh-CN" w:bidi="ar"/>
              </w:rPr>
            </w:pPr>
            <w:r>
              <w:rPr>
                <w:rFonts w:hint="default" w:ascii="Times New Roman" w:hAnsi="Times New Roman" w:eastAsia="宋体" w:cs="Times New Roman"/>
                <w:color w:val="auto"/>
                <w:spacing w:val="11"/>
                <w:kern w:val="0"/>
                <w:position w:val="0"/>
                <w:sz w:val="24"/>
                <w:szCs w:val="24"/>
                <w:highlight w:val="none"/>
                <w:u w:val="none" w:color="auto"/>
                <w:lang w:val="en-US" w:eastAsia="zh-CN" w:bidi="ar"/>
              </w:rPr>
              <w:t>经分析，</w:t>
            </w:r>
            <w:r>
              <w:rPr>
                <w:rFonts w:hint="eastAsia" w:cs="Times New Roman"/>
                <w:color w:val="auto"/>
                <w:spacing w:val="11"/>
                <w:kern w:val="0"/>
                <w:position w:val="0"/>
                <w:sz w:val="24"/>
                <w:szCs w:val="24"/>
                <w:highlight w:val="none"/>
                <w:u w:val="none" w:color="auto"/>
                <w:lang w:val="en-US" w:eastAsia="zh-CN" w:bidi="ar"/>
              </w:rPr>
              <w:t>本</w:t>
            </w:r>
            <w:r>
              <w:rPr>
                <w:rFonts w:hint="default" w:ascii="Times New Roman" w:hAnsi="Times New Roman" w:eastAsia="宋体" w:cs="Times New Roman"/>
                <w:color w:val="auto"/>
                <w:spacing w:val="11"/>
                <w:kern w:val="0"/>
                <w:position w:val="0"/>
                <w:sz w:val="24"/>
                <w:szCs w:val="24"/>
                <w:highlight w:val="none"/>
                <w:u w:val="none" w:color="auto"/>
                <w:lang w:val="en-US" w:eastAsia="zh-CN" w:bidi="ar"/>
              </w:rPr>
              <w:t>项目可能存在的风险类型有：</w:t>
            </w:r>
          </w:p>
          <w:p w14:paraId="127093F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none" w:color="auto"/>
                <w:lang w:val="en-US" w:eastAsia="zh-CN" w:bidi="ar"/>
              </w:rPr>
            </w:pPr>
            <w:r>
              <w:rPr>
                <w:rFonts w:hint="default" w:ascii="Times New Roman" w:hAnsi="Times New Roman" w:eastAsia="宋体" w:cs="Times New Roman"/>
                <w:color w:val="auto"/>
                <w:spacing w:val="11"/>
                <w:kern w:val="0"/>
                <w:position w:val="0"/>
                <w:sz w:val="24"/>
                <w:szCs w:val="24"/>
                <w:highlight w:val="none"/>
                <w:u w:val="none" w:color="auto"/>
                <w:lang w:val="en-US" w:eastAsia="zh-CN" w:bidi="ar"/>
              </w:rPr>
              <w:t>①本项目</w:t>
            </w:r>
            <w:r>
              <w:rPr>
                <w:rFonts w:hint="eastAsia" w:cs="Times New Roman"/>
                <w:color w:val="auto"/>
                <w:spacing w:val="11"/>
                <w:kern w:val="0"/>
                <w:position w:val="0"/>
                <w:sz w:val="24"/>
                <w:szCs w:val="24"/>
                <w:highlight w:val="none"/>
                <w:u w:val="none" w:color="auto"/>
                <w:lang w:val="en-US" w:eastAsia="zh-CN" w:bidi="ar"/>
              </w:rPr>
              <w:t>在</w:t>
            </w:r>
            <w:r>
              <w:rPr>
                <w:rFonts w:hint="default" w:ascii="Times New Roman" w:hAnsi="Times New Roman" w:eastAsia="宋体" w:cs="Times New Roman"/>
                <w:color w:val="auto"/>
                <w:spacing w:val="11"/>
                <w:kern w:val="0"/>
                <w:position w:val="0"/>
                <w:sz w:val="24"/>
                <w:szCs w:val="24"/>
                <w:highlight w:val="none"/>
                <w:u w:val="none" w:color="auto"/>
                <w:lang w:val="en-US" w:eastAsia="zh-CN" w:bidi="ar"/>
              </w:rPr>
              <w:t>日常医疗过程中仍可能接触到携带有致病性微生物相关的病人，如：流感病人、肝炎病人、肺结核病人、痢疾病人等，医院内存在着致病性微生物（细菌、病毒）产生环境风险的潜在可能。</w:t>
            </w:r>
          </w:p>
          <w:p w14:paraId="37AAC59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none" w:color="auto"/>
                <w:lang w:val="en-US" w:eastAsia="zh-CN" w:bidi="ar"/>
              </w:rPr>
            </w:pPr>
            <w:r>
              <w:rPr>
                <w:rFonts w:hint="default" w:ascii="Times New Roman" w:hAnsi="Times New Roman" w:eastAsia="宋体" w:cs="Times New Roman"/>
                <w:color w:val="auto"/>
                <w:spacing w:val="11"/>
                <w:kern w:val="0"/>
                <w:position w:val="0"/>
                <w:sz w:val="24"/>
                <w:szCs w:val="24"/>
                <w:highlight w:val="none"/>
                <w:u w:val="none" w:color="auto"/>
                <w:lang w:val="en-US" w:eastAsia="zh-CN" w:bidi="ar"/>
              </w:rPr>
              <w:t>②医疗废物中含有大量致病菌，在医疗废物收集、储存、运输过程中，由于操作不当或管理缺失，所造成的医疗废物泄漏风险。</w:t>
            </w:r>
          </w:p>
          <w:p w14:paraId="61EAADD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none" w:color="auto"/>
                <w:lang w:val="en-US" w:eastAsia="zh-CN" w:bidi="ar"/>
              </w:rPr>
            </w:pPr>
            <w:r>
              <w:rPr>
                <w:rFonts w:hint="default" w:ascii="Times New Roman" w:hAnsi="Times New Roman" w:eastAsia="宋体" w:cs="Times New Roman"/>
                <w:color w:val="auto"/>
                <w:spacing w:val="11"/>
                <w:kern w:val="0"/>
                <w:position w:val="0"/>
                <w:sz w:val="24"/>
                <w:szCs w:val="24"/>
                <w:highlight w:val="none"/>
                <w:u w:val="none" w:color="auto"/>
                <w:lang w:val="en-US" w:eastAsia="zh-CN" w:bidi="ar"/>
              </w:rPr>
              <w:t>③由于医院污水处理设备的故障，使含有病原微生物、有毒有害和难生物降解的污染物进入市政污水管网，对污水处理厂运行产生不利影响，病原微生物等对地表水体也将产生不利影响，存在医疗废水处理设施事故状态下的排污风险。</w:t>
            </w:r>
          </w:p>
          <w:p w14:paraId="4AAF561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outlineLvl w:val="2"/>
              <w:rPr>
                <w:rFonts w:hint="default" w:ascii="Times New Roman" w:hAnsi="Times New Roman" w:eastAsia="宋体" w:cs="Times New Roman"/>
                <w:b/>
                <w:bCs/>
                <w:color w:val="auto"/>
                <w:spacing w:val="11"/>
                <w:kern w:val="2"/>
                <w:position w:val="0"/>
                <w:sz w:val="24"/>
                <w:szCs w:val="22"/>
                <w:highlight w:val="none"/>
                <w:u w:val="none" w:color="auto"/>
                <w:lang w:val="en-US" w:eastAsia="zh-CN" w:bidi="ar-SA"/>
              </w:rPr>
            </w:pPr>
            <w:r>
              <w:rPr>
                <w:rFonts w:hint="eastAsia" w:cs="Times New Roman"/>
                <w:b/>
                <w:bCs/>
                <w:color w:val="auto"/>
                <w:spacing w:val="11"/>
                <w:kern w:val="2"/>
                <w:position w:val="0"/>
                <w:sz w:val="24"/>
                <w:szCs w:val="22"/>
                <w:highlight w:val="none"/>
                <w:u w:val="none" w:color="auto"/>
                <w:lang w:val="en-US" w:eastAsia="zh-CN" w:bidi="ar-SA"/>
              </w:rPr>
              <w:t>7</w:t>
            </w:r>
            <w:r>
              <w:rPr>
                <w:rFonts w:hint="eastAsia" w:ascii="Times New Roman" w:hAnsi="Times New Roman" w:eastAsia="宋体" w:cs="Times New Roman"/>
                <w:b/>
                <w:bCs/>
                <w:color w:val="auto"/>
                <w:spacing w:val="11"/>
                <w:kern w:val="2"/>
                <w:position w:val="0"/>
                <w:sz w:val="24"/>
                <w:szCs w:val="22"/>
                <w:highlight w:val="none"/>
                <w:u w:val="none" w:color="auto"/>
                <w:lang w:val="en-US" w:eastAsia="zh-CN" w:bidi="ar-SA"/>
              </w:rPr>
              <w:t>.3</w:t>
            </w:r>
            <w:r>
              <w:rPr>
                <w:rFonts w:hint="default" w:ascii="Times New Roman" w:hAnsi="Times New Roman" w:eastAsia="宋体" w:cs="Times New Roman"/>
                <w:b/>
                <w:bCs/>
                <w:color w:val="auto"/>
                <w:spacing w:val="11"/>
                <w:kern w:val="2"/>
                <w:position w:val="0"/>
                <w:sz w:val="24"/>
                <w:szCs w:val="22"/>
                <w:highlight w:val="none"/>
                <w:u w:val="none" w:color="auto"/>
                <w:lang w:val="en-US" w:eastAsia="zh-CN" w:bidi="ar-SA"/>
              </w:rPr>
              <w:t>环境风险分析</w:t>
            </w:r>
          </w:p>
          <w:p w14:paraId="1CFD2D2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①致病微生物环境风险分析</w:t>
            </w:r>
          </w:p>
          <w:p w14:paraId="5AA6D2C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直接传播进入人体发生疾病的途径主要有三种：血液、体液传播（如艾滋病、乙型肝炎、EB病毒等）、消化道传播（甲型/戊型肝炎、幽门螺旋菌、霍乱弧菌、沙门菌属等）和呼吸道传播（非典型性肺炎、肺结核、流感、炭疽和麻疹等）。</w:t>
            </w:r>
          </w:p>
          <w:p w14:paraId="6C22815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血液、体液、消化道传播的传染病的主要特征是指接触除与病人的接触和医疗操作感染外，因医院环境污染而造成的影响，其主要表现在医疗废物泄漏到环境中，发生与人接触的事件；医院污水收集处理系统不完善，带菌毒的污水进入外环境等。</w:t>
            </w:r>
          </w:p>
          <w:p w14:paraId="02721F5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呼吸道传播的传染病是因为病毒、细菌本身悬浮在空气中，或衣服在尘埃上悬浮于空气中，进入人的呼吸系统，病毒、微生物空气传播污染范围大，难于防护，易引起人群和社会恐慌。但能导致疾病的传播主要是近距离的飞沫传播。</w:t>
            </w:r>
          </w:p>
          <w:p w14:paraId="6394BBB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②医疗固体废物收集、贮存和运输风险</w:t>
            </w:r>
          </w:p>
          <w:p w14:paraId="4632B9D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医疗固废中回收利用价值低，且可能残留传染性病菌、病毒、化学污染物等有害物质，导致其有极强的传染性、生物病毒性和腐蚀性。其病毒、病菌的危害性是普通生活垃圾的几十、几百甚至上千倍。同时本身所携带病菌数量巨大，种类繁多，有空间传染、急性传染、交叉传染、潜伏传染的特性。如果不经有效分类收集处理的话，很容易引起各种疾病的传播和蔓延。将极大的危害人们身心健康，成为疫病流行的源头，后果是不可想象的。</w:t>
            </w:r>
          </w:p>
          <w:p w14:paraId="7929F4E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③医疗废水事故排放</w:t>
            </w:r>
          </w:p>
          <w:p w14:paraId="51478C0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导致医疗废水处理事故的原因主要包括以下两个方面：一是操作不当或处理设施失灵使废水不能达标排放。而废水中具有传染性的污染因子如病人的血、尿、便可以诱发疾病或造成伤害；酸、碱、SS、BOD</w:t>
            </w:r>
            <w:r>
              <w:rPr>
                <w:rFonts w:hint="default" w:ascii="Times New Roman" w:hAnsi="Times New Roman" w:eastAsia="宋体" w:cs="Times New Roman"/>
                <w:color w:val="auto"/>
                <w:spacing w:val="11"/>
                <w:kern w:val="0"/>
                <w:position w:val="0"/>
                <w:sz w:val="24"/>
                <w:szCs w:val="24"/>
                <w:highlight w:val="none"/>
                <w:u w:val="single" w:color="auto"/>
                <w:vertAlign w:val="subscript"/>
                <w:lang w:val="en-US" w:eastAsia="zh-CN" w:bidi="ar"/>
              </w:rPr>
              <w:t>5</w:t>
            </w: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COD等有毒、有害物质和多种致病菌、病毒和寄生虫卵，在环境中具有一定的适应力，危害性较大。二是虽然废水水质处理达标，但未能较好地控制水量，使过多的余氯、大肠杆菌排放水体，影响附近的水环境质量。</w:t>
            </w:r>
          </w:p>
          <w:p w14:paraId="25EA732B">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ascii="Times New Roman" w:hAnsi="Times New Roman" w:eastAsia="宋体" w:cs="Times New Roman"/>
                <w:b/>
                <w:bCs/>
                <w:color w:val="auto"/>
                <w:spacing w:val="11"/>
                <w:position w:val="0"/>
                <w:szCs w:val="24"/>
                <w:u w:val="single" w:color="auto"/>
              </w:rPr>
            </w:pPr>
            <w:r>
              <w:rPr>
                <w:rFonts w:hint="eastAsia" w:cs="Times New Roman"/>
                <w:b/>
                <w:bCs/>
                <w:color w:val="auto"/>
                <w:spacing w:val="11"/>
                <w:position w:val="0"/>
                <w:szCs w:val="24"/>
                <w:u w:val="single" w:color="auto"/>
                <w:lang w:val="en-US" w:eastAsia="zh-CN"/>
              </w:rPr>
              <w:t>7.4</w:t>
            </w:r>
            <w:r>
              <w:rPr>
                <w:rFonts w:ascii="Times New Roman" w:hAnsi="Times New Roman" w:eastAsia="宋体" w:cs="Times New Roman"/>
                <w:b/>
                <w:bCs/>
                <w:color w:val="auto"/>
                <w:spacing w:val="11"/>
                <w:position w:val="0"/>
                <w:szCs w:val="24"/>
                <w:u w:val="single" w:color="auto"/>
              </w:rPr>
              <w:t>风险防范措施及应急要求</w:t>
            </w:r>
          </w:p>
          <w:p w14:paraId="35EA5801">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①致病微生物环境防范及应急措施</w:t>
            </w:r>
          </w:p>
          <w:p w14:paraId="2EF2DFA0">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本项目</w:t>
            </w:r>
            <w:r>
              <w:rPr>
                <w:rFonts w:hint="eastAsia" w:cs="Times New Roman"/>
                <w:color w:val="auto"/>
                <w:spacing w:val="11"/>
                <w:position w:val="0"/>
                <w:szCs w:val="24"/>
                <w:u w:val="single" w:color="auto"/>
                <w:lang w:val="en-US" w:eastAsia="zh-CN"/>
              </w:rPr>
              <w:t>未设置感染科</w:t>
            </w:r>
            <w:r>
              <w:rPr>
                <w:rFonts w:hint="eastAsia" w:ascii="Times New Roman" w:hAnsi="Times New Roman" w:eastAsia="宋体" w:cs="Times New Roman"/>
                <w:color w:val="auto"/>
                <w:spacing w:val="11"/>
                <w:position w:val="0"/>
                <w:szCs w:val="24"/>
                <w:u w:val="single" w:color="auto"/>
              </w:rPr>
              <w:t>，因此在日常诊疗中应</w:t>
            </w:r>
            <w:r>
              <w:rPr>
                <w:rFonts w:hint="eastAsia" w:cs="Times New Roman"/>
                <w:color w:val="auto"/>
                <w:spacing w:val="11"/>
                <w:position w:val="0"/>
                <w:szCs w:val="24"/>
                <w:u w:val="single" w:color="auto"/>
                <w:lang w:val="en-US" w:eastAsia="zh-CN"/>
              </w:rPr>
              <w:t>注意感染病例</w:t>
            </w:r>
            <w:r>
              <w:rPr>
                <w:rFonts w:hint="eastAsia" w:ascii="Times New Roman" w:hAnsi="Times New Roman" w:eastAsia="宋体" w:cs="Times New Roman"/>
                <w:color w:val="auto"/>
                <w:spacing w:val="11"/>
                <w:position w:val="0"/>
                <w:szCs w:val="24"/>
                <w:u w:val="single" w:color="auto"/>
              </w:rPr>
              <w:t>，尽量将传染病例进行单独诊治，并给予特殊管理。同时医院职工做好传染病防治工作，严格控制传染病对外蔓延的趋势。缩小传染病病毒接触群体，将传染对象降到最低，适当时候应当进行隔离的保守治疗方式。</w:t>
            </w:r>
          </w:p>
          <w:p w14:paraId="7114A969">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②医疗固废收集、贮存和运输风险防范措施</w:t>
            </w:r>
          </w:p>
          <w:p w14:paraId="4EB1F480">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A.医疗废物暂存的风险防范</w:t>
            </w:r>
          </w:p>
          <w:p w14:paraId="15F25AFA">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本项目</w:t>
            </w:r>
            <w:r>
              <w:rPr>
                <w:rFonts w:hint="eastAsia" w:cs="Times New Roman"/>
                <w:color w:val="auto"/>
                <w:spacing w:val="11"/>
                <w:position w:val="0"/>
                <w:szCs w:val="24"/>
                <w:u w:val="single" w:color="auto"/>
                <w:lang w:val="en-US" w:eastAsia="zh-CN"/>
              </w:rPr>
              <w:t>拟设置</w:t>
            </w:r>
            <w:r>
              <w:rPr>
                <w:rFonts w:hint="eastAsia" w:ascii="Times New Roman" w:hAnsi="Times New Roman" w:eastAsia="宋体" w:cs="Times New Roman"/>
                <w:color w:val="auto"/>
                <w:spacing w:val="11"/>
                <w:position w:val="0"/>
                <w:szCs w:val="24"/>
                <w:u w:val="single" w:color="auto"/>
              </w:rPr>
              <w:t>医疗废物暂存</w:t>
            </w:r>
            <w:r>
              <w:rPr>
                <w:rFonts w:hint="eastAsia" w:cs="Times New Roman"/>
                <w:color w:val="auto"/>
                <w:spacing w:val="11"/>
                <w:position w:val="0"/>
                <w:szCs w:val="24"/>
                <w:u w:val="single" w:color="auto"/>
                <w:lang w:val="en-US" w:eastAsia="zh-CN"/>
              </w:rPr>
              <w:t>间以及废物间对产生的危废进行暂存</w:t>
            </w:r>
            <w:r>
              <w:rPr>
                <w:rFonts w:hint="eastAsia" w:ascii="Times New Roman" w:hAnsi="Times New Roman" w:eastAsia="宋体" w:cs="Times New Roman"/>
                <w:color w:val="auto"/>
                <w:spacing w:val="11"/>
                <w:position w:val="0"/>
                <w:szCs w:val="24"/>
                <w:u w:val="single" w:color="auto"/>
              </w:rPr>
              <w:t>。与生活垃圾存放地分开。远离医疗区、人员活动区，方便医疗废物运送人员及运送工具、车辆的出入；设专职人员管理，防止非工作人员接触医疗废物；有防鼠、防蚊蝇、防蟑螂的安全措施；防止渗漏和雨水冲刷；设有明显的医疗废物警示标识和“禁止吸烟、饮食”的警示标识；医疗废物分类收集，采用专用容器，明确各类废弃物标识，分类包装，分类堆放。暂时贮存病理性废物，应当具备低温贮存或者防腐条件。</w:t>
            </w:r>
          </w:p>
          <w:p w14:paraId="65B0379F">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对感染性废物必须采取安全、有效、经济的隔离和处理方法。操作感染性或任何有潜在危害的废物时，必须穿戴手套和防护服由专业人员严格区分感染性和非感染性废物。收集锐利物日包装容器必须使用硬质、防漏、防刺破材料。针或刀应保存在有明显标记、防泄漏、防刺破的容器内。处理含有锐利物品的感染性废料时应使用防刺破手套。同时对暂存的医疗废物及时清运处理。</w:t>
            </w:r>
          </w:p>
          <w:p w14:paraId="01A50986">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②医疗废物转运的风险防范</w:t>
            </w:r>
          </w:p>
          <w:p w14:paraId="7C2992C8">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医疗垃圾运送要使用专用车辆，车辆厢体要与驾驶室分离并密闭，厢体内应达到气密性要求，厢体地步防液体渗漏，内壁光滑平整，易于清洗消毒；医疗垃圾运送路线要避开人口密集区域和交通拥堵道路。运输车辆配备《危险废物转移联单》（医疗废物专用）、《医疗废物运送登记卡》、运送路线图、通讯设备、医疗废物产生单位及其管理人员名单与电话号码、事故应急预案及联系单位和人员名单与电话号码、收集医疗废物的工具及消毒器具与药品、防护用品等。</w:t>
            </w:r>
          </w:p>
          <w:p w14:paraId="4C92FFC5">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医疗废物运送人员在接收医疗废物时，应外观检查医院是否按规定进行包装、标识，不得打开包装袋取出医疗废物。医疗废物运送采用《危险废物转移联单》（医疗废物专用）、《医疗废物运送登记卡》管理制度。</w:t>
            </w:r>
          </w:p>
          <w:p w14:paraId="5DE3C440">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③医用危险化学品事故性泄漏防范及应急措施</w:t>
            </w:r>
          </w:p>
          <w:p w14:paraId="638C11CE">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医用危险化学品的购买、储存、保管和使用，以及运输应当按照《危险化学品安全管理条例》（国务院令第645号）的规定进行管理。危险化学品必须储存在专用的储存室内，其存储方式、方法和数量必须符合国家标准，并由专人管理，危险化学品出入库应进行核查登记，并定期检查库存，实行双人双发、双人保管制度。</w:t>
            </w:r>
          </w:p>
          <w:p w14:paraId="642B2CB2">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④医疗废水事故排放防范及应急措施</w:t>
            </w:r>
          </w:p>
          <w:p w14:paraId="1AD3AD3E">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A.做到雨污分流，保证污水管道施工质量，注意工程废水总排口与市污水管线的衔接，加强污水治理设施的运行管理，定期的检查、维护和保养污水管道及污水处理站，避免管道堵塞、破裂等情况发生。</w:t>
            </w:r>
          </w:p>
          <w:p w14:paraId="2D6AD24C">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B</w:t>
            </w:r>
            <w:r>
              <w:rPr>
                <w:rFonts w:hint="eastAsia" w:cs="Times New Roman"/>
                <w:color w:val="auto"/>
                <w:spacing w:val="11"/>
                <w:position w:val="0"/>
                <w:szCs w:val="24"/>
                <w:u w:val="single" w:color="auto"/>
                <w:lang w:eastAsia="zh-CN"/>
              </w:rPr>
              <w:t>.</w:t>
            </w:r>
            <w:r>
              <w:rPr>
                <w:rFonts w:hint="eastAsia" w:ascii="Times New Roman" w:hAnsi="Times New Roman" w:eastAsia="宋体" w:cs="Times New Roman"/>
                <w:color w:val="auto"/>
                <w:spacing w:val="11"/>
                <w:position w:val="0"/>
                <w:szCs w:val="24"/>
                <w:u w:val="single" w:color="auto"/>
              </w:rPr>
              <w:t>加强污水处理效果的监控设施建设，处理后出水指标要按照环境管理工作制度的要求，定期、定时进行监测，以保证污水稳定达标排放。</w:t>
            </w:r>
          </w:p>
          <w:p w14:paraId="6E15DB3A">
            <w:pPr>
              <w:ind w:left="0" w:leftChars="0" w:firstLine="0" w:firstLineChars="0"/>
              <w:rPr>
                <w:rFonts w:ascii="Times New Roman" w:hAnsi="Times New Roman" w:eastAsia="宋体" w:cs="Times New Roman"/>
                <w:color w:val="auto"/>
                <w:spacing w:val="11"/>
                <w:position w:val="0"/>
                <w:szCs w:val="24"/>
                <w:highlight w:val="none"/>
                <w:u w:val="none" w:color="auto"/>
              </w:rPr>
            </w:pPr>
            <w:r>
              <w:rPr>
                <w:rFonts w:hint="eastAsia" w:cs="Times New Roman"/>
                <w:b/>
                <w:bCs/>
                <w:color w:val="auto"/>
                <w:spacing w:val="11"/>
                <w:position w:val="0"/>
                <w:sz w:val="24"/>
                <w:szCs w:val="22"/>
                <w:highlight w:val="none"/>
                <w:u w:val="none" w:color="auto"/>
                <w:lang w:val="en-US" w:eastAsia="zh-CN"/>
              </w:rPr>
              <w:t>7</w:t>
            </w:r>
            <w:r>
              <w:rPr>
                <w:rFonts w:hint="eastAsia" w:ascii="Times New Roman" w:hAnsi="Times New Roman" w:eastAsia="宋体" w:cs="Times New Roman"/>
                <w:b/>
                <w:bCs/>
                <w:color w:val="auto"/>
                <w:spacing w:val="11"/>
                <w:position w:val="0"/>
                <w:sz w:val="24"/>
                <w:szCs w:val="22"/>
                <w:highlight w:val="none"/>
                <w:u w:val="none" w:color="auto"/>
                <w:lang w:val="en-US" w:eastAsia="zh-CN"/>
              </w:rPr>
              <w:t>.</w:t>
            </w:r>
            <w:r>
              <w:rPr>
                <w:rFonts w:hint="eastAsia" w:cs="Times New Roman"/>
                <w:b/>
                <w:bCs/>
                <w:color w:val="auto"/>
                <w:spacing w:val="11"/>
                <w:position w:val="0"/>
                <w:sz w:val="24"/>
                <w:szCs w:val="22"/>
                <w:highlight w:val="none"/>
                <w:u w:val="none" w:color="auto"/>
                <w:lang w:val="en-US" w:eastAsia="zh-CN"/>
              </w:rPr>
              <w:t>5</w:t>
            </w:r>
            <w:r>
              <w:rPr>
                <w:rFonts w:hint="default" w:ascii="Times New Roman" w:hAnsi="Times New Roman" w:eastAsia="宋体" w:cs="Times New Roman"/>
                <w:b/>
                <w:bCs/>
                <w:color w:val="auto"/>
                <w:spacing w:val="11"/>
                <w:position w:val="0"/>
                <w:sz w:val="24"/>
                <w:szCs w:val="22"/>
                <w:highlight w:val="none"/>
                <w:u w:val="none" w:color="auto"/>
              </w:rPr>
              <w:t>建设项目环境风险简单分析内容表</w:t>
            </w:r>
          </w:p>
          <w:p w14:paraId="09BC7191">
            <w:pPr>
              <w:autoSpaceDE w:val="0"/>
              <w:autoSpaceDN w:val="0"/>
              <w:ind w:firstLine="480"/>
              <w:jc w:val="left"/>
              <w:rPr>
                <w:rFonts w:ascii="Times New Roman" w:hAnsi="Times New Roman" w:eastAsia="宋体" w:cs="Times New Roman"/>
                <w:color w:val="auto"/>
                <w:spacing w:val="11"/>
                <w:position w:val="0"/>
                <w:u w:val="none" w:color="auto"/>
              </w:rPr>
            </w:pPr>
            <w:r>
              <w:rPr>
                <w:rFonts w:ascii="Times New Roman" w:hAnsi="Times New Roman" w:eastAsia="宋体" w:cs="Times New Roman"/>
                <w:bCs/>
                <w:color w:val="auto"/>
                <w:spacing w:val="11"/>
                <w:position w:val="0"/>
                <w:u w:val="none" w:color="auto"/>
              </w:rPr>
              <w:t>建设项目环境风险简单分析内容表如下：</w:t>
            </w:r>
          </w:p>
          <w:p w14:paraId="5C78ED52">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b/>
                <w:bCs/>
                <w:color w:val="auto"/>
                <w:spacing w:val="11"/>
                <w:kern w:val="2"/>
                <w:position w:val="0"/>
                <w:sz w:val="21"/>
                <w:szCs w:val="21"/>
                <w:highlight w:val="none"/>
                <w:u w:val="none" w:color="auto"/>
                <w:lang w:val="en-US" w:eastAsia="zh-CN" w:bidi="ar-SA"/>
              </w:rPr>
              <w:t>表4-</w:t>
            </w:r>
            <w:r>
              <w:rPr>
                <w:rFonts w:hint="eastAsia" w:cs="Times New Roman"/>
                <w:b/>
                <w:bCs/>
                <w:color w:val="auto"/>
                <w:spacing w:val="11"/>
                <w:kern w:val="2"/>
                <w:position w:val="0"/>
                <w:sz w:val="21"/>
                <w:szCs w:val="21"/>
                <w:highlight w:val="none"/>
                <w:u w:val="none" w:color="auto"/>
                <w:lang w:val="en-US" w:eastAsia="zh-CN" w:bidi="ar-SA"/>
              </w:rPr>
              <w:t>20</w:t>
            </w:r>
            <w:r>
              <w:rPr>
                <w:rFonts w:hint="default" w:ascii="Times New Roman" w:hAnsi="Times New Roman" w:eastAsia="宋体" w:cs="Times New Roman"/>
                <w:b/>
                <w:bCs/>
                <w:color w:val="auto"/>
                <w:spacing w:val="11"/>
                <w:kern w:val="2"/>
                <w:position w:val="0"/>
                <w:sz w:val="21"/>
                <w:szCs w:val="21"/>
                <w:highlight w:val="none"/>
                <w:u w:val="none" w:color="auto"/>
                <w:lang w:val="en-US" w:eastAsia="zh-CN" w:bidi="ar-SA"/>
              </w:rPr>
              <w:t xml:space="preserve"> </w:t>
            </w:r>
            <w:r>
              <w:rPr>
                <w:rFonts w:hint="eastAsia" w:cs="Times New Roman"/>
                <w:b/>
                <w:bCs/>
                <w:color w:val="auto"/>
                <w:spacing w:val="11"/>
                <w:kern w:val="2"/>
                <w:position w:val="0"/>
                <w:sz w:val="21"/>
                <w:szCs w:val="21"/>
                <w:highlight w:val="none"/>
                <w:u w:val="none" w:color="auto"/>
                <w:lang w:val="en-US" w:eastAsia="zh-CN" w:bidi="ar-SA"/>
              </w:rPr>
              <w:t xml:space="preserve"> </w:t>
            </w:r>
            <w:r>
              <w:rPr>
                <w:rFonts w:hint="default" w:ascii="Times New Roman" w:hAnsi="Times New Roman" w:eastAsia="宋体" w:cs="Times New Roman"/>
                <w:b/>
                <w:bCs/>
                <w:color w:val="auto"/>
                <w:spacing w:val="11"/>
                <w:kern w:val="2"/>
                <w:position w:val="0"/>
                <w:sz w:val="21"/>
                <w:szCs w:val="21"/>
                <w:highlight w:val="none"/>
                <w:u w:val="none" w:color="auto"/>
                <w:lang w:val="en-US" w:eastAsia="zh-CN" w:bidi="ar-SA"/>
              </w:rPr>
              <w:t>建设项目环境风险简单分析内容表</w:t>
            </w:r>
          </w:p>
          <w:tbl>
            <w:tblPr>
              <w:tblStyle w:val="24"/>
              <w:tblW w:w="4999" w:type="pct"/>
              <w:tblInd w:w="11"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419"/>
              <w:gridCol w:w="975"/>
              <w:gridCol w:w="2728"/>
              <w:gridCol w:w="975"/>
              <w:gridCol w:w="2848"/>
            </w:tblGrid>
            <w:tr w14:paraId="0969BA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793" w:type="pct"/>
                  <w:tcBorders>
                    <w:tl2br w:val="nil"/>
                    <w:tr2bl w:val="nil"/>
                  </w:tcBorders>
                  <w:shd w:val="clear" w:color="auto" w:fill="auto"/>
                  <w:noWrap w:val="0"/>
                  <w:vAlign w:val="center"/>
                </w:tcPr>
                <w:p w14:paraId="1697E6C0">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建设项目名称</w:t>
                  </w:r>
                </w:p>
              </w:tc>
              <w:tc>
                <w:tcPr>
                  <w:tcW w:w="4206" w:type="pct"/>
                  <w:gridSpan w:val="4"/>
                  <w:tcBorders>
                    <w:tl2br w:val="nil"/>
                    <w:tr2bl w:val="nil"/>
                  </w:tcBorders>
                  <w:shd w:val="clear" w:color="auto" w:fill="auto"/>
                  <w:noWrap w:val="0"/>
                  <w:vAlign w:val="center"/>
                </w:tcPr>
                <w:p w14:paraId="3042D13E">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cs="Times New Roman"/>
                      <w:color w:val="auto"/>
                      <w:spacing w:val="11"/>
                      <w:kern w:val="2"/>
                      <w:position w:val="0"/>
                      <w:sz w:val="21"/>
                      <w:szCs w:val="21"/>
                      <w:highlight w:val="none"/>
                      <w:u w:val="none" w:color="auto"/>
                      <w:lang w:val="en-US" w:eastAsia="zh-CN" w:bidi="ar-SA"/>
                    </w:rPr>
                    <w:t>新田县中医医院门诊、医技、内科住院综合楼项目</w:t>
                  </w:r>
                </w:p>
              </w:tc>
            </w:tr>
            <w:tr w14:paraId="690D85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793" w:type="pct"/>
                  <w:tcBorders>
                    <w:tl2br w:val="nil"/>
                    <w:tr2bl w:val="nil"/>
                  </w:tcBorders>
                  <w:shd w:val="clear" w:color="auto" w:fill="auto"/>
                  <w:noWrap w:val="0"/>
                  <w:vAlign w:val="center"/>
                </w:tcPr>
                <w:p w14:paraId="32E9A637">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建设地点</w:t>
                  </w:r>
                </w:p>
              </w:tc>
              <w:tc>
                <w:tcPr>
                  <w:tcW w:w="545" w:type="pct"/>
                  <w:tcBorders>
                    <w:tl2br w:val="nil"/>
                    <w:tr2bl w:val="nil"/>
                  </w:tcBorders>
                  <w:shd w:val="clear" w:color="auto" w:fill="auto"/>
                  <w:noWrap w:val="0"/>
                  <w:vAlign w:val="center"/>
                </w:tcPr>
                <w:p w14:paraId="588FC796">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湖南省</w:t>
                  </w:r>
                </w:p>
              </w:tc>
              <w:tc>
                <w:tcPr>
                  <w:tcW w:w="1525" w:type="pct"/>
                  <w:tcBorders>
                    <w:tl2br w:val="nil"/>
                    <w:tr2bl w:val="nil"/>
                  </w:tcBorders>
                  <w:shd w:val="clear" w:color="auto" w:fill="auto"/>
                  <w:noWrap w:val="0"/>
                  <w:vAlign w:val="center"/>
                </w:tcPr>
                <w:p w14:paraId="4F1599F1">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none" w:color="auto"/>
                      <w:lang w:val="en-US" w:eastAsia="zh-CN" w:bidi="ar-SA"/>
                    </w:rPr>
                    <w:t>永州</w:t>
                  </w: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市</w:t>
                  </w:r>
                </w:p>
              </w:tc>
              <w:tc>
                <w:tcPr>
                  <w:tcW w:w="545" w:type="pct"/>
                  <w:tcBorders>
                    <w:tl2br w:val="nil"/>
                    <w:tr2bl w:val="nil"/>
                  </w:tcBorders>
                  <w:shd w:val="clear" w:color="auto" w:fill="auto"/>
                  <w:noWrap w:val="0"/>
                  <w:vAlign w:val="center"/>
                </w:tcPr>
                <w:p w14:paraId="42B667EA">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none" w:color="auto"/>
                      <w:lang w:val="en-US" w:eastAsia="zh-CN" w:bidi="ar-SA"/>
                    </w:rPr>
                    <w:t>新田县</w:t>
                  </w:r>
                </w:p>
              </w:tc>
              <w:tc>
                <w:tcPr>
                  <w:tcW w:w="1589" w:type="pct"/>
                  <w:tcBorders>
                    <w:tl2br w:val="nil"/>
                    <w:tr2bl w:val="nil"/>
                  </w:tcBorders>
                  <w:shd w:val="clear" w:color="auto" w:fill="auto"/>
                  <w:noWrap w:val="0"/>
                  <w:vAlign w:val="center"/>
                </w:tcPr>
                <w:p w14:paraId="2BD6BDBF">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cs="Times New Roman"/>
                      <w:color w:val="auto"/>
                      <w:spacing w:val="11"/>
                      <w:kern w:val="2"/>
                      <w:position w:val="0"/>
                      <w:sz w:val="21"/>
                      <w:szCs w:val="21"/>
                      <w:highlight w:val="none"/>
                      <w:u w:val="none" w:color="auto"/>
                      <w:lang w:val="en-US" w:eastAsia="zh-CN" w:bidi="ar-SA"/>
                    </w:rPr>
                    <w:t>龙泉街道前进路82号县中医医院院内</w:t>
                  </w:r>
                </w:p>
              </w:tc>
            </w:tr>
            <w:tr w14:paraId="284E70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793" w:type="pct"/>
                  <w:tcBorders>
                    <w:tl2br w:val="nil"/>
                    <w:tr2bl w:val="nil"/>
                  </w:tcBorders>
                  <w:shd w:val="clear" w:color="auto" w:fill="auto"/>
                  <w:noWrap w:val="0"/>
                  <w:vAlign w:val="center"/>
                </w:tcPr>
                <w:p w14:paraId="58687284">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地理坐标</w:t>
                  </w:r>
                </w:p>
              </w:tc>
              <w:tc>
                <w:tcPr>
                  <w:tcW w:w="545" w:type="pct"/>
                  <w:tcBorders>
                    <w:tl2br w:val="nil"/>
                    <w:tr2bl w:val="nil"/>
                  </w:tcBorders>
                  <w:shd w:val="clear" w:color="auto" w:fill="auto"/>
                  <w:noWrap w:val="0"/>
                  <w:vAlign w:val="center"/>
                </w:tcPr>
                <w:p w14:paraId="47A67F1D">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经度</w:t>
                  </w:r>
                </w:p>
              </w:tc>
              <w:tc>
                <w:tcPr>
                  <w:tcW w:w="1525" w:type="pct"/>
                  <w:tcBorders>
                    <w:tl2br w:val="nil"/>
                    <w:tr2bl w:val="nil"/>
                  </w:tcBorders>
                  <w:shd w:val="clear" w:color="auto" w:fill="auto"/>
                  <w:noWrap w:val="0"/>
                  <w:vAlign w:val="center"/>
                </w:tcPr>
                <w:p w14:paraId="6E548641">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112°12′42.709″</w:t>
                  </w:r>
                </w:p>
              </w:tc>
              <w:tc>
                <w:tcPr>
                  <w:tcW w:w="545" w:type="pct"/>
                  <w:tcBorders>
                    <w:tl2br w:val="nil"/>
                    <w:tr2bl w:val="nil"/>
                  </w:tcBorders>
                  <w:shd w:val="clear" w:color="auto" w:fill="auto"/>
                  <w:noWrap w:val="0"/>
                  <w:vAlign w:val="center"/>
                </w:tcPr>
                <w:p w14:paraId="18ED8CA6">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纬度</w:t>
                  </w:r>
                </w:p>
              </w:tc>
              <w:tc>
                <w:tcPr>
                  <w:tcW w:w="1589" w:type="pct"/>
                  <w:tcBorders>
                    <w:tl2br w:val="nil"/>
                    <w:tr2bl w:val="nil"/>
                  </w:tcBorders>
                  <w:shd w:val="clear" w:color="auto" w:fill="auto"/>
                  <w:noWrap w:val="0"/>
                  <w:vAlign w:val="center"/>
                </w:tcPr>
                <w:p w14:paraId="19B99CC4">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25°54′15.570″</w:t>
                  </w:r>
                </w:p>
              </w:tc>
            </w:tr>
            <w:tr w14:paraId="7114F9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trPr>
              <w:tc>
                <w:tcPr>
                  <w:tcW w:w="793" w:type="pct"/>
                  <w:tcBorders>
                    <w:tl2br w:val="nil"/>
                    <w:tr2bl w:val="nil"/>
                  </w:tcBorders>
                  <w:shd w:val="clear" w:color="auto" w:fill="auto"/>
                  <w:noWrap w:val="0"/>
                  <w:vAlign w:val="center"/>
                </w:tcPr>
                <w:p w14:paraId="48276505">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主要危险物质及分布</w:t>
                  </w:r>
                </w:p>
              </w:tc>
              <w:tc>
                <w:tcPr>
                  <w:tcW w:w="4206" w:type="pct"/>
                  <w:gridSpan w:val="4"/>
                  <w:tcBorders>
                    <w:tl2br w:val="nil"/>
                    <w:tr2bl w:val="nil"/>
                  </w:tcBorders>
                  <w:shd w:val="clear" w:color="auto" w:fill="auto"/>
                  <w:noWrap w:val="0"/>
                  <w:vAlign w:val="center"/>
                </w:tcPr>
                <w:p w14:paraId="3ECE3C98">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cs="Times New Roman"/>
                      <w:color w:val="auto"/>
                      <w:spacing w:val="11"/>
                      <w:kern w:val="2"/>
                      <w:position w:val="0"/>
                      <w:sz w:val="21"/>
                      <w:szCs w:val="21"/>
                      <w:highlight w:val="none"/>
                      <w:u w:val="none" w:color="auto"/>
                      <w:lang w:val="en-US" w:eastAsia="zh-CN" w:bidi="ar-SA"/>
                    </w:rPr>
                    <w:t>医疗废物暂存间的医疗废物、含铬污水；污水处理站污泥</w:t>
                  </w:r>
                </w:p>
              </w:tc>
            </w:tr>
            <w:tr w14:paraId="3D009F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trPr>
              <w:tc>
                <w:tcPr>
                  <w:tcW w:w="793" w:type="pct"/>
                  <w:tcBorders>
                    <w:tl2br w:val="nil"/>
                    <w:tr2bl w:val="nil"/>
                  </w:tcBorders>
                  <w:shd w:val="clear" w:color="auto" w:fill="auto"/>
                  <w:noWrap w:val="0"/>
                  <w:vAlign w:val="center"/>
                </w:tcPr>
                <w:p w14:paraId="28EFEEEB">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环境影响途径及危害后果（大气、地表水、地下水等）</w:t>
                  </w:r>
                </w:p>
              </w:tc>
              <w:tc>
                <w:tcPr>
                  <w:tcW w:w="4206" w:type="pct"/>
                  <w:gridSpan w:val="4"/>
                  <w:tcBorders>
                    <w:tl2br w:val="nil"/>
                    <w:tr2bl w:val="nil"/>
                  </w:tcBorders>
                  <w:shd w:val="clear" w:color="auto" w:fill="auto"/>
                  <w:noWrap w:val="0"/>
                  <w:vAlign w:val="center"/>
                </w:tcPr>
                <w:p w14:paraId="07A2A123">
                  <w:pPr>
                    <w:keepNext w:val="0"/>
                    <w:keepLines w:val="0"/>
                    <w:widowControl/>
                    <w:suppressLineNumbers w:val="0"/>
                    <w:spacing w:line="240" w:lineRule="auto"/>
                    <w:jc w:val="both"/>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宋体" w:hAnsi="宋体" w:cs="宋体"/>
                      <w:color w:val="auto"/>
                      <w:spacing w:val="11"/>
                      <w:kern w:val="0"/>
                      <w:position w:val="0"/>
                      <w:sz w:val="21"/>
                      <w:szCs w:val="21"/>
                      <w:highlight w:val="none"/>
                      <w:u w:val="none" w:color="auto"/>
                      <w:lang w:val="en-US" w:eastAsia="zh-CN" w:bidi="ar"/>
                    </w:rPr>
                    <w:t>医疗废物</w:t>
                  </w:r>
                  <w:r>
                    <w:rPr>
                      <w:rFonts w:hint="eastAsia" w:ascii="宋体" w:hAnsi="宋体" w:eastAsia="宋体" w:cs="宋体"/>
                      <w:color w:val="auto"/>
                      <w:spacing w:val="11"/>
                      <w:kern w:val="0"/>
                      <w:position w:val="0"/>
                      <w:sz w:val="21"/>
                      <w:szCs w:val="21"/>
                      <w:highlight w:val="none"/>
                      <w:u w:val="none" w:color="auto"/>
                      <w:lang w:val="en-US" w:eastAsia="zh-CN" w:bidi="ar"/>
                    </w:rPr>
                    <w:t>发生泄漏时，</w:t>
                  </w:r>
                  <w:r>
                    <w:rPr>
                      <w:rFonts w:hint="eastAsia" w:ascii="宋体" w:hAnsi="宋体" w:cs="宋体"/>
                      <w:color w:val="auto"/>
                      <w:spacing w:val="11"/>
                      <w:kern w:val="0"/>
                      <w:position w:val="0"/>
                      <w:sz w:val="21"/>
                      <w:szCs w:val="21"/>
                      <w:highlight w:val="none"/>
                      <w:u w:val="none" w:color="auto"/>
                      <w:lang w:val="en-US" w:eastAsia="zh-CN" w:bidi="ar"/>
                    </w:rPr>
                    <w:t>存在</w:t>
                  </w:r>
                  <w:r>
                    <w:rPr>
                      <w:rFonts w:hint="eastAsia" w:ascii="宋体" w:hAnsi="宋体" w:eastAsia="宋体" w:cs="宋体"/>
                      <w:color w:val="auto"/>
                      <w:spacing w:val="11"/>
                      <w:kern w:val="0"/>
                      <w:position w:val="0"/>
                      <w:sz w:val="21"/>
                      <w:szCs w:val="21"/>
                      <w:highlight w:val="none"/>
                      <w:u w:val="none" w:color="auto"/>
                      <w:lang w:val="en-US" w:eastAsia="zh-CN" w:bidi="ar"/>
                    </w:rPr>
                    <w:t>通过雨水排放口进入周边水环境</w:t>
                  </w:r>
                  <w:r>
                    <w:rPr>
                      <w:rFonts w:hint="eastAsia" w:ascii="宋体" w:hAnsi="宋体" w:cs="宋体"/>
                      <w:color w:val="auto"/>
                      <w:spacing w:val="11"/>
                      <w:kern w:val="0"/>
                      <w:position w:val="0"/>
                      <w:sz w:val="21"/>
                      <w:szCs w:val="21"/>
                      <w:highlight w:val="none"/>
                      <w:u w:val="none" w:color="auto"/>
                      <w:lang w:val="en-US" w:eastAsia="zh-CN" w:bidi="ar"/>
                    </w:rPr>
                    <w:t>的可能性</w:t>
                  </w:r>
                  <w:r>
                    <w:rPr>
                      <w:rFonts w:hint="eastAsia" w:ascii="宋体" w:hAnsi="宋体" w:eastAsia="宋体" w:cs="宋体"/>
                      <w:color w:val="auto"/>
                      <w:spacing w:val="11"/>
                      <w:kern w:val="0"/>
                      <w:position w:val="0"/>
                      <w:sz w:val="21"/>
                      <w:szCs w:val="21"/>
                      <w:highlight w:val="none"/>
                      <w:u w:val="none" w:color="auto"/>
                      <w:lang w:val="en-US" w:eastAsia="zh-CN" w:bidi="ar"/>
                    </w:rPr>
                    <w:t>，</w:t>
                  </w:r>
                  <w:r>
                    <w:rPr>
                      <w:rFonts w:hint="eastAsia" w:ascii="宋体" w:hAnsi="宋体" w:cs="宋体"/>
                      <w:color w:val="auto"/>
                      <w:spacing w:val="11"/>
                      <w:kern w:val="0"/>
                      <w:position w:val="0"/>
                      <w:sz w:val="21"/>
                      <w:szCs w:val="21"/>
                      <w:highlight w:val="none"/>
                      <w:u w:val="none" w:color="auto"/>
                      <w:lang w:val="en-US" w:eastAsia="zh-CN" w:bidi="ar"/>
                    </w:rPr>
                    <w:t>将</w:t>
                  </w:r>
                  <w:r>
                    <w:rPr>
                      <w:rFonts w:hint="eastAsia" w:ascii="宋体" w:hAnsi="宋体" w:eastAsia="宋体" w:cs="宋体"/>
                      <w:color w:val="auto"/>
                      <w:spacing w:val="11"/>
                      <w:kern w:val="0"/>
                      <w:position w:val="0"/>
                      <w:sz w:val="21"/>
                      <w:szCs w:val="21"/>
                      <w:highlight w:val="none"/>
                      <w:u w:val="none" w:color="auto"/>
                      <w:lang w:val="en-US" w:eastAsia="zh-CN" w:bidi="ar"/>
                    </w:rPr>
                    <w:t>影响其水环境及水生动植物；发生火灾事故时，消防</w:t>
                  </w:r>
                  <w:r>
                    <w:rPr>
                      <w:rFonts w:hint="eastAsia" w:ascii="宋体" w:hAnsi="宋体" w:cs="宋体"/>
                      <w:color w:val="auto"/>
                      <w:spacing w:val="11"/>
                      <w:kern w:val="0"/>
                      <w:position w:val="0"/>
                      <w:sz w:val="21"/>
                      <w:szCs w:val="21"/>
                      <w:highlight w:val="none"/>
                      <w:u w:val="none" w:color="auto"/>
                      <w:lang w:val="en-US" w:eastAsia="zh-CN" w:bidi="ar"/>
                    </w:rPr>
                    <w:t>废</w:t>
                  </w:r>
                  <w:r>
                    <w:rPr>
                      <w:rFonts w:hint="eastAsia" w:ascii="宋体" w:hAnsi="宋体" w:eastAsia="宋体" w:cs="宋体"/>
                      <w:color w:val="auto"/>
                      <w:spacing w:val="11"/>
                      <w:kern w:val="0"/>
                      <w:position w:val="0"/>
                      <w:sz w:val="21"/>
                      <w:szCs w:val="21"/>
                      <w:highlight w:val="none"/>
                      <w:u w:val="none" w:color="auto"/>
                      <w:lang w:val="en-US" w:eastAsia="zh-CN" w:bidi="ar"/>
                    </w:rPr>
                    <w:t>水、事故废水通过雨水排放口进入周边水环境，影响其水环境及水生动植物。火灾、爆炸过程中产生次生、衍生大气污染物随气流扩散，影响周围大气环境风险受体。</w:t>
                  </w:r>
                </w:p>
              </w:tc>
            </w:tr>
            <w:tr w14:paraId="4B8879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trPr>
              <w:tc>
                <w:tcPr>
                  <w:tcW w:w="793" w:type="pct"/>
                  <w:tcBorders>
                    <w:tl2br w:val="nil"/>
                    <w:tr2bl w:val="nil"/>
                  </w:tcBorders>
                  <w:shd w:val="clear" w:color="auto" w:fill="auto"/>
                  <w:noWrap w:val="0"/>
                  <w:vAlign w:val="center"/>
                </w:tcPr>
                <w:p w14:paraId="720E4A06">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风险防范措施要求</w:t>
                  </w:r>
                </w:p>
              </w:tc>
              <w:tc>
                <w:tcPr>
                  <w:tcW w:w="4206" w:type="pct"/>
                  <w:gridSpan w:val="4"/>
                  <w:tcBorders>
                    <w:tl2br w:val="nil"/>
                    <w:tr2bl w:val="nil"/>
                  </w:tcBorders>
                  <w:shd w:val="clear" w:color="auto" w:fill="auto"/>
                  <w:noWrap w:val="0"/>
                  <w:vAlign w:val="center"/>
                </w:tcPr>
                <w:p w14:paraId="6C7FE10A">
                  <w:pPr>
                    <w:keepNext w:val="0"/>
                    <w:keepLines w:val="0"/>
                    <w:widowControl/>
                    <w:suppressLineNumbers w:val="0"/>
                    <w:spacing w:line="240" w:lineRule="auto"/>
                    <w:ind w:firstLine="464" w:firstLineChars="200"/>
                    <w:jc w:val="both"/>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宋体" w:hAnsi="宋体" w:eastAsia="宋体" w:cs="宋体"/>
                      <w:color w:val="auto"/>
                      <w:spacing w:val="11"/>
                      <w:kern w:val="0"/>
                      <w:position w:val="0"/>
                      <w:sz w:val="21"/>
                      <w:szCs w:val="21"/>
                      <w:highlight w:val="none"/>
                      <w:u w:val="none" w:color="auto"/>
                      <w:lang w:val="en-US" w:eastAsia="zh-CN" w:bidi="ar"/>
                    </w:rPr>
                    <w:t>应对医疗废物暂存间加强管理并在储存区设置</w:t>
                  </w:r>
                  <w:r>
                    <w:rPr>
                      <w:rFonts w:hint="eastAsia" w:ascii="宋体" w:hAnsi="宋体" w:cs="宋体"/>
                      <w:color w:val="auto"/>
                      <w:spacing w:val="11"/>
                      <w:kern w:val="0"/>
                      <w:position w:val="0"/>
                      <w:sz w:val="21"/>
                      <w:szCs w:val="21"/>
                      <w:highlight w:val="none"/>
                      <w:u w:val="none" w:color="auto"/>
                      <w:lang w:val="en-US" w:eastAsia="zh-CN" w:bidi="ar"/>
                    </w:rPr>
                    <w:t>托盘</w:t>
                  </w:r>
                  <w:r>
                    <w:rPr>
                      <w:rFonts w:hint="eastAsia" w:ascii="宋体" w:hAnsi="宋体" w:eastAsia="宋体" w:cs="宋体"/>
                      <w:color w:val="auto"/>
                      <w:spacing w:val="11"/>
                      <w:kern w:val="0"/>
                      <w:position w:val="0"/>
                      <w:sz w:val="21"/>
                      <w:szCs w:val="21"/>
                      <w:highlight w:val="none"/>
                      <w:u w:val="none" w:color="auto"/>
                      <w:lang w:val="en-US" w:eastAsia="zh-CN" w:bidi="ar"/>
                    </w:rPr>
                    <w:t>，避免发生泄漏</w:t>
                  </w:r>
                  <w:r>
                    <w:rPr>
                      <w:rFonts w:hint="eastAsia" w:ascii="宋体" w:hAnsi="宋体" w:cs="宋体"/>
                      <w:color w:val="auto"/>
                      <w:spacing w:val="11"/>
                      <w:kern w:val="0"/>
                      <w:position w:val="0"/>
                      <w:sz w:val="21"/>
                      <w:szCs w:val="21"/>
                      <w:highlight w:val="none"/>
                      <w:u w:val="none" w:color="auto"/>
                      <w:lang w:val="en-US" w:eastAsia="zh-CN" w:bidi="ar"/>
                    </w:rPr>
                    <w:t>、洒落</w:t>
                  </w:r>
                  <w:r>
                    <w:rPr>
                      <w:rFonts w:hint="eastAsia" w:ascii="宋体" w:hAnsi="宋体" w:eastAsia="宋体" w:cs="宋体"/>
                      <w:color w:val="auto"/>
                      <w:spacing w:val="11"/>
                      <w:kern w:val="0"/>
                      <w:position w:val="0"/>
                      <w:sz w:val="21"/>
                      <w:szCs w:val="21"/>
                      <w:highlight w:val="none"/>
                      <w:u w:val="none" w:color="auto"/>
                      <w:lang w:val="en-US" w:eastAsia="zh-CN" w:bidi="ar"/>
                    </w:rPr>
                    <w:t>；加强厂内防渗措施。按照国家、地方和相关部门要求，落实企业、区域、地方政府环境风险应急体系。</w:t>
                  </w:r>
                </w:p>
              </w:tc>
            </w:tr>
            <w:tr w14:paraId="04D2BA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trPr>
              <w:tc>
                <w:tcPr>
                  <w:tcW w:w="793" w:type="pct"/>
                  <w:tcBorders>
                    <w:tl2br w:val="nil"/>
                    <w:tr2bl w:val="nil"/>
                  </w:tcBorders>
                  <w:shd w:val="clear" w:color="auto" w:fill="auto"/>
                  <w:noWrap w:val="0"/>
                  <w:vAlign w:val="center"/>
                </w:tcPr>
                <w:p w14:paraId="767CF645">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填表说明（列出项目相关信息及评价说明）</w:t>
                  </w:r>
                </w:p>
              </w:tc>
              <w:tc>
                <w:tcPr>
                  <w:tcW w:w="4206" w:type="pct"/>
                  <w:gridSpan w:val="4"/>
                  <w:tcBorders>
                    <w:tl2br w:val="nil"/>
                    <w:tr2bl w:val="nil"/>
                  </w:tcBorders>
                  <w:shd w:val="clear" w:color="auto" w:fill="auto"/>
                  <w:noWrap w:val="0"/>
                  <w:vAlign w:val="center"/>
                </w:tcPr>
                <w:p w14:paraId="41ADA925">
                  <w:pPr>
                    <w:widowControl w:val="0"/>
                    <w:bidi w:val="0"/>
                    <w:adjustRightInd w:val="0"/>
                    <w:snapToGrid w:val="0"/>
                    <w:spacing w:line="240" w:lineRule="auto"/>
                    <w:ind w:firstLine="464" w:firstLineChars="200"/>
                    <w:jc w:val="both"/>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项目通过采取相应的风险预防、管理、应急措施后，评价认为项目环境风险是可以接受的</w:t>
                  </w:r>
                </w:p>
              </w:tc>
            </w:tr>
          </w:tbl>
          <w:p w14:paraId="174EA84F">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right="0" w:rightChars="0"/>
              <w:jc w:val="both"/>
              <w:textAlignment w:val="auto"/>
              <w:outlineLvl w:val="1"/>
              <w:rPr>
                <w:rFonts w:hint="default" w:ascii="Times New Roman" w:hAnsi="Times New Roman" w:cs="Times New Roman" w:eastAsiaTheme="minorEastAsia"/>
                <w:b/>
                <w:bCs/>
                <w:color w:val="auto"/>
                <w:spacing w:val="11"/>
                <w:kern w:val="2"/>
                <w:position w:val="0"/>
                <w:sz w:val="24"/>
                <w:szCs w:val="24"/>
                <w:highlight w:val="none"/>
                <w:u w:val="none" w:color="auto"/>
                <w:lang w:val="en-US" w:eastAsia="zh-CN" w:bidi="ar-SA"/>
              </w:rPr>
            </w:pPr>
            <w:r>
              <w:rPr>
                <w:rFonts w:hint="eastAsia" w:cs="Times New Roman" w:eastAsiaTheme="minorEastAsia"/>
                <w:b/>
                <w:bCs/>
                <w:color w:val="auto"/>
                <w:spacing w:val="11"/>
                <w:kern w:val="2"/>
                <w:position w:val="0"/>
                <w:sz w:val="24"/>
                <w:szCs w:val="24"/>
                <w:highlight w:val="none"/>
                <w:u w:val="none" w:color="auto"/>
                <w:lang w:val="en-US" w:eastAsia="zh-CN" w:bidi="ar-SA"/>
              </w:rPr>
              <w:t>8</w:t>
            </w:r>
            <w:r>
              <w:rPr>
                <w:rFonts w:hint="default" w:ascii="Times New Roman" w:hAnsi="Times New Roman" w:cs="Times New Roman" w:eastAsiaTheme="minorEastAsia"/>
                <w:b/>
                <w:bCs/>
                <w:color w:val="auto"/>
                <w:spacing w:val="11"/>
                <w:kern w:val="2"/>
                <w:position w:val="0"/>
                <w:sz w:val="24"/>
                <w:szCs w:val="24"/>
                <w:highlight w:val="none"/>
                <w:u w:val="none" w:color="auto"/>
                <w:lang w:val="en-US" w:eastAsia="zh-CN" w:bidi="ar-SA"/>
              </w:rPr>
              <w:t>对排污口规范化的要求</w:t>
            </w:r>
          </w:p>
          <w:p w14:paraId="56F96229">
            <w:pPr>
              <w:pageBreakBefore w:val="0"/>
              <w:widowControl w:val="0"/>
              <w:kinsoku/>
              <w:wordWrap/>
              <w:overflowPunct/>
              <w:topLinePunct w:val="0"/>
              <w:autoSpaceDE/>
              <w:autoSpaceDN/>
              <w:bidi w:val="0"/>
              <w:adjustRightInd/>
              <w:snapToGrid w:val="0"/>
              <w:spacing w:line="360" w:lineRule="auto"/>
              <w:ind w:firstLine="524" w:firstLineChars="200"/>
              <w:jc w:val="both"/>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根据《关于开展排放口规范化整治工作的通知》国家环境保护总局环发【1999】24号文件的要求，一切新建、改建的排污单位以及限期治理的排污单位，必须在建设污染治理设施的同时，建设规范化排污口。因此，建设单位在投产时，各类排污口必须规范化建设和管理，而且规范化工作应于污染治理同步实施，即治理设施完工时，规范化工作必须同时完成，并列入污染物治理设施的验收内容。</w:t>
            </w:r>
          </w:p>
          <w:p w14:paraId="5F1D1DA6">
            <w:pPr>
              <w:pageBreakBefore w:val="0"/>
              <w:widowControl w:val="0"/>
              <w:kinsoku/>
              <w:wordWrap/>
              <w:overflowPunct/>
              <w:topLinePunct w:val="0"/>
              <w:autoSpaceDE/>
              <w:autoSpaceDN/>
              <w:bidi w:val="0"/>
              <w:adjustRightInd/>
              <w:snapToGrid w:val="0"/>
              <w:spacing w:line="360" w:lineRule="auto"/>
              <w:ind w:firstLine="524" w:firstLineChars="200"/>
              <w:jc w:val="both"/>
              <w:textAlignment w:val="auto"/>
              <w:rPr>
                <w:rFonts w:hint="default" w:ascii="Times New Roman" w:hAnsi="Times New Roman" w:eastAsia="宋体" w:cs="Times New Roman"/>
                <w:snapToGrid w:val="0"/>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snapToGrid w:val="0"/>
                <w:color w:val="auto"/>
                <w:spacing w:val="11"/>
                <w:kern w:val="2"/>
                <w:position w:val="0"/>
                <w:sz w:val="24"/>
                <w:szCs w:val="24"/>
                <w:highlight w:val="none"/>
                <w:u w:val="none" w:color="auto"/>
                <w:lang w:val="en-US" w:eastAsia="zh-CN" w:bidi="ar-SA"/>
              </w:rPr>
              <w:t>拟建项目应在气、声、固排污口（源）挂牌标识。规范化整治具体如下：</w:t>
            </w:r>
          </w:p>
          <w:p w14:paraId="43461A5B">
            <w:pPr>
              <w:pageBreakBefore w:val="0"/>
              <w:widowControl w:val="0"/>
              <w:kinsoku/>
              <w:wordWrap/>
              <w:overflowPunct/>
              <w:topLinePunct w:val="0"/>
              <w:autoSpaceDE/>
              <w:autoSpaceDN/>
              <w:bidi w:val="0"/>
              <w:adjustRightInd/>
              <w:snapToGrid w:val="0"/>
              <w:spacing w:line="360" w:lineRule="auto"/>
              <w:ind w:firstLine="524" w:firstLineChars="200"/>
              <w:jc w:val="both"/>
              <w:textAlignment w:val="auto"/>
              <w:rPr>
                <w:rFonts w:hint="default" w:ascii="宋体" w:hAnsi="宋体" w:eastAsia="宋体" w:cs="Times New Roman"/>
                <w:snapToGrid w:val="0"/>
                <w:color w:val="auto"/>
                <w:spacing w:val="11"/>
                <w:kern w:val="2"/>
                <w:position w:val="0"/>
                <w:sz w:val="24"/>
                <w:szCs w:val="24"/>
                <w:highlight w:val="none"/>
                <w:u w:val="none" w:color="auto"/>
                <w:lang w:val="en-US" w:eastAsia="zh-CN" w:bidi="ar-SA"/>
              </w:rPr>
            </w:pPr>
            <w:r>
              <w:rPr>
                <w:rFonts w:hint="default" w:ascii="宋体" w:hAnsi="宋体" w:eastAsia="宋体" w:cs="Times New Roman"/>
                <w:snapToGrid w:val="0"/>
                <w:color w:val="auto"/>
                <w:spacing w:val="11"/>
                <w:kern w:val="2"/>
                <w:position w:val="0"/>
                <w:sz w:val="24"/>
                <w:szCs w:val="24"/>
                <w:highlight w:val="none"/>
                <w:u w:val="none" w:color="auto"/>
                <w:lang w:val="en-US" w:eastAsia="zh-CN" w:bidi="ar-SA"/>
              </w:rPr>
              <w:fldChar w:fldCharType="begin"/>
            </w:r>
            <w:r>
              <w:rPr>
                <w:rFonts w:hint="default" w:ascii="宋体" w:hAnsi="宋体" w:eastAsia="宋体" w:cs="Times New Roman"/>
                <w:snapToGrid w:val="0"/>
                <w:color w:val="auto"/>
                <w:spacing w:val="11"/>
                <w:kern w:val="2"/>
                <w:position w:val="0"/>
                <w:sz w:val="24"/>
                <w:szCs w:val="24"/>
                <w:highlight w:val="none"/>
                <w:u w:val="none" w:color="auto"/>
                <w:lang w:val="en-US" w:eastAsia="zh-CN" w:bidi="ar-SA"/>
              </w:rPr>
              <w:instrText xml:space="preserve"> = 1 \* GB3 \* MERGEFORMAT </w:instrText>
            </w:r>
            <w:r>
              <w:rPr>
                <w:rFonts w:hint="default" w:ascii="宋体" w:hAnsi="宋体" w:eastAsia="宋体" w:cs="Times New Roman"/>
                <w:snapToGrid w:val="0"/>
                <w:color w:val="auto"/>
                <w:spacing w:val="11"/>
                <w:kern w:val="2"/>
                <w:position w:val="0"/>
                <w:sz w:val="24"/>
                <w:szCs w:val="24"/>
                <w:highlight w:val="none"/>
                <w:u w:val="none" w:color="auto"/>
                <w:lang w:val="en-US" w:eastAsia="zh-CN" w:bidi="ar-SA"/>
              </w:rPr>
              <w:fldChar w:fldCharType="separate"/>
            </w:r>
            <w:r>
              <w:rPr>
                <w:rFonts w:ascii="宋体" w:hAnsi="宋体" w:eastAsia="宋体" w:cs="Times New Roman"/>
                <w:snapToGrid w:val="0"/>
                <w:color w:val="auto"/>
                <w:spacing w:val="11"/>
                <w:kern w:val="2"/>
                <w:position w:val="0"/>
                <w:sz w:val="24"/>
                <w:szCs w:val="24"/>
                <w:highlight w:val="none"/>
                <w:u w:val="none" w:color="auto"/>
                <w:lang w:val="en-US" w:eastAsia="zh-CN" w:bidi="ar-SA"/>
              </w:rPr>
              <w:t>①</w:t>
            </w:r>
            <w:r>
              <w:rPr>
                <w:rFonts w:hint="default" w:ascii="宋体" w:hAnsi="宋体" w:eastAsia="宋体" w:cs="Times New Roman"/>
                <w:snapToGrid w:val="0"/>
                <w:color w:val="auto"/>
                <w:spacing w:val="11"/>
                <w:kern w:val="2"/>
                <w:position w:val="0"/>
                <w:sz w:val="24"/>
                <w:szCs w:val="24"/>
                <w:highlight w:val="none"/>
                <w:u w:val="none" w:color="auto"/>
                <w:lang w:val="en-US" w:eastAsia="zh-CN" w:bidi="ar-SA"/>
              </w:rPr>
              <w:fldChar w:fldCharType="end"/>
            </w:r>
            <w:r>
              <w:rPr>
                <w:rFonts w:hint="default" w:ascii="宋体" w:hAnsi="宋体" w:eastAsia="宋体" w:cs="Times New Roman"/>
                <w:snapToGrid w:val="0"/>
                <w:color w:val="auto"/>
                <w:spacing w:val="11"/>
                <w:kern w:val="2"/>
                <w:position w:val="0"/>
                <w:sz w:val="24"/>
                <w:szCs w:val="24"/>
                <w:highlight w:val="none"/>
                <w:u w:val="none" w:color="auto"/>
                <w:lang w:val="en-US" w:eastAsia="zh-CN" w:bidi="ar-SA"/>
              </w:rPr>
              <w:t>项目建成后，废气排气筒附近醒目处均应树立一个环保图形标志牌。</w:t>
            </w:r>
          </w:p>
          <w:p w14:paraId="777FFA37">
            <w:pPr>
              <w:pageBreakBefore w:val="0"/>
              <w:widowControl w:val="0"/>
              <w:kinsoku/>
              <w:wordWrap/>
              <w:overflowPunct/>
              <w:topLinePunct w:val="0"/>
              <w:autoSpaceDE/>
              <w:autoSpaceDN/>
              <w:bidi w:val="0"/>
              <w:adjustRightInd/>
              <w:snapToGrid w:val="0"/>
              <w:ind w:firstLine="524" w:firstLineChars="200"/>
              <w:textAlignment w:val="auto"/>
              <w:rPr>
                <w:rFonts w:hint="default"/>
                <w:color w:val="auto"/>
                <w:spacing w:val="11"/>
                <w:position w:val="0"/>
                <w:szCs w:val="24"/>
                <w:highlight w:val="none"/>
                <w:u w:val="none" w:color="auto"/>
              </w:rPr>
            </w:pPr>
            <w:r>
              <w:rPr>
                <w:rFonts w:hint="default"/>
                <w:color w:val="auto"/>
                <w:spacing w:val="11"/>
                <w:position w:val="0"/>
                <w:szCs w:val="24"/>
                <w:highlight w:val="none"/>
                <w:u w:val="none" w:color="auto"/>
              </w:rPr>
              <w:fldChar w:fldCharType="begin"/>
            </w:r>
            <w:r>
              <w:rPr>
                <w:rFonts w:hint="default"/>
                <w:color w:val="auto"/>
                <w:spacing w:val="11"/>
                <w:position w:val="0"/>
                <w:szCs w:val="24"/>
                <w:highlight w:val="none"/>
                <w:u w:val="none" w:color="auto"/>
              </w:rPr>
              <w:instrText xml:space="preserve"> = 2 \* GB3 \* MERGEFORMAT </w:instrText>
            </w:r>
            <w:r>
              <w:rPr>
                <w:rFonts w:hint="default"/>
                <w:color w:val="auto"/>
                <w:spacing w:val="11"/>
                <w:position w:val="0"/>
                <w:szCs w:val="24"/>
                <w:highlight w:val="none"/>
                <w:u w:val="none" w:color="auto"/>
              </w:rPr>
              <w:fldChar w:fldCharType="separate"/>
            </w:r>
            <w:r>
              <w:rPr>
                <w:color w:val="auto"/>
                <w:spacing w:val="11"/>
                <w:position w:val="0"/>
                <w:szCs w:val="24"/>
                <w:highlight w:val="none"/>
                <w:u w:val="none" w:color="auto"/>
              </w:rPr>
              <w:t>②</w:t>
            </w:r>
            <w:r>
              <w:rPr>
                <w:rFonts w:hint="default"/>
                <w:color w:val="auto"/>
                <w:spacing w:val="11"/>
                <w:position w:val="0"/>
                <w:szCs w:val="24"/>
                <w:highlight w:val="none"/>
                <w:u w:val="none" w:color="auto"/>
              </w:rPr>
              <w:fldChar w:fldCharType="end"/>
            </w:r>
            <w:r>
              <w:rPr>
                <w:rFonts w:hint="default"/>
                <w:color w:val="auto"/>
                <w:spacing w:val="11"/>
                <w:position w:val="0"/>
                <w:szCs w:val="24"/>
                <w:highlight w:val="none"/>
                <w:u w:val="none" w:color="auto"/>
              </w:rPr>
              <w:t>项目建成后，</w:t>
            </w:r>
            <w:r>
              <w:rPr>
                <w:rFonts w:hint="eastAsia"/>
                <w:color w:val="auto"/>
                <w:spacing w:val="11"/>
                <w:position w:val="0"/>
                <w:szCs w:val="24"/>
                <w:highlight w:val="none"/>
                <w:u w:val="none" w:color="auto"/>
                <w:lang w:val="en-US" w:eastAsia="zh-CN"/>
              </w:rPr>
              <w:t>固废</w:t>
            </w:r>
            <w:r>
              <w:rPr>
                <w:rFonts w:hint="default"/>
                <w:color w:val="auto"/>
                <w:spacing w:val="11"/>
                <w:position w:val="0"/>
                <w:szCs w:val="24"/>
                <w:highlight w:val="none"/>
                <w:u w:val="none" w:color="auto"/>
              </w:rPr>
              <w:t>处置前应当有防扬散、防流失等措施，贮存处进出口醒目处应设置环保图形标志牌。</w:t>
            </w:r>
          </w:p>
          <w:p w14:paraId="6FCB871F">
            <w:pPr>
              <w:pageBreakBefore w:val="0"/>
              <w:widowControl w:val="0"/>
              <w:kinsoku/>
              <w:wordWrap/>
              <w:overflowPunct/>
              <w:topLinePunct w:val="0"/>
              <w:autoSpaceDE/>
              <w:autoSpaceDN/>
              <w:bidi w:val="0"/>
              <w:adjustRightInd/>
              <w:snapToGrid w:val="0"/>
              <w:ind w:firstLine="524" w:firstLineChars="200"/>
              <w:textAlignment w:val="auto"/>
              <w:rPr>
                <w:rFonts w:hint="default"/>
                <w:color w:val="auto"/>
                <w:spacing w:val="11"/>
                <w:position w:val="0"/>
                <w:szCs w:val="24"/>
                <w:highlight w:val="none"/>
                <w:u w:val="none" w:color="auto"/>
              </w:rPr>
            </w:pPr>
            <w:r>
              <w:rPr>
                <w:rFonts w:hint="default"/>
                <w:color w:val="auto"/>
                <w:spacing w:val="11"/>
                <w:position w:val="0"/>
                <w:szCs w:val="24"/>
                <w:highlight w:val="none"/>
                <w:u w:val="none" w:color="auto"/>
              </w:rPr>
              <w:fldChar w:fldCharType="begin"/>
            </w:r>
            <w:r>
              <w:rPr>
                <w:rFonts w:hint="default"/>
                <w:color w:val="auto"/>
                <w:spacing w:val="11"/>
                <w:position w:val="0"/>
                <w:szCs w:val="24"/>
                <w:highlight w:val="none"/>
                <w:u w:val="none" w:color="auto"/>
              </w:rPr>
              <w:instrText xml:space="preserve"> = 3 \* GB3 \* MERGEFORMAT </w:instrText>
            </w:r>
            <w:r>
              <w:rPr>
                <w:rFonts w:hint="default"/>
                <w:color w:val="auto"/>
                <w:spacing w:val="11"/>
                <w:position w:val="0"/>
                <w:szCs w:val="24"/>
                <w:highlight w:val="none"/>
                <w:u w:val="none" w:color="auto"/>
              </w:rPr>
              <w:fldChar w:fldCharType="separate"/>
            </w:r>
            <w:r>
              <w:rPr>
                <w:color w:val="auto"/>
                <w:spacing w:val="11"/>
                <w:position w:val="0"/>
                <w:szCs w:val="24"/>
                <w:highlight w:val="none"/>
                <w:u w:val="none" w:color="auto"/>
              </w:rPr>
              <w:t>③</w:t>
            </w:r>
            <w:r>
              <w:rPr>
                <w:rFonts w:hint="default"/>
                <w:color w:val="auto"/>
                <w:spacing w:val="11"/>
                <w:position w:val="0"/>
                <w:szCs w:val="24"/>
                <w:highlight w:val="none"/>
                <w:u w:val="none" w:color="auto"/>
              </w:rPr>
              <w:fldChar w:fldCharType="end"/>
            </w:r>
            <w:r>
              <w:rPr>
                <w:rFonts w:hint="default"/>
                <w:color w:val="auto"/>
                <w:spacing w:val="11"/>
                <w:position w:val="0"/>
                <w:szCs w:val="24"/>
                <w:highlight w:val="none"/>
                <w:u w:val="none" w:color="auto"/>
              </w:rPr>
              <w:t>项目建成后，在噪声较大的车间外或噪声源较大的地方醒目处应设置环保图形标志牌。</w:t>
            </w:r>
          </w:p>
          <w:p w14:paraId="5F98B62A">
            <w:pPr>
              <w:keepNext w:val="0"/>
              <w:keepLines w:val="0"/>
              <w:pageBreakBefore w:val="0"/>
              <w:widowControl w:val="0"/>
              <w:kinsoku/>
              <w:wordWrap/>
              <w:overflowPunct/>
              <w:topLinePunct w:val="0"/>
              <w:autoSpaceDE/>
              <w:autoSpaceDN/>
              <w:bidi w:val="0"/>
              <w:adjustRightInd/>
              <w:snapToGrid w:val="0"/>
              <w:spacing w:line="360" w:lineRule="auto"/>
              <w:ind w:firstLine="524" w:firstLineChars="200"/>
              <w:textAlignment w:val="auto"/>
              <w:rPr>
                <w:rFonts w:hint="default" w:ascii="Times New Roman" w:hAnsi="Times New Roman" w:cs="Times New Roman" w:eastAsiaTheme="minorEastAsia"/>
                <w:color w:val="auto"/>
                <w:spacing w:val="11"/>
                <w:position w:val="0"/>
                <w:sz w:val="24"/>
                <w:szCs w:val="22"/>
                <w:highlight w:val="none"/>
                <w:u w:val="none" w:color="auto"/>
              </w:rPr>
            </w:pPr>
            <w:r>
              <w:rPr>
                <w:rFonts w:hint="default"/>
                <w:color w:val="auto"/>
                <w:spacing w:val="11"/>
                <w:position w:val="0"/>
                <w:szCs w:val="24"/>
                <w:highlight w:val="none"/>
                <w:u w:val="none" w:color="auto"/>
              </w:rPr>
              <w:t>标志牌的设置应按《环境保护图形标志</w:t>
            </w:r>
            <w:r>
              <w:rPr>
                <w:rFonts w:hint="eastAsia" w:ascii="Times New Roman" w:eastAsia="宋体"/>
                <w:color w:val="auto"/>
                <w:spacing w:val="11"/>
                <w:position w:val="0"/>
                <w:szCs w:val="24"/>
                <w:highlight w:val="none"/>
                <w:u w:val="none" w:color="auto"/>
                <w:lang w:val="en-US" w:eastAsia="zh-CN"/>
              </w:rPr>
              <w:t>-</w:t>
            </w:r>
            <w:r>
              <w:rPr>
                <w:rFonts w:hint="default"/>
                <w:color w:val="auto"/>
                <w:spacing w:val="11"/>
                <w:position w:val="0"/>
                <w:szCs w:val="24"/>
                <w:highlight w:val="none"/>
                <w:u w:val="none" w:color="auto"/>
              </w:rPr>
              <w:t>排放口（源）》（GB15562.1-1995、GB15562.2-1995）</w:t>
            </w:r>
            <w:r>
              <w:rPr>
                <w:rFonts w:hint="default"/>
                <w:color w:val="auto"/>
                <w:spacing w:val="11"/>
                <w:position w:val="0"/>
                <w:szCs w:val="24"/>
                <w:highlight w:val="none"/>
                <w:u w:val="none" w:color="auto"/>
                <w:lang w:val="en-US" w:eastAsia="zh-CN"/>
              </w:rPr>
              <w:t>、《危险废物识别标志设置技术规范》</w:t>
            </w:r>
            <w:r>
              <w:rPr>
                <w:rFonts w:hint="default"/>
                <w:color w:val="auto"/>
                <w:spacing w:val="11"/>
                <w:position w:val="0"/>
                <w:szCs w:val="24"/>
                <w:highlight w:val="none"/>
                <w:u w:val="none" w:color="auto"/>
                <w:lang w:val="en-US" w:eastAsia="zh-CN"/>
              </w:rPr>
              <w:fldChar w:fldCharType="begin"/>
            </w:r>
            <w:r>
              <w:rPr>
                <w:rFonts w:hint="default"/>
                <w:color w:val="auto"/>
                <w:spacing w:val="11"/>
                <w:position w:val="0"/>
                <w:szCs w:val="24"/>
                <w:highlight w:val="none"/>
                <w:u w:val="none" w:color="auto"/>
                <w:lang w:val="en-US" w:eastAsia="zh-CN"/>
              </w:rPr>
              <w:instrText xml:space="preserve"> HYPERLINK "https://www.mee.gov.cn/ywgz/fgbz/bz/bzwb/gthw/wxfwjbffbz/202302/W020230224650971041729.pdf" </w:instrText>
            </w:r>
            <w:r>
              <w:rPr>
                <w:rFonts w:hint="default"/>
                <w:color w:val="auto"/>
                <w:spacing w:val="11"/>
                <w:position w:val="0"/>
                <w:szCs w:val="24"/>
                <w:highlight w:val="none"/>
                <w:u w:val="none" w:color="auto"/>
                <w:lang w:val="en-US" w:eastAsia="zh-CN"/>
              </w:rPr>
              <w:fldChar w:fldCharType="separate"/>
            </w:r>
            <w:r>
              <w:rPr>
                <w:rFonts w:hint="default"/>
                <w:color w:val="auto"/>
                <w:spacing w:val="11"/>
                <w:position w:val="0"/>
                <w:szCs w:val="24"/>
                <w:highlight w:val="none"/>
                <w:u w:val="none" w:color="auto"/>
                <w:lang w:val="en-US" w:eastAsia="zh-CN"/>
              </w:rPr>
              <w:t>（HJ 1276-2022）</w:t>
            </w:r>
            <w:r>
              <w:rPr>
                <w:rFonts w:hint="default"/>
                <w:color w:val="auto"/>
                <w:spacing w:val="11"/>
                <w:position w:val="0"/>
                <w:szCs w:val="24"/>
                <w:highlight w:val="none"/>
                <w:u w:val="none" w:color="auto"/>
                <w:lang w:val="en-US" w:eastAsia="zh-CN"/>
              </w:rPr>
              <w:fldChar w:fldCharType="end"/>
            </w:r>
            <w:r>
              <w:rPr>
                <w:rFonts w:hint="default"/>
                <w:color w:val="auto"/>
                <w:spacing w:val="11"/>
                <w:position w:val="0"/>
                <w:szCs w:val="24"/>
                <w:highlight w:val="none"/>
                <w:u w:val="none" w:color="auto"/>
              </w:rPr>
              <w:t>的规定执行。标志牌必须保持清晰、完整，当发现有损坏或颜色有变化，应及时修复或更换。检查时间一年两次。具体见表</w:t>
            </w:r>
            <w:r>
              <w:rPr>
                <w:rFonts w:hint="eastAsia"/>
                <w:color w:val="auto"/>
                <w:spacing w:val="11"/>
                <w:position w:val="0"/>
                <w:szCs w:val="24"/>
                <w:highlight w:val="none"/>
                <w:u w:val="none" w:color="auto"/>
                <w:lang w:val="en-US" w:eastAsia="zh-CN"/>
              </w:rPr>
              <w:t>4-21</w:t>
            </w:r>
            <w:r>
              <w:rPr>
                <w:rFonts w:hint="default"/>
                <w:color w:val="auto"/>
                <w:spacing w:val="11"/>
                <w:position w:val="0"/>
                <w:szCs w:val="24"/>
                <w:highlight w:val="none"/>
                <w:u w:val="none" w:color="auto"/>
              </w:rPr>
              <w:t>和</w:t>
            </w:r>
            <w:r>
              <w:rPr>
                <w:rFonts w:hint="eastAsia"/>
                <w:color w:val="auto"/>
                <w:spacing w:val="11"/>
                <w:position w:val="0"/>
                <w:szCs w:val="24"/>
                <w:highlight w:val="none"/>
                <w:u w:val="none" w:color="auto"/>
                <w:lang w:val="en-US" w:eastAsia="zh-CN"/>
              </w:rPr>
              <w:t>4-22</w:t>
            </w:r>
            <w:r>
              <w:rPr>
                <w:rFonts w:hint="default"/>
                <w:color w:val="auto"/>
                <w:spacing w:val="11"/>
                <w:position w:val="0"/>
                <w:szCs w:val="24"/>
                <w:highlight w:val="none"/>
                <w:u w:val="none" w:color="auto"/>
              </w:rPr>
              <w:t>。</w:t>
            </w:r>
          </w:p>
          <w:p w14:paraId="618AE3E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b/>
                <w:bCs/>
                <w:color w:val="auto"/>
                <w:spacing w:val="11"/>
                <w:position w:val="0"/>
                <w:sz w:val="21"/>
                <w:szCs w:val="21"/>
                <w:highlight w:val="none"/>
                <w:u w:val="none" w:color="auto"/>
              </w:rPr>
            </w:pPr>
            <w:r>
              <w:rPr>
                <w:rFonts w:hint="default"/>
                <w:b/>
                <w:bCs/>
                <w:color w:val="auto"/>
                <w:spacing w:val="11"/>
                <w:position w:val="0"/>
                <w:sz w:val="21"/>
                <w:szCs w:val="21"/>
                <w:highlight w:val="none"/>
                <w:u w:val="none" w:color="auto"/>
                <w:lang w:eastAsia="zh-CN"/>
              </w:rPr>
              <w:t>表</w:t>
            </w:r>
            <w:r>
              <w:rPr>
                <w:rFonts w:hint="eastAsia"/>
                <w:b/>
                <w:bCs/>
                <w:color w:val="auto"/>
                <w:spacing w:val="11"/>
                <w:position w:val="0"/>
                <w:sz w:val="21"/>
                <w:szCs w:val="21"/>
                <w:highlight w:val="none"/>
                <w:u w:val="none" w:color="auto"/>
                <w:lang w:val="en-US" w:eastAsia="zh-CN"/>
              </w:rPr>
              <w:t>4-21</w:t>
            </w:r>
            <w:r>
              <w:rPr>
                <w:rFonts w:hint="default"/>
                <w:b/>
                <w:bCs/>
                <w:color w:val="auto"/>
                <w:spacing w:val="11"/>
                <w:position w:val="0"/>
                <w:sz w:val="21"/>
                <w:szCs w:val="21"/>
                <w:highlight w:val="none"/>
                <w:u w:val="none" w:color="auto"/>
              </w:rPr>
              <w:t xml:space="preserve"> </w:t>
            </w:r>
            <w:r>
              <w:rPr>
                <w:rFonts w:hint="eastAsia"/>
                <w:b/>
                <w:bCs/>
                <w:color w:val="auto"/>
                <w:spacing w:val="11"/>
                <w:position w:val="0"/>
                <w:sz w:val="21"/>
                <w:szCs w:val="21"/>
                <w:highlight w:val="none"/>
                <w:u w:val="none" w:color="auto"/>
                <w:lang w:val="en-US" w:eastAsia="zh-CN"/>
              </w:rPr>
              <w:t xml:space="preserve"> </w:t>
            </w:r>
            <w:r>
              <w:rPr>
                <w:rFonts w:hint="default"/>
                <w:b/>
                <w:bCs/>
                <w:color w:val="auto"/>
                <w:spacing w:val="11"/>
                <w:position w:val="0"/>
                <w:sz w:val="21"/>
                <w:szCs w:val="21"/>
                <w:highlight w:val="none"/>
                <w:u w:val="none" w:color="auto"/>
              </w:rPr>
              <w:t>环境保护图形标志的形状及颜色表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36"/>
              <w:gridCol w:w="2236"/>
              <w:gridCol w:w="2234"/>
              <w:gridCol w:w="2238"/>
            </w:tblGrid>
            <w:tr w14:paraId="7E4478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249" w:type="pct"/>
                  <w:tcBorders>
                    <w:tl2br w:val="nil"/>
                    <w:tr2bl w:val="nil"/>
                  </w:tcBorders>
                  <w:vAlign w:val="center"/>
                </w:tcPr>
                <w:p w14:paraId="0C1E87E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rPr>
                  </w:pPr>
                  <w:r>
                    <w:rPr>
                      <w:rFonts w:hint="default" w:ascii="Times New Roman" w:hAnsi="Times New Roman" w:cs="Times New Roman"/>
                      <w:b w:val="0"/>
                      <w:bCs w:val="0"/>
                      <w:color w:val="auto"/>
                      <w:spacing w:val="11"/>
                      <w:position w:val="0"/>
                      <w:sz w:val="21"/>
                      <w:szCs w:val="21"/>
                      <w:highlight w:val="none"/>
                      <w:u w:val="none" w:color="auto"/>
                    </w:rPr>
                    <w:t>标准名称</w:t>
                  </w:r>
                </w:p>
              </w:tc>
              <w:tc>
                <w:tcPr>
                  <w:tcW w:w="1249" w:type="pct"/>
                  <w:tcBorders>
                    <w:tl2br w:val="nil"/>
                    <w:tr2bl w:val="nil"/>
                  </w:tcBorders>
                  <w:vAlign w:val="center"/>
                </w:tcPr>
                <w:p w14:paraId="465BB90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rPr>
                  </w:pPr>
                  <w:r>
                    <w:rPr>
                      <w:rFonts w:hint="default" w:ascii="Times New Roman" w:hAnsi="Times New Roman" w:cs="Times New Roman"/>
                      <w:b w:val="0"/>
                      <w:bCs w:val="0"/>
                      <w:color w:val="auto"/>
                      <w:spacing w:val="11"/>
                      <w:position w:val="0"/>
                      <w:sz w:val="21"/>
                      <w:szCs w:val="21"/>
                      <w:highlight w:val="none"/>
                      <w:u w:val="none" w:color="auto"/>
                    </w:rPr>
                    <w:t>形状</w:t>
                  </w:r>
                </w:p>
              </w:tc>
              <w:tc>
                <w:tcPr>
                  <w:tcW w:w="1248" w:type="pct"/>
                  <w:tcBorders>
                    <w:tl2br w:val="nil"/>
                    <w:tr2bl w:val="nil"/>
                  </w:tcBorders>
                  <w:vAlign w:val="center"/>
                </w:tcPr>
                <w:p w14:paraId="7330566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rPr>
                  </w:pPr>
                  <w:r>
                    <w:rPr>
                      <w:rFonts w:hint="default" w:ascii="Times New Roman" w:hAnsi="Times New Roman" w:cs="Times New Roman"/>
                      <w:b w:val="0"/>
                      <w:bCs w:val="0"/>
                      <w:color w:val="auto"/>
                      <w:spacing w:val="11"/>
                      <w:position w:val="0"/>
                      <w:sz w:val="21"/>
                      <w:szCs w:val="21"/>
                      <w:highlight w:val="none"/>
                      <w:u w:val="none" w:color="auto"/>
                    </w:rPr>
                    <w:t>背景颜色</w:t>
                  </w:r>
                </w:p>
              </w:tc>
              <w:tc>
                <w:tcPr>
                  <w:tcW w:w="1251" w:type="pct"/>
                  <w:tcBorders>
                    <w:tl2br w:val="nil"/>
                    <w:tr2bl w:val="nil"/>
                  </w:tcBorders>
                  <w:vAlign w:val="center"/>
                </w:tcPr>
                <w:p w14:paraId="00BE783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rPr>
                  </w:pPr>
                  <w:r>
                    <w:rPr>
                      <w:rFonts w:hint="default" w:ascii="Times New Roman" w:hAnsi="Times New Roman" w:cs="Times New Roman"/>
                      <w:b w:val="0"/>
                      <w:bCs w:val="0"/>
                      <w:color w:val="auto"/>
                      <w:spacing w:val="11"/>
                      <w:position w:val="0"/>
                      <w:sz w:val="21"/>
                      <w:szCs w:val="21"/>
                      <w:highlight w:val="none"/>
                      <w:u w:val="none" w:color="auto"/>
                    </w:rPr>
                    <w:t>图形颜色</w:t>
                  </w:r>
                </w:p>
              </w:tc>
            </w:tr>
            <w:tr w14:paraId="214DF2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249" w:type="pct"/>
                  <w:tcBorders>
                    <w:tl2br w:val="nil"/>
                    <w:tr2bl w:val="nil"/>
                  </w:tcBorders>
                  <w:vAlign w:val="center"/>
                </w:tcPr>
                <w:p w14:paraId="1D32B7C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11"/>
                      <w:position w:val="0"/>
                      <w:sz w:val="21"/>
                      <w:szCs w:val="21"/>
                      <w:highlight w:val="none"/>
                      <w:u w:val="none" w:color="auto"/>
                    </w:rPr>
                  </w:pPr>
                  <w:r>
                    <w:rPr>
                      <w:rFonts w:hint="default" w:ascii="Times New Roman" w:hAnsi="Times New Roman" w:cs="Times New Roman"/>
                      <w:color w:val="auto"/>
                      <w:spacing w:val="11"/>
                      <w:position w:val="0"/>
                      <w:sz w:val="21"/>
                      <w:szCs w:val="21"/>
                      <w:highlight w:val="none"/>
                      <w:u w:val="none" w:color="auto"/>
                    </w:rPr>
                    <w:t>警告标志</w:t>
                  </w:r>
                </w:p>
              </w:tc>
              <w:tc>
                <w:tcPr>
                  <w:tcW w:w="1249" w:type="pct"/>
                  <w:tcBorders>
                    <w:tl2br w:val="nil"/>
                    <w:tr2bl w:val="nil"/>
                  </w:tcBorders>
                  <w:vAlign w:val="center"/>
                </w:tcPr>
                <w:p w14:paraId="690E4B4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11"/>
                      <w:position w:val="0"/>
                      <w:sz w:val="21"/>
                      <w:szCs w:val="21"/>
                      <w:highlight w:val="none"/>
                      <w:u w:val="none" w:color="auto"/>
                    </w:rPr>
                  </w:pPr>
                  <w:r>
                    <w:rPr>
                      <w:rFonts w:hint="default" w:ascii="Times New Roman" w:hAnsi="Times New Roman" w:cs="Times New Roman"/>
                      <w:color w:val="auto"/>
                      <w:spacing w:val="11"/>
                      <w:position w:val="0"/>
                      <w:sz w:val="21"/>
                      <w:szCs w:val="21"/>
                      <w:highlight w:val="none"/>
                      <w:u w:val="none" w:color="auto"/>
                    </w:rPr>
                    <w:t>三角形边框</w:t>
                  </w:r>
                </w:p>
              </w:tc>
              <w:tc>
                <w:tcPr>
                  <w:tcW w:w="1248" w:type="pct"/>
                  <w:tcBorders>
                    <w:tl2br w:val="nil"/>
                    <w:tr2bl w:val="nil"/>
                  </w:tcBorders>
                  <w:vAlign w:val="center"/>
                </w:tcPr>
                <w:p w14:paraId="0581C4A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11"/>
                      <w:position w:val="0"/>
                      <w:sz w:val="21"/>
                      <w:szCs w:val="21"/>
                      <w:highlight w:val="none"/>
                      <w:u w:val="none" w:color="auto"/>
                    </w:rPr>
                  </w:pPr>
                  <w:r>
                    <w:rPr>
                      <w:rFonts w:hint="default" w:ascii="Times New Roman" w:hAnsi="Times New Roman" w:cs="Times New Roman"/>
                      <w:color w:val="auto"/>
                      <w:spacing w:val="11"/>
                      <w:position w:val="0"/>
                      <w:sz w:val="21"/>
                      <w:szCs w:val="21"/>
                      <w:highlight w:val="none"/>
                      <w:u w:val="none" w:color="auto"/>
                    </w:rPr>
                    <w:t>黄色</w:t>
                  </w:r>
                </w:p>
              </w:tc>
              <w:tc>
                <w:tcPr>
                  <w:tcW w:w="1251" w:type="pct"/>
                  <w:tcBorders>
                    <w:tl2br w:val="nil"/>
                    <w:tr2bl w:val="nil"/>
                  </w:tcBorders>
                  <w:vAlign w:val="center"/>
                </w:tcPr>
                <w:p w14:paraId="25EC300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11"/>
                      <w:position w:val="0"/>
                      <w:sz w:val="21"/>
                      <w:szCs w:val="21"/>
                      <w:highlight w:val="none"/>
                      <w:u w:val="none" w:color="auto"/>
                    </w:rPr>
                  </w:pPr>
                  <w:r>
                    <w:rPr>
                      <w:rFonts w:hint="default" w:ascii="Times New Roman" w:hAnsi="Times New Roman" w:cs="Times New Roman"/>
                      <w:color w:val="auto"/>
                      <w:spacing w:val="11"/>
                      <w:position w:val="0"/>
                      <w:sz w:val="21"/>
                      <w:szCs w:val="21"/>
                      <w:highlight w:val="none"/>
                      <w:u w:val="none" w:color="auto"/>
                    </w:rPr>
                    <w:t>黑色</w:t>
                  </w:r>
                </w:p>
              </w:tc>
            </w:tr>
            <w:tr w14:paraId="2FA7CB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249" w:type="pct"/>
                  <w:tcBorders>
                    <w:tl2br w:val="nil"/>
                    <w:tr2bl w:val="nil"/>
                  </w:tcBorders>
                  <w:vAlign w:val="center"/>
                </w:tcPr>
                <w:p w14:paraId="303612B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11"/>
                      <w:position w:val="0"/>
                      <w:sz w:val="21"/>
                      <w:szCs w:val="21"/>
                      <w:highlight w:val="none"/>
                      <w:u w:val="none" w:color="auto"/>
                    </w:rPr>
                  </w:pPr>
                  <w:r>
                    <w:rPr>
                      <w:rFonts w:hint="default" w:ascii="Times New Roman" w:hAnsi="Times New Roman" w:cs="Times New Roman"/>
                      <w:color w:val="auto"/>
                      <w:spacing w:val="11"/>
                      <w:position w:val="0"/>
                      <w:sz w:val="21"/>
                      <w:szCs w:val="21"/>
                      <w:highlight w:val="none"/>
                      <w:u w:val="none" w:color="auto"/>
                    </w:rPr>
                    <w:t>提示标志</w:t>
                  </w:r>
                </w:p>
              </w:tc>
              <w:tc>
                <w:tcPr>
                  <w:tcW w:w="1249" w:type="pct"/>
                  <w:tcBorders>
                    <w:tl2br w:val="nil"/>
                    <w:tr2bl w:val="nil"/>
                  </w:tcBorders>
                  <w:vAlign w:val="center"/>
                </w:tcPr>
                <w:p w14:paraId="5E85B4D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11"/>
                      <w:position w:val="0"/>
                      <w:sz w:val="21"/>
                      <w:szCs w:val="21"/>
                      <w:highlight w:val="none"/>
                      <w:u w:val="none" w:color="auto"/>
                    </w:rPr>
                  </w:pPr>
                  <w:r>
                    <w:rPr>
                      <w:rFonts w:hint="default" w:ascii="Times New Roman" w:hAnsi="Times New Roman" w:cs="Times New Roman"/>
                      <w:color w:val="auto"/>
                      <w:spacing w:val="11"/>
                      <w:position w:val="0"/>
                      <w:sz w:val="21"/>
                      <w:szCs w:val="21"/>
                      <w:highlight w:val="none"/>
                      <w:u w:val="none" w:color="auto"/>
                    </w:rPr>
                    <w:t>正方形边框</w:t>
                  </w:r>
                </w:p>
              </w:tc>
              <w:tc>
                <w:tcPr>
                  <w:tcW w:w="1248" w:type="pct"/>
                  <w:tcBorders>
                    <w:tl2br w:val="nil"/>
                    <w:tr2bl w:val="nil"/>
                  </w:tcBorders>
                  <w:vAlign w:val="center"/>
                </w:tcPr>
                <w:p w14:paraId="0A8A031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11"/>
                      <w:position w:val="0"/>
                      <w:sz w:val="21"/>
                      <w:szCs w:val="21"/>
                      <w:highlight w:val="none"/>
                      <w:u w:val="none" w:color="auto"/>
                    </w:rPr>
                  </w:pPr>
                  <w:r>
                    <w:rPr>
                      <w:rFonts w:hint="default" w:ascii="Times New Roman" w:hAnsi="Times New Roman" w:cs="Times New Roman"/>
                      <w:color w:val="auto"/>
                      <w:spacing w:val="11"/>
                      <w:position w:val="0"/>
                      <w:sz w:val="21"/>
                      <w:szCs w:val="21"/>
                      <w:highlight w:val="none"/>
                      <w:u w:val="none" w:color="auto"/>
                    </w:rPr>
                    <w:t>绿色</w:t>
                  </w:r>
                </w:p>
              </w:tc>
              <w:tc>
                <w:tcPr>
                  <w:tcW w:w="1251" w:type="pct"/>
                  <w:tcBorders>
                    <w:tl2br w:val="nil"/>
                    <w:tr2bl w:val="nil"/>
                  </w:tcBorders>
                  <w:vAlign w:val="center"/>
                </w:tcPr>
                <w:p w14:paraId="244268B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11"/>
                      <w:position w:val="0"/>
                      <w:sz w:val="21"/>
                      <w:szCs w:val="21"/>
                      <w:highlight w:val="none"/>
                      <w:u w:val="none" w:color="auto"/>
                    </w:rPr>
                  </w:pPr>
                  <w:r>
                    <w:rPr>
                      <w:rFonts w:hint="default" w:ascii="Times New Roman" w:hAnsi="Times New Roman" w:cs="Times New Roman"/>
                      <w:color w:val="auto"/>
                      <w:spacing w:val="11"/>
                      <w:position w:val="0"/>
                      <w:sz w:val="21"/>
                      <w:szCs w:val="21"/>
                      <w:highlight w:val="none"/>
                      <w:u w:val="none" w:color="auto"/>
                    </w:rPr>
                    <w:t>白色</w:t>
                  </w:r>
                </w:p>
              </w:tc>
            </w:tr>
          </w:tbl>
          <w:p w14:paraId="523214E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b/>
                <w:bCs/>
                <w:color w:val="auto"/>
                <w:spacing w:val="11"/>
                <w:position w:val="0"/>
                <w:sz w:val="21"/>
                <w:szCs w:val="21"/>
                <w:highlight w:val="none"/>
                <w:u w:val="none" w:color="auto"/>
                <w:lang w:eastAsia="zh-CN"/>
              </w:rPr>
            </w:pPr>
          </w:p>
          <w:p w14:paraId="1595072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b/>
                <w:bCs/>
                <w:color w:val="auto"/>
                <w:spacing w:val="11"/>
                <w:position w:val="0"/>
                <w:sz w:val="21"/>
                <w:szCs w:val="21"/>
                <w:highlight w:val="none"/>
                <w:u w:val="none" w:color="auto"/>
                <w:lang w:eastAsia="zh-CN"/>
              </w:rPr>
            </w:pPr>
            <w:r>
              <w:rPr>
                <w:rFonts w:hint="default"/>
                <w:b/>
                <w:bCs/>
                <w:color w:val="auto"/>
                <w:spacing w:val="11"/>
                <w:position w:val="0"/>
                <w:sz w:val="21"/>
                <w:szCs w:val="21"/>
                <w:highlight w:val="none"/>
                <w:u w:val="none" w:color="auto"/>
                <w:lang w:eastAsia="zh-CN"/>
              </w:rPr>
              <w:t>表</w:t>
            </w:r>
            <w:r>
              <w:rPr>
                <w:rFonts w:hint="eastAsia"/>
                <w:b/>
                <w:bCs/>
                <w:color w:val="auto"/>
                <w:spacing w:val="11"/>
                <w:position w:val="0"/>
                <w:sz w:val="21"/>
                <w:szCs w:val="21"/>
                <w:highlight w:val="none"/>
                <w:u w:val="none" w:color="auto"/>
                <w:lang w:val="en-US" w:eastAsia="zh-CN"/>
              </w:rPr>
              <w:t xml:space="preserve">4-22 </w:t>
            </w:r>
            <w:r>
              <w:rPr>
                <w:rFonts w:hint="default"/>
                <w:b/>
                <w:bCs/>
                <w:color w:val="auto"/>
                <w:spacing w:val="11"/>
                <w:position w:val="0"/>
                <w:sz w:val="21"/>
                <w:szCs w:val="21"/>
                <w:highlight w:val="none"/>
                <w:u w:val="none" w:color="auto"/>
                <w:lang w:eastAsia="zh-CN"/>
              </w:rPr>
              <w:t xml:space="preserve"> 环境保护图形符号一览表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527"/>
              <w:gridCol w:w="1459"/>
              <w:gridCol w:w="1527"/>
              <w:gridCol w:w="1205"/>
              <w:gridCol w:w="376"/>
              <w:gridCol w:w="1981"/>
            </w:tblGrid>
            <w:tr w14:paraId="73EE43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8" w:type="pct"/>
                  <w:tcBorders>
                    <w:tl2br w:val="nil"/>
                    <w:tr2bl w:val="nil"/>
                  </w:tcBorders>
                  <w:vAlign w:val="center"/>
                </w:tcPr>
                <w:p w14:paraId="434CED7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b w:val="0"/>
                      <w:bCs w:val="0"/>
                      <w:color w:val="auto"/>
                      <w:spacing w:val="11"/>
                      <w:position w:val="0"/>
                      <w:sz w:val="21"/>
                      <w:szCs w:val="21"/>
                      <w:highlight w:val="none"/>
                      <w:u w:val="none" w:color="auto"/>
                      <w:lang w:eastAsia="zh-CN"/>
                    </w:rPr>
                  </w:pPr>
                  <w:r>
                    <w:rPr>
                      <w:rFonts w:hint="eastAsia" w:ascii="Times New Roman" w:hAnsi="Times New Roman" w:eastAsia="宋体" w:cs="Times New Roman"/>
                      <w:b w:val="0"/>
                      <w:bCs w:val="0"/>
                      <w:color w:val="auto"/>
                      <w:spacing w:val="11"/>
                      <w:position w:val="0"/>
                      <w:sz w:val="21"/>
                      <w:szCs w:val="21"/>
                      <w:highlight w:val="none"/>
                      <w:u w:val="none" w:color="auto"/>
                      <w:lang w:val="en-US" w:eastAsia="zh-CN"/>
                    </w:rPr>
                    <w:t>类别</w:t>
                  </w:r>
                </w:p>
              </w:tc>
              <w:tc>
                <w:tcPr>
                  <w:tcW w:w="1668" w:type="pct"/>
                  <w:gridSpan w:val="2"/>
                  <w:tcBorders>
                    <w:tl2br w:val="nil"/>
                    <w:tr2bl w:val="nil"/>
                  </w:tcBorders>
                  <w:vAlign w:val="center"/>
                </w:tcPr>
                <w:p w14:paraId="13AE70A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none" w:color="auto"/>
                    </w:rPr>
                  </w:pPr>
                  <w:r>
                    <w:rPr>
                      <w:rFonts w:hint="default" w:ascii="Times New Roman" w:hAnsi="Times New Roman" w:eastAsia="宋体" w:cs="Times New Roman"/>
                      <w:b w:val="0"/>
                      <w:bCs w:val="0"/>
                      <w:color w:val="auto"/>
                      <w:spacing w:val="11"/>
                      <w:position w:val="0"/>
                      <w:sz w:val="21"/>
                      <w:szCs w:val="21"/>
                      <w:highlight w:val="none"/>
                      <w:u w:val="none" w:color="auto"/>
                    </w:rPr>
                    <w:t>噪声源</w:t>
                  </w:r>
                </w:p>
              </w:tc>
              <w:tc>
                <w:tcPr>
                  <w:tcW w:w="1526" w:type="pct"/>
                  <w:gridSpan w:val="2"/>
                  <w:tcBorders>
                    <w:tl2br w:val="nil"/>
                    <w:tr2bl w:val="nil"/>
                  </w:tcBorders>
                  <w:vAlign w:val="center"/>
                </w:tcPr>
                <w:p w14:paraId="19C9D1D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none" w:color="auto"/>
                      <w:lang w:val="en-US" w:eastAsia="zh-CN"/>
                    </w:rPr>
                  </w:pPr>
                  <w:r>
                    <w:rPr>
                      <w:rFonts w:hint="eastAsia" w:ascii="Times New Roman" w:hAnsi="Times New Roman" w:eastAsia="宋体" w:cs="Times New Roman"/>
                      <w:b w:val="0"/>
                      <w:bCs w:val="0"/>
                      <w:color w:val="auto"/>
                      <w:spacing w:val="11"/>
                      <w:position w:val="0"/>
                      <w:sz w:val="21"/>
                      <w:szCs w:val="21"/>
                      <w:highlight w:val="none"/>
                      <w:u w:val="none" w:color="auto"/>
                      <w:lang w:val="en-US" w:eastAsia="zh-CN"/>
                    </w:rPr>
                    <w:t>固体废物堆场</w:t>
                  </w:r>
                </w:p>
              </w:tc>
              <w:tc>
                <w:tcPr>
                  <w:tcW w:w="1316" w:type="pct"/>
                  <w:gridSpan w:val="2"/>
                  <w:tcBorders>
                    <w:tl2br w:val="nil"/>
                    <w:tr2bl w:val="nil"/>
                  </w:tcBorders>
                  <w:vAlign w:val="center"/>
                </w:tcPr>
                <w:p w14:paraId="66B8471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b w:val="0"/>
                      <w:bCs w:val="0"/>
                      <w:color w:val="auto"/>
                      <w:spacing w:val="11"/>
                      <w:position w:val="0"/>
                      <w:sz w:val="21"/>
                      <w:szCs w:val="21"/>
                      <w:highlight w:val="none"/>
                      <w:u w:val="none" w:color="auto"/>
                      <w:lang w:val="en-US" w:eastAsia="zh-CN"/>
                    </w:rPr>
                  </w:pPr>
                  <w:r>
                    <w:rPr>
                      <w:rFonts w:hint="eastAsia" w:ascii="Times New Roman" w:hAnsi="Times New Roman" w:eastAsia="宋体" w:cs="Times New Roman"/>
                      <w:b w:val="0"/>
                      <w:bCs w:val="0"/>
                      <w:color w:val="auto"/>
                      <w:spacing w:val="11"/>
                      <w:position w:val="0"/>
                      <w:sz w:val="21"/>
                      <w:szCs w:val="21"/>
                      <w:highlight w:val="none"/>
                      <w:u w:val="none" w:color="auto"/>
                      <w:lang w:val="en-US" w:eastAsia="zh-CN"/>
                    </w:rPr>
                    <w:t>危险废物贮存设施标志的样式</w:t>
                  </w:r>
                </w:p>
              </w:tc>
            </w:tr>
            <w:tr w14:paraId="0B4A5A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8" w:type="pct"/>
                  <w:tcBorders>
                    <w:tl2br w:val="nil"/>
                    <w:tr2bl w:val="nil"/>
                  </w:tcBorders>
                  <w:vAlign w:val="center"/>
                </w:tcPr>
                <w:p w14:paraId="22E99A7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val="en-US" w:eastAsia="zh-CN"/>
                    </w:rPr>
                  </w:pPr>
                  <w:r>
                    <w:rPr>
                      <w:rFonts w:hint="eastAsia" w:ascii="Times New Roman" w:hAnsi="Times New Roman" w:eastAsia="宋体" w:cs="Times New Roman"/>
                      <w:color w:val="auto"/>
                      <w:spacing w:val="11"/>
                      <w:position w:val="0"/>
                      <w:sz w:val="21"/>
                      <w:szCs w:val="21"/>
                      <w:highlight w:val="none"/>
                      <w:u w:val="none" w:color="auto"/>
                      <w:lang w:val="en-US" w:eastAsia="zh-CN"/>
                    </w:rPr>
                    <w:t>提示图形符号</w:t>
                  </w:r>
                </w:p>
              </w:tc>
              <w:tc>
                <w:tcPr>
                  <w:tcW w:w="1668" w:type="pct"/>
                  <w:gridSpan w:val="2"/>
                  <w:tcBorders>
                    <w:tl2br w:val="nil"/>
                    <w:tr2bl w:val="nil"/>
                  </w:tcBorders>
                  <w:vAlign w:val="center"/>
                </w:tcPr>
                <w:p w14:paraId="0024570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rPr>
                    <w:drawing>
                      <wp:inline distT="0" distB="0" distL="0" distR="0">
                        <wp:extent cx="827405" cy="741680"/>
                        <wp:effectExtent l="0" t="0" r="10795" b="1270"/>
                        <wp:docPr id="26" name="图片 93"/>
                        <wp:cNvGraphicFramePr/>
                        <a:graphic xmlns:a="http://schemas.openxmlformats.org/drawingml/2006/main">
                          <a:graphicData uri="http://schemas.openxmlformats.org/drawingml/2006/picture">
                            <pic:pic xmlns:pic="http://schemas.openxmlformats.org/drawingml/2006/picture">
                              <pic:nvPicPr>
                                <pic:cNvPr id="26" name="图片 93"/>
                                <pic:cNvPicPr/>
                              </pic:nvPicPr>
                              <pic:blipFill>
                                <a:blip r:embed="rId22">
                                  <a:extLst>
                                    <a:ext uri="{28A0092B-C50C-407E-A947-70E740481C1C}">
                                      <a14:useLocalDpi xmlns:a14="http://schemas.microsoft.com/office/drawing/2010/main" val="0"/>
                                    </a:ext>
                                  </a:extLst>
                                </a:blip>
                                <a:srcRect/>
                                <a:stretch>
                                  <a:fillRect/>
                                </a:stretch>
                              </pic:blipFill>
                              <pic:spPr>
                                <a:xfrm>
                                  <a:off x="0" y="0"/>
                                  <a:ext cx="827405" cy="741680"/>
                                </a:xfrm>
                                <a:prstGeom prst="rect">
                                  <a:avLst/>
                                </a:prstGeom>
                                <a:noFill/>
                                <a:ln>
                                  <a:noFill/>
                                </a:ln>
                              </pic:spPr>
                            </pic:pic>
                          </a:graphicData>
                        </a:graphic>
                      </wp:inline>
                    </w:drawing>
                  </w:r>
                </w:p>
              </w:tc>
              <w:tc>
                <w:tcPr>
                  <w:tcW w:w="1526" w:type="pct"/>
                  <w:gridSpan w:val="2"/>
                  <w:tcBorders>
                    <w:tl2br w:val="nil"/>
                    <w:tr2bl w:val="nil"/>
                  </w:tcBorders>
                  <w:vAlign w:val="center"/>
                </w:tcPr>
                <w:p w14:paraId="0B3B769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rPr>
                    <w:drawing>
                      <wp:inline distT="0" distB="0" distL="0" distR="0">
                        <wp:extent cx="901700" cy="732790"/>
                        <wp:effectExtent l="0" t="0" r="12700" b="10160"/>
                        <wp:docPr id="28" name="图片 91"/>
                        <wp:cNvGraphicFramePr/>
                        <a:graphic xmlns:a="http://schemas.openxmlformats.org/drawingml/2006/main">
                          <a:graphicData uri="http://schemas.openxmlformats.org/drawingml/2006/picture">
                            <pic:pic xmlns:pic="http://schemas.openxmlformats.org/drawingml/2006/picture">
                              <pic:nvPicPr>
                                <pic:cNvPr id="28" name="图片 91"/>
                                <pic:cNvPicPr/>
                              </pic:nvPicPr>
                              <pic:blipFill>
                                <a:blip r:embed="rId23">
                                  <a:extLst>
                                    <a:ext uri="{28A0092B-C50C-407E-A947-70E740481C1C}">
                                      <a14:useLocalDpi xmlns:a14="http://schemas.microsoft.com/office/drawing/2010/main" val="0"/>
                                    </a:ext>
                                  </a:extLst>
                                </a:blip>
                                <a:srcRect/>
                                <a:stretch>
                                  <a:fillRect/>
                                </a:stretch>
                              </pic:blipFill>
                              <pic:spPr>
                                <a:xfrm>
                                  <a:off x="0" y="0"/>
                                  <a:ext cx="901700" cy="732790"/>
                                </a:xfrm>
                                <a:prstGeom prst="rect">
                                  <a:avLst/>
                                </a:prstGeom>
                                <a:noFill/>
                                <a:ln>
                                  <a:noFill/>
                                </a:ln>
                              </pic:spPr>
                            </pic:pic>
                          </a:graphicData>
                        </a:graphic>
                      </wp:inline>
                    </w:drawing>
                  </w:r>
                </w:p>
              </w:tc>
              <w:tc>
                <w:tcPr>
                  <w:tcW w:w="1316" w:type="pct"/>
                  <w:gridSpan w:val="2"/>
                  <w:tcBorders>
                    <w:tl2br w:val="nil"/>
                    <w:tr2bl w:val="nil"/>
                  </w:tcBorders>
                  <w:vAlign w:val="center"/>
                </w:tcPr>
                <w:p w14:paraId="695F9B5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eastAsia="zh-CN"/>
                    </w:rPr>
                  </w:pPr>
                  <w:r>
                    <w:rPr>
                      <w:rFonts w:hint="eastAsia" w:ascii="Times New Roman" w:hAnsi="Times New Roman" w:eastAsia="宋体" w:cs="Times New Roman"/>
                      <w:color w:val="auto"/>
                      <w:spacing w:val="11"/>
                      <w:position w:val="0"/>
                      <w:sz w:val="21"/>
                      <w:szCs w:val="21"/>
                      <w:highlight w:val="none"/>
                      <w:u w:val="none" w:color="auto"/>
                      <w:lang w:eastAsia="zh-CN"/>
                    </w:rPr>
                    <w:drawing>
                      <wp:inline distT="0" distB="0" distL="114300" distR="114300">
                        <wp:extent cx="1266825" cy="803910"/>
                        <wp:effectExtent l="0" t="0" r="9525" b="15240"/>
                        <wp:docPr id="39" name="图片 39" descr="W02023051559122187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W020230515591221879653"/>
                                <pic:cNvPicPr>
                                  <a:picLocks noChangeAspect="1"/>
                                </pic:cNvPicPr>
                              </pic:nvPicPr>
                              <pic:blipFill>
                                <a:blip r:embed="rId24"/>
                                <a:stretch>
                                  <a:fillRect/>
                                </a:stretch>
                              </pic:blipFill>
                              <pic:spPr>
                                <a:xfrm>
                                  <a:off x="0" y="0"/>
                                  <a:ext cx="1266825" cy="803910"/>
                                </a:xfrm>
                                <a:prstGeom prst="rect">
                                  <a:avLst/>
                                </a:prstGeom>
                              </pic:spPr>
                            </pic:pic>
                          </a:graphicData>
                        </a:graphic>
                      </wp:inline>
                    </w:drawing>
                  </w:r>
                </w:p>
              </w:tc>
            </w:tr>
            <w:tr w14:paraId="1C2C88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8" w:type="pct"/>
                  <w:vMerge w:val="restart"/>
                  <w:tcBorders>
                    <w:tl2br w:val="nil"/>
                    <w:tr2bl w:val="nil"/>
                  </w:tcBorders>
                  <w:shd w:val="clear" w:color="auto" w:fill="auto"/>
                  <w:vAlign w:val="center"/>
                </w:tcPr>
                <w:p w14:paraId="20BE05A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olor w:val="auto"/>
                      <w:spacing w:val="11"/>
                      <w:position w:val="0"/>
                      <w:sz w:val="21"/>
                      <w:szCs w:val="21"/>
                      <w:highlight w:val="none"/>
                      <w:u w:val="none" w:color="auto"/>
                      <w:lang w:val="en-US" w:eastAsia="zh-CN"/>
                    </w:rPr>
                    <w:t>警告图形符号</w:t>
                  </w:r>
                </w:p>
              </w:tc>
              <w:tc>
                <w:tcPr>
                  <w:tcW w:w="853" w:type="pct"/>
                  <w:tcBorders>
                    <w:tl2br w:val="nil"/>
                    <w:tr2bl w:val="nil"/>
                  </w:tcBorders>
                  <w:shd w:val="clear" w:color="auto" w:fill="auto"/>
                  <w:vAlign w:val="center"/>
                </w:tcPr>
                <w:p w14:paraId="38D3E32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drawing>
                      <wp:inline distT="0" distB="0" distL="114300" distR="114300">
                        <wp:extent cx="886460" cy="895985"/>
                        <wp:effectExtent l="0" t="0" r="8890" b="18415"/>
                        <wp:docPr id="31" name="图片 31" descr="W02023051559121951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W020230515591219515222"/>
                                <pic:cNvPicPr>
                                  <a:picLocks noChangeAspect="1"/>
                                </pic:cNvPicPr>
                              </pic:nvPicPr>
                              <pic:blipFill>
                                <a:blip r:embed="rId25"/>
                                <a:stretch>
                                  <a:fillRect/>
                                </a:stretch>
                              </pic:blipFill>
                              <pic:spPr>
                                <a:xfrm>
                                  <a:off x="0" y="0"/>
                                  <a:ext cx="886460" cy="895985"/>
                                </a:xfrm>
                                <a:prstGeom prst="rect">
                                  <a:avLst/>
                                </a:prstGeom>
                              </pic:spPr>
                            </pic:pic>
                          </a:graphicData>
                        </a:graphic>
                      </wp:inline>
                    </w:drawing>
                  </w:r>
                </w:p>
              </w:tc>
              <w:tc>
                <w:tcPr>
                  <w:tcW w:w="815" w:type="pct"/>
                  <w:tcBorders>
                    <w:tl2br w:val="nil"/>
                    <w:tr2bl w:val="nil"/>
                  </w:tcBorders>
                  <w:shd w:val="clear" w:color="auto" w:fill="auto"/>
                  <w:vAlign w:val="center"/>
                </w:tcPr>
                <w:p w14:paraId="0BDAC33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drawing>
                      <wp:inline distT="0" distB="0" distL="114300" distR="114300">
                        <wp:extent cx="805815" cy="879475"/>
                        <wp:effectExtent l="0" t="0" r="13335" b="15875"/>
                        <wp:docPr id="34" name="图片 34" descr="W02023051559121997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W020230515591219973538"/>
                                <pic:cNvPicPr>
                                  <a:picLocks noChangeAspect="1"/>
                                </pic:cNvPicPr>
                              </pic:nvPicPr>
                              <pic:blipFill>
                                <a:blip r:embed="rId26"/>
                                <a:srcRect l="26836" r="24833"/>
                                <a:stretch>
                                  <a:fillRect/>
                                </a:stretch>
                              </pic:blipFill>
                              <pic:spPr>
                                <a:xfrm>
                                  <a:off x="0" y="0"/>
                                  <a:ext cx="805815" cy="879475"/>
                                </a:xfrm>
                                <a:prstGeom prst="rect">
                                  <a:avLst/>
                                </a:prstGeom>
                              </pic:spPr>
                            </pic:pic>
                          </a:graphicData>
                        </a:graphic>
                      </wp:inline>
                    </w:drawing>
                  </w:r>
                </w:p>
              </w:tc>
              <w:tc>
                <w:tcPr>
                  <w:tcW w:w="853" w:type="pct"/>
                  <w:tcBorders>
                    <w:tl2br w:val="nil"/>
                    <w:tr2bl w:val="nil"/>
                  </w:tcBorders>
                  <w:shd w:val="clear" w:color="auto" w:fill="auto"/>
                  <w:vAlign w:val="center"/>
                </w:tcPr>
                <w:p w14:paraId="2AEEEC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none" w:color="auto"/>
                      <w:lang w:val="en-US" w:eastAsia="zh-CN" w:bidi="ar-SA"/>
                    </w:rPr>
                  </w:pPr>
                  <w:r>
                    <w:rPr>
                      <w:rFonts w:hint="default" w:ascii="Times New Roman" w:hAnsi="Times New Roman" w:eastAsia="宋体" w:cs="Times New Roman"/>
                      <w:color w:val="auto"/>
                      <w:spacing w:val="11"/>
                      <w:kern w:val="2"/>
                      <w:position w:val="0"/>
                      <w:sz w:val="21"/>
                      <w:szCs w:val="21"/>
                      <w:u w:val="none" w:color="auto"/>
                      <w:lang w:val="en-US" w:eastAsia="zh-CN" w:bidi="ar-SA"/>
                    </w:rPr>
                    <w:drawing>
                      <wp:inline distT="0" distB="0" distL="114300" distR="114300">
                        <wp:extent cx="846455" cy="857250"/>
                        <wp:effectExtent l="0" t="0" r="10795" b="0"/>
                        <wp:docPr id="30" name="图片 30" descr="W02023051559122012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W020230515591220127780"/>
                                <pic:cNvPicPr>
                                  <a:picLocks noChangeAspect="1"/>
                                </pic:cNvPicPr>
                              </pic:nvPicPr>
                              <pic:blipFill>
                                <a:blip r:embed="rId27"/>
                                <a:srcRect l="9690" t="6639" r="4088"/>
                                <a:stretch>
                                  <a:fillRect/>
                                </a:stretch>
                              </pic:blipFill>
                              <pic:spPr>
                                <a:xfrm>
                                  <a:off x="0" y="0"/>
                                  <a:ext cx="846455" cy="857250"/>
                                </a:xfrm>
                                <a:prstGeom prst="rect">
                                  <a:avLst/>
                                </a:prstGeom>
                              </pic:spPr>
                            </pic:pic>
                          </a:graphicData>
                        </a:graphic>
                      </wp:inline>
                    </w:drawing>
                  </w:r>
                </w:p>
              </w:tc>
              <w:tc>
                <w:tcPr>
                  <w:tcW w:w="883" w:type="pct"/>
                  <w:gridSpan w:val="2"/>
                  <w:tcBorders>
                    <w:tl2br w:val="nil"/>
                    <w:tr2bl w:val="nil"/>
                  </w:tcBorders>
                  <w:shd w:val="clear" w:color="auto" w:fill="auto"/>
                  <w:vAlign w:val="center"/>
                </w:tcPr>
                <w:p w14:paraId="2DE12E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drawing>
                      <wp:inline distT="0" distB="0" distL="114300" distR="114300">
                        <wp:extent cx="932815" cy="887095"/>
                        <wp:effectExtent l="0" t="0" r="0" b="7620"/>
                        <wp:docPr id="33" name="图片 33" descr="W02023051559122115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W020230515591221151099"/>
                                <pic:cNvPicPr>
                                  <a:picLocks noChangeAspect="1"/>
                                </pic:cNvPicPr>
                              </pic:nvPicPr>
                              <pic:blipFill>
                                <a:blip r:embed="rId28"/>
                                <a:srcRect l="23164" r="21429"/>
                                <a:stretch>
                                  <a:fillRect/>
                                </a:stretch>
                              </pic:blipFill>
                              <pic:spPr>
                                <a:xfrm>
                                  <a:off x="0" y="0"/>
                                  <a:ext cx="932815" cy="887095"/>
                                </a:xfrm>
                                <a:prstGeom prst="rect">
                                  <a:avLst/>
                                </a:prstGeom>
                              </pic:spPr>
                            </pic:pic>
                          </a:graphicData>
                        </a:graphic>
                      </wp:inline>
                    </w:drawing>
                  </w:r>
                </w:p>
              </w:tc>
              <w:tc>
                <w:tcPr>
                  <w:tcW w:w="1106" w:type="pct"/>
                  <w:tcBorders>
                    <w:tl2br w:val="nil"/>
                    <w:tr2bl w:val="nil"/>
                  </w:tcBorders>
                  <w:shd w:val="clear" w:color="auto" w:fill="auto"/>
                  <w:vAlign w:val="center"/>
                </w:tcPr>
                <w:p w14:paraId="138829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u w:val="none" w:color="auto"/>
                    </w:rPr>
                  </w:pPr>
                  <w:r>
                    <w:rPr>
                      <w:rFonts w:ascii="Times New Roman" w:hAnsi="Times New Roman" w:eastAsia="宋体" w:cs="Times New Roman"/>
                      <w:color w:val="auto"/>
                      <w:spacing w:val="11"/>
                      <w:position w:val="0"/>
                      <w:sz w:val="21"/>
                      <w:u w:val="none" w:color="auto"/>
                    </w:rPr>
                    <w:drawing>
                      <wp:inline distT="0" distB="0" distL="114300" distR="114300">
                        <wp:extent cx="928370" cy="832485"/>
                        <wp:effectExtent l="0" t="0" r="5080" b="5715"/>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29"/>
                                <a:stretch>
                                  <a:fillRect/>
                                </a:stretch>
                              </pic:blipFill>
                              <pic:spPr>
                                <a:xfrm>
                                  <a:off x="0" y="0"/>
                                  <a:ext cx="928370" cy="832485"/>
                                </a:xfrm>
                                <a:prstGeom prst="rect">
                                  <a:avLst/>
                                </a:prstGeom>
                                <a:noFill/>
                                <a:ln>
                                  <a:noFill/>
                                </a:ln>
                              </pic:spPr>
                            </pic:pic>
                          </a:graphicData>
                        </a:graphic>
                      </wp:inline>
                    </w:drawing>
                  </w:r>
                </w:p>
              </w:tc>
            </w:tr>
            <w:tr w14:paraId="1D899F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8" w:type="pct"/>
                  <w:vMerge w:val="continue"/>
                  <w:tcBorders>
                    <w:tl2br w:val="nil"/>
                    <w:tr2bl w:val="nil"/>
                  </w:tcBorders>
                  <w:shd w:val="clear" w:color="auto" w:fill="auto"/>
                  <w:vAlign w:val="center"/>
                </w:tcPr>
                <w:p w14:paraId="0CD35DC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val="en-US" w:eastAsia="zh-CN"/>
                    </w:rPr>
                  </w:pPr>
                </w:p>
              </w:tc>
              <w:tc>
                <w:tcPr>
                  <w:tcW w:w="853" w:type="pct"/>
                  <w:tcBorders>
                    <w:tl2br w:val="nil"/>
                    <w:tr2bl w:val="nil"/>
                  </w:tcBorders>
                  <w:shd w:val="clear" w:color="auto" w:fill="auto"/>
                  <w:vAlign w:val="center"/>
                </w:tcPr>
                <w:p w14:paraId="7FAAA3F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none" w:color="auto"/>
                      <w:lang w:val="en-US" w:eastAsia="zh-CN" w:bidi="ar-SA"/>
                    </w:rPr>
                    <w:t>腐蚀性</w:t>
                  </w:r>
                </w:p>
              </w:tc>
              <w:tc>
                <w:tcPr>
                  <w:tcW w:w="815" w:type="pct"/>
                  <w:tcBorders>
                    <w:tl2br w:val="nil"/>
                    <w:tr2bl w:val="nil"/>
                  </w:tcBorders>
                  <w:shd w:val="clear" w:color="auto" w:fill="auto"/>
                  <w:vAlign w:val="center"/>
                </w:tcPr>
                <w:p w14:paraId="2519D74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none" w:color="auto"/>
                      <w:lang w:val="en-US" w:eastAsia="zh-CN" w:bidi="ar-SA"/>
                    </w:rPr>
                    <w:t>毒性</w:t>
                  </w:r>
                </w:p>
              </w:tc>
              <w:tc>
                <w:tcPr>
                  <w:tcW w:w="853" w:type="pct"/>
                  <w:tcBorders>
                    <w:tl2br w:val="nil"/>
                    <w:tr2bl w:val="nil"/>
                  </w:tcBorders>
                  <w:shd w:val="clear" w:color="auto" w:fill="auto"/>
                  <w:vAlign w:val="center"/>
                </w:tcPr>
                <w:p w14:paraId="33448C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none" w:color="auto"/>
                      <w:lang w:val="en-US" w:eastAsia="zh-CN" w:bidi="ar-SA"/>
                    </w:rPr>
                  </w:pPr>
                  <w:r>
                    <w:rPr>
                      <w:rFonts w:hint="eastAsia" w:ascii="Times New Roman" w:hAnsi="Times New Roman" w:eastAsia="宋体" w:cs="Times New Roman"/>
                      <w:color w:val="auto"/>
                      <w:spacing w:val="11"/>
                      <w:kern w:val="2"/>
                      <w:position w:val="0"/>
                      <w:sz w:val="21"/>
                      <w:szCs w:val="21"/>
                      <w:u w:val="none" w:color="auto"/>
                      <w:lang w:val="en-US" w:eastAsia="zh-CN" w:bidi="ar-SA"/>
                    </w:rPr>
                    <w:t>易燃性</w:t>
                  </w:r>
                </w:p>
              </w:tc>
              <w:tc>
                <w:tcPr>
                  <w:tcW w:w="883" w:type="pct"/>
                  <w:gridSpan w:val="2"/>
                  <w:tcBorders>
                    <w:tl2br w:val="nil"/>
                    <w:tr2bl w:val="nil"/>
                  </w:tcBorders>
                  <w:shd w:val="clear" w:color="auto" w:fill="auto"/>
                  <w:vAlign w:val="center"/>
                </w:tcPr>
                <w:p w14:paraId="78C948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none" w:color="auto"/>
                      <w:lang w:val="en-US" w:eastAsia="zh-CN" w:bidi="ar-SA"/>
                    </w:rPr>
                  </w:pPr>
                  <w:r>
                    <w:rPr>
                      <w:rFonts w:hint="eastAsia" w:ascii="Times New Roman" w:hAnsi="Times New Roman" w:eastAsia="宋体" w:cs="Times New Roman"/>
                      <w:color w:val="auto"/>
                      <w:spacing w:val="11"/>
                      <w:kern w:val="2"/>
                      <w:position w:val="0"/>
                      <w:sz w:val="21"/>
                      <w:szCs w:val="21"/>
                      <w:u w:val="none" w:color="auto"/>
                      <w:lang w:val="en-US" w:eastAsia="zh-CN" w:bidi="ar-SA"/>
                    </w:rPr>
                    <w:t>反应性</w:t>
                  </w:r>
                </w:p>
              </w:tc>
              <w:tc>
                <w:tcPr>
                  <w:tcW w:w="1106" w:type="pct"/>
                  <w:tcBorders>
                    <w:tl2br w:val="nil"/>
                    <w:tr2bl w:val="nil"/>
                  </w:tcBorders>
                  <w:shd w:val="clear" w:color="auto" w:fill="auto"/>
                  <w:vAlign w:val="center"/>
                </w:tcPr>
                <w:p w14:paraId="1808D4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u w:val="none" w:color="auto"/>
                    </w:rPr>
                  </w:pPr>
                  <w:r>
                    <w:rPr>
                      <w:rFonts w:hint="eastAsia" w:ascii="Times New Roman" w:hAnsi="Times New Roman" w:eastAsia="宋体" w:cs="Times New Roman"/>
                      <w:color w:val="auto"/>
                      <w:spacing w:val="11"/>
                      <w:position w:val="0"/>
                      <w:sz w:val="21"/>
                      <w:u w:val="none" w:color="auto"/>
                    </w:rPr>
                    <w:t>危险废物贮存、处置场的警告</w:t>
                  </w:r>
                </w:p>
              </w:tc>
            </w:tr>
          </w:tbl>
          <w:p w14:paraId="40CF8054">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right="0" w:rightChars="0"/>
              <w:jc w:val="both"/>
              <w:textAlignment w:val="auto"/>
              <w:outlineLvl w:val="1"/>
              <w:rPr>
                <w:rFonts w:hint="default" w:ascii="Times New Roman" w:hAnsi="Times New Roman" w:cs="Times New Roman" w:eastAsiaTheme="minorEastAsia"/>
                <w:b/>
                <w:bCs/>
                <w:color w:val="auto"/>
                <w:spacing w:val="11"/>
                <w:kern w:val="2"/>
                <w:position w:val="0"/>
                <w:sz w:val="24"/>
                <w:szCs w:val="24"/>
                <w:highlight w:val="none"/>
                <w:u w:val="none" w:color="auto"/>
                <w:lang w:val="en-US" w:eastAsia="zh-CN" w:bidi="ar-SA"/>
              </w:rPr>
            </w:pPr>
            <w:r>
              <w:rPr>
                <w:rFonts w:hint="eastAsia" w:cs="Times New Roman" w:eastAsiaTheme="minorEastAsia"/>
                <w:b/>
                <w:bCs/>
                <w:color w:val="auto"/>
                <w:spacing w:val="11"/>
                <w:kern w:val="2"/>
                <w:position w:val="0"/>
                <w:sz w:val="24"/>
                <w:szCs w:val="24"/>
                <w:highlight w:val="none"/>
                <w:u w:val="none" w:color="auto"/>
                <w:lang w:val="en-US" w:eastAsia="zh-CN" w:bidi="ar-SA"/>
              </w:rPr>
              <w:t>9</w:t>
            </w:r>
            <w:r>
              <w:rPr>
                <w:rFonts w:hint="default" w:ascii="Times New Roman" w:hAnsi="Times New Roman" w:cs="Times New Roman" w:eastAsiaTheme="minorEastAsia"/>
                <w:b/>
                <w:bCs/>
                <w:color w:val="auto"/>
                <w:spacing w:val="11"/>
                <w:kern w:val="2"/>
                <w:position w:val="0"/>
                <w:sz w:val="24"/>
                <w:szCs w:val="24"/>
                <w:highlight w:val="none"/>
                <w:u w:val="none" w:color="auto"/>
                <w:lang w:val="en-US" w:eastAsia="zh-CN" w:bidi="ar-SA"/>
              </w:rPr>
              <w:t>环保投资</w:t>
            </w:r>
          </w:p>
          <w:p w14:paraId="66177E43">
            <w:pPr>
              <w:pageBreakBefore w:val="0"/>
              <w:widowControl w:val="0"/>
              <w:kinsoku/>
              <w:wordWrap/>
              <w:overflowPunct/>
              <w:topLinePunct w:val="0"/>
              <w:autoSpaceDE/>
              <w:autoSpaceDN/>
              <w:bidi w:val="0"/>
              <w:adjustRightInd w:val="0"/>
              <w:snapToGrid w:val="0"/>
              <w:spacing w:line="360" w:lineRule="auto"/>
              <w:ind w:firstLine="524" w:firstLineChars="200"/>
              <w:jc w:val="left"/>
              <w:textAlignment w:val="auto"/>
              <w:rPr>
                <w:rFonts w:hint="default" w:ascii="Times New Roman" w:hAnsi="Times New Roman" w:cs="Times New Roman"/>
                <w:color w:val="auto"/>
                <w:spacing w:val="11"/>
                <w:position w:val="0"/>
                <w:szCs w:val="24"/>
                <w:highlight w:val="none"/>
                <w:u w:val="single" w:color="auto"/>
              </w:rPr>
            </w:pPr>
            <w:r>
              <w:rPr>
                <w:rFonts w:hint="default" w:ascii="Times New Roman" w:hAnsi="Times New Roman" w:cs="Times New Roman"/>
                <w:color w:val="auto"/>
                <w:spacing w:val="11"/>
                <w:position w:val="0"/>
                <w:szCs w:val="24"/>
                <w:highlight w:val="none"/>
                <w:u w:val="single" w:color="auto"/>
              </w:rPr>
              <w:t>项目总投资为</w:t>
            </w:r>
            <w:r>
              <w:rPr>
                <w:rFonts w:hint="eastAsia" w:cs="Times New Roman"/>
                <w:color w:val="auto"/>
                <w:spacing w:val="11"/>
                <w:position w:val="0"/>
                <w:szCs w:val="24"/>
                <w:highlight w:val="none"/>
                <w:u w:val="single" w:color="auto"/>
                <w:lang w:val="en-US" w:eastAsia="zh-CN"/>
              </w:rPr>
              <w:t>13974.11万</w:t>
            </w:r>
            <w:r>
              <w:rPr>
                <w:rFonts w:hint="default" w:ascii="Times New Roman" w:hAnsi="Times New Roman" w:cs="Times New Roman"/>
                <w:color w:val="auto"/>
                <w:spacing w:val="11"/>
                <w:position w:val="0"/>
                <w:szCs w:val="24"/>
                <w:highlight w:val="none"/>
                <w:u w:val="single" w:color="auto"/>
              </w:rPr>
              <w:t>元，环保投资约为</w:t>
            </w:r>
            <w:r>
              <w:rPr>
                <w:rFonts w:hint="eastAsia" w:cs="Times New Roman"/>
                <w:color w:val="auto"/>
                <w:spacing w:val="11"/>
                <w:position w:val="0"/>
                <w:szCs w:val="24"/>
                <w:highlight w:val="none"/>
                <w:u w:val="single" w:color="auto"/>
                <w:lang w:val="en-US" w:eastAsia="zh-CN"/>
              </w:rPr>
              <w:t>200</w:t>
            </w:r>
            <w:r>
              <w:rPr>
                <w:rFonts w:hint="default" w:ascii="Times New Roman" w:hAnsi="Times New Roman" w:cs="Times New Roman"/>
                <w:color w:val="auto"/>
                <w:spacing w:val="11"/>
                <w:position w:val="0"/>
                <w:szCs w:val="24"/>
                <w:highlight w:val="none"/>
                <w:u w:val="single" w:color="auto"/>
              </w:rPr>
              <w:t>万元，占项目总投资的</w:t>
            </w:r>
            <w:r>
              <w:rPr>
                <w:rFonts w:hint="eastAsia" w:cs="Times New Roman"/>
                <w:color w:val="auto"/>
                <w:spacing w:val="11"/>
                <w:position w:val="0"/>
                <w:szCs w:val="24"/>
                <w:highlight w:val="none"/>
                <w:u w:val="single" w:color="auto"/>
                <w:lang w:val="en-US" w:eastAsia="zh-CN"/>
              </w:rPr>
              <w:t>1.43</w:t>
            </w:r>
            <w:r>
              <w:rPr>
                <w:rFonts w:hint="default" w:ascii="Times New Roman" w:hAnsi="Times New Roman" w:cs="Times New Roman"/>
                <w:color w:val="auto"/>
                <w:spacing w:val="11"/>
                <w:position w:val="0"/>
                <w:szCs w:val="24"/>
                <w:highlight w:val="none"/>
                <w:u w:val="single" w:color="auto"/>
              </w:rPr>
              <w:t>%。措施及投资概算汇总如下表</w:t>
            </w:r>
            <w:r>
              <w:rPr>
                <w:rFonts w:hint="eastAsia" w:cs="Times New Roman"/>
                <w:color w:val="auto"/>
                <w:spacing w:val="11"/>
                <w:position w:val="0"/>
                <w:szCs w:val="24"/>
                <w:highlight w:val="none"/>
                <w:u w:val="single" w:color="auto"/>
                <w:lang w:val="en-US" w:eastAsia="zh-CN"/>
              </w:rPr>
              <w:t>4-23</w:t>
            </w:r>
            <w:r>
              <w:rPr>
                <w:rFonts w:hint="default" w:ascii="Times New Roman" w:hAnsi="Times New Roman" w:cs="Times New Roman"/>
                <w:color w:val="auto"/>
                <w:spacing w:val="11"/>
                <w:position w:val="0"/>
                <w:szCs w:val="24"/>
                <w:highlight w:val="none"/>
                <w:u w:val="single" w:color="auto"/>
              </w:rPr>
              <w:t>：</w:t>
            </w:r>
          </w:p>
          <w:p w14:paraId="7F3588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pacing w:val="11"/>
                <w:position w:val="0"/>
                <w:sz w:val="21"/>
                <w:szCs w:val="21"/>
                <w:highlight w:val="none"/>
                <w:u w:val="single" w:color="auto"/>
              </w:rPr>
            </w:pPr>
            <w:r>
              <w:rPr>
                <w:rFonts w:hint="default"/>
                <w:b/>
                <w:bCs/>
                <w:color w:val="auto"/>
                <w:spacing w:val="11"/>
                <w:position w:val="0"/>
                <w:sz w:val="21"/>
                <w:szCs w:val="21"/>
                <w:highlight w:val="none"/>
                <w:u w:val="single" w:color="auto"/>
              </w:rPr>
              <w:t>表</w:t>
            </w:r>
            <w:r>
              <w:rPr>
                <w:rFonts w:hint="eastAsia"/>
                <w:b/>
                <w:bCs/>
                <w:color w:val="auto"/>
                <w:spacing w:val="11"/>
                <w:position w:val="0"/>
                <w:sz w:val="21"/>
                <w:szCs w:val="21"/>
                <w:highlight w:val="none"/>
                <w:u w:val="single" w:color="auto"/>
                <w:lang w:val="en-US" w:eastAsia="zh-CN"/>
              </w:rPr>
              <w:t xml:space="preserve">4-23 </w:t>
            </w:r>
            <w:r>
              <w:rPr>
                <w:rFonts w:hint="eastAsia" w:ascii="Times New Roman" w:eastAsia="宋体"/>
                <w:b/>
                <w:bCs/>
                <w:color w:val="auto"/>
                <w:spacing w:val="11"/>
                <w:position w:val="0"/>
                <w:sz w:val="21"/>
                <w:szCs w:val="21"/>
                <w:highlight w:val="none"/>
                <w:u w:val="single" w:color="auto"/>
                <w:lang w:val="en-US" w:eastAsia="zh-CN"/>
              </w:rPr>
              <w:t xml:space="preserve"> </w:t>
            </w:r>
            <w:r>
              <w:rPr>
                <w:rFonts w:hint="default"/>
                <w:b/>
                <w:bCs/>
                <w:color w:val="auto"/>
                <w:spacing w:val="11"/>
                <w:position w:val="0"/>
                <w:sz w:val="21"/>
                <w:szCs w:val="21"/>
                <w:highlight w:val="none"/>
                <w:u w:val="single" w:color="auto"/>
              </w:rPr>
              <w:t>污染治理措施及投资概算表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875"/>
              <w:gridCol w:w="4232"/>
              <w:gridCol w:w="1689"/>
            </w:tblGrid>
            <w:tr w14:paraId="5CA633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640" w:type="pct"/>
                  <w:tcBorders>
                    <w:tl2br w:val="nil"/>
                    <w:tr2bl w:val="nil"/>
                  </w:tcBorders>
                  <w:noWrap w:val="0"/>
                  <w:vAlign w:val="center"/>
                </w:tcPr>
                <w:p w14:paraId="5A7D58FC">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val="0"/>
                      <w:bCs w:val="0"/>
                      <w:color w:val="auto"/>
                      <w:spacing w:val="11"/>
                      <w:position w:val="0"/>
                      <w:sz w:val="21"/>
                      <w:szCs w:val="21"/>
                      <w:highlight w:val="none"/>
                      <w:u w:val="single" w:color="auto"/>
                    </w:rPr>
                  </w:pPr>
                  <w:r>
                    <w:rPr>
                      <w:b w:val="0"/>
                      <w:bCs w:val="0"/>
                      <w:color w:val="auto"/>
                      <w:spacing w:val="11"/>
                      <w:position w:val="0"/>
                      <w:sz w:val="21"/>
                      <w:szCs w:val="21"/>
                      <w:highlight w:val="none"/>
                      <w:u w:val="single" w:color="auto"/>
                    </w:rPr>
                    <w:t>项目</w:t>
                  </w:r>
                </w:p>
              </w:tc>
              <w:tc>
                <w:tcPr>
                  <w:tcW w:w="1048" w:type="pct"/>
                  <w:tcBorders>
                    <w:tl2br w:val="nil"/>
                    <w:tr2bl w:val="nil"/>
                  </w:tcBorders>
                  <w:noWrap w:val="0"/>
                  <w:vAlign w:val="center"/>
                </w:tcPr>
                <w:p w14:paraId="2D6E379E">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val="0"/>
                      <w:bCs w:val="0"/>
                      <w:color w:val="auto"/>
                      <w:spacing w:val="11"/>
                      <w:position w:val="0"/>
                      <w:sz w:val="21"/>
                      <w:szCs w:val="21"/>
                      <w:highlight w:val="none"/>
                      <w:u w:val="single" w:color="auto"/>
                    </w:rPr>
                  </w:pPr>
                  <w:r>
                    <w:rPr>
                      <w:b w:val="0"/>
                      <w:bCs w:val="0"/>
                      <w:color w:val="auto"/>
                      <w:spacing w:val="11"/>
                      <w:position w:val="0"/>
                      <w:sz w:val="21"/>
                      <w:szCs w:val="21"/>
                      <w:highlight w:val="none"/>
                      <w:u w:val="single" w:color="auto"/>
                    </w:rPr>
                    <w:t>污染源</w:t>
                  </w:r>
                </w:p>
              </w:tc>
              <w:tc>
                <w:tcPr>
                  <w:tcW w:w="2366" w:type="pct"/>
                  <w:tcBorders>
                    <w:tl2br w:val="nil"/>
                    <w:tr2bl w:val="nil"/>
                  </w:tcBorders>
                  <w:noWrap w:val="0"/>
                  <w:vAlign w:val="center"/>
                </w:tcPr>
                <w:p w14:paraId="1B2FA031">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val="0"/>
                      <w:bCs w:val="0"/>
                      <w:color w:val="auto"/>
                      <w:spacing w:val="11"/>
                      <w:position w:val="0"/>
                      <w:sz w:val="21"/>
                      <w:szCs w:val="21"/>
                      <w:highlight w:val="none"/>
                      <w:u w:val="single" w:color="auto"/>
                    </w:rPr>
                  </w:pPr>
                  <w:r>
                    <w:rPr>
                      <w:b w:val="0"/>
                      <w:bCs w:val="0"/>
                      <w:color w:val="auto"/>
                      <w:spacing w:val="11"/>
                      <w:position w:val="0"/>
                      <w:sz w:val="21"/>
                      <w:szCs w:val="21"/>
                      <w:highlight w:val="none"/>
                      <w:u w:val="single" w:color="auto"/>
                    </w:rPr>
                    <w:t>建设内容</w:t>
                  </w:r>
                </w:p>
              </w:tc>
              <w:tc>
                <w:tcPr>
                  <w:tcW w:w="944" w:type="pct"/>
                  <w:tcBorders>
                    <w:tl2br w:val="nil"/>
                    <w:tr2bl w:val="nil"/>
                  </w:tcBorders>
                  <w:noWrap w:val="0"/>
                  <w:vAlign w:val="center"/>
                </w:tcPr>
                <w:p w14:paraId="013AE952">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val="0"/>
                      <w:bCs w:val="0"/>
                      <w:color w:val="auto"/>
                      <w:spacing w:val="11"/>
                      <w:position w:val="0"/>
                      <w:sz w:val="21"/>
                      <w:szCs w:val="21"/>
                      <w:highlight w:val="none"/>
                      <w:u w:val="single" w:color="auto"/>
                    </w:rPr>
                  </w:pPr>
                  <w:r>
                    <w:rPr>
                      <w:b w:val="0"/>
                      <w:bCs w:val="0"/>
                      <w:color w:val="auto"/>
                      <w:spacing w:val="11"/>
                      <w:position w:val="0"/>
                      <w:sz w:val="21"/>
                      <w:szCs w:val="21"/>
                      <w:highlight w:val="none"/>
                      <w:u w:val="single" w:color="auto"/>
                    </w:rPr>
                    <w:t>投资额（万元）</w:t>
                  </w:r>
                </w:p>
              </w:tc>
            </w:tr>
            <w:tr w14:paraId="711070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640" w:type="pct"/>
                  <w:tcBorders>
                    <w:tl2br w:val="nil"/>
                    <w:tr2bl w:val="nil"/>
                  </w:tcBorders>
                  <w:noWrap w:val="0"/>
                  <w:vAlign w:val="center"/>
                </w:tcPr>
                <w:p w14:paraId="2343A2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pacing w:val="11"/>
                      <w:position w:val="0"/>
                      <w:sz w:val="21"/>
                      <w:szCs w:val="21"/>
                      <w:highlight w:val="none"/>
                      <w:u w:val="single" w:color="auto"/>
                      <w:lang w:val="en-US" w:eastAsia="zh-CN"/>
                    </w:rPr>
                  </w:pPr>
                  <w:r>
                    <w:rPr>
                      <w:rFonts w:hint="default" w:ascii="Times New Roman" w:hAnsi="Times New Roman" w:cs="Times New Roman"/>
                      <w:color w:val="auto"/>
                      <w:spacing w:val="11"/>
                      <w:position w:val="0"/>
                      <w:sz w:val="21"/>
                      <w:szCs w:val="21"/>
                      <w:highlight w:val="none"/>
                      <w:u w:val="single" w:color="auto"/>
                    </w:rPr>
                    <w:t>废水</w:t>
                  </w:r>
                  <w:r>
                    <w:rPr>
                      <w:rFonts w:hint="eastAsia" w:ascii="Times New Roman" w:hAnsi="Times New Roman" w:cs="Times New Roman"/>
                      <w:color w:val="auto"/>
                      <w:spacing w:val="11"/>
                      <w:position w:val="0"/>
                      <w:sz w:val="21"/>
                      <w:szCs w:val="21"/>
                      <w:highlight w:val="none"/>
                      <w:u w:val="single" w:color="auto"/>
                      <w:lang w:val="en-US" w:eastAsia="zh-CN"/>
                    </w:rPr>
                    <w:t>治理</w:t>
                  </w:r>
                </w:p>
              </w:tc>
              <w:tc>
                <w:tcPr>
                  <w:tcW w:w="1048" w:type="pct"/>
                  <w:tcBorders>
                    <w:tl2br w:val="nil"/>
                    <w:tr2bl w:val="nil"/>
                  </w:tcBorders>
                  <w:noWrap w:val="0"/>
                  <w:vAlign w:val="center"/>
                </w:tcPr>
                <w:p w14:paraId="02E6E7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生活废水、医疗废水</w:t>
                  </w:r>
                </w:p>
              </w:tc>
              <w:tc>
                <w:tcPr>
                  <w:tcW w:w="2366" w:type="pct"/>
                  <w:tcBorders>
                    <w:tl2br w:val="nil"/>
                    <w:tr2bl w:val="nil"/>
                  </w:tcBorders>
                  <w:noWrap w:val="0"/>
                  <w:vAlign w:val="center"/>
                </w:tcPr>
                <w:p w14:paraId="50E2BD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化粪池、预处理池、检验科预处理设施</w:t>
                  </w:r>
                </w:p>
              </w:tc>
              <w:tc>
                <w:tcPr>
                  <w:tcW w:w="944" w:type="pct"/>
                  <w:tcBorders>
                    <w:tl2br w:val="nil"/>
                    <w:tr2bl w:val="nil"/>
                  </w:tcBorders>
                  <w:noWrap w:val="0"/>
                  <w:vAlign w:val="center"/>
                </w:tcPr>
                <w:p w14:paraId="4FC88E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color w:val="auto"/>
                      <w:spacing w:val="11"/>
                      <w:position w:val="0"/>
                      <w:sz w:val="21"/>
                      <w:szCs w:val="21"/>
                      <w:highlight w:val="none"/>
                      <w:u w:val="single" w:color="auto"/>
                      <w:lang w:val="en-US" w:eastAsia="zh-CN"/>
                    </w:rPr>
                    <w:t>55</w:t>
                  </w:r>
                </w:p>
              </w:tc>
            </w:tr>
            <w:tr w14:paraId="457884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restart"/>
                  <w:tcBorders>
                    <w:tl2br w:val="nil"/>
                    <w:tr2bl w:val="nil"/>
                  </w:tcBorders>
                  <w:noWrap w:val="0"/>
                  <w:vAlign w:val="center"/>
                </w:tcPr>
                <w:p w14:paraId="7BED04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rPr>
                  </w:pPr>
                  <w:r>
                    <w:rPr>
                      <w:rFonts w:hint="default" w:ascii="Times New Roman" w:hAnsi="Times New Roman" w:cs="Times New Roman"/>
                      <w:color w:val="auto"/>
                      <w:spacing w:val="11"/>
                      <w:position w:val="0"/>
                      <w:sz w:val="21"/>
                      <w:szCs w:val="21"/>
                      <w:highlight w:val="none"/>
                      <w:u w:val="single" w:color="auto"/>
                    </w:rPr>
                    <w:t>废气</w:t>
                  </w:r>
                  <w:r>
                    <w:rPr>
                      <w:rFonts w:hint="eastAsia" w:ascii="Times New Roman" w:hAnsi="Times New Roman" w:cs="Times New Roman"/>
                      <w:color w:val="auto"/>
                      <w:spacing w:val="11"/>
                      <w:position w:val="0"/>
                      <w:sz w:val="21"/>
                      <w:szCs w:val="21"/>
                      <w:highlight w:val="none"/>
                      <w:u w:val="single" w:color="auto"/>
                      <w:lang w:val="en-US" w:eastAsia="zh-CN"/>
                    </w:rPr>
                    <w:t>治理</w:t>
                  </w:r>
                </w:p>
              </w:tc>
              <w:tc>
                <w:tcPr>
                  <w:tcW w:w="1048" w:type="pct"/>
                  <w:tcBorders>
                    <w:tl2br w:val="nil"/>
                    <w:tr2bl w:val="nil"/>
                  </w:tcBorders>
                  <w:noWrap w:val="0"/>
                  <w:vAlign w:val="center"/>
                </w:tcPr>
                <w:p w14:paraId="5EAFD4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rPr>
                  </w:pPr>
                  <w:r>
                    <w:rPr>
                      <w:rFonts w:hint="eastAsia"/>
                      <w:color w:val="auto"/>
                      <w:spacing w:val="11"/>
                      <w:position w:val="0"/>
                      <w:sz w:val="21"/>
                      <w:szCs w:val="21"/>
                      <w:highlight w:val="none"/>
                      <w:u w:val="single" w:color="auto"/>
                      <w:lang w:val="en-US" w:eastAsia="zh-CN"/>
                    </w:rPr>
                    <w:t>污水处理站恶臭气体</w:t>
                  </w:r>
                </w:p>
              </w:tc>
              <w:tc>
                <w:tcPr>
                  <w:tcW w:w="2366" w:type="pct"/>
                  <w:tcBorders>
                    <w:tl2br w:val="nil"/>
                    <w:tr2bl w:val="nil"/>
                  </w:tcBorders>
                  <w:noWrap w:val="0"/>
                  <w:vAlign w:val="center"/>
                </w:tcPr>
                <w:p w14:paraId="185E1C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rPr>
                  </w:pPr>
                  <w:r>
                    <w:rPr>
                      <w:rFonts w:hint="eastAsia" w:cs="Times New Roman"/>
                      <w:color w:val="auto"/>
                      <w:spacing w:val="11"/>
                      <w:position w:val="0"/>
                      <w:sz w:val="21"/>
                      <w:szCs w:val="21"/>
                      <w:highlight w:val="none"/>
                      <w:u w:val="single" w:color="auto"/>
                      <w:lang w:val="en-US" w:eastAsia="zh-CN"/>
                    </w:rPr>
                    <w:t>地埋式设计，增加污水处理站周边绿化，投加除臭剂</w:t>
                  </w:r>
                </w:p>
              </w:tc>
              <w:tc>
                <w:tcPr>
                  <w:tcW w:w="944" w:type="pct"/>
                  <w:tcBorders>
                    <w:tl2br w:val="nil"/>
                    <w:tr2bl w:val="nil"/>
                  </w:tcBorders>
                  <w:noWrap w:val="0"/>
                  <w:vAlign w:val="center"/>
                </w:tcPr>
                <w:p w14:paraId="6571ED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20</w:t>
                  </w:r>
                </w:p>
              </w:tc>
            </w:tr>
            <w:tr w14:paraId="7BC8AF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tcBorders>
                    <w:tl2br w:val="nil"/>
                    <w:tr2bl w:val="nil"/>
                  </w:tcBorders>
                  <w:noWrap w:val="0"/>
                  <w:vAlign w:val="center"/>
                </w:tcPr>
                <w:p w14:paraId="622835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rPr>
                  </w:pPr>
                </w:p>
              </w:tc>
              <w:tc>
                <w:tcPr>
                  <w:tcW w:w="1048" w:type="pct"/>
                  <w:tcBorders>
                    <w:tl2br w:val="nil"/>
                    <w:tr2bl w:val="nil"/>
                  </w:tcBorders>
                  <w:noWrap w:val="0"/>
                  <w:vAlign w:val="center"/>
                </w:tcPr>
                <w:p w14:paraId="632FB4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pacing w:val="11"/>
                      <w:position w:val="0"/>
                      <w:sz w:val="21"/>
                      <w:szCs w:val="21"/>
                      <w:highlight w:val="none"/>
                      <w:u w:val="single" w:color="auto"/>
                      <w:lang w:val="en-US" w:eastAsia="zh-CN"/>
                    </w:rPr>
                  </w:pPr>
                  <w:r>
                    <w:rPr>
                      <w:rFonts w:hint="eastAsia"/>
                      <w:color w:val="auto"/>
                      <w:spacing w:val="11"/>
                      <w:position w:val="0"/>
                      <w:sz w:val="21"/>
                      <w:szCs w:val="21"/>
                      <w:highlight w:val="none"/>
                      <w:u w:val="single" w:color="auto"/>
                      <w:lang w:val="en-US" w:eastAsia="zh-CN"/>
                    </w:rPr>
                    <w:t>检验科等其他废气</w:t>
                  </w:r>
                </w:p>
              </w:tc>
              <w:tc>
                <w:tcPr>
                  <w:tcW w:w="2366" w:type="pct"/>
                  <w:tcBorders>
                    <w:tl2br w:val="nil"/>
                    <w:tr2bl w:val="nil"/>
                  </w:tcBorders>
                  <w:noWrap w:val="0"/>
                  <w:vAlign w:val="center"/>
                </w:tcPr>
                <w:p w14:paraId="4209F1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机械排风+废气净化系统</w:t>
                  </w:r>
                </w:p>
              </w:tc>
              <w:tc>
                <w:tcPr>
                  <w:tcW w:w="944" w:type="pct"/>
                  <w:tcBorders>
                    <w:tl2br w:val="nil"/>
                    <w:tr2bl w:val="nil"/>
                  </w:tcBorders>
                  <w:noWrap w:val="0"/>
                  <w:vAlign w:val="center"/>
                </w:tcPr>
                <w:p w14:paraId="70EDD5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20</w:t>
                  </w:r>
                </w:p>
              </w:tc>
            </w:tr>
            <w:tr w14:paraId="250D95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0" w:type="pct"/>
                  <w:tcBorders>
                    <w:tl2br w:val="nil"/>
                    <w:tr2bl w:val="nil"/>
                  </w:tcBorders>
                  <w:noWrap w:val="0"/>
                  <w:vAlign w:val="center"/>
                </w:tcPr>
                <w:p w14:paraId="34D1A7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pacing w:val="11"/>
                      <w:position w:val="0"/>
                      <w:sz w:val="21"/>
                      <w:szCs w:val="21"/>
                      <w:highlight w:val="none"/>
                      <w:u w:val="single" w:color="auto"/>
                      <w:lang w:val="en-US" w:eastAsia="zh-CN"/>
                    </w:rPr>
                  </w:pPr>
                  <w:r>
                    <w:rPr>
                      <w:rFonts w:hint="default" w:ascii="Times New Roman" w:hAnsi="Times New Roman" w:cs="Times New Roman"/>
                      <w:color w:val="auto"/>
                      <w:spacing w:val="11"/>
                      <w:position w:val="0"/>
                      <w:sz w:val="21"/>
                      <w:szCs w:val="21"/>
                      <w:highlight w:val="none"/>
                      <w:u w:val="single" w:color="auto"/>
                    </w:rPr>
                    <w:t>噪声</w:t>
                  </w:r>
                  <w:r>
                    <w:rPr>
                      <w:rFonts w:hint="eastAsia" w:ascii="Times New Roman" w:hAnsi="Times New Roman" w:cs="Times New Roman"/>
                      <w:color w:val="auto"/>
                      <w:spacing w:val="11"/>
                      <w:position w:val="0"/>
                      <w:sz w:val="21"/>
                      <w:szCs w:val="21"/>
                      <w:highlight w:val="none"/>
                      <w:u w:val="single" w:color="auto"/>
                      <w:lang w:val="en-US" w:eastAsia="zh-CN"/>
                    </w:rPr>
                    <w:t>防治</w:t>
                  </w:r>
                </w:p>
              </w:tc>
              <w:tc>
                <w:tcPr>
                  <w:tcW w:w="1048" w:type="pct"/>
                  <w:tcBorders>
                    <w:tl2br w:val="nil"/>
                    <w:tr2bl w:val="nil"/>
                  </w:tcBorders>
                  <w:noWrap w:val="0"/>
                  <w:vAlign w:val="center"/>
                </w:tcPr>
                <w:p w14:paraId="3FF524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rPr>
                  </w:pPr>
                  <w:r>
                    <w:rPr>
                      <w:rFonts w:hint="eastAsia" w:ascii="Times New Roman" w:eastAsia="宋体"/>
                      <w:color w:val="auto"/>
                      <w:spacing w:val="11"/>
                      <w:position w:val="0"/>
                      <w:sz w:val="21"/>
                      <w:szCs w:val="21"/>
                      <w:highlight w:val="none"/>
                      <w:u w:val="single" w:color="auto"/>
                      <w:lang w:val="en-US" w:eastAsia="zh-CN"/>
                    </w:rPr>
                    <w:t>设备噪声</w:t>
                  </w:r>
                </w:p>
              </w:tc>
              <w:tc>
                <w:tcPr>
                  <w:tcW w:w="2366" w:type="pct"/>
                  <w:tcBorders>
                    <w:tl2br w:val="nil"/>
                    <w:tr2bl w:val="nil"/>
                  </w:tcBorders>
                  <w:noWrap w:val="0"/>
                  <w:vAlign w:val="center"/>
                </w:tcPr>
                <w:p w14:paraId="0682C0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rPr>
                  </w:pPr>
                  <w:r>
                    <w:rPr>
                      <w:rFonts w:hint="default"/>
                      <w:color w:val="auto"/>
                      <w:spacing w:val="11"/>
                      <w:position w:val="0"/>
                      <w:sz w:val="21"/>
                      <w:szCs w:val="21"/>
                      <w:highlight w:val="none"/>
                      <w:u w:val="single" w:color="auto"/>
                    </w:rPr>
                    <w:t>隔声、设备减震</w:t>
                  </w:r>
                </w:p>
              </w:tc>
              <w:tc>
                <w:tcPr>
                  <w:tcW w:w="944" w:type="pct"/>
                  <w:tcBorders>
                    <w:tl2br w:val="nil"/>
                    <w:tr2bl w:val="nil"/>
                  </w:tcBorders>
                  <w:noWrap w:val="0"/>
                  <w:vAlign w:val="center"/>
                </w:tcPr>
                <w:p w14:paraId="56384C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100</w:t>
                  </w:r>
                </w:p>
              </w:tc>
            </w:tr>
            <w:tr w14:paraId="4B66CC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9" w:type="pct"/>
                  <w:gridSpan w:val="2"/>
                  <w:tcBorders>
                    <w:tl2br w:val="nil"/>
                    <w:tr2bl w:val="nil"/>
                  </w:tcBorders>
                  <w:noWrap w:val="0"/>
                  <w:vAlign w:val="center"/>
                </w:tcPr>
                <w:p w14:paraId="26D63F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pacing w:val="11"/>
                      <w:position w:val="0"/>
                      <w:sz w:val="21"/>
                      <w:szCs w:val="21"/>
                      <w:highlight w:val="none"/>
                      <w:u w:val="single" w:color="auto"/>
                      <w:lang w:val="en-US" w:eastAsia="zh-CN"/>
                    </w:rPr>
                  </w:pPr>
                  <w:r>
                    <w:rPr>
                      <w:rFonts w:hint="default" w:ascii="Times New Roman" w:hAnsi="Times New Roman" w:cs="Times New Roman"/>
                      <w:color w:val="auto"/>
                      <w:spacing w:val="11"/>
                      <w:position w:val="0"/>
                      <w:sz w:val="21"/>
                      <w:szCs w:val="21"/>
                      <w:highlight w:val="none"/>
                      <w:u w:val="single" w:color="auto"/>
                    </w:rPr>
                    <w:t>固废</w:t>
                  </w:r>
                  <w:r>
                    <w:rPr>
                      <w:rFonts w:hint="eastAsia" w:ascii="Times New Roman" w:hAnsi="Times New Roman" w:cs="Times New Roman"/>
                      <w:color w:val="auto"/>
                      <w:spacing w:val="11"/>
                      <w:position w:val="0"/>
                      <w:sz w:val="21"/>
                      <w:szCs w:val="21"/>
                      <w:highlight w:val="none"/>
                      <w:u w:val="single" w:color="auto"/>
                      <w:lang w:val="en-US" w:eastAsia="zh-CN"/>
                    </w:rPr>
                    <w:t>处理</w:t>
                  </w:r>
                </w:p>
              </w:tc>
              <w:tc>
                <w:tcPr>
                  <w:tcW w:w="2366" w:type="pct"/>
                  <w:tcBorders>
                    <w:tl2br w:val="nil"/>
                    <w:tr2bl w:val="nil"/>
                  </w:tcBorders>
                  <w:noWrap w:val="0"/>
                  <w:vAlign w:val="center"/>
                </w:tcPr>
                <w:p w14:paraId="6D41F1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医疗废物暂存间（20</w:t>
                  </w:r>
                  <w:r>
                    <w:rPr>
                      <w:rFonts w:hint="default" w:ascii="Times New Roman" w:hAnsi="Times New Roman" w:cs="Times New Roman"/>
                      <w:color w:val="auto"/>
                      <w:spacing w:val="11"/>
                      <w:position w:val="0"/>
                      <w:sz w:val="21"/>
                      <w:szCs w:val="21"/>
                      <w:highlight w:val="none"/>
                      <w:u w:val="single" w:color="auto"/>
                      <w:lang w:val="en-US" w:eastAsia="zh-CN"/>
                    </w:rPr>
                    <w:t>m</w:t>
                  </w:r>
                  <w:r>
                    <w:rPr>
                      <w:rFonts w:hint="default" w:ascii="Times New Roman" w:hAnsi="Times New Roman" w:cs="Times New Roman"/>
                      <w:color w:val="auto"/>
                      <w:spacing w:val="11"/>
                      <w:position w:val="0"/>
                      <w:sz w:val="21"/>
                      <w:szCs w:val="21"/>
                      <w:highlight w:val="none"/>
                      <w:u w:val="single" w:color="auto"/>
                      <w:vertAlign w:val="superscript"/>
                      <w:lang w:val="en-US" w:eastAsia="zh-CN"/>
                    </w:rPr>
                    <w:t>2</w:t>
                  </w:r>
                  <w:r>
                    <w:rPr>
                      <w:rFonts w:hint="eastAsia" w:cs="Times New Roman"/>
                      <w:color w:val="auto"/>
                      <w:spacing w:val="11"/>
                      <w:position w:val="0"/>
                      <w:sz w:val="21"/>
                      <w:szCs w:val="21"/>
                      <w:highlight w:val="none"/>
                      <w:u w:val="single" w:color="auto"/>
                      <w:lang w:val="en-US" w:eastAsia="zh-CN"/>
                    </w:rPr>
                    <w:t>）</w:t>
                  </w:r>
                </w:p>
              </w:tc>
              <w:tc>
                <w:tcPr>
                  <w:tcW w:w="944" w:type="pct"/>
                  <w:tcBorders>
                    <w:tl2br w:val="nil"/>
                    <w:tr2bl w:val="nil"/>
                  </w:tcBorders>
                  <w:noWrap w:val="0"/>
                  <w:vAlign w:val="center"/>
                </w:tcPr>
                <w:p w14:paraId="163654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rPr>
                  </w:pPr>
                  <w:r>
                    <w:rPr>
                      <w:rFonts w:hint="eastAsia"/>
                      <w:color w:val="auto"/>
                      <w:spacing w:val="11"/>
                      <w:position w:val="0"/>
                      <w:sz w:val="21"/>
                      <w:szCs w:val="21"/>
                      <w:highlight w:val="none"/>
                      <w:u w:val="single" w:color="auto"/>
                      <w:lang w:val="en-US" w:eastAsia="zh-CN"/>
                    </w:rPr>
                    <w:t>5</w:t>
                  </w:r>
                </w:p>
              </w:tc>
            </w:tr>
            <w:tr w14:paraId="514AD2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55" w:type="pct"/>
                  <w:gridSpan w:val="3"/>
                  <w:tcBorders>
                    <w:tl2br w:val="nil"/>
                    <w:tr2bl w:val="nil"/>
                  </w:tcBorders>
                  <w:noWrap w:val="0"/>
                  <w:vAlign w:val="center"/>
                </w:tcPr>
                <w:p w14:paraId="107DF1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rPr>
                  </w:pPr>
                  <w:r>
                    <w:rPr>
                      <w:rFonts w:hint="default" w:ascii="Times New Roman" w:hAnsi="Times New Roman" w:cs="Times New Roman"/>
                      <w:color w:val="auto"/>
                      <w:spacing w:val="11"/>
                      <w:position w:val="0"/>
                      <w:sz w:val="21"/>
                      <w:szCs w:val="21"/>
                      <w:highlight w:val="none"/>
                      <w:u w:val="single" w:color="auto"/>
                    </w:rPr>
                    <w:t>环保总投资</w:t>
                  </w:r>
                </w:p>
              </w:tc>
              <w:tc>
                <w:tcPr>
                  <w:tcW w:w="944" w:type="pct"/>
                  <w:tcBorders>
                    <w:tl2br w:val="nil"/>
                    <w:tr2bl w:val="nil"/>
                  </w:tcBorders>
                  <w:noWrap w:val="0"/>
                  <w:vAlign w:val="center"/>
                </w:tcPr>
                <w:p w14:paraId="287B1B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200</w:t>
                  </w:r>
                </w:p>
              </w:tc>
            </w:tr>
          </w:tbl>
          <w:p w14:paraId="0BF9C56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14:paraId="5FE1EEE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14:paraId="5F977FB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14:paraId="5B04E8E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14:paraId="2957C4F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14:paraId="4A87295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14:paraId="43F5CB5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14:paraId="6EEE391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14:paraId="3400D09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14:paraId="49E41EC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14:paraId="2B72F18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14:paraId="1A24144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14:paraId="2D34F3E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14:paraId="71BFB3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14:paraId="1D045C3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14:paraId="27402EE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14:paraId="48855C8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14:paraId="2D6E051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14:paraId="3B7CDD9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14:paraId="307586F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14:paraId="20A672F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14:paraId="70073A8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14:paraId="5A1D531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14:paraId="1C1D43F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14:paraId="485BB5F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14:paraId="475B824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14:paraId="0217BA8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14:paraId="244662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14:paraId="174E211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14:paraId="14FA37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14:paraId="1DA9BE0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14:paraId="0B2014A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14:paraId="3B9D59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14:paraId="782F500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 xml:space="preserve"> </w:t>
            </w:r>
          </w:p>
        </w:tc>
      </w:tr>
    </w:tbl>
    <w:p w14:paraId="01AC94E6">
      <w:pPr>
        <w:pStyle w:val="19"/>
        <w:rPr>
          <w:rFonts w:hint="default" w:ascii="Times New Roman" w:hAnsi="Times New Roman" w:cs="Times New Roman" w:eastAsiaTheme="minorEastAsia"/>
          <w:color w:val="auto"/>
          <w:spacing w:val="11"/>
          <w:position w:val="0"/>
          <w:highlight w:val="none"/>
          <w:u w:val="none" w:color="auto"/>
          <w:lang w:val="en-US" w:eastAsia="zh-CN"/>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766076BE">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cs="Times New Roman" w:eastAsiaTheme="minorEastAsia"/>
          <w:color w:val="auto"/>
          <w:spacing w:val="11"/>
          <w:position w:val="0"/>
          <w:highlight w:val="none"/>
          <w:u w:val="none" w:color="auto"/>
          <w:lang w:val="en-US" w:eastAsia="zh-CN"/>
        </w:rPr>
      </w:pPr>
      <w:bookmarkStart w:id="10" w:name="_Toc68"/>
      <w:r>
        <w:rPr>
          <w:rFonts w:hint="default" w:ascii="Times New Roman" w:hAnsi="Times New Roman" w:cs="Times New Roman" w:eastAsiaTheme="minorEastAsia"/>
          <w:b/>
          <w:color w:val="auto"/>
          <w:spacing w:val="11"/>
          <w:position w:val="0"/>
          <w:sz w:val="36"/>
          <w:szCs w:val="36"/>
          <w:highlight w:val="none"/>
          <w:u w:val="none" w:color="auto"/>
          <w:lang w:val="en-US" w:eastAsia="zh-CN"/>
        </w:rPr>
        <w:t>五、环境保护措施监督检查清单</w:t>
      </w:r>
      <w:bookmarkEnd w:id="10"/>
    </w:p>
    <w:tbl>
      <w:tblPr>
        <w:tblStyle w:val="25"/>
        <w:tblW w:w="495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38"/>
        <w:gridCol w:w="1691"/>
        <w:gridCol w:w="2005"/>
        <w:gridCol w:w="2170"/>
        <w:gridCol w:w="2579"/>
      </w:tblGrid>
      <w:tr w14:paraId="6A87F8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5" w:hRule="atLeast"/>
        </w:trPr>
        <w:tc>
          <w:tcPr>
            <w:tcW w:w="727" w:type="pct"/>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14:paraId="16A943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p w14:paraId="7E1B7E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p w14:paraId="11050D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mc:AlternateContent>
                <mc:Choice Requires="wpsCustomData">
                  <wpsCustomData:diagonalParaType/>
                </mc:Choice>
              </mc:AlternateContent>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要素</w:t>
            </w:r>
          </w:p>
          <w:p w14:paraId="202A345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262" w:firstLineChars="1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p w14:paraId="1AEAB9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内容</w:t>
            </w:r>
          </w:p>
        </w:tc>
        <w:tc>
          <w:tcPr>
            <w:tcW w:w="855" w:type="pct"/>
            <w:tcBorders>
              <w:tl2br w:val="nil"/>
              <w:tr2bl w:val="nil"/>
            </w:tcBorders>
            <w:vAlign w:val="center"/>
          </w:tcPr>
          <w:p w14:paraId="3984FE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排放口（编号、名称）/污染源</w:t>
            </w:r>
          </w:p>
        </w:tc>
        <w:tc>
          <w:tcPr>
            <w:tcW w:w="1014" w:type="pct"/>
            <w:tcBorders>
              <w:tl2br w:val="nil"/>
              <w:tr2bl w:val="nil"/>
            </w:tcBorders>
            <w:vAlign w:val="center"/>
          </w:tcPr>
          <w:p w14:paraId="7901D9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污染物项目</w:t>
            </w:r>
          </w:p>
        </w:tc>
        <w:tc>
          <w:tcPr>
            <w:tcW w:w="1097" w:type="pct"/>
            <w:tcBorders>
              <w:tl2br w:val="nil"/>
              <w:tr2bl w:val="nil"/>
            </w:tcBorders>
            <w:vAlign w:val="center"/>
          </w:tcPr>
          <w:p w14:paraId="77B58B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环境保护措施</w:t>
            </w:r>
          </w:p>
        </w:tc>
        <w:tc>
          <w:tcPr>
            <w:tcW w:w="1304" w:type="pct"/>
            <w:tcBorders>
              <w:tl2br w:val="nil"/>
              <w:tr2bl w:val="nil"/>
            </w:tcBorders>
            <w:vAlign w:val="center"/>
          </w:tcPr>
          <w:p w14:paraId="209B02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执行标准</w:t>
            </w:r>
          </w:p>
        </w:tc>
      </w:tr>
      <w:tr w14:paraId="7F47C4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727" w:type="pct"/>
            <w:vMerge w:val="restart"/>
            <w:tcBorders>
              <w:tl2br w:val="nil"/>
              <w:tr2bl w:val="nil"/>
            </w:tcBorders>
            <w:vAlign w:val="center"/>
          </w:tcPr>
          <w:p w14:paraId="7E9C11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大气环境</w:t>
            </w:r>
          </w:p>
        </w:tc>
        <w:tc>
          <w:tcPr>
            <w:tcW w:w="855" w:type="pct"/>
            <w:tcBorders>
              <w:tl2br w:val="nil"/>
              <w:tr2bl w:val="nil"/>
            </w:tcBorders>
            <w:vAlign w:val="center"/>
          </w:tcPr>
          <w:p w14:paraId="6E37DD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污水处理设施产生的恶臭气体</w:t>
            </w:r>
          </w:p>
        </w:tc>
        <w:tc>
          <w:tcPr>
            <w:tcW w:w="1014" w:type="pct"/>
            <w:tcBorders>
              <w:tl2br w:val="nil"/>
              <w:tr2bl w:val="nil"/>
            </w:tcBorders>
            <w:vAlign w:val="center"/>
          </w:tcPr>
          <w:p w14:paraId="29B642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position w:val="0"/>
                <w:sz w:val="24"/>
                <w:szCs w:val="24"/>
                <w:highlight w:val="none"/>
                <w:u w:val="single" w:color="auto"/>
                <w:lang w:val="en-US" w:eastAsia="zh-CN"/>
              </w:rPr>
            </w:pPr>
            <w:r>
              <w:rPr>
                <w:rFonts w:hint="eastAsia" w:ascii="Times New Roman" w:hAnsi="Times New Roman" w:cs="Times New Roman" w:eastAsiaTheme="minorEastAsia"/>
                <w:color w:val="auto"/>
                <w:spacing w:val="11"/>
                <w:position w:val="0"/>
                <w:sz w:val="24"/>
                <w:szCs w:val="24"/>
                <w:highlight w:val="none"/>
                <w:u w:val="single" w:color="auto"/>
                <w:lang w:val="en-US" w:eastAsia="zh-CN"/>
              </w:rPr>
              <w:t>NH</w:t>
            </w:r>
            <w:r>
              <w:rPr>
                <w:rFonts w:hint="eastAsia" w:ascii="Times New Roman" w:hAnsi="Times New Roman" w:cs="Times New Roman" w:eastAsiaTheme="minorEastAsia"/>
                <w:color w:val="auto"/>
                <w:spacing w:val="11"/>
                <w:position w:val="0"/>
                <w:sz w:val="24"/>
                <w:szCs w:val="24"/>
                <w:highlight w:val="none"/>
                <w:u w:val="single" w:color="auto"/>
                <w:vertAlign w:val="subscript"/>
                <w:lang w:val="en-US" w:eastAsia="zh-CN"/>
              </w:rPr>
              <w:t>3</w:t>
            </w:r>
            <w:r>
              <w:rPr>
                <w:rFonts w:hint="eastAsia" w:cs="Times New Roman" w:eastAsiaTheme="minorEastAsia"/>
                <w:color w:val="auto"/>
                <w:spacing w:val="11"/>
                <w:position w:val="0"/>
                <w:sz w:val="24"/>
                <w:szCs w:val="24"/>
                <w:highlight w:val="none"/>
                <w:u w:val="single" w:color="auto"/>
                <w:lang w:val="en-US" w:eastAsia="zh-CN"/>
              </w:rPr>
              <w:t>、H</w:t>
            </w:r>
            <w:r>
              <w:rPr>
                <w:rFonts w:hint="eastAsia" w:cs="Times New Roman" w:eastAsiaTheme="minorEastAsia"/>
                <w:color w:val="auto"/>
                <w:spacing w:val="11"/>
                <w:position w:val="0"/>
                <w:sz w:val="24"/>
                <w:szCs w:val="24"/>
                <w:highlight w:val="none"/>
                <w:u w:val="single" w:color="auto"/>
                <w:vertAlign w:val="subscript"/>
                <w:lang w:val="en-US" w:eastAsia="zh-CN"/>
              </w:rPr>
              <w:t>2</w:t>
            </w:r>
            <w:r>
              <w:rPr>
                <w:rFonts w:hint="eastAsia" w:cs="Times New Roman" w:eastAsiaTheme="minorEastAsia"/>
                <w:color w:val="auto"/>
                <w:spacing w:val="11"/>
                <w:position w:val="0"/>
                <w:sz w:val="24"/>
                <w:szCs w:val="24"/>
                <w:highlight w:val="none"/>
                <w:u w:val="single" w:color="auto"/>
                <w:lang w:val="en-US" w:eastAsia="zh-CN"/>
              </w:rPr>
              <w:t>S、臭气浓度</w:t>
            </w:r>
          </w:p>
        </w:tc>
        <w:tc>
          <w:tcPr>
            <w:tcW w:w="1097" w:type="pct"/>
            <w:tcBorders>
              <w:tl2br w:val="nil"/>
              <w:tr2bl w:val="nil"/>
            </w:tcBorders>
            <w:vAlign w:val="center"/>
          </w:tcPr>
          <w:p w14:paraId="46A3F8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加强管理，地埋式设计，增加污水处理设施周边绿化，投放除臭剂</w:t>
            </w:r>
          </w:p>
        </w:tc>
        <w:tc>
          <w:tcPr>
            <w:tcW w:w="1304" w:type="pct"/>
            <w:tcBorders>
              <w:tl2br w:val="nil"/>
              <w:tr2bl w:val="nil"/>
            </w:tcBorders>
            <w:vAlign w:val="center"/>
          </w:tcPr>
          <w:p w14:paraId="3C4991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医疗机构水污染物排放标准》（GB18466-2005）表3污水处理站周边大气污染物最高允许浓度</w:t>
            </w:r>
          </w:p>
        </w:tc>
      </w:tr>
      <w:tr w14:paraId="761768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727" w:type="pct"/>
            <w:vMerge w:val="continue"/>
            <w:tcBorders>
              <w:tl2br w:val="nil"/>
              <w:tr2bl w:val="nil"/>
            </w:tcBorders>
            <w:vAlign w:val="center"/>
          </w:tcPr>
          <w:p w14:paraId="57D33C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855" w:type="pct"/>
            <w:tcBorders>
              <w:tl2br w:val="nil"/>
              <w:tr2bl w:val="nil"/>
            </w:tcBorders>
            <w:vAlign w:val="center"/>
          </w:tcPr>
          <w:p w14:paraId="4FA501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中药煎药异味</w:t>
            </w:r>
          </w:p>
        </w:tc>
        <w:tc>
          <w:tcPr>
            <w:tcW w:w="1014" w:type="pct"/>
            <w:tcBorders>
              <w:tl2br w:val="nil"/>
              <w:tr2bl w:val="nil"/>
            </w:tcBorders>
            <w:vAlign w:val="center"/>
          </w:tcPr>
          <w:p w14:paraId="395DB5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position w:val="0"/>
                <w:sz w:val="24"/>
                <w:szCs w:val="24"/>
                <w:highlight w:val="none"/>
                <w:u w:val="single" w:color="auto"/>
                <w:lang w:val="en-US" w:eastAsia="zh-CN"/>
              </w:rPr>
            </w:pPr>
            <w:r>
              <w:rPr>
                <w:rFonts w:hint="eastAsia" w:ascii="Times New Roman" w:hAnsi="Times New Roman" w:cs="Times New Roman" w:eastAsiaTheme="minorEastAsia"/>
                <w:color w:val="auto"/>
                <w:spacing w:val="11"/>
                <w:position w:val="0"/>
                <w:sz w:val="24"/>
                <w:szCs w:val="24"/>
                <w:highlight w:val="none"/>
                <w:u w:val="single" w:color="auto"/>
                <w:lang w:val="en-US" w:eastAsia="zh-CN"/>
              </w:rPr>
              <w:t>NH</w:t>
            </w:r>
            <w:r>
              <w:rPr>
                <w:rFonts w:hint="eastAsia" w:ascii="Times New Roman" w:hAnsi="Times New Roman" w:cs="Times New Roman" w:eastAsiaTheme="minorEastAsia"/>
                <w:color w:val="auto"/>
                <w:spacing w:val="11"/>
                <w:position w:val="0"/>
                <w:sz w:val="24"/>
                <w:szCs w:val="24"/>
                <w:highlight w:val="none"/>
                <w:u w:val="single" w:color="auto"/>
                <w:vertAlign w:val="subscript"/>
                <w:lang w:val="en-US" w:eastAsia="zh-CN"/>
              </w:rPr>
              <w:t>3</w:t>
            </w:r>
            <w:r>
              <w:rPr>
                <w:rFonts w:hint="eastAsia" w:cs="Times New Roman" w:eastAsiaTheme="minorEastAsia"/>
                <w:color w:val="auto"/>
                <w:spacing w:val="11"/>
                <w:position w:val="0"/>
                <w:sz w:val="24"/>
                <w:szCs w:val="24"/>
                <w:highlight w:val="none"/>
                <w:u w:val="single" w:color="auto"/>
                <w:lang w:val="en-US" w:eastAsia="zh-CN"/>
              </w:rPr>
              <w:t>、H</w:t>
            </w:r>
            <w:r>
              <w:rPr>
                <w:rFonts w:hint="eastAsia" w:cs="Times New Roman" w:eastAsiaTheme="minorEastAsia"/>
                <w:color w:val="auto"/>
                <w:spacing w:val="11"/>
                <w:position w:val="0"/>
                <w:sz w:val="24"/>
                <w:szCs w:val="24"/>
                <w:highlight w:val="none"/>
                <w:u w:val="single" w:color="auto"/>
                <w:vertAlign w:val="subscript"/>
                <w:lang w:val="en-US" w:eastAsia="zh-CN"/>
              </w:rPr>
              <w:t>2</w:t>
            </w:r>
            <w:r>
              <w:rPr>
                <w:rFonts w:hint="eastAsia" w:cs="Times New Roman" w:eastAsiaTheme="minorEastAsia"/>
                <w:color w:val="auto"/>
                <w:spacing w:val="11"/>
                <w:position w:val="0"/>
                <w:sz w:val="24"/>
                <w:szCs w:val="24"/>
                <w:highlight w:val="none"/>
                <w:u w:val="single" w:color="auto"/>
                <w:lang w:val="en-US" w:eastAsia="zh-CN"/>
              </w:rPr>
              <w:t>S、臭气浓度</w:t>
            </w:r>
          </w:p>
        </w:tc>
        <w:tc>
          <w:tcPr>
            <w:tcW w:w="1097" w:type="pct"/>
            <w:tcBorders>
              <w:tl2br w:val="nil"/>
              <w:tr2bl w:val="nil"/>
            </w:tcBorders>
            <w:vAlign w:val="center"/>
          </w:tcPr>
          <w:p w14:paraId="3510C3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设置抽风口，将废气引至楼顶排放</w:t>
            </w:r>
          </w:p>
        </w:tc>
        <w:tc>
          <w:tcPr>
            <w:tcW w:w="1304" w:type="pct"/>
            <w:tcBorders>
              <w:tl2br w:val="nil"/>
              <w:tr2bl w:val="nil"/>
            </w:tcBorders>
            <w:vAlign w:val="center"/>
          </w:tcPr>
          <w:p w14:paraId="7146FD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《恶臭气体污染物排放标准》（GB 14554-93）表1二级新扩改建排放标准</w:t>
            </w:r>
          </w:p>
        </w:tc>
      </w:tr>
      <w:tr w14:paraId="533A06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727" w:type="pct"/>
            <w:vMerge w:val="continue"/>
            <w:tcBorders>
              <w:tl2br w:val="nil"/>
              <w:tr2bl w:val="nil"/>
            </w:tcBorders>
            <w:vAlign w:val="center"/>
          </w:tcPr>
          <w:p w14:paraId="720649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855" w:type="pct"/>
            <w:tcBorders>
              <w:tl2br w:val="nil"/>
              <w:tr2bl w:val="nil"/>
            </w:tcBorders>
            <w:vAlign w:val="center"/>
          </w:tcPr>
          <w:p w14:paraId="20F6D9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汽车尾气</w:t>
            </w:r>
          </w:p>
        </w:tc>
        <w:tc>
          <w:tcPr>
            <w:tcW w:w="1014" w:type="pct"/>
            <w:tcBorders>
              <w:tl2br w:val="nil"/>
              <w:tr2bl w:val="nil"/>
            </w:tcBorders>
            <w:vAlign w:val="center"/>
          </w:tcPr>
          <w:p w14:paraId="2A76C9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position w:val="0"/>
                <w:sz w:val="24"/>
                <w:szCs w:val="24"/>
                <w:highlight w:val="none"/>
                <w:u w:val="single" w:color="auto"/>
                <w:lang w:val="en-US" w:eastAsia="zh-CN"/>
              </w:rPr>
            </w:pPr>
            <w:r>
              <w:rPr>
                <w:rFonts w:hint="eastAsia" w:ascii="Times New Roman" w:hAnsi="Times New Roman" w:cs="Times New Roman" w:eastAsiaTheme="minorEastAsia"/>
                <w:color w:val="auto"/>
                <w:spacing w:val="11"/>
                <w:position w:val="0"/>
                <w:sz w:val="24"/>
                <w:szCs w:val="24"/>
                <w:highlight w:val="none"/>
                <w:u w:val="single" w:color="auto"/>
                <w:lang w:val="en-US" w:eastAsia="zh-CN"/>
              </w:rPr>
              <w:t>CO、非甲烷总烃</w:t>
            </w:r>
            <w:r>
              <w:rPr>
                <w:rFonts w:hint="eastAsia" w:cs="Times New Roman" w:eastAsiaTheme="minorEastAsia"/>
                <w:color w:val="auto"/>
                <w:spacing w:val="11"/>
                <w:position w:val="0"/>
                <w:sz w:val="24"/>
                <w:szCs w:val="24"/>
                <w:highlight w:val="none"/>
                <w:u w:val="single" w:color="auto"/>
                <w:lang w:val="en-US" w:eastAsia="zh-CN"/>
              </w:rPr>
              <w:t>、</w:t>
            </w:r>
            <w:r>
              <w:rPr>
                <w:rFonts w:hint="eastAsia" w:ascii="Times New Roman" w:hAnsi="Times New Roman" w:cs="Times New Roman" w:eastAsiaTheme="minorEastAsia"/>
                <w:color w:val="auto"/>
                <w:spacing w:val="11"/>
                <w:position w:val="0"/>
                <w:sz w:val="24"/>
                <w:szCs w:val="24"/>
                <w:highlight w:val="none"/>
                <w:u w:val="single" w:color="auto"/>
                <w:lang w:val="en-US" w:eastAsia="zh-CN"/>
              </w:rPr>
              <w:t>NO</w:t>
            </w:r>
            <w:r>
              <w:rPr>
                <w:rFonts w:hint="eastAsia" w:ascii="Times New Roman" w:hAnsi="Times New Roman" w:cs="Times New Roman" w:eastAsiaTheme="minorEastAsia"/>
                <w:color w:val="auto"/>
                <w:spacing w:val="11"/>
                <w:position w:val="0"/>
                <w:sz w:val="24"/>
                <w:szCs w:val="24"/>
                <w:highlight w:val="none"/>
                <w:u w:val="single" w:color="auto"/>
                <w:vertAlign w:val="subscript"/>
                <w:lang w:val="en-US" w:eastAsia="zh-CN"/>
              </w:rPr>
              <w:t>2</w:t>
            </w:r>
          </w:p>
        </w:tc>
        <w:tc>
          <w:tcPr>
            <w:tcW w:w="1097" w:type="pct"/>
            <w:tcBorders>
              <w:tl2br w:val="nil"/>
              <w:tr2bl w:val="nil"/>
            </w:tcBorders>
            <w:vAlign w:val="center"/>
          </w:tcPr>
          <w:p w14:paraId="2C91F8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机械通风系统、自然扩散</w:t>
            </w:r>
          </w:p>
        </w:tc>
        <w:tc>
          <w:tcPr>
            <w:tcW w:w="1304" w:type="pct"/>
            <w:tcBorders>
              <w:tl2br w:val="nil"/>
              <w:tr2bl w:val="nil"/>
            </w:tcBorders>
            <w:vAlign w:val="center"/>
          </w:tcPr>
          <w:p w14:paraId="486B61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w:t>
            </w:r>
          </w:p>
        </w:tc>
      </w:tr>
      <w:tr w14:paraId="12CD41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727" w:type="pct"/>
            <w:vMerge w:val="continue"/>
            <w:tcBorders>
              <w:tl2br w:val="nil"/>
              <w:tr2bl w:val="nil"/>
            </w:tcBorders>
            <w:vAlign w:val="center"/>
          </w:tcPr>
          <w:p w14:paraId="69213D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1869" w:type="pct"/>
            <w:gridSpan w:val="2"/>
            <w:tcBorders>
              <w:tl2br w:val="nil"/>
              <w:tr2bl w:val="nil"/>
            </w:tcBorders>
            <w:vAlign w:val="center"/>
          </w:tcPr>
          <w:p w14:paraId="33010A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检验科等其他废气</w:t>
            </w:r>
          </w:p>
        </w:tc>
        <w:tc>
          <w:tcPr>
            <w:tcW w:w="1097" w:type="pct"/>
            <w:tcBorders>
              <w:tl2br w:val="nil"/>
              <w:tr2bl w:val="nil"/>
            </w:tcBorders>
            <w:vAlign w:val="center"/>
          </w:tcPr>
          <w:p w14:paraId="0A53D1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拟设置机械排放系统，废气经收集由废气净化系统处理后于屋顶高空排放</w:t>
            </w:r>
          </w:p>
        </w:tc>
        <w:tc>
          <w:tcPr>
            <w:tcW w:w="1304" w:type="pct"/>
            <w:tcBorders>
              <w:tl2br w:val="nil"/>
              <w:tr2bl w:val="nil"/>
            </w:tcBorders>
            <w:vAlign w:val="center"/>
          </w:tcPr>
          <w:p w14:paraId="2DACB0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w:t>
            </w:r>
          </w:p>
        </w:tc>
      </w:tr>
      <w:tr w14:paraId="75DE62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vMerge w:val="restart"/>
            <w:tcBorders>
              <w:tl2br w:val="nil"/>
              <w:tr2bl w:val="nil"/>
            </w:tcBorders>
            <w:vAlign w:val="center"/>
          </w:tcPr>
          <w:p w14:paraId="118FC3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水环境</w:t>
            </w:r>
          </w:p>
        </w:tc>
        <w:tc>
          <w:tcPr>
            <w:tcW w:w="855" w:type="pct"/>
            <w:tcBorders>
              <w:tl2br w:val="nil"/>
              <w:tr2bl w:val="nil"/>
            </w:tcBorders>
            <w:vAlign w:val="center"/>
          </w:tcPr>
          <w:p w14:paraId="3E67AE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医疗废水</w:t>
            </w:r>
          </w:p>
        </w:tc>
        <w:tc>
          <w:tcPr>
            <w:tcW w:w="1014" w:type="pct"/>
            <w:tcBorders>
              <w:tl2br w:val="nil"/>
              <w:tr2bl w:val="nil"/>
            </w:tcBorders>
            <w:vAlign w:val="center"/>
          </w:tcPr>
          <w:p w14:paraId="13CE13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pH值、悬浮物、化学需氧量、</w:t>
            </w:r>
            <w:r>
              <w:rPr>
                <w:rFonts w:hint="eastAsia" w:cs="Times New Roman" w:eastAsiaTheme="minorEastAsia"/>
                <w:color w:val="auto"/>
                <w:spacing w:val="11"/>
                <w:position w:val="0"/>
                <w:sz w:val="24"/>
                <w:szCs w:val="24"/>
                <w:highlight w:val="none"/>
                <w:u w:val="single" w:color="auto"/>
                <w:lang w:val="en-US" w:eastAsia="zh-CN"/>
              </w:rPr>
              <w:t>五日生化需氧量</w:t>
            </w: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r>
              <w:rPr>
                <w:rFonts w:hint="eastAsia" w:cs="Times New Roman" w:eastAsiaTheme="minorEastAsia"/>
                <w:color w:val="auto"/>
                <w:spacing w:val="11"/>
                <w:position w:val="0"/>
                <w:sz w:val="24"/>
                <w:szCs w:val="24"/>
                <w:highlight w:val="none"/>
                <w:u w:val="single" w:color="auto"/>
                <w:lang w:val="en-US" w:eastAsia="zh-CN"/>
              </w:rPr>
              <w:t>氨氮、粪大肠杆菌</w:t>
            </w:r>
          </w:p>
        </w:tc>
        <w:tc>
          <w:tcPr>
            <w:tcW w:w="1097" w:type="pct"/>
            <w:tcBorders>
              <w:tl2br w:val="nil"/>
              <w:tr2bl w:val="nil"/>
            </w:tcBorders>
            <w:vAlign w:val="center"/>
          </w:tcPr>
          <w:p w14:paraId="257F21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预处理池+院内现有污水处理站</w:t>
            </w:r>
          </w:p>
        </w:tc>
        <w:tc>
          <w:tcPr>
            <w:tcW w:w="1304" w:type="pct"/>
            <w:vMerge w:val="restart"/>
            <w:tcBorders>
              <w:tl2br w:val="nil"/>
              <w:tr2bl w:val="nil"/>
            </w:tcBorders>
            <w:vAlign w:val="center"/>
          </w:tcPr>
          <w:p w14:paraId="238C4C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《医疗机构水污染物排放标准》（GB18466-2005）表2中的预处理标准</w:t>
            </w:r>
          </w:p>
        </w:tc>
      </w:tr>
      <w:tr w14:paraId="4646D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vMerge w:val="continue"/>
            <w:tcBorders>
              <w:tl2br w:val="nil"/>
              <w:tr2bl w:val="nil"/>
            </w:tcBorders>
            <w:vAlign w:val="center"/>
          </w:tcPr>
          <w:p w14:paraId="7B384B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855" w:type="pct"/>
            <w:tcBorders>
              <w:tl2br w:val="nil"/>
              <w:tr2bl w:val="nil"/>
            </w:tcBorders>
            <w:vAlign w:val="center"/>
          </w:tcPr>
          <w:p w14:paraId="6150DA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生活污水</w:t>
            </w:r>
          </w:p>
        </w:tc>
        <w:tc>
          <w:tcPr>
            <w:tcW w:w="1014" w:type="pct"/>
            <w:tcBorders>
              <w:tl2br w:val="nil"/>
              <w:tr2bl w:val="nil"/>
            </w:tcBorders>
            <w:vAlign w:val="center"/>
          </w:tcPr>
          <w:p w14:paraId="0FD2E2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悬浮物、化学需氧量、五日生化需氧量、氨氮</w:t>
            </w:r>
          </w:p>
        </w:tc>
        <w:tc>
          <w:tcPr>
            <w:tcW w:w="1097" w:type="pct"/>
            <w:tcBorders>
              <w:tl2br w:val="nil"/>
              <w:tr2bl w:val="nil"/>
            </w:tcBorders>
            <w:vAlign w:val="center"/>
          </w:tcPr>
          <w:p w14:paraId="03B93A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化粪池+院内现有污水处理站</w:t>
            </w:r>
          </w:p>
        </w:tc>
        <w:tc>
          <w:tcPr>
            <w:tcW w:w="1304" w:type="pct"/>
            <w:vMerge w:val="continue"/>
            <w:tcBorders>
              <w:tl2br w:val="nil"/>
              <w:tr2bl w:val="nil"/>
            </w:tcBorders>
            <w:vAlign w:val="center"/>
          </w:tcPr>
          <w:p w14:paraId="0F9127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r>
      <w:tr w14:paraId="3F9ADA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tcBorders>
              <w:tl2br w:val="nil"/>
              <w:tr2bl w:val="nil"/>
            </w:tcBorders>
            <w:vAlign w:val="center"/>
          </w:tcPr>
          <w:p w14:paraId="50541C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声环境</w:t>
            </w:r>
          </w:p>
        </w:tc>
        <w:tc>
          <w:tcPr>
            <w:tcW w:w="855" w:type="pct"/>
            <w:tcBorders>
              <w:tl2br w:val="nil"/>
              <w:tr2bl w:val="nil"/>
            </w:tcBorders>
            <w:vAlign w:val="center"/>
          </w:tcPr>
          <w:p w14:paraId="681ED5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生产设备</w:t>
            </w:r>
          </w:p>
        </w:tc>
        <w:tc>
          <w:tcPr>
            <w:tcW w:w="1014" w:type="pct"/>
            <w:tcBorders>
              <w:tl2br w:val="nil"/>
              <w:tr2bl w:val="nil"/>
            </w:tcBorders>
            <w:vAlign w:val="center"/>
          </w:tcPr>
          <w:p w14:paraId="17F079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各类生产设备运行产生的噪声</w:t>
            </w:r>
          </w:p>
        </w:tc>
        <w:tc>
          <w:tcPr>
            <w:tcW w:w="1097" w:type="pct"/>
            <w:tcBorders>
              <w:tl2br w:val="nil"/>
              <w:tr2bl w:val="nil"/>
            </w:tcBorders>
            <w:vAlign w:val="center"/>
          </w:tcPr>
          <w:p w14:paraId="157194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选用低噪声设备，</w:t>
            </w:r>
            <w:r>
              <w:rPr>
                <w:rFonts w:hint="eastAsia" w:cs="Times New Roman" w:eastAsiaTheme="minorEastAsia"/>
                <w:color w:val="auto"/>
                <w:spacing w:val="11"/>
                <w:position w:val="0"/>
                <w:sz w:val="24"/>
                <w:szCs w:val="24"/>
                <w:highlight w:val="none"/>
                <w:u w:val="single" w:color="auto"/>
                <w:lang w:val="en-US" w:eastAsia="zh-CN"/>
              </w:rPr>
              <w:t>墙体</w:t>
            </w:r>
            <w:r>
              <w:rPr>
                <w:rFonts w:hint="default" w:ascii="Times New Roman" w:hAnsi="Times New Roman" w:cs="Times New Roman" w:eastAsiaTheme="minorEastAsia"/>
                <w:color w:val="auto"/>
                <w:spacing w:val="11"/>
                <w:position w:val="0"/>
                <w:sz w:val="24"/>
                <w:szCs w:val="24"/>
                <w:highlight w:val="none"/>
                <w:u w:val="single" w:color="auto"/>
                <w:lang w:val="en-US" w:eastAsia="zh-CN"/>
              </w:rPr>
              <w:t>隔声，加装减振基础，强噪声设备加装隔声罩</w:t>
            </w:r>
          </w:p>
        </w:tc>
        <w:tc>
          <w:tcPr>
            <w:tcW w:w="1304" w:type="pct"/>
            <w:tcBorders>
              <w:tl2br w:val="nil"/>
              <w:tr2bl w:val="nil"/>
            </w:tcBorders>
            <w:vAlign w:val="center"/>
          </w:tcPr>
          <w:p w14:paraId="11D6F6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厂界东、西、北侧执行《社会生活环境噪声排放标准》（GB 22337-2008）2类标准，南侧执行《社会生活环境噪声排放标准》（GB 22337-2008）4类标准</w:t>
            </w:r>
          </w:p>
        </w:tc>
      </w:tr>
      <w:tr w14:paraId="0CED8C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pct"/>
            <w:tcBorders>
              <w:tl2br w:val="nil"/>
              <w:tr2bl w:val="nil"/>
            </w:tcBorders>
            <w:vAlign w:val="center"/>
          </w:tcPr>
          <w:p w14:paraId="1E6AD0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电离辐射</w:t>
            </w:r>
          </w:p>
        </w:tc>
        <w:tc>
          <w:tcPr>
            <w:tcW w:w="855" w:type="pct"/>
            <w:tcBorders>
              <w:tl2br w:val="nil"/>
              <w:tr2bl w:val="nil"/>
            </w:tcBorders>
            <w:vAlign w:val="center"/>
          </w:tcPr>
          <w:p w14:paraId="3681CE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tc>
        <w:tc>
          <w:tcPr>
            <w:tcW w:w="1014" w:type="pct"/>
            <w:tcBorders>
              <w:tl2br w:val="nil"/>
              <w:tr2bl w:val="nil"/>
            </w:tcBorders>
            <w:vAlign w:val="center"/>
          </w:tcPr>
          <w:p w14:paraId="4CAAB7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tc>
        <w:tc>
          <w:tcPr>
            <w:tcW w:w="1097" w:type="pct"/>
            <w:tcBorders>
              <w:tl2br w:val="nil"/>
              <w:tr2bl w:val="nil"/>
            </w:tcBorders>
            <w:vAlign w:val="center"/>
          </w:tcPr>
          <w:p w14:paraId="6689B4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tc>
        <w:tc>
          <w:tcPr>
            <w:tcW w:w="1304" w:type="pct"/>
            <w:tcBorders>
              <w:tl2br w:val="nil"/>
              <w:tr2bl w:val="nil"/>
            </w:tcBorders>
            <w:vAlign w:val="center"/>
          </w:tcPr>
          <w:p w14:paraId="429438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tc>
      </w:tr>
      <w:tr w14:paraId="270450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vMerge w:val="restart"/>
            <w:tcBorders>
              <w:tl2br w:val="nil"/>
              <w:tr2bl w:val="nil"/>
            </w:tcBorders>
            <w:vAlign w:val="center"/>
          </w:tcPr>
          <w:p w14:paraId="7DBE2D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固体废物</w:t>
            </w:r>
          </w:p>
        </w:tc>
        <w:tc>
          <w:tcPr>
            <w:tcW w:w="855" w:type="pct"/>
            <w:vMerge w:val="restart"/>
            <w:tcBorders>
              <w:tl2br w:val="nil"/>
              <w:tr2bl w:val="nil"/>
            </w:tcBorders>
            <w:vAlign w:val="center"/>
          </w:tcPr>
          <w:p w14:paraId="76D658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一般固废</w:t>
            </w:r>
          </w:p>
        </w:tc>
        <w:tc>
          <w:tcPr>
            <w:tcW w:w="1014" w:type="pct"/>
            <w:tcBorders>
              <w:tl2br w:val="nil"/>
              <w:tr2bl w:val="nil"/>
            </w:tcBorders>
            <w:shd w:val="clear" w:color="auto" w:fill="auto"/>
            <w:vAlign w:val="center"/>
          </w:tcPr>
          <w:p w14:paraId="79449638">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4"/>
                <w:szCs w:val="24"/>
                <w:highlight w:val="none"/>
                <w:u w:val="single" w:color="auto"/>
                <w:lang w:val="en-US" w:eastAsia="zh-CN" w:bidi="ar-SA"/>
              </w:rPr>
            </w:pPr>
            <w:r>
              <w:rPr>
                <w:rFonts w:hint="default" w:ascii="Times New Roman" w:hAnsi="Times New Roman" w:eastAsia="宋体" w:cs="Times New Roman"/>
                <w:color w:val="auto"/>
                <w:spacing w:val="11"/>
                <w:kern w:val="2"/>
                <w:position w:val="0"/>
                <w:sz w:val="24"/>
                <w:szCs w:val="24"/>
                <w:highlight w:val="none"/>
                <w:u w:val="single" w:color="auto"/>
                <w:lang w:val="en-US" w:eastAsia="zh-CN" w:bidi="ar-SA"/>
              </w:rPr>
              <w:t>员工生活</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垃圾</w:t>
            </w:r>
          </w:p>
        </w:tc>
        <w:tc>
          <w:tcPr>
            <w:tcW w:w="1097" w:type="pct"/>
            <w:vMerge w:val="restart"/>
            <w:tcBorders>
              <w:tl2br w:val="nil"/>
              <w:tr2bl w:val="nil"/>
            </w:tcBorders>
            <w:shd w:val="clear" w:color="auto" w:fill="auto"/>
            <w:vAlign w:val="center"/>
          </w:tcPr>
          <w:p w14:paraId="1E0A9F77">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4"/>
                <w:szCs w:val="24"/>
                <w:highlight w:val="none"/>
                <w:u w:val="single" w:color="auto"/>
                <w:lang w:val="en-US" w:eastAsia="zh-CN" w:bidi="ar-SA"/>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SA"/>
              </w:rPr>
              <w:t>由环卫部门集中清运</w:t>
            </w:r>
          </w:p>
        </w:tc>
        <w:tc>
          <w:tcPr>
            <w:tcW w:w="1304" w:type="pct"/>
            <w:vMerge w:val="restart"/>
            <w:tcBorders>
              <w:tl2br w:val="nil"/>
              <w:tr2bl w:val="nil"/>
            </w:tcBorders>
            <w:vAlign w:val="center"/>
          </w:tcPr>
          <w:p w14:paraId="1D2D3E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处置率100%</w:t>
            </w:r>
          </w:p>
        </w:tc>
      </w:tr>
      <w:tr w14:paraId="5D4958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vMerge w:val="continue"/>
            <w:tcBorders>
              <w:tl2br w:val="nil"/>
              <w:tr2bl w:val="nil"/>
            </w:tcBorders>
            <w:vAlign w:val="center"/>
          </w:tcPr>
          <w:p w14:paraId="06EC09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855" w:type="pct"/>
            <w:vMerge w:val="continue"/>
            <w:tcBorders>
              <w:tl2br w:val="nil"/>
              <w:tr2bl w:val="nil"/>
            </w:tcBorders>
            <w:vAlign w:val="center"/>
          </w:tcPr>
          <w:p w14:paraId="07556D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eastAsiaTheme="minorEastAsia"/>
                <w:color w:val="auto"/>
                <w:spacing w:val="11"/>
                <w:position w:val="0"/>
                <w:sz w:val="24"/>
                <w:szCs w:val="24"/>
                <w:highlight w:val="none"/>
                <w:u w:val="single" w:color="auto"/>
                <w:lang w:val="en-US" w:eastAsia="zh-CN"/>
              </w:rPr>
            </w:pPr>
          </w:p>
        </w:tc>
        <w:tc>
          <w:tcPr>
            <w:tcW w:w="1014" w:type="pct"/>
            <w:tcBorders>
              <w:tl2br w:val="nil"/>
              <w:tr2bl w:val="nil"/>
            </w:tcBorders>
            <w:shd w:val="clear" w:color="auto" w:fill="auto"/>
            <w:vAlign w:val="center"/>
          </w:tcPr>
          <w:p w14:paraId="350AFFB2">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4"/>
                <w:szCs w:val="24"/>
                <w:highlight w:val="none"/>
                <w:u w:val="single" w:color="auto"/>
                <w:lang w:val="en-US" w:eastAsia="zh-CN" w:bidi="ar-SA"/>
              </w:rPr>
            </w:pPr>
            <w:r>
              <w:rPr>
                <w:rFonts w:hint="eastAsia" w:cs="Times New Roman"/>
                <w:color w:val="auto"/>
                <w:spacing w:val="11"/>
                <w:kern w:val="2"/>
                <w:position w:val="0"/>
                <w:sz w:val="24"/>
                <w:szCs w:val="24"/>
                <w:highlight w:val="none"/>
                <w:u w:val="single" w:color="auto"/>
                <w:lang w:val="en-US" w:eastAsia="zh-CN" w:bidi="ar-SA"/>
              </w:rPr>
              <w:t>中药药渣</w:t>
            </w:r>
          </w:p>
        </w:tc>
        <w:tc>
          <w:tcPr>
            <w:tcW w:w="1097" w:type="pct"/>
            <w:vMerge w:val="continue"/>
            <w:tcBorders>
              <w:tl2br w:val="nil"/>
              <w:tr2bl w:val="nil"/>
            </w:tcBorders>
            <w:shd w:val="clear" w:color="auto" w:fill="auto"/>
            <w:vAlign w:val="center"/>
          </w:tcPr>
          <w:p w14:paraId="6FB3F36A">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4"/>
                <w:szCs w:val="24"/>
                <w:highlight w:val="none"/>
                <w:u w:val="single" w:color="auto"/>
                <w:lang w:val="en-US" w:eastAsia="zh-CN" w:bidi="ar-SA"/>
              </w:rPr>
            </w:pPr>
          </w:p>
        </w:tc>
        <w:tc>
          <w:tcPr>
            <w:tcW w:w="1304" w:type="pct"/>
            <w:vMerge w:val="continue"/>
            <w:tcBorders>
              <w:tl2br w:val="nil"/>
              <w:tr2bl w:val="nil"/>
            </w:tcBorders>
            <w:vAlign w:val="center"/>
          </w:tcPr>
          <w:p w14:paraId="6B8FAC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r>
      <w:tr w14:paraId="138AE4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27" w:type="pct"/>
            <w:vMerge w:val="continue"/>
            <w:tcBorders>
              <w:tl2br w:val="nil"/>
              <w:tr2bl w:val="nil"/>
            </w:tcBorders>
            <w:vAlign w:val="center"/>
          </w:tcPr>
          <w:p w14:paraId="495562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855" w:type="pct"/>
            <w:vMerge w:val="restart"/>
            <w:tcBorders>
              <w:tl2br w:val="nil"/>
              <w:tr2bl w:val="nil"/>
            </w:tcBorders>
            <w:vAlign w:val="center"/>
          </w:tcPr>
          <w:p w14:paraId="745A80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危险废物</w:t>
            </w:r>
          </w:p>
        </w:tc>
        <w:tc>
          <w:tcPr>
            <w:tcW w:w="1014" w:type="pct"/>
            <w:tcBorders>
              <w:tl2br w:val="nil"/>
              <w:tr2bl w:val="nil"/>
            </w:tcBorders>
            <w:shd w:val="clear" w:color="auto" w:fill="auto"/>
            <w:vAlign w:val="center"/>
          </w:tcPr>
          <w:p w14:paraId="4991A4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singl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医疗废物</w:t>
            </w:r>
          </w:p>
        </w:tc>
        <w:tc>
          <w:tcPr>
            <w:tcW w:w="1097" w:type="pct"/>
            <w:vMerge w:val="restart"/>
            <w:tcBorders>
              <w:tl2br w:val="nil"/>
              <w:tr2bl w:val="nil"/>
            </w:tcBorders>
            <w:vAlign w:val="center"/>
          </w:tcPr>
          <w:p w14:paraId="01BF9A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交由永州市医疗废物集中处置有限公司处置</w:t>
            </w:r>
          </w:p>
        </w:tc>
        <w:tc>
          <w:tcPr>
            <w:tcW w:w="1304" w:type="pct"/>
            <w:vMerge w:val="continue"/>
            <w:tcBorders>
              <w:tl2br w:val="nil"/>
              <w:tr2bl w:val="nil"/>
            </w:tcBorders>
            <w:vAlign w:val="center"/>
          </w:tcPr>
          <w:p w14:paraId="03A68B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yellow"/>
                <w:u w:val="single" w:color="auto"/>
                <w:lang w:val="en-US" w:eastAsia="zh-CN"/>
              </w:rPr>
            </w:pPr>
          </w:p>
        </w:tc>
      </w:tr>
      <w:tr w14:paraId="717ABC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vMerge w:val="continue"/>
            <w:tcBorders>
              <w:tl2br w:val="nil"/>
              <w:tr2bl w:val="nil"/>
            </w:tcBorders>
            <w:vAlign w:val="center"/>
          </w:tcPr>
          <w:p w14:paraId="09074A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855" w:type="pct"/>
            <w:vMerge w:val="continue"/>
            <w:tcBorders>
              <w:tl2br w:val="nil"/>
              <w:tr2bl w:val="nil"/>
            </w:tcBorders>
            <w:vAlign w:val="center"/>
          </w:tcPr>
          <w:p w14:paraId="3BB4DA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1014" w:type="pct"/>
            <w:tcBorders>
              <w:tl2br w:val="nil"/>
              <w:tr2bl w:val="nil"/>
            </w:tcBorders>
            <w:shd w:val="clear" w:color="auto" w:fill="auto"/>
            <w:vAlign w:val="center"/>
          </w:tcPr>
          <w:p w14:paraId="2E22A1E0">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4"/>
                <w:szCs w:val="24"/>
                <w:highlight w:val="none"/>
                <w:u w:val="singl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污水处理站污泥</w:t>
            </w:r>
          </w:p>
        </w:tc>
        <w:tc>
          <w:tcPr>
            <w:tcW w:w="1097" w:type="pct"/>
            <w:vMerge w:val="continue"/>
            <w:tcBorders>
              <w:tl2br w:val="nil"/>
              <w:tr2bl w:val="nil"/>
            </w:tcBorders>
            <w:vAlign w:val="center"/>
          </w:tcPr>
          <w:p w14:paraId="2F2317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1304" w:type="pct"/>
            <w:vMerge w:val="continue"/>
            <w:tcBorders>
              <w:tl2br w:val="nil"/>
              <w:tr2bl w:val="nil"/>
            </w:tcBorders>
            <w:vAlign w:val="center"/>
          </w:tcPr>
          <w:p w14:paraId="388A2D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yellow"/>
                <w:u w:val="single" w:color="auto"/>
                <w:lang w:val="en-US" w:eastAsia="zh-CN"/>
              </w:rPr>
            </w:pPr>
          </w:p>
        </w:tc>
      </w:tr>
      <w:tr w14:paraId="31CE93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vMerge w:val="continue"/>
            <w:tcBorders>
              <w:tl2br w:val="nil"/>
              <w:tr2bl w:val="nil"/>
            </w:tcBorders>
            <w:vAlign w:val="center"/>
          </w:tcPr>
          <w:p w14:paraId="27C86F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855" w:type="pct"/>
            <w:vMerge w:val="continue"/>
            <w:tcBorders>
              <w:tl2br w:val="nil"/>
              <w:tr2bl w:val="nil"/>
            </w:tcBorders>
            <w:vAlign w:val="center"/>
          </w:tcPr>
          <w:p w14:paraId="2C9EDB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1014" w:type="pct"/>
            <w:tcBorders>
              <w:tl2br w:val="nil"/>
              <w:tr2bl w:val="nil"/>
            </w:tcBorders>
            <w:shd w:val="clear" w:color="auto" w:fill="auto"/>
            <w:vAlign w:val="center"/>
          </w:tcPr>
          <w:p w14:paraId="515A4C0F">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药物性废物</w:t>
            </w:r>
          </w:p>
        </w:tc>
        <w:tc>
          <w:tcPr>
            <w:tcW w:w="1097" w:type="pct"/>
            <w:vMerge w:val="continue"/>
            <w:tcBorders>
              <w:tl2br w:val="nil"/>
              <w:tr2bl w:val="nil"/>
            </w:tcBorders>
            <w:vAlign w:val="center"/>
          </w:tcPr>
          <w:p w14:paraId="5EE714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1304" w:type="pct"/>
            <w:vMerge w:val="continue"/>
            <w:tcBorders>
              <w:tl2br w:val="nil"/>
              <w:tr2bl w:val="nil"/>
            </w:tcBorders>
            <w:vAlign w:val="center"/>
          </w:tcPr>
          <w:p w14:paraId="3BFD06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yellow"/>
                <w:u w:val="single" w:color="auto"/>
                <w:lang w:val="en-US" w:eastAsia="zh-CN"/>
              </w:rPr>
            </w:pPr>
          </w:p>
        </w:tc>
      </w:tr>
      <w:tr w14:paraId="3EC8A6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vMerge w:val="continue"/>
            <w:tcBorders>
              <w:tl2br w:val="nil"/>
              <w:tr2bl w:val="nil"/>
            </w:tcBorders>
            <w:vAlign w:val="center"/>
          </w:tcPr>
          <w:p w14:paraId="13CC88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855" w:type="pct"/>
            <w:vMerge w:val="continue"/>
            <w:tcBorders>
              <w:tl2br w:val="nil"/>
              <w:tr2bl w:val="nil"/>
            </w:tcBorders>
            <w:vAlign w:val="center"/>
          </w:tcPr>
          <w:p w14:paraId="10BC31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1014" w:type="pct"/>
            <w:tcBorders>
              <w:tl2br w:val="nil"/>
              <w:tr2bl w:val="nil"/>
            </w:tcBorders>
            <w:shd w:val="clear" w:color="auto" w:fill="auto"/>
            <w:vAlign w:val="center"/>
          </w:tcPr>
          <w:p w14:paraId="107B63C8">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4"/>
                <w:szCs w:val="24"/>
                <w:highlight w:val="none"/>
                <w:u w:val="single" w:color="auto"/>
                <w:lang w:val="en-US" w:eastAsia="zh-CN" w:bidi="ar-SA"/>
              </w:rPr>
            </w:pPr>
            <w:r>
              <w:rPr>
                <w:rFonts w:hint="eastAsia" w:cs="Times New Roman"/>
                <w:color w:val="auto"/>
                <w:spacing w:val="11"/>
                <w:kern w:val="2"/>
                <w:position w:val="0"/>
                <w:sz w:val="24"/>
                <w:szCs w:val="24"/>
                <w:highlight w:val="none"/>
                <w:u w:val="single" w:color="auto"/>
                <w:lang w:val="en-US" w:eastAsia="zh-CN" w:bidi="ar-SA"/>
              </w:rPr>
              <w:t>含铬污水</w:t>
            </w:r>
          </w:p>
        </w:tc>
        <w:tc>
          <w:tcPr>
            <w:tcW w:w="1097" w:type="pct"/>
            <w:vMerge w:val="continue"/>
            <w:tcBorders>
              <w:tl2br w:val="nil"/>
              <w:tr2bl w:val="nil"/>
            </w:tcBorders>
            <w:vAlign w:val="center"/>
          </w:tcPr>
          <w:p w14:paraId="3C63BD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1304" w:type="pct"/>
            <w:vMerge w:val="continue"/>
            <w:tcBorders>
              <w:tl2br w:val="nil"/>
              <w:tr2bl w:val="nil"/>
            </w:tcBorders>
            <w:vAlign w:val="center"/>
          </w:tcPr>
          <w:p w14:paraId="60EC0A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yellow"/>
                <w:u w:val="single" w:color="auto"/>
                <w:lang w:val="en-US" w:eastAsia="zh-CN"/>
              </w:rPr>
            </w:pPr>
          </w:p>
        </w:tc>
      </w:tr>
      <w:tr w14:paraId="1FAF8F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tcBorders>
              <w:tl2br w:val="nil"/>
              <w:tr2bl w:val="nil"/>
            </w:tcBorders>
            <w:vAlign w:val="center"/>
          </w:tcPr>
          <w:p w14:paraId="7C7881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土壤及地下水污染防治措施</w:t>
            </w:r>
          </w:p>
        </w:tc>
        <w:tc>
          <w:tcPr>
            <w:tcW w:w="4272" w:type="pct"/>
            <w:gridSpan w:val="4"/>
            <w:tcBorders>
              <w:tl2br w:val="nil"/>
              <w:tr2bl w:val="nil"/>
            </w:tcBorders>
            <w:vAlign w:val="center"/>
          </w:tcPr>
          <w:p w14:paraId="007E21AA">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全厂进行地面硬化，防腐防渗，防止土壤环境污染。</w:t>
            </w:r>
          </w:p>
        </w:tc>
      </w:tr>
      <w:tr w14:paraId="604104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tcBorders>
              <w:tl2br w:val="nil"/>
              <w:tr2bl w:val="nil"/>
            </w:tcBorders>
            <w:vAlign w:val="center"/>
          </w:tcPr>
          <w:p w14:paraId="757E46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生态保护措施</w:t>
            </w:r>
          </w:p>
        </w:tc>
        <w:tc>
          <w:tcPr>
            <w:tcW w:w="4272" w:type="pct"/>
            <w:gridSpan w:val="4"/>
            <w:tcBorders>
              <w:tl2br w:val="nil"/>
              <w:tr2bl w:val="nil"/>
            </w:tcBorders>
            <w:vAlign w:val="center"/>
          </w:tcPr>
          <w:p w14:paraId="6C2DEA5D">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项目占地面积较小，通过对渣土、建筑垃圾等及时清运，及时绿化恢复生态，达到减低生态影响、防治水土流失的目的。</w:t>
            </w:r>
          </w:p>
        </w:tc>
      </w:tr>
      <w:tr w14:paraId="005D57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tcBorders>
              <w:tl2br w:val="nil"/>
              <w:tr2bl w:val="nil"/>
            </w:tcBorders>
            <w:vAlign w:val="center"/>
          </w:tcPr>
          <w:p w14:paraId="2DF68E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环境风险防范措施</w:t>
            </w:r>
          </w:p>
        </w:tc>
        <w:tc>
          <w:tcPr>
            <w:tcW w:w="4272" w:type="pct"/>
            <w:gridSpan w:val="4"/>
            <w:tcBorders>
              <w:tl2br w:val="nil"/>
              <w:tr2bl w:val="nil"/>
            </w:tcBorders>
            <w:vAlign w:val="center"/>
          </w:tcPr>
          <w:p w14:paraId="22998E00">
            <w:pPr>
              <w:pStyle w:val="60"/>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leftChars="0" w:right="0" w:rightChars="0" w:firstLine="524" w:firstLineChars="200"/>
              <w:jc w:val="both"/>
              <w:textAlignment w:val="auto"/>
              <w:rPr>
                <w:rFonts w:hint="eastAsia"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建立和健全环境风险规章制度，完善院区环境风险管理体系。</w:t>
            </w:r>
          </w:p>
          <w:p w14:paraId="5547DF8E">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按照《企业事业单位突发环境事件应急预案备案管理办法（试行）》（环发[2015]4号）和《企业突发环境事件风险评估指南》，对突发环境事件应急预案进行修编并报生态环境部门备案</w:t>
            </w: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tc>
      </w:tr>
      <w:tr w14:paraId="7805D3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28" w:hRule="atLeast"/>
        </w:trPr>
        <w:tc>
          <w:tcPr>
            <w:tcW w:w="727" w:type="pct"/>
            <w:tcBorders>
              <w:tl2br w:val="nil"/>
              <w:tr2bl w:val="nil"/>
            </w:tcBorders>
            <w:vAlign w:val="center"/>
          </w:tcPr>
          <w:p w14:paraId="31DD99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其他环境管理要求</w:t>
            </w:r>
          </w:p>
        </w:tc>
        <w:tc>
          <w:tcPr>
            <w:tcW w:w="4272" w:type="pct"/>
            <w:gridSpan w:val="4"/>
            <w:tcBorders>
              <w:tl2br w:val="nil"/>
              <w:tr2bl w:val="nil"/>
            </w:tcBorders>
            <w:vAlign w:val="center"/>
          </w:tcPr>
          <w:p w14:paraId="77705650">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4" w:firstLineChars="200"/>
              <w:jc w:val="both"/>
              <w:textAlignment w:val="auto"/>
              <w:rPr>
                <w:rFonts w:ascii="Times New Roman" w:hAnsi="Times New Roman" w:eastAsia="宋体" w:cs="Times New Roman"/>
                <w:color w:val="auto"/>
                <w:spacing w:val="11"/>
                <w:kern w:val="0"/>
                <w:szCs w:val="24"/>
                <w:highlight w:val="none"/>
                <w:u w:val="single" w:color="auto"/>
              </w:rPr>
            </w:pPr>
            <w:r>
              <w:rPr>
                <w:rFonts w:hint="eastAsia" w:ascii="Times New Roman" w:hAnsi="Times New Roman" w:eastAsia="宋体" w:cs="Times New Roman"/>
                <w:color w:val="auto"/>
                <w:spacing w:val="11"/>
                <w:kern w:val="0"/>
                <w:szCs w:val="24"/>
                <w:u w:val="single" w:color="auto"/>
                <w:lang w:val="en-US" w:eastAsia="zh-CN"/>
              </w:rPr>
              <w:t>（1）</w:t>
            </w:r>
            <w:r>
              <w:rPr>
                <w:rFonts w:hint="eastAsia" w:ascii="Times New Roman" w:hAnsi="Times New Roman" w:eastAsia="宋体" w:cs="Times New Roman"/>
                <w:color w:val="auto"/>
                <w:spacing w:val="11"/>
                <w:kern w:val="0"/>
                <w:szCs w:val="24"/>
                <w:u w:val="single" w:color="auto"/>
              </w:rPr>
              <w:t>在项目建成进行试</w:t>
            </w:r>
            <w:r>
              <w:rPr>
                <w:rFonts w:hint="eastAsia" w:ascii="Times New Roman" w:hAnsi="Times New Roman" w:eastAsia="宋体" w:cs="Times New Roman"/>
                <w:color w:val="auto"/>
                <w:spacing w:val="11"/>
                <w:kern w:val="0"/>
                <w:szCs w:val="24"/>
                <w:highlight w:val="none"/>
                <w:u w:val="single" w:color="auto"/>
              </w:rPr>
              <w:t>运行之前</w:t>
            </w:r>
            <w:r>
              <w:rPr>
                <w:rFonts w:ascii="Times New Roman" w:hAnsi="Times New Roman" w:eastAsia="宋体" w:cs="Times New Roman"/>
                <w:color w:val="auto"/>
                <w:spacing w:val="11"/>
                <w:kern w:val="0"/>
                <w:szCs w:val="24"/>
                <w:highlight w:val="none"/>
                <w:u w:val="single" w:color="auto"/>
              </w:rPr>
              <w:t>完成排污许可申请；</w:t>
            </w:r>
          </w:p>
          <w:p w14:paraId="1C28C154">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ascii="Times New Roman" w:hAnsi="Times New Roman" w:eastAsia="宋体" w:cs="Times New Roman"/>
                <w:color w:val="auto"/>
                <w:spacing w:val="11"/>
                <w:kern w:val="0"/>
                <w:szCs w:val="24"/>
                <w:highlight w:val="none"/>
                <w:u w:val="single" w:color="auto"/>
              </w:rPr>
            </w:pPr>
            <w:r>
              <w:rPr>
                <w:rFonts w:hint="eastAsia" w:ascii="Times New Roman" w:hAnsi="Times New Roman" w:eastAsia="宋体" w:cs="Times New Roman"/>
                <w:color w:val="auto"/>
                <w:spacing w:val="11"/>
                <w:kern w:val="0"/>
                <w:szCs w:val="24"/>
                <w:highlight w:val="none"/>
                <w:u w:val="single" w:color="auto"/>
                <w:lang w:val="en-US" w:eastAsia="zh-CN"/>
              </w:rPr>
              <w:t>（2）</w:t>
            </w:r>
            <w:r>
              <w:rPr>
                <w:rFonts w:ascii="Times New Roman" w:hAnsi="Times New Roman" w:eastAsia="宋体" w:cs="Times New Roman"/>
                <w:color w:val="auto"/>
                <w:spacing w:val="11"/>
                <w:kern w:val="0"/>
                <w:szCs w:val="24"/>
                <w:highlight w:val="none"/>
                <w:u w:val="single" w:color="auto"/>
              </w:rPr>
              <w:t>根据《建设项目环境保护验收暂行办法》，项目主体工程和环保设施正常运行情况下，企业可自行申请竣工验收，验收时按照《建设项目竣工环境保护验收技术规范 医疗机构》</w:t>
            </w:r>
            <w:r>
              <w:rPr>
                <w:rFonts w:hint="eastAsia" w:cs="Times New Roman"/>
                <w:color w:val="auto"/>
                <w:spacing w:val="11"/>
                <w:kern w:val="0"/>
                <w:szCs w:val="24"/>
                <w:highlight w:val="none"/>
                <w:u w:val="single" w:color="auto"/>
                <w:lang w:eastAsia="zh-CN"/>
              </w:rPr>
              <w:t>（HJ 794-2016）</w:t>
            </w:r>
            <w:r>
              <w:rPr>
                <w:rFonts w:ascii="Times New Roman" w:hAnsi="Times New Roman" w:eastAsia="宋体" w:cs="Times New Roman"/>
                <w:color w:val="auto"/>
                <w:spacing w:val="11"/>
                <w:kern w:val="0"/>
                <w:szCs w:val="24"/>
                <w:highlight w:val="none"/>
                <w:u w:val="single" w:color="auto"/>
              </w:rPr>
              <w:t>进行验收；</w:t>
            </w:r>
          </w:p>
          <w:p w14:paraId="332512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524" w:firstLineChars="200"/>
              <w:jc w:val="both"/>
              <w:textAlignment w:val="auto"/>
              <w:rPr>
                <w:rFonts w:hint="eastAsia" w:ascii="Times New Roman" w:hAnsi="Times New Roman" w:eastAsia="宋体" w:cs="Times New Roman"/>
                <w:color w:val="auto"/>
                <w:spacing w:val="11"/>
                <w:kern w:val="0"/>
                <w:sz w:val="24"/>
                <w:szCs w:val="24"/>
                <w:highlight w:val="none"/>
                <w:u w:val="single" w:color="auto"/>
                <w:lang w:val="en-US" w:eastAsia="zh-CN" w:bidi="ar-SA"/>
              </w:rPr>
            </w:pPr>
            <w:r>
              <w:rPr>
                <w:rFonts w:hint="eastAsia" w:ascii="Times New Roman" w:hAnsi="Times New Roman" w:eastAsia="宋体" w:cs="Times New Roman"/>
                <w:color w:val="auto"/>
                <w:spacing w:val="11"/>
                <w:kern w:val="0"/>
                <w:sz w:val="24"/>
                <w:szCs w:val="24"/>
                <w:highlight w:val="none"/>
                <w:u w:val="single" w:color="auto"/>
                <w:lang w:val="en-US" w:eastAsia="zh-CN" w:bidi="ar-SA"/>
              </w:rPr>
              <w:t>（</w:t>
            </w:r>
            <w:r>
              <w:rPr>
                <w:rFonts w:hint="eastAsia" w:cs="Times New Roman"/>
                <w:color w:val="auto"/>
                <w:spacing w:val="11"/>
                <w:kern w:val="0"/>
                <w:sz w:val="24"/>
                <w:szCs w:val="24"/>
                <w:highlight w:val="none"/>
                <w:u w:val="single" w:color="auto"/>
                <w:lang w:val="en-US" w:eastAsia="zh-CN" w:bidi="ar-SA"/>
              </w:rPr>
              <w:t>3</w:t>
            </w:r>
            <w:r>
              <w:rPr>
                <w:rFonts w:hint="eastAsia" w:ascii="Times New Roman" w:hAnsi="Times New Roman" w:eastAsia="宋体" w:cs="Times New Roman"/>
                <w:color w:val="auto"/>
                <w:spacing w:val="11"/>
                <w:kern w:val="0"/>
                <w:sz w:val="24"/>
                <w:szCs w:val="24"/>
                <w:highlight w:val="none"/>
                <w:u w:val="single" w:color="auto"/>
                <w:lang w:val="en-US" w:eastAsia="zh-CN" w:bidi="ar-SA"/>
              </w:rPr>
              <w:t>）</w:t>
            </w:r>
            <w:r>
              <w:rPr>
                <w:rFonts w:ascii="Times New Roman" w:hAnsi="Times New Roman" w:eastAsia="宋体" w:cs="Times New Roman"/>
                <w:color w:val="auto"/>
                <w:spacing w:val="11"/>
                <w:kern w:val="0"/>
                <w:sz w:val="24"/>
                <w:szCs w:val="24"/>
                <w:highlight w:val="none"/>
                <w:u w:val="single" w:color="auto"/>
                <w:lang w:val="en-US" w:eastAsia="zh-CN" w:bidi="ar-SA"/>
              </w:rPr>
              <w:t>及时做好污染源自主监测</w:t>
            </w:r>
            <w:r>
              <w:rPr>
                <w:rFonts w:hint="eastAsia" w:ascii="Times New Roman" w:hAnsi="Times New Roman" w:eastAsia="宋体" w:cs="Times New Roman"/>
                <w:color w:val="auto"/>
                <w:spacing w:val="11"/>
                <w:kern w:val="0"/>
                <w:sz w:val="24"/>
                <w:szCs w:val="24"/>
                <w:highlight w:val="none"/>
                <w:u w:val="single" w:color="auto"/>
                <w:lang w:val="en-US" w:eastAsia="zh-CN" w:bidi="ar-SA"/>
              </w:rPr>
              <w:t>；</w:t>
            </w:r>
          </w:p>
          <w:p w14:paraId="2B1838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524" w:firstLineChars="200"/>
              <w:jc w:val="both"/>
              <w:textAlignment w:val="auto"/>
              <w:rPr>
                <w:rFonts w:hint="eastAsia" w:ascii="Times New Roman" w:hAnsi="Times New Roman" w:eastAsia="宋体" w:cs="Times New Roman"/>
                <w:color w:val="auto"/>
                <w:spacing w:val="11"/>
                <w:kern w:val="0"/>
                <w:sz w:val="24"/>
                <w:szCs w:val="24"/>
                <w:u w:val="single" w:color="auto"/>
                <w:lang w:val="en-US" w:eastAsia="zh-CN" w:bidi="ar-SA"/>
              </w:rPr>
            </w:pPr>
            <w:r>
              <w:rPr>
                <w:rFonts w:hint="eastAsia" w:ascii="Times New Roman" w:hAnsi="Times New Roman" w:eastAsia="宋体" w:cs="Times New Roman"/>
                <w:color w:val="auto"/>
                <w:spacing w:val="11"/>
                <w:kern w:val="0"/>
                <w:sz w:val="24"/>
                <w:szCs w:val="24"/>
                <w:u w:val="single" w:color="auto"/>
                <w:lang w:val="en-US" w:eastAsia="zh-CN" w:bidi="ar-SA"/>
              </w:rPr>
              <w:t>（</w:t>
            </w:r>
            <w:r>
              <w:rPr>
                <w:rFonts w:hint="eastAsia" w:cs="Times New Roman"/>
                <w:color w:val="auto"/>
                <w:spacing w:val="11"/>
                <w:kern w:val="0"/>
                <w:sz w:val="24"/>
                <w:szCs w:val="24"/>
                <w:u w:val="single" w:color="auto"/>
                <w:lang w:val="en-US" w:eastAsia="zh-CN" w:bidi="ar-SA"/>
              </w:rPr>
              <w:t>4</w:t>
            </w:r>
            <w:r>
              <w:rPr>
                <w:rFonts w:hint="eastAsia" w:ascii="Times New Roman" w:hAnsi="Times New Roman" w:eastAsia="宋体" w:cs="Times New Roman"/>
                <w:color w:val="auto"/>
                <w:spacing w:val="11"/>
                <w:kern w:val="0"/>
                <w:sz w:val="24"/>
                <w:szCs w:val="24"/>
                <w:u w:val="single" w:color="auto"/>
                <w:lang w:val="en-US" w:eastAsia="zh-CN" w:bidi="ar-SA"/>
              </w:rPr>
              <w:t>）应制订和完善各项规章制度，制订环保管理制度和责任制，健全环保设备管理制度、安全操作规程和岗位责任制，设置各种设备运行台帐记录，规范工作程序，同时应制定相应的经济责任制，实行工效挂钩；建立日常档案，搞好环保统计，并及时处理可能出现的环境污染问题，做好废</w:t>
            </w:r>
            <w:r>
              <w:rPr>
                <w:rFonts w:hint="eastAsia" w:cs="Times New Roman"/>
                <w:color w:val="auto"/>
                <w:spacing w:val="11"/>
                <w:kern w:val="0"/>
                <w:sz w:val="24"/>
                <w:szCs w:val="24"/>
                <w:u w:val="single" w:color="auto"/>
                <w:lang w:val="en-US" w:eastAsia="zh-CN" w:bidi="ar-SA"/>
              </w:rPr>
              <w:t>水</w:t>
            </w:r>
            <w:r>
              <w:rPr>
                <w:rFonts w:hint="eastAsia" w:ascii="Times New Roman" w:hAnsi="Times New Roman" w:eastAsia="宋体" w:cs="Times New Roman"/>
                <w:color w:val="auto"/>
                <w:spacing w:val="11"/>
                <w:kern w:val="0"/>
                <w:sz w:val="24"/>
                <w:szCs w:val="24"/>
                <w:u w:val="single" w:color="auto"/>
                <w:lang w:val="en-US" w:eastAsia="zh-CN" w:bidi="ar-SA"/>
              </w:rPr>
              <w:t>处理设施运行记录台账和固废处置记录台帐；</w:t>
            </w:r>
          </w:p>
          <w:p w14:paraId="174E80DF">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524" w:firstLineChars="200"/>
              <w:jc w:val="both"/>
              <w:textAlignment w:val="auto"/>
              <w:rPr>
                <w:rFonts w:hint="default" w:ascii="Times New Roman" w:hAnsi="Times New Roman" w:eastAsia="宋体" w:cs="Times New Roman"/>
                <w:color w:val="auto"/>
                <w:spacing w:val="11"/>
                <w:kern w:val="0"/>
                <w:sz w:val="24"/>
                <w:szCs w:val="24"/>
                <w:u w:val="single" w:color="auto"/>
                <w:lang w:val="en-US" w:eastAsia="zh-CN" w:bidi="ar-SA"/>
              </w:rPr>
            </w:pPr>
            <w:r>
              <w:rPr>
                <w:rFonts w:hint="eastAsia" w:ascii="Times New Roman" w:hAnsi="Times New Roman" w:eastAsia="宋体" w:cs="Times New Roman"/>
                <w:color w:val="auto"/>
                <w:spacing w:val="11"/>
                <w:kern w:val="0"/>
                <w:sz w:val="24"/>
                <w:szCs w:val="24"/>
                <w:u w:val="single" w:color="auto"/>
                <w:lang w:val="en-US" w:eastAsia="zh-CN" w:bidi="ar-SA"/>
              </w:rPr>
              <w:t>（</w:t>
            </w:r>
            <w:r>
              <w:rPr>
                <w:rFonts w:hint="eastAsia" w:cs="Times New Roman"/>
                <w:color w:val="auto"/>
                <w:spacing w:val="11"/>
                <w:kern w:val="0"/>
                <w:sz w:val="24"/>
                <w:szCs w:val="24"/>
                <w:u w:val="single" w:color="auto"/>
                <w:lang w:val="en-US" w:eastAsia="zh-CN" w:bidi="ar-SA"/>
              </w:rPr>
              <w:t>5</w:t>
            </w:r>
            <w:r>
              <w:rPr>
                <w:rFonts w:hint="eastAsia" w:ascii="Times New Roman" w:hAnsi="Times New Roman" w:eastAsia="宋体" w:cs="Times New Roman"/>
                <w:color w:val="auto"/>
                <w:spacing w:val="11"/>
                <w:kern w:val="0"/>
                <w:sz w:val="24"/>
                <w:szCs w:val="24"/>
                <w:u w:val="single" w:color="auto"/>
                <w:lang w:val="en-US" w:eastAsia="zh-CN" w:bidi="ar-SA"/>
              </w:rPr>
              <w:t>）企业应按照《排污口规范化整治技术要求（试行）》、《关于开展排放口规范化整治工作的通知》等文件中有关规定设置与管理废</w:t>
            </w:r>
            <w:r>
              <w:rPr>
                <w:rFonts w:hint="eastAsia" w:cs="Times New Roman"/>
                <w:color w:val="auto"/>
                <w:spacing w:val="11"/>
                <w:kern w:val="0"/>
                <w:sz w:val="24"/>
                <w:szCs w:val="24"/>
                <w:u w:val="single" w:color="auto"/>
                <w:lang w:val="en-US" w:eastAsia="zh-CN" w:bidi="ar-SA"/>
              </w:rPr>
              <w:t>水</w:t>
            </w:r>
            <w:r>
              <w:rPr>
                <w:rFonts w:hint="eastAsia" w:ascii="Times New Roman" w:hAnsi="Times New Roman" w:eastAsia="宋体" w:cs="Times New Roman"/>
                <w:color w:val="auto"/>
                <w:spacing w:val="11"/>
                <w:kern w:val="0"/>
                <w:sz w:val="24"/>
                <w:szCs w:val="24"/>
                <w:u w:val="single" w:color="auto"/>
                <w:lang w:val="en-US" w:eastAsia="zh-CN" w:bidi="ar-SA"/>
              </w:rPr>
              <w:t>排放口。同时在废</w:t>
            </w:r>
            <w:r>
              <w:rPr>
                <w:rFonts w:hint="eastAsia" w:cs="Times New Roman"/>
                <w:color w:val="auto"/>
                <w:spacing w:val="11"/>
                <w:kern w:val="0"/>
                <w:sz w:val="24"/>
                <w:szCs w:val="24"/>
                <w:u w:val="single" w:color="auto"/>
                <w:lang w:val="en-US" w:eastAsia="zh-CN" w:bidi="ar-SA"/>
              </w:rPr>
              <w:t>水</w:t>
            </w:r>
            <w:r>
              <w:rPr>
                <w:rFonts w:hint="eastAsia" w:ascii="Times New Roman" w:hAnsi="Times New Roman" w:eastAsia="宋体" w:cs="Times New Roman"/>
                <w:color w:val="auto"/>
                <w:spacing w:val="11"/>
                <w:kern w:val="0"/>
                <w:sz w:val="24"/>
                <w:szCs w:val="24"/>
                <w:u w:val="single" w:color="auto"/>
                <w:lang w:val="en-US" w:eastAsia="zh-CN" w:bidi="ar-SA"/>
              </w:rPr>
              <w:t>排放口、噪声排放源、固体废物贮存（处置）场设置提示性或警告性图形标识，图形标识的设置按GB15562.1-1995、GB15562.2-1995、</w:t>
            </w:r>
            <w:r>
              <w:rPr>
                <w:rFonts w:hint="eastAsia" w:ascii="Times New Roman" w:hAnsi="Times New Roman" w:eastAsia="宋体" w:cs="Times New Roman"/>
                <w:color w:val="auto"/>
                <w:spacing w:val="11"/>
                <w:kern w:val="0"/>
                <w:sz w:val="24"/>
                <w:szCs w:val="24"/>
                <w:u w:val="single" w:color="auto"/>
                <w:lang w:val="en-US" w:eastAsia="zh-CN" w:bidi="ar-SA"/>
              </w:rPr>
              <w:fldChar w:fldCharType="begin"/>
            </w:r>
            <w:r>
              <w:rPr>
                <w:rFonts w:hint="eastAsia" w:ascii="Times New Roman" w:hAnsi="Times New Roman" w:eastAsia="宋体" w:cs="Times New Roman"/>
                <w:color w:val="auto"/>
                <w:spacing w:val="11"/>
                <w:kern w:val="0"/>
                <w:sz w:val="24"/>
                <w:szCs w:val="24"/>
                <w:u w:val="single" w:color="auto"/>
                <w:lang w:val="en-US" w:eastAsia="zh-CN" w:bidi="ar-SA"/>
              </w:rPr>
              <w:instrText xml:space="preserve"> HYPERLINK "https://www.mee.gov.cn/ywgz/fgbz/bz/bzwb/gthw/wxfwjbffbz/202302/W020230224650971041729.pdf" </w:instrText>
            </w:r>
            <w:r>
              <w:rPr>
                <w:rFonts w:hint="eastAsia" w:ascii="Times New Roman" w:hAnsi="Times New Roman" w:eastAsia="宋体" w:cs="Times New Roman"/>
                <w:color w:val="auto"/>
                <w:spacing w:val="11"/>
                <w:kern w:val="0"/>
                <w:sz w:val="24"/>
                <w:szCs w:val="24"/>
                <w:u w:val="single" w:color="auto"/>
                <w:lang w:val="en-US" w:eastAsia="zh-CN" w:bidi="ar-SA"/>
              </w:rPr>
              <w:fldChar w:fldCharType="separate"/>
            </w:r>
            <w:r>
              <w:rPr>
                <w:rFonts w:hint="eastAsia" w:ascii="Times New Roman" w:hAnsi="Times New Roman" w:eastAsia="宋体" w:cs="Times New Roman"/>
                <w:color w:val="auto"/>
                <w:spacing w:val="11"/>
                <w:kern w:val="0"/>
                <w:sz w:val="24"/>
                <w:szCs w:val="24"/>
                <w:u w:val="single" w:color="auto"/>
                <w:lang w:val="en-US" w:eastAsia="zh-CN" w:bidi="ar-SA"/>
              </w:rPr>
              <w:t>HJ 1276-2022</w:t>
            </w:r>
            <w:r>
              <w:rPr>
                <w:rFonts w:hint="eastAsia" w:ascii="Times New Roman" w:hAnsi="Times New Roman" w:eastAsia="宋体" w:cs="Times New Roman"/>
                <w:color w:val="auto"/>
                <w:spacing w:val="11"/>
                <w:kern w:val="0"/>
                <w:sz w:val="24"/>
                <w:szCs w:val="24"/>
                <w:u w:val="single" w:color="auto"/>
                <w:lang w:val="en-US" w:eastAsia="zh-CN" w:bidi="ar-SA"/>
              </w:rPr>
              <w:fldChar w:fldCharType="end"/>
            </w:r>
            <w:r>
              <w:rPr>
                <w:rFonts w:hint="eastAsia" w:ascii="Times New Roman" w:hAnsi="Times New Roman" w:eastAsia="宋体" w:cs="Times New Roman"/>
                <w:color w:val="auto"/>
                <w:spacing w:val="11"/>
                <w:kern w:val="0"/>
                <w:sz w:val="24"/>
                <w:szCs w:val="24"/>
                <w:u w:val="single" w:color="auto"/>
                <w:lang w:val="en-US" w:eastAsia="zh-CN" w:bidi="ar-SA"/>
              </w:rPr>
              <w:t xml:space="preserve">要求执行。 </w:t>
            </w:r>
          </w:p>
        </w:tc>
      </w:tr>
    </w:tbl>
    <w:p w14:paraId="37C94FEF">
      <w:pPr>
        <w:bidi w:val="0"/>
        <w:rPr>
          <w:rFonts w:hint="default" w:ascii="Times New Roman" w:hAnsi="Times New Roman" w:cs="Times New Roman" w:eastAsiaTheme="minorEastAsia"/>
          <w:color w:val="auto"/>
          <w:spacing w:val="11"/>
          <w:position w:val="0"/>
          <w:highlight w:val="none"/>
          <w:u w:val="none" w:color="auto"/>
          <w:lang w:val="en-US" w:eastAsia="zh-CN"/>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70DCB577">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cs="Times New Roman" w:eastAsiaTheme="minorEastAsia"/>
          <w:b/>
          <w:color w:val="auto"/>
          <w:spacing w:val="11"/>
          <w:position w:val="0"/>
          <w:sz w:val="36"/>
          <w:szCs w:val="36"/>
          <w:highlight w:val="none"/>
          <w:u w:val="none" w:color="auto"/>
          <w:lang w:val="en-US" w:eastAsia="zh-CN"/>
        </w:rPr>
      </w:pPr>
      <w:bookmarkStart w:id="11" w:name="_Toc32418"/>
      <w:r>
        <w:rPr>
          <w:rFonts w:hint="eastAsia" w:cs="Times New Roman" w:eastAsiaTheme="minorEastAsia"/>
          <w:b/>
          <w:color w:val="auto"/>
          <w:spacing w:val="11"/>
          <w:position w:val="0"/>
          <w:sz w:val="36"/>
          <w:szCs w:val="36"/>
          <w:highlight w:val="none"/>
          <w:u w:val="none" w:color="auto"/>
          <w:lang w:val="en-US" w:eastAsia="zh-CN"/>
        </w:rPr>
        <w:t>六、</w:t>
      </w:r>
      <w:r>
        <w:rPr>
          <w:rFonts w:hint="default" w:ascii="Times New Roman" w:hAnsi="Times New Roman" w:cs="Times New Roman" w:eastAsiaTheme="minorEastAsia"/>
          <w:b/>
          <w:color w:val="auto"/>
          <w:spacing w:val="11"/>
          <w:position w:val="0"/>
          <w:sz w:val="36"/>
          <w:szCs w:val="36"/>
          <w:highlight w:val="none"/>
          <w:u w:val="none" w:color="auto"/>
          <w:lang w:val="en-US" w:eastAsia="zh-CN"/>
        </w:rPr>
        <w:t>结论</w:t>
      </w:r>
      <w:bookmarkEnd w:id="11"/>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968"/>
      </w:tblGrid>
      <w:tr w14:paraId="1AB241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tcBorders>
              <w:tl2br w:val="nil"/>
              <w:tr2bl w:val="nil"/>
            </w:tcBorders>
          </w:tcPr>
          <w:p w14:paraId="58414C72">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textAlignment w:val="auto"/>
              <w:rPr>
                <w:rFonts w:hint="eastAsia"/>
                <w:color w:val="auto"/>
                <w:spacing w:val="11"/>
                <w:position w:val="0"/>
                <w:szCs w:val="22"/>
                <w:highlight w:val="none"/>
              </w:rPr>
            </w:pPr>
            <w:r>
              <w:rPr>
                <w:color w:val="auto"/>
                <w:spacing w:val="11"/>
                <w:position w:val="0"/>
                <w:szCs w:val="22"/>
                <w:highlight w:val="none"/>
              </w:rPr>
              <w:t>综上所述，本项目符合国家产业政策，选址合理</w:t>
            </w:r>
            <w:r>
              <w:rPr>
                <w:rFonts w:hint="eastAsia"/>
                <w:color w:val="auto"/>
                <w:spacing w:val="11"/>
                <w:position w:val="0"/>
                <w:szCs w:val="22"/>
                <w:highlight w:val="none"/>
              </w:rPr>
              <w:t>，</w:t>
            </w:r>
            <w:r>
              <w:rPr>
                <w:color w:val="auto"/>
                <w:spacing w:val="11"/>
                <w:position w:val="0"/>
                <w:szCs w:val="22"/>
                <w:highlight w:val="none"/>
              </w:rPr>
              <w:t>无明显制约因素</w:t>
            </w:r>
            <w:r>
              <w:rPr>
                <w:rFonts w:hint="eastAsia"/>
                <w:color w:val="auto"/>
                <w:spacing w:val="11"/>
                <w:position w:val="0"/>
                <w:szCs w:val="22"/>
                <w:highlight w:val="none"/>
                <w:lang w:eastAsia="zh-CN"/>
              </w:rPr>
              <w:t>，</w:t>
            </w:r>
            <w:r>
              <w:rPr>
                <w:color w:val="auto"/>
                <w:spacing w:val="11"/>
                <w:position w:val="0"/>
                <w:szCs w:val="22"/>
                <w:highlight w:val="none"/>
              </w:rPr>
              <w:t>拟采取的环保措施可行</w:t>
            </w:r>
            <w:r>
              <w:rPr>
                <w:rFonts w:hint="eastAsia"/>
                <w:color w:val="auto"/>
                <w:spacing w:val="11"/>
                <w:position w:val="0"/>
                <w:szCs w:val="22"/>
                <w:highlight w:val="none"/>
                <w:lang w:eastAsia="zh-CN"/>
              </w:rPr>
              <w:t>，</w:t>
            </w:r>
            <w:r>
              <w:rPr>
                <w:color w:val="auto"/>
                <w:spacing w:val="11"/>
                <w:position w:val="0"/>
                <w:szCs w:val="22"/>
                <w:highlight w:val="none"/>
              </w:rPr>
              <w:t>废水、废气、噪声可达标排放，固废可妥善处置，环境风险可控，并将产生较好的社会效益和经济效益。因此，从环境保护角度而言，该项目的建设可行</w:t>
            </w:r>
            <w:r>
              <w:rPr>
                <w:rFonts w:hint="eastAsia"/>
                <w:color w:val="auto"/>
                <w:spacing w:val="11"/>
                <w:position w:val="0"/>
                <w:szCs w:val="22"/>
                <w:highlight w:val="none"/>
              </w:rPr>
              <w:t>。</w:t>
            </w:r>
          </w:p>
          <w:p w14:paraId="57214C4E">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69CD70B4">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6AA04FA3">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246805CA">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633ED5B5">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4DAC358B">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616CFAE2">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6B103BEF">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5953AD1B">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6575AAE8">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0262558E">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40C78699">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3C5B49E5">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2E688E41">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6190DD1F">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2202BBC4">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75F592DE">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0F4BBB91">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3CC3A3FE">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0C12E78C">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68FCC320">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37086AE0">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6DF01D8D">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3A5EB61E">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79D9D3C4">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6F7C3C7B">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14:paraId="6956158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olor w:val="auto"/>
                <w:spacing w:val="11"/>
                <w:position w:val="0"/>
                <w:szCs w:val="22"/>
                <w:highlight w:val="none"/>
                <w:lang w:val="en-US" w:eastAsia="zh-CN"/>
              </w:rPr>
            </w:pPr>
          </w:p>
          <w:p w14:paraId="5C97C41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eastAsia="宋体" w:cs="Times New Roman"/>
                <w:color w:val="auto"/>
                <w:spacing w:val="11"/>
                <w:position w:val="0"/>
                <w:highlight w:val="none"/>
                <w:u w:val="none" w:color="auto"/>
                <w:lang w:val="en-US" w:eastAsia="zh-CN"/>
              </w:rPr>
            </w:pPr>
            <w:r>
              <w:rPr>
                <w:rFonts w:hint="eastAsia"/>
                <w:color w:val="auto"/>
                <w:spacing w:val="11"/>
                <w:position w:val="0"/>
                <w:szCs w:val="22"/>
                <w:highlight w:val="none"/>
                <w:lang w:val="en-US" w:eastAsia="zh-CN"/>
              </w:rPr>
              <w:t xml:space="preserve"> </w:t>
            </w:r>
          </w:p>
        </w:tc>
      </w:tr>
    </w:tbl>
    <w:p w14:paraId="31C31841">
      <w:pPr>
        <w:pStyle w:val="19"/>
        <w:numPr>
          <w:ilvl w:val="0"/>
          <w:numId w:val="0"/>
        </w:numPr>
        <w:rPr>
          <w:rFonts w:hint="default" w:ascii="Times New Roman" w:hAnsi="Times New Roman" w:cs="Times New Roman" w:eastAsiaTheme="minorEastAsia"/>
          <w:color w:val="auto"/>
          <w:spacing w:val="11"/>
          <w:position w:val="0"/>
          <w:highlight w:val="none"/>
          <w:u w:val="none" w:color="auto"/>
          <w:lang w:val="en-US" w:eastAsia="zh-CN"/>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438AC9AB">
      <w:pPr>
        <w:pStyle w:val="21"/>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textAlignment w:val="auto"/>
        <w:outlineLvl w:val="0"/>
        <w:rPr>
          <w:rFonts w:hint="default" w:ascii="Times New Roman" w:hAnsi="Times New Roman" w:cs="Times New Roman" w:eastAsiaTheme="minorEastAsia"/>
          <w:b/>
          <w:bCs/>
          <w:snapToGrid w:val="0"/>
          <w:color w:val="auto"/>
          <w:spacing w:val="11"/>
          <w:position w:val="0"/>
          <w:sz w:val="32"/>
          <w:szCs w:val="32"/>
          <w:highlight w:val="none"/>
          <w:u w:val="none" w:color="auto"/>
        </w:rPr>
      </w:pPr>
      <w:bookmarkStart w:id="12" w:name="_Toc21672"/>
      <w:r>
        <w:rPr>
          <w:rFonts w:hint="default" w:ascii="Times New Roman" w:hAnsi="Times New Roman" w:cs="Times New Roman" w:eastAsiaTheme="minorEastAsia"/>
          <w:b/>
          <w:bCs/>
          <w:snapToGrid w:val="0"/>
          <w:color w:val="auto"/>
          <w:spacing w:val="11"/>
          <w:position w:val="0"/>
          <w:sz w:val="32"/>
          <w:szCs w:val="32"/>
          <w:highlight w:val="none"/>
          <w:u w:val="none" w:color="auto"/>
        </w:rPr>
        <w:t>附表</w:t>
      </w:r>
      <w:bookmarkEnd w:id="12"/>
    </w:p>
    <w:p w14:paraId="75712D0C">
      <w:pPr>
        <w:bidi w:val="0"/>
        <w:spacing w:line="240" w:lineRule="auto"/>
        <w:ind w:left="0" w:leftChars="0" w:firstLine="0" w:firstLineChars="0"/>
        <w:jc w:val="center"/>
        <w:rPr>
          <w:rFonts w:hint="default" w:ascii="Times New Roman" w:hAnsi="Times New Roman" w:cs="Times New Roman" w:eastAsiaTheme="minorEastAsia"/>
          <w:b/>
          <w:bCs/>
          <w:color w:val="auto"/>
          <w:spacing w:val="11"/>
          <w:position w:val="0"/>
          <w:sz w:val="32"/>
          <w:szCs w:val="32"/>
          <w:highlight w:val="none"/>
          <w:u w:val="none" w:color="auto"/>
        </w:rPr>
      </w:pPr>
      <w:r>
        <w:rPr>
          <w:rFonts w:hint="default" w:ascii="Times New Roman" w:hAnsi="Times New Roman" w:cs="Times New Roman" w:eastAsiaTheme="minorEastAsia"/>
          <w:b/>
          <w:bCs/>
          <w:color w:val="auto"/>
          <w:spacing w:val="11"/>
          <w:position w:val="0"/>
          <w:sz w:val="32"/>
          <w:szCs w:val="32"/>
          <w:highlight w:val="none"/>
          <w:u w:val="none" w:color="auto"/>
        </w:rPr>
        <w:t>建设项目污染物排放量汇总表</w:t>
      </w:r>
    </w:p>
    <w:tbl>
      <w:tblPr>
        <w:tblStyle w:val="24"/>
        <w:tblW w:w="4992"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1432"/>
        <w:gridCol w:w="1456"/>
        <w:gridCol w:w="1503"/>
        <w:gridCol w:w="1299"/>
        <w:gridCol w:w="1958"/>
        <w:gridCol w:w="1365"/>
        <w:gridCol w:w="2010"/>
        <w:gridCol w:w="2152"/>
      </w:tblGrid>
      <w:tr w14:paraId="6902BB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489" w:type="pct"/>
            <w:tcBorders>
              <w:tl2br w:val="nil"/>
              <w:tr2bl w:val="nil"/>
            </w:tcBorders>
            <w:noWrap w:val="0"/>
            <w:tcMar>
              <w:left w:w="28" w:type="dxa"/>
              <w:right w:w="28" w:type="dxa"/>
            </w:tcMar>
            <w:vAlign w:val="center"/>
            <mc:AlternateContent>
              <mc:Choice Requires="wpsCustomData">
                <wpsCustomData:diagonals>
                  <wpsCustomData:diagonal from="10000" to="30000">
                    <wpsCustomData:border w:val="single" w:color="auto" w:sz="12" w:space="0"/>
                  </wpsCustomData:diagonal>
                </wpsCustomData:diagonals>
              </mc:Choice>
            </mc:AlternateContent>
          </w:tcPr>
          <w:p w14:paraId="719EA15D">
            <w:pPr>
              <w:pStyle w:val="63"/>
              <w:bidi w:val="0"/>
              <w:rPr>
                <w:rFonts w:hint="default"/>
                <w:color w:val="auto"/>
                <w:spacing w:val="11"/>
                <w:position w:val="0"/>
                <w:sz w:val="24"/>
                <w:szCs w:val="24"/>
                <w:highlight w:val="none"/>
              </w:rPr>
            </w:pPr>
          </w:p>
          <w:p w14:paraId="2038F583">
            <w:pPr>
              <w:pStyle w:val="63"/>
              <w:bidi w:val="0"/>
              <w:snapToGrid w:val="0"/>
              <w:spacing w:line="240" w:lineRule="auto"/>
              <w:rPr>
                <w:rFonts w:hint="default"/>
                <w:color w:val="auto"/>
                <w:spacing w:val="11"/>
                <w:position w:val="0"/>
                <w:sz w:val="24"/>
                <w:szCs w:val="24"/>
                <w:highlight w:val="none"/>
              </w:rPr>
            </w:pPr>
          </w:p>
          <w:p w14:paraId="69FE2C97">
            <w:pPr>
              <w:pStyle w:val="63"/>
              <w:bidi w:val="0"/>
              <w:snapToGrid w:val="0"/>
              <w:spacing w:line="240" w:lineRule="auto"/>
              <mc:AlternateContent>
                <mc:Choice Requires="wpsCustomData">
                  <wpsCustomData:diagonalParaType/>
                </mc:Choice>
              </mc:AlternateContent>
              <w:rPr>
                <w:rFonts w:hint="default"/>
                <w:color w:val="auto"/>
                <w:spacing w:val="11"/>
                <w:position w:val="0"/>
                <w:sz w:val="24"/>
                <w:szCs w:val="24"/>
                <w:highlight w:val="none"/>
              </w:rPr>
            </w:pPr>
            <w:r>
              <w:rPr>
                <w:rFonts w:hint="default"/>
                <w:color w:val="auto"/>
                <w:spacing w:val="11"/>
                <w:position w:val="0"/>
                <w:sz w:val="24"/>
                <w:szCs w:val="24"/>
                <w:highlight w:val="none"/>
              </w:rPr>
              <w:t>分类</w:t>
            </w:r>
          </w:p>
          <w:p w14:paraId="674DE2E4">
            <w:pPr>
              <w:pStyle w:val="63"/>
              <w:bidi w:val="0"/>
              <w:rPr>
                <w:rFonts w:hint="default"/>
                <w:color w:val="auto"/>
                <w:spacing w:val="11"/>
                <w:position w:val="0"/>
                <w:sz w:val="24"/>
                <w:szCs w:val="24"/>
                <w:highlight w:val="none"/>
              </w:rPr>
            </w:pPr>
          </w:p>
          <w:p w14:paraId="27663E97">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项目</w:t>
            </w:r>
          </w:p>
        </w:tc>
        <w:tc>
          <w:tcPr>
            <w:tcW w:w="490" w:type="pct"/>
            <w:tcBorders>
              <w:tl2br w:val="nil"/>
              <w:tr2bl w:val="nil"/>
            </w:tcBorders>
            <w:noWrap w:val="0"/>
            <w:tcMar>
              <w:left w:w="28" w:type="dxa"/>
              <w:right w:w="28" w:type="dxa"/>
            </w:tcMar>
            <w:vAlign w:val="center"/>
          </w:tcPr>
          <w:p w14:paraId="2477E635">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污染物名称</w:t>
            </w:r>
          </w:p>
        </w:tc>
        <w:tc>
          <w:tcPr>
            <w:tcW w:w="498" w:type="pct"/>
            <w:tcBorders>
              <w:tl2br w:val="nil"/>
              <w:tr2bl w:val="nil"/>
            </w:tcBorders>
            <w:noWrap w:val="0"/>
            <w:tcMar>
              <w:left w:w="28" w:type="dxa"/>
              <w:right w:w="28" w:type="dxa"/>
            </w:tcMar>
            <w:vAlign w:val="center"/>
          </w:tcPr>
          <w:p w14:paraId="6DD181C6">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现有工程排放量（固体废物产生量）</w:t>
            </w: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1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①</w:t>
            </w:r>
            <w:r>
              <w:rPr>
                <w:rFonts w:hint="default"/>
                <w:color w:val="auto"/>
                <w:spacing w:val="11"/>
                <w:position w:val="0"/>
                <w:sz w:val="24"/>
                <w:szCs w:val="24"/>
                <w:highlight w:val="none"/>
              </w:rPr>
              <w:fldChar w:fldCharType="end"/>
            </w:r>
          </w:p>
        </w:tc>
        <w:tc>
          <w:tcPr>
            <w:tcW w:w="514" w:type="pct"/>
            <w:tcBorders>
              <w:tl2br w:val="nil"/>
              <w:tr2bl w:val="nil"/>
            </w:tcBorders>
            <w:noWrap w:val="0"/>
            <w:tcMar>
              <w:left w:w="28" w:type="dxa"/>
              <w:right w:w="28" w:type="dxa"/>
            </w:tcMar>
            <w:vAlign w:val="center"/>
          </w:tcPr>
          <w:p w14:paraId="2FB9F704">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现有工程许可排放量</w:t>
            </w: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2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②</w:t>
            </w:r>
            <w:r>
              <w:rPr>
                <w:rFonts w:hint="default"/>
                <w:color w:val="auto"/>
                <w:spacing w:val="11"/>
                <w:position w:val="0"/>
                <w:sz w:val="24"/>
                <w:szCs w:val="24"/>
                <w:highlight w:val="none"/>
              </w:rPr>
              <w:fldChar w:fldCharType="end"/>
            </w:r>
          </w:p>
        </w:tc>
        <w:tc>
          <w:tcPr>
            <w:tcW w:w="444" w:type="pct"/>
            <w:tcBorders>
              <w:tl2br w:val="nil"/>
              <w:tr2bl w:val="nil"/>
            </w:tcBorders>
            <w:noWrap w:val="0"/>
            <w:tcMar>
              <w:left w:w="28" w:type="dxa"/>
              <w:right w:w="28" w:type="dxa"/>
            </w:tcMar>
            <w:vAlign w:val="center"/>
          </w:tcPr>
          <w:p w14:paraId="22152877">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在建工程排放量（固体废物产生量）</w:t>
            </w: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3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③</w:t>
            </w:r>
            <w:r>
              <w:rPr>
                <w:rFonts w:hint="default"/>
                <w:color w:val="auto"/>
                <w:spacing w:val="11"/>
                <w:position w:val="0"/>
                <w:sz w:val="24"/>
                <w:szCs w:val="24"/>
                <w:highlight w:val="none"/>
              </w:rPr>
              <w:fldChar w:fldCharType="end"/>
            </w:r>
          </w:p>
        </w:tc>
        <w:tc>
          <w:tcPr>
            <w:tcW w:w="670" w:type="pct"/>
            <w:tcBorders>
              <w:tl2br w:val="nil"/>
              <w:tr2bl w:val="nil"/>
            </w:tcBorders>
            <w:noWrap w:val="0"/>
            <w:tcMar>
              <w:left w:w="28" w:type="dxa"/>
              <w:right w:w="28" w:type="dxa"/>
            </w:tcMar>
            <w:vAlign w:val="center"/>
          </w:tcPr>
          <w:p w14:paraId="3FE9907F">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本项目排放量（固体废物产生量）</w:t>
            </w: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4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④</w:t>
            </w:r>
            <w:r>
              <w:rPr>
                <w:rFonts w:hint="default"/>
                <w:color w:val="auto"/>
                <w:spacing w:val="11"/>
                <w:position w:val="0"/>
                <w:sz w:val="24"/>
                <w:szCs w:val="24"/>
                <w:highlight w:val="none"/>
              </w:rPr>
              <w:fldChar w:fldCharType="end"/>
            </w:r>
          </w:p>
        </w:tc>
        <w:tc>
          <w:tcPr>
            <w:tcW w:w="467" w:type="pct"/>
            <w:tcBorders>
              <w:tl2br w:val="nil"/>
              <w:tr2bl w:val="nil"/>
            </w:tcBorders>
            <w:noWrap w:val="0"/>
            <w:tcMar>
              <w:left w:w="28" w:type="dxa"/>
              <w:right w:w="28" w:type="dxa"/>
            </w:tcMar>
            <w:vAlign w:val="center"/>
          </w:tcPr>
          <w:p w14:paraId="253EFACC">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以新带老削减量（新建项目不填）</w:t>
            </w: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5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⑤</w:t>
            </w:r>
            <w:r>
              <w:rPr>
                <w:rFonts w:hint="default"/>
                <w:color w:val="auto"/>
                <w:spacing w:val="11"/>
                <w:position w:val="0"/>
                <w:sz w:val="24"/>
                <w:szCs w:val="24"/>
                <w:highlight w:val="none"/>
              </w:rPr>
              <w:fldChar w:fldCharType="end"/>
            </w:r>
          </w:p>
        </w:tc>
        <w:tc>
          <w:tcPr>
            <w:tcW w:w="688" w:type="pct"/>
            <w:tcBorders>
              <w:tl2br w:val="nil"/>
              <w:tr2bl w:val="nil"/>
            </w:tcBorders>
            <w:noWrap w:val="0"/>
            <w:tcMar>
              <w:left w:w="28" w:type="dxa"/>
              <w:right w:w="28" w:type="dxa"/>
            </w:tcMar>
            <w:vAlign w:val="center"/>
          </w:tcPr>
          <w:p w14:paraId="28CBDB41">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本项目建成后全厂排放量（固体废物产生量）</w:t>
            </w: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6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⑥</w:t>
            </w:r>
            <w:r>
              <w:rPr>
                <w:rFonts w:hint="default"/>
                <w:color w:val="auto"/>
                <w:spacing w:val="11"/>
                <w:position w:val="0"/>
                <w:sz w:val="24"/>
                <w:szCs w:val="24"/>
                <w:highlight w:val="none"/>
              </w:rPr>
              <w:fldChar w:fldCharType="end"/>
            </w:r>
          </w:p>
        </w:tc>
        <w:tc>
          <w:tcPr>
            <w:tcW w:w="736" w:type="pct"/>
            <w:tcBorders>
              <w:tl2br w:val="nil"/>
              <w:tr2bl w:val="nil"/>
            </w:tcBorders>
            <w:noWrap w:val="0"/>
            <w:tcMar>
              <w:left w:w="28" w:type="dxa"/>
              <w:right w:w="28" w:type="dxa"/>
            </w:tcMar>
            <w:vAlign w:val="center"/>
          </w:tcPr>
          <w:p w14:paraId="400B4DF8">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变化量</w:t>
            </w:r>
          </w:p>
          <w:p w14:paraId="67FE9275">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7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⑦</w:t>
            </w:r>
            <w:r>
              <w:rPr>
                <w:rFonts w:hint="default"/>
                <w:color w:val="auto"/>
                <w:spacing w:val="11"/>
                <w:position w:val="0"/>
                <w:sz w:val="24"/>
                <w:szCs w:val="24"/>
                <w:highlight w:val="none"/>
              </w:rPr>
              <w:fldChar w:fldCharType="end"/>
            </w:r>
          </w:p>
        </w:tc>
      </w:tr>
      <w:tr w14:paraId="377024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89" w:type="pct"/>
            <w:vMerge w:val="restart"/>
            <w:tcBorders>
              <w:tl2br w:val="nil"/>
              <w:tr2bl w:val="nil"/>
            </w:tcBorders>
            <w:noWrap w:val="0"/>
            <w:vAlign w:val="center"/>
          </w:tcPr>
          <w:p w14:paraId="4327310A">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废气</w:t>
            </w:r>
          </w:p>
        </w:tc>
        <w:tc>
          <w:tcPr>
            <w:tcW w:w="490" w:type="pct"/>
            <w:tcBorders>
              <w:tl2br w:val="nil"/>
              <w:tr2bl w:val="nil"/>
            </w:tcBorders>
            <w:noWrap w:val="0"/>
            <w:vAlign w:val="center"/>
          </w:tcPr>
          <w:p w14:paraId="04B35C0F">
            <w:pPr>
              <w:pStyle w:val="63"/>
              <w:bidi w:val="0"/>
              <w:rPr>
                <w:rFonts w:hint="default"/>
                <w:color w:val="auto"/>
                <w:spacing w:val="11"/>
                <w:position w:val="0"/>
                <w:sz w:val="24"/>
                <w:szCs w:val="24"/>
                <w:highlight w:val="none"/>
                <w:lang w:val="en-US" w:eastAsia="zh-CN"/>
              </w:rPr>
            </w:pPr>
            <w:r>
              <w:rPr>
                <w:rFonts w:hint="eastAsia"/>
                <w:color w:val="auto"/>
                <w:spacing w:val="11"/>
                <w:position w:val="0"/>
                <w:sz w:val="24"/>
                <w:szCs w:val="24"/>
                <w:highlight w:val="none"/>
                <w:lang w:val="en-US" w:eastAsia="zh-CN"/>
              </w:rPr>
              <w:t>颗粒物</w:t>
            </w:r>
          </w:p>
        </w:tc>
        <w:tc>
          <w:tcPr>
            <w:tcW w:w="498" w:type="pct"/>
            <w:tcBorders>
              <w:tl2br w:val="nil"/>
              <w:tr2bl w:val="nil"/>
            </w:tcBorders>
            <w:noWrap w:val="0"/>
            <w:vAlign w:val="center"/>
          </w:tcPr>
          <w:p w14:paraId="6B8BDB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514" w:type="pct"/>
            <w:tcBorders>
              <w:tl2br w:val="nil"/>
              <w:tr2bl w:val="nil"/>
            </w:tcBorders>
            <w:noWrap w:val="0"/>
            <w:vAlign w:val="center"/>
          </w:tcPr>
          <w:p w14:paraId="2749E0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444" w:type="pct"/>
            <w:tcBorders>
              <w:tl2br w:val="nil"/>
              <w:tr2bl w:val="nil"/>
            </w:tcBorders>
            <w:noWrap w:val="0"/>
            <w:vAlign w:val="center"/>
          </w:tcPr>
          <w:p w14:paraId="7F487C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670" w:type="pct"/>
            <w:tcBorders>
              <w:tl2br w:val="nil"/>
              <w:tr2bl w:val="nil"/>
            </w:tcBorders>
            <w:noWrap w:val="0"/>
            <w:vAlign w:val="center"/>
          </w:tcPr>
          <w:p w14:paraId="7A7C41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eastAsia"/>
                <w:color w:val="auto"/>
                <w:spacing w:val="11"/>
                <w:position w:val="0"/>
                <w:sz w:val="24"/>
                <w:szCs w:val="24"/>
                <w:highlight w:val="none"/>
                <w:lang w:val="en-US" w:eastAsia="zh-CN"/>
              </w:rPr>
              <w:t>/</w:t>
            </w:r>
          </w:p>
        </w:tc>
        <w:tc>
          <w:tcPr>
            <w:tcW w:w="467" w:type="pct"/>
            <w:tcBorders>
              <w:tl2br w:val="nil"/>
              <w:tr2bl w:val="nil"/>
            </w:tcBorders>
            <w:noWrap w:val="0"/>
            <w:vAlign w:val="center"/>
          </w:tcPr>
          <w:p w14:paraId="474B18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rPr>
            </w:pPr>
            <w:r>
              <w:rPr>
                <w:rFonts w:hint="default"/>
                <w:color w:val="auto"/>
                <w:spacing w:val="11"/>
                <w:position w:val="0"/>
                <w:sz w:val="24"/>
                <w:szCs w:val="24"/>
                <w:highlight w:val="none"/>
                <w:lang w:val="en-US" w:eastAsia="zh-CN"/>
              </w:rPr>
              <w:t>/</w:t>
            </w:r>
          </w:p>
        </w:tc>
        <w:tc>
          <w:tcPr>
            <w:tcW w:w="688" w:type="pct"/>
            <w:tcBorders>
              <w:tl2br w:val="nil"/>
              <w:tr2bl w:val="nil"/>
            </w:tcBorders>
            <w:shd w:val="clear" w:color="auto" w:fill="auto"/>
            <w:noWrap w:val="0"/>
            <w:vAlign w:val="center"/>
          </w:tcPr>
          <w:p w14:paraId="2EF467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eastAsia"/>
                <w:color w:val="auto"/>
                <w:spacing w:val="11"/>
                <w:position w:val="0"/>
                <w:sz w:val="24"/>
                <w:szCs w:val="24"/>
                <w:highlight w:val="none"/>
                <w:lang w:val="en-US" w:eastAsia="zh-CN"/>
              </w:rPr>
              <w:t>/</w:t>
            </w:r>
          </w:p>
        </w:tc>
        <w:tc>
          <w:tcPr>
            <w:tcW w:w="736" w:type="pct"/>
            <w:tcBorders>
              <w:tl2br w:val="nil"/>
              <w:tr2bl w:val="nil"/>
            </w:tcBorders>
            <w:noWrap w:val="0"/>
            <w:vAlign w:val="center"/>
          </w:tcPr>
          <w:p w14:paraId="662B15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r>
      <w:tr w14:paraId="6AF5CA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14:paraId="7A676888">
            <w:pPr>
              <w:pStyle w:val="63"/>
              <w:bidi w:val="0"/>
              <w:rPr>
                <w:rFonts w:hint="default"/>
                <w:color w:val="auto"/>
                <w:spacing w:val="11"/>
                <w:position w:val="0"/>
                <w:sz w:val="24"/>
                <w:szCs w:val="24"/>
                <w:highlight w:val="none"/>
              </w:rPr>
            </w:pPr>
          </w:p>
        </w:tc>
        <w:tc>
          <w:tcPr>
            <w:tcW w:w="490" w:type="pct"/>
            <w:tcBorders>
              <w:tl2br w:val="nil"/>
              <w:tr2bl w:val="nil"/>
            </w:tcBorders>
            <w:noWrap w:val="0"/>
            <w:vAlign w:val="center"/>
          </w:tcPr>
          <w:p w14:paraId="7ACD7512">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SO</w:t>
            </w:r>
            <w:r>
              <w:rPr>
                <w:rFonts w:hint="default"/>
                <w:color w:val="auto"/>
                <w:spacing w:val="11"/>
                <w:position w:val="0"/>
                <w:sz w:val="24"/>
                <w:szCs w:val="24"/>
                <w:highlight w:val="none"/>
                <w:vertAlign w:val="subscript"/>
                <w:lang w:val="en-US" w:eastAsia="zh-CN"/>
              </w:rPr>
              <w:t>2</w:t>
            </w:r>
          </w:p>
        </w:tc>
        <w:tc>
          <w:tcPr>
            <w:tcW w:w="498" w:type="pct"/>
            <w:tcBorders>
              <w:tl2br w:val="nil"/>
              <w:tr2bl w:val="nil"/>
            </w:tcBorders>
            <w:noWrap w:val="0"/>
            <w:vAlign w:val="center"/>
          </w:tcPr>
          <w:p w14:paraId="54CD49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514" w:type="pct"/>
            <w:tcBorders>
              <w:tl2br w:val="nil"/>
              <w:tr2bl w:val="nil"/>
            </w:tcBorders>
            <w:noWrap w:val="0"/>
            <w:vAlign w:val="center"/>
          </w:tcPr>
          <w:p w14:paraId="64170F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444" w:type="pct"/>
            <w:tcBorders>
              <w:tl2br w:val="nil"/>
              <w:tr2bl w:val="nil"/>
            </w:tcBorders>
            <w:noWrap w:val="0"/>
            <w:vAlign w:val="center"/>
          </w:tcPr>
          <w:p w14:paraId="654BA5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670" w:type="pct"/>
            <w:tcBorders>
              <w:tl2br w:val="nil"/>
              <w:tr2bl w:val="nil"/>
            </w:tcBorders>
            <w:noWrap w:val="0"/>
            <w:vAlign w:val="center"/>
          </w:tcPr>
          <w:p w14:paraId="67180C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467" w:type="pct"/>
            <w:tcBorders>
              <w:tl2br w:val="nil"/>
              <w:tr2bl w:val="nil"/>
            </w:tcBorders>
            <w:noWrap w:val="0"/>
            <w:vAlign w:val="center"/>
          </w:tcPr>
          <w:p w14:paraId="663DF3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88" w:type="pct"/>
            <w:tcBorders>
              <w:tl2br w:val="nil"/>
              <w:tr2bl w:val="nil"/>
            </w:tcBorders>
            <w:shd w:val="clear" w:color="auto" w:fill="auto"/>
            <w:noWrap w:val="0"/>
            <w:vAlign w:val="center"/>
          </w:tcPr>
          <w:p w14:paraId="272354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ascii="Times New Roman" w:hAnsi="Times New Roman" w:eastAsia="宋体" w:cs="Times New Roman"/>
                <w:color w:val="auto"/>
                <w:spacing w:val="11"/>
                <w:position w:val="0"/>
                <w:sz w:val="24"/>
                <w:szCs w:val="24"/>
                <w:highlight w:val="none"/>
                <w:lang w:val="en-US" w:eastAsia="zh-CN"/>
              </w:rPr>
              <w:t>/</w:t>
            </w:r>
          </w:p>
        </w:tc>
        <w:tc>
          <w:tcPr>
            <w:tcW w:w="736" w:type="pct"/>
            <w:tcBorders>
              <w:tl2br w:val="nil"/>
              <w:tr2bl w:val="nil"/>
            </w:tcBorders>
            <w:noWrap w:val="0"/>
            <w:vAlign w:val="center"/>
          </w:tcPr>
          <w:p w14:paraId="37D0CF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r>
      <w:tr w14:paraId="5989C8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14:paraId="4206A64E">
            <w:pPr>
              <w:pStyle w:val="63"/>
              <w:bidi w:val="0"/>
              <w:rPr>
                <w:rFonts w:hint="default"/>
                <w:color w:val="auto"/>
                <w:spacing w:val="11"/>
                <w:position w:val="0"/>
                <w:sz w:val="24"/>
                <w:szCs w:val="24"/>
                <w:highlight w:val="none"/>
              </w:rPr>
            </w:pPr>
          </w:p>
        </w:tc>
        <w:tc>
          <w:tcPr>
            <w:tcW w:w="490" w:type="pct"/>
            <w:tcBorders>
              <w:tl2br w:val="nil"/>
              <w:tr2bl w:val="nil"/>
            </w:tcBorders>
            <w:noWrap w:val="0"/>
            <w:vAlign w:val="center"/>
          </w:tcPr>
          <w:p w14:paraId="3A4DEC98">
            <w:pPr>
              <w:pStyle w:val="63"/>
              <w:bidi w:val="0"/>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NO</w:t>
            </w:r>
            <w:r>
              <w:rPr>
                <w:rFonts w:hint="default"/>
                <w:color w:val="auto"/>
                <w:spacing w:val="11"/>
                <w:position w:val="0"/>
                <w:sz w:val="24"/>
                <w:szCs w:val="24"/>
                <w:highlight w:val="none"/>
                <w:vertAlign w:val="subscript"/>
                <w:lang w:val="en-US" w:eastAsia="zh-CN"/>
              </w:rPr>
              <w:t>X</w:t>
            </w:r>
          </w:p>
        </w:tc>
        <w:tc>
          <w:tcPr>
            <w:tcW w:w="498" w:type="pct"/>
            <w:tcBorders>
              <w:tl2br w:val="nil"/>
              <w:tr2bl w:val="nil"/>
            </w:tcBorders>
            <w:noWrap w:val="0"/>
            <w:vAlign w:val="center"/>
          </w:tcPr>
          <w:p w14:paraId="624075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514" w:type="pct"/>
            <w:tcBorders>
              <w:tl2br w:val="nil"/>
              <w:tr2bl w:val="nil"/>
            </w:tcBorders>
            <w:noWrap w:val="0"/>
            <w:vAlign w:val="center"/>
          </w:tcPr>
          <w:p w14:paraId="5663DC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444" w:type="pct"/>
            <w:tcBorders>
              <w:tl2br w:val="nil"/>
              <w:tr2bl w:val="nil"/>
            </w:tcBorders>
            <w:noWrap w:val="0"/>
            <w:vAlign w:val="center"/>
          </w:tcPr>
          <w:p w14:paraId="4A7E9D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670" w:type="pct"/>
            <w:tcBorders>
              <w:tl2br w:val="nil"/>
              <w:tr2bl w:val="nil"/>
            </w:tcBorders>
            <w:noWrap w:val="0"/>
            <w:vAlign w:val="center"/>
          </w:tcPr>
          <w:p w14:paraId="003943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467" w:type="pct"/>
            <w:tcBorders>
              <w:tl2br w:val="nil"/>
              <w:tr2bl w:val="nil"/>
            </w:tcBorders>
            <w:noWrap w:val="0"/>
            <w:vAlign w:val="center"/>
          </w:tcPr>
          <w:p w14:paraId="1D520E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88" w:type="pct"/>
            <w:tcBorders>
              <w:tl2br w:val="nil"/>
              <w:tr2bl w:val="nil"/>
            </w:tcBorders>
            <w:shd w:val="clear" w:color="auto" w:fill="auto"/>
            <w:noWrap w:val="0"/>
            <w:vAlign w:val="center"/>
          </w:tcPr>
          <w:p w14:paraId="4B83D0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ascii="Times New Roman" w:hAnsi="Times New Roman" w:eastAsia="宋体" w:cs="Times New Roman"/>
                <w:color w:val="auto"/>
                <w:spacing w:val="11"/>
                <w:position w:val="0"/>
                <w:sz w:val="24"/>
                <w:szCs w:val="24"/>
                <w:highlight w:val="none"/>
                <w:lang w:val="en-US" w:eastAsia="zh-CN"/>
              </w:rPr>
              <w:t>/</w:t>
            </w:r>
          </w:p>
        </w:tc>
        <w:tc>
          <w:tcPr>
            <w:tcW w:w="736" w:type="pct"/>
            <w:tcBorders>
              <w:tl2br w:val="nil"/>
              <w:tr2bl w:val="nil"/>
            </w:tcBorders>
            <w:noWrap w:val="0"/>
            <w:vAlign w:val="center"/>
          </w:tcPr>
          <w:p w14:paraId="50A064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r>
      <w:tr w14:paraId="52F1B3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restart"/>
            <w:tcBorders>
              <w:tl2br w:val="nil"/>
              <w:tr2bl w:val="nil"/>
            </w:tcBorders>
            <w:noWrap w:val="0"/>
            <w:vAlign w:val="center"/>
          </w:tcPr>
          <w:p w14:paraId="46AB293D">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废水</w:t>
            </w:r>
          </w:p>
        </w:tc>
        <w:tc>
          <w:tcPr>
            <w:tcW w:w="490" w:type="pct"/>
            <w:tcBorders>
              <w:tl2br w:val="nil"/>
              <w:tr2bl w:val="nil"/>
            </w:tcBorders>
            <w:noWrap w:val="0"/>
            <w:vAlign w:val="center"/>
          </w:tcPr>
          <w:p w14:paraId="4684DBB1">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水量</w:t>
            </w:r>
          </w:p>
        </w:tc>
        <w:tc>
          <w:tcPr>
            <w:tcW w:w="498" w:type="pct"/>
            <w:tcBorders>
              <w:tl2br w:val="nil"/>
              <w:tr2bl w:val="nil"/>
            </w:tcBorders>
            <w:noWrap w:val="0"/>
            <w:vAlign w:val="center"/>
          </w:tcPr>
          <w:p w14:paraId="551E0A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43800m</w:t>
            </w:r>
            <w:r>
              <w:rPr>
                <w:rFonts w:hint="default"/>
                <w:color w:val="auto"/>
                <w:spacing w:val="11"/>
                <w:position w:val="0"/>
                <w:sz w:val="24"/>
                <w:szCs w:val="24"/>
                <w:highlight w:val="none"/>
                <w:vertAlign w:val="superscript"/>
                <w:lang w:val="en-US" w:eastAsia="zh-CN"/>
              </w:rPr>
              <w:t>3</w:t>
            </w:r>
            <w:r>
              <w:rPr>
                <w:rFonts w:hint="default"/>
                <w:color w:val="auto"/>
                <w:spacing w:val="11"/>
                <w:position w:val="0"/>
                <w:sz w:val="24"/>
                <w:szCs w:val="24"/>
                <w:highlight w:val="none"/>
                <w:lang w:val="en-US" w:eastAsia="zh-CN"/>
              </w:rPr>
              <w:t>/a</w:t>
            </w:r>
          </w:p>
        </w:tc>
        <w:tc>
          <w:tcPr>
            <w:tcW w:w="514" w:type="pct"/>
            <w:tcBorders>
              <w:tl2br w:val="nil"/>
              <w:tr2bl w:val="nil"/>
            </w:tcBorders>
            <w:noWrap w:val="0"/>
            <w:vAlign w:val="center"/>
          </w:tcPr>
          <w:p w14:paraId="74CCE2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444" w:type="pct"/>
            <w:tcBorders>
              <w:tl2br w:val="nil"/>
              <w:tr2bl w:val="nil"/>
            </w:tcBorders>
            <w:noWrap w:val="0"/>
            <w:vAlign w:val="center"/>
          </w:tcPr>
          <w:p w14:paraId="11F087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670" w:type="pct"/>
            <w:tcBorders>
              <w:tl2br w:val="nil"/>
              <w:tr2bl w:val="nil"/>
            </w:tcBorders>
            <w:shd w:val="clear" w:color="auto" w:fill="auto"/>
            <w:noWrap w:val="0"/>
            <w:vAlign w:val="center"/>
          </w:tcPr>
          <w:p w14:paraId="444703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116867.525</w:t>
            </w: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m</w:t>
            </w:r>
            <w:r>
              <w:rPr>
                <w:rFonts w:hint="eastAsia" w:ascii="Times New Roman" w:hAnsi="Times New Roman" w:eastAsia="宋体" w:cs="Times New Roman"/>
                <w:color w:val="auto"/>
                <w:spacing w:val="11"/>
                <w:kern w:val="2"/>
                <w:position w:val="0"/>
                <w:sz w:val="24"/>
                <w:szCs w:val="24"/>
                <w:highlight w:val="none"/>
                <w:u w:val="none" w:color="auto"/>
                <w:vertAlign w:val="superscript"/>
                <w:lang w:val="en-US" w:eastAsia="zh-CN" w:bidi="ar-SA"/>
              </w:rPr>
              <w:t>3</w:t>
            </w: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/a</w:t>
            </w:r>
          </w:p>
        </w:tc>
        <w:tc>
          <w:tcPr>
            <w:tcW w:w="467" w:type="pct"/>
            <w:tcBorders>
              <w:tl2br w:val="nil"/>
              <w:tr2bl w:val="nil"/>
            </w:tcBorders>
            <w:noWrap w:val="0"/>
            <w:vAlign w:val="center"/>
          </w:tcPr>
          <w:p w14:paraId="334F5C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88" w:type="pct"/>
            <w:tcBorders>
              <w:tl2br w:val="nil"/>
              <w:tr2bl w:val="nil"/>
            </w:tcBorders>
            <w:shd w:val="clear" w:color="auto" w:fill="auto"/>
            <w:noWrap w:val="0"/>
            <w:vAlign w:val="center"/>
          </w:tcPr>
          <w:p w14:paraId="0EDDC9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160667.525</w:t>
            </w: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m</w:t>
            </w:r>
            <w:r>
              <w:rPr>
                <w:rFonts w:hint="eastAsia" w:ascii="Times New Roman" w:hAnsi="Times New Roman" w:eastAsia="宋体" w:cs="Times New Roman"/>
                <w:color w:val="auto"/>
                <w:spacing w:val="11"/>
                <w:kern w:val="2"/>
                <w:position w:val="0"/>
                <w:sz w:val="24"/>
                <w:szCs w:val="24"/>
                <w:highlight w:val="none"/>
                <w:u w:val="none" w:color="auto"/>
                <w:vertAlign w:val="superscript"/>
                <w:lang w:val="en-US" w:eastAsia="zh-CN" w:bidi="ar-SA"/>
              </w:rPr>
              <w:t>3</w:t>
            </w: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/a</w:t>
            </w:r>
          </w:p>
        </w:tc>
        <w:tc>
          <w:tcPr>
            <w:tcW w:w="736" w:type="pct"/>
            <w:tcBorders>
              <w:tl2br w:val="nil"/>
              <w:tr2bl w:val="nil"/>
            </w:tcBorders>
            <w:noWrap w:val="0"/>
            <w:vAlign w:val="center"/>
          </w:tcPr>
          <w:p w14:paraId="2439CC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eastAsia" w:cs="Times New Roman"/>
                <w:color w:val="auto"/>
                <w:spacing w:val="11"/>
                <w:position w:val="0"/>
                <w:sz w:val="24"/>
                <w:szCs w:val="24"/>
                <w:highlight w:val="none"/>
                <w:lang w:val="en-US" w:eastAsia="zh-CN"/>
              </w:rPr>
              <w:t>+</w:t>
            </w:r>
            <w:r>
              <w:rPr>
                <w:rFonts w:hint="default" w:ascii="Times New Roman" w:hAnsi="Times New Roman" w:eastAsia="宋体" w:cs="Times New Roman"/>
                <w:color w:val="auto"/>
                <w:spacing w:val="11"/>
                <w:position w:val="0"/>
                <w:sz w:val="24"/>
                <w:szCs w:val="24"/>
                <w:highlight w:val="none"/>
                <w:lang w:val="en-US" w:eastAsia="zh-CN"/>
              </w:rPr>
              <w:t>116867.525m</w:t>
            </w:r>
            <w:r>
              <w:rPr>
                <w:rFonts w:hint="default" w:ascii="Times New Roman" w:hAnsi="Times New Roman" w:eastAsia="宋体" w:cs="Times New Roman"/>
                <w:color w:val="auto"/>
                <w:spacing w:val="11"/>
                <w:position w:val="0"/>
                <w:sz w:val="24"/>
                <w:szCs w:val="24"/>
                <w:highlight w:val="none"/>
                <w:vertAlign w:val="superscript"/>
                <w:lang w:val="en-US" w:eastAsia="zh-CN"/>
              </w:rPr>
              <w:t>3</w:t>
            </w:r>
            <w:r>
              <w:rPr>
                <w:rFonts w:hint="default" w:ascii="Times New Roman" w:hAnsi="Times New Roman" w:eastAsia="宋体" w:cs="Times New Roman"/>
                <w:color w:val="auto"/>
                <w:spacing w:val="11"/>
                <w:position w:val="0"/>
                <w:sz w:val="24"/>
                <w:szCs w:val="24"/>
                <w:highlight w:val="none"/>
                <w:lang w:val="en-US" w:eastAsia="zh-CN"/>
              </w:rPr>
              <w:t>/a</w:t>
            </w:r>
          </w:p>
        </w:tc>
      </w:tr>
      <w:tr w14:paraId="58AB07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14:paraId="315FD1DC">
            <w:pPr>
              <w:pStyle w:val="63"/>
              <w:bidi w:val="0"/>
              <w:rPr>
                <w:rFonts w:hint="default"/>
                <w:color w:val="auto"/>
                <w:spacing w:val="11"/>
                <w:position w:val="0"/>
                <w:sz w:val="24"/>
                <w:szCs w:val="24"/>
                <w:highlight w:val="none"/>
              </w:rPr>
            </w:pPr>
          </w:p>
        </w:tc>
        <w:tc>
          <w:tcPr>
            <w:tcW w:w="490" w:type="pct"/>
            <w:tcBorders>
              <w:tl2br w:val="nil"/>
              <w:tr2bl w:val="nil"/>
            </w:tcBorders>
            <w:noWrap w:val="0"/>
            <w:vAlign w:val="center"/>
          </w:tcPr>
          <w:p w14:paraId="5AD0F696">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COD</w:t>
            </w:r>
          </w:p>
        </w:tc>
        <w:tc>
          <w:tcPr>
            <w:tcW w:w="498" w:type="pct"/>
            <w:tcBorders>
              <w:tl2br w:val="nil"/>
              <w:tr2bl w:val="nil"/>
            </w:tcBorders>
            <w:shd w:val="clear" w:color="auto" w:fill="auto"/>
            <w:noWrap w:val="0"/>
            <w:vAlign w:val="center"/>
          </w:tcPr>
          <w:p w14:paraId="40C2B9E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4"/>
                <w:szCs w:val="24"/>
                <w:highlight w:val="none"/>
                <w:u w:val="none" w:color="auto"/>
                <w:lang w:val="en-US" w:eastAsia="zh-CN" w:bidi="ar-SA"/>
              </w:rPr>
            </w:pPr>
            <w:r>
              <w:rPr>
                <w:rFonts w:hint="eastAsia" w:cs="Times New Roman"/>
                <w:b w:val="0"/>
                <w:bCs w:val="0"/>
                <w:color w:val="auto"/>
                <w:sz w:val="24"/>
                <w:szCs w:val="24"/>
                <w:highlight w:val="none"/>
                <w:u w:val="none" w:color="auto"/>
                <w:lang w:val="en-US" w:eastAsia="zh-CN"/>
              </w:rPr>
              <w:t>8.18t/a</w:t>
            </w:r>
          </w:p>
        </w:tc>
        <w:tc>
          <w:tcPr>
            <w:tcW w:w="514" w:type="pct"/>
            <w:tcBorders>
              <w:tl2br w:val="nil"/>
              <w:tr2bl w:val="nil"/>
            </w:tcBorders>
            <w:noWrap w:val="0"/>
            <w:vAlign w:val="center"/>
          </w:tcPr>
          <w:p w14:paraId="52F91E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444" w:type="pct"/>
            <w:tcBorders>
              <w:tl2br w:val="nil"/>
              <w:tr2bl w:val="nil"/>
            </w:tcBorders>
            <w:noWrap w:val="0"/>
            <w:vAlign w:val="center"/>
          </w:tcPr>
          <w:p w14:paraId="26F45B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670" w:type="pct"/>
            <w:tcBorders>
              <w:tl2br w:val="nil"/>
              <w:tr2bl w:val="nil"/>
            </w:tcBorders>
            <w:shd w:val="clear" w:color="auto" w:fill="auto"/>
            <w:noWrap w:val="0"/>
            <w:vAlign w:val="center"/>
          </w:tcPr>
          <w:p w14:paraId="6CE1B6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29.22t/a</w:t>
            </w:r>
          </w:p>
        </w:tc>
        <w:tc>
          <w:tcPr>
            <w:tcW w:w="467" w:type="pct"/>
            <w:tcBorders>
              <w:tl2br w:val="nil"/>
              <w:tr2bl w:val="nil"/>
            </w:tcBorders>
            <w:noWrap w:val="0"/>
            <w:vAlign w:val="center"/>
          </w:tcPr>
          <w:p w14:paraId="2AA549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u w:val="none" w:color="auto"/>
                <w:lang w:val="en-US" w:eastAsia="zh-CN"/>
              </w:rPr>
            </w:pPr>
            <w:r>
              <w:rPr>
                <w:rFonts w:hint="default" w:ascii="Times New Roman" w:hAnsi="Times New Roman" w:eastAsia="宋体" w:cs="Times New Roman"/>
                <w:color w:val="auto"/>
                <w:spacing w:val="11"/>
                <w:position w:val="0"/>
                <w:sz w:val="24"/>
                <w:szCs w:val="24"/>
                <w:highlight w:val="none"/>
                <w:u w:val="none" w:color="auto"/>
                <w:lang w:val="en-US" w:eastAsia="zh-CN"/>
              </w:rPr>
              <w:t>/</w:t>
            </w:r>
          </w:p>
        </w:tc>
        <w:tc>
          <w:tcPr>
            <w:tcW w:w="2010" w:type="dxa"/>
            <w:tcBorders>
              <w:tl2br w:val="nil"/>
              <w:tr2bl w:val="nil"/>
            </w:tcBorders>
            <w:shd w:val="clear" w:color="auto" w:fill="auto"/>
            <w:noWrap w:val="0"/>
            <w:vAlign w:val="center"/>
          </w:tcPr>
          <w:p w14:paraId="0229A1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29.22t/a</w:t>
            </w:r>
          </w:p>
        </w:tc>
        <w:tc>
          <w:tcPr>
            <w:tcW w:w="2152" w:type="dxa"/>
            <w:tcBorders>
              <w:tl2br w:val="nil"/>
              <w:tr2bl w:val="nil"/>
            </w:tcBorders>
            <w:shd w:val="clear" w:color="auto" w:fill="auto"/>
            <w:noWrap w:val="0"/>
            <w:vAlign w:val="center"/>
          </w:tcPr>
          <w:p w14:paraId="3404F8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w:t>
            </w: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29.22t/a</w:t>
            </w:r>
          </w:p>
        </w:tc>
      </w:tr>
      <w:tr w14:paraId="266DB7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14:paraId="623DA3CE">
            <w:pPr>
              <w:pStyle w:val="63"/>
              <w:bidi w:val="0"/>
              <w:rPr>
                <w:rFonts w:hint="default"/>
                <w:color w:val="auto"/>
                <w:spacing w:val="11"/>
                <w:position w:val="0"/>
                <w:sz w:val="24"/>
                <w:szCs w:val="24"/>
                <w:highlight w:val="none"/>
              </w:rPr>
            </w:pPr>
          </w:p>
        </w:tc>
        <w:tc>
          <w:tcPr>
            <w:tcW w:w="490" w:type="pct"/>
            <w:tcBorders>
              <w:tl2br w:val="nil"/>
              <w:tr2bl w:val="nil"/>
            </w:tcBorders>
            <w:noWrap w:val="0"/>
            <w:vAlign w:val="center"/>
          </w:tcPr>
          <w:p w14:paraId="2F8DDEF5">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BOD</w:t>
            </w:r>
            <w:r>
              <w:rPr>
                <w:rFonts w:hint="default"/>
                <w:color w:val="auto"/>
                <w:spacing w:val="11"/>
                <w:position w:val="0"/>
                <w:sz w:val="24"/>
                <w:szCs w:val="24"/>
                <w:highlight w:val="none"/>
                <w:vertAlign w:val="subscript"/>
              </w:rPr>
              <w:t>5</w:t>
            </w:r>
          </w:p>
        </w:tc>
        <w:tc>
          <w:tcPr>
            <w:tcW w:w="498" w:type="pct"/>
            <w:tcBorders>
              <w:tl2br w:val="nil"/>
              <w:tr2bl w:val="nil"/>
            </w:tcBorders>
            <w:shd w:val="clear" w:color="auto" w:fill="auto"/>
            <w:noWrap w:val="0"/>
            <w:vAlign w:val="center"/>
          </w:tcPr>
          <w:p w14:paraId="0ED7084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4"/>
                <w:szCs w:val="24"/>
                <w:highlight w:val="none"/>
                <w:u w:val="none" w:color="auto"/>
                <w:lang w:val="en-US" w:eastAsia="zh-CN" w:bidi="ar-SA"/>
              </w:rPr>
            </w:pPr>
            <w:r>
              <w:rPr>
                <w:rFonts w:hint="eastAsia" w:cs="Times New Roman"/>
                <w:b w:val="0"/>
                <w:bCs w:val="0"/>
                <w:color w:val="auto"/>
                <w:sz w:val="24"/>
                <w:szCs w:val="24"/>
                <w:highlight w:val="none"/>
                <w:u w:val="none" w:color="auto"/>
                <w:lang w:val="en-US" w:eastAsia="zh-CN"/>
              </w:rPr>
              <w:t>2.5t/a</w:t>
            </w:r>
          </w:p>
        </w:tc>
        <w:tc>
          <w:tcPr>
            <w:tcW w:w="514" w:type="pct"/>
            <w:tcBorders>
              <w:tl2br w:val="nil"/>
              <w:tr2bl w:val="nil"/>
            </w:tcBorders>
            <w:shd w:val="clear" w:color="auto" w:fill="auto"/>
            <w:noWrap w:val="0"/>
            <w:vAlign w:val="center"/>
          </w:tcPr>
          <w:p w14:paraId="53E038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color w:val="auto"/>
                <w:spacing w:val="11"/>
                <w:position w:val="0"/>
                <w:sz w:val="24"/>
                <w:szCs w:val="24"/>
                <w:highlight w:val="none"/>
                <w:lang w:val="en-US" w:eastAsia="zh-CN"/>
              </w:rPr>
              <w:t>/</w:t>
            </w:r>
          </w:p>
        </w:tc>
        <w:tc>
          <w:tcPr>
            <w:tcW w:w="444" w:type="pct"/>
            <w:tcBorders>
              <w:tl2br w:val="nil"/>
              <w:tr2bl w:val="nil"/>
            </w:tcBorders>
            <w:shd w:val="clear" w:color="auto" w:fill="auto"/>
            <w:noWrap w:val="0"/>
            <w:vAlign w:val="center"/>
          </w:tcPr>
          <w:p w14:paraId="65EF78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color w:val="auto"/>
                <w:spacing w:val="11"/>
                <w:position w:val="0"/>
                <w:sz w:val="24"/>
                <w:szCs w:val="24"/>
                <w:highlight w:val="none"/>
                <w:lang w:val="en-US" w:eastAsia="zh-CN"/>
              </w:rPr>
              <w:t>/</w:t>
            </w:r>
          </w:p>
        </w:tc>
        <w:tc>
          <w:tcPr>
            <w:tcW w:w="670" w:type="pct"/>
            <w:tcBorders>
              <w:tl2br w:val="nil"/>
              <w:tr2bl w:val="nil"/>
            </w:tcBorders>
            <w:shd w:val="clear" w:color="auto" w:fill="auto"/>
            <w:noWrap w:val="0"/>
            <w:vAlign w:val="center"/>
          </w:tcPr>
          <w:p w14:paraId="3FD211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11.69t/a</w:t>
            </w:r>
          </w:p>
        </w:tc>
        <w:tc>
          <w:tcPr>
            <w:tcW w:w="467" w:type="pct"/>
            <w:tcBorders>
              <w:tl2br w:val="nil"/>
              <w:tr2bl w:val="nil"/>
            </w:tcBorders>
            <w:noWrap w:val="0"/>
            <w:vAlign w:val="center"/>
          </w:tcPr>
          <w:p w14:paraId="3ECC4E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u w:val="none" w:color="auto"/>
                <w:lang w:val="en-US" w:eastAsia="zh-CN"/>
              </w:rPr>
            </w:pPr>
            <w:r>
              <w:rPr>
                <w:rFonts w:hint="default" w:ascii="Times New Roman" w:hAnsi="Times New Roman" w:eastAsia="宋体" w:cs="Times New Roman"/>
                <w:color w:val="auto"/>
                <w:spacing w:val="11"/>
                <w:position w:val="0"/>
                <w:sz w:val="24"/>
                <w:szCs w:val="24"/>
                <w:highlight w:val="none"/>
                <w:u w:val="none" w:color="auto"/>
                <w:lang w:val="en-US" w:eastAsia="zh-CN"/>
              </w:rPr>
              <w:t>/</w:t>
            </w:r>
          </w:p>
        </w:tc>
        <w:tc>
          <w:tcPr>
            <w:tcW w:w="2010" w:type="dxa"/>
            <w:tcBorders>
              <w:tl2br w:val="nil"/>
              <w:tr2bl w:val="nil"/>
            </w:tcBorders>
            <w:shd w:val="clear" w:color="auto" w:fill="auto"/>
            <w:noWrap w:val="0"/>
            <w:vAlign w:val="center"/>
          </w:tcPr>
          <w:p w14:paraId="6B93C8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11.69t/a</w:t>
            </w:r>
          </w:p>
        </w:tc>
        <w:tc>
          <w:tcPr>
            <w:tcW w:w="2152" w:type="dxa"/>
            <w:tcBorders>
              <w:tl2br w:val="nil"/>
              <w:tr2bl w:val="nil"/>
            </w:tcBorders>
            <w:shd w:val="clear" w:color="auto" w:fill="auto"/>
            <w:noWrap w:val="0"/>
            <w:vAlign w:val="center"/>
          </w:tcPr>
          <w:p w14:paraId="030C04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w:t>
            </w: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11.69t/a</w:t>
            </w:r>
          </w:p>
        </w:tc>
      </w:tr>
      <w:tr w14:paraId="518E0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14:paraId="20E9061E">
            <w:pPr>
              <w:pStyle w:val="63"/>
              <w:bidi w:val="0"/>
              <w:rPr>
                <w:rFonts w:hint="default"/>
                <w:color w:val="auto"/>
                <w:spacing w:val="11"/>
                <w:position w:val="0"/>
                <w:sz w:val="24"/>
                <w:szCs w:val="24"/>
                <w:highlight w:val="none"/>
              </w:rPr>
            </w:pPr>
          </w:p>
        </w:tc>
        <w:tc>
          <w:tcPr>
            <w:tcW w:w="490" w:type="pct"/>
            <w:tcBorders>
              <w:tl2br w:val="nil"/>
              <w:tr2bl w:val="nil"/>
            </w:tcBorders>
            <w:noWrap w:val="0"/>
            <w:vAlign w:val="center"/>
          </w:tcPr>
          <w:p w14:paraId="143EB675">
            <w:pPr>
              <w:pStyle w:val="63"/>
              <w:bidi w:val="0"/>
              <w:rPr>
                <w:rFonts w:hint="default" w:eastAsia="宋体"/>
                <w:color w:val="auto"/>
                <w:spacing w:val="11"/>
                <w:position w:val="0"/>
                <w:sz w:val="24"/>
                <w:szCs w:val="24"/>
                <w:highlight w:val="none"/>
                <w:lang w:val="en-US" w:eastAsia="zh-CN"/>
              </w:rPr>
            </w:pPr>
            <w:r>
              <w:rPr>
                <w:rFonts w:hint="eastAsia"/>
                <w:color w:val="auto"/>
                <w:spacing w:val="11"/>
                <w:position w:val="0"/>
                <w:sz w:val="24"/>
                <w:szCs w:val="24"/>
                <w:highlight w:val="none"/>
                <w:lang w:val="en-US" w:eastAsia="zh-CN"/>
              </w:rPr>
              <w:t>SS</w:t>
            </w:r>
          </w:p>
        </w:tc>
        <w:tc>
          <w:tcPr>
            <w:tcW w:w="498" w:type="pct"/>
            <w:tcBorders>
              <w:tl2br w:val="nil"/>
              <w:tr2bl w:val="nil"/>
            </w:tcBorders>
            <w:shd w:val="clear" w:color="auto" w:fill="auto"/>
            <w:noWrap w:val="0"/>
            <w:vAlign w:val="center"/>
          </w:tcPr>
          <w:p w14:paraId="49A8AB8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4"/>
                <w:szCs w:val="24"/>
                <w:highlight w:val="none"/>
                <w:u w:val="none" w:color="auto"/>
                <w:lang w:val="en-US" w:eastAsia="zh-CN" w:bidi="ar-SA"/>
              </w:rPr>
            </w:pPr>
            <w:r>
              <w:rPr>
                <w:rFonts w:hint="eastAsia" w:cs="Times New Roman"/>
                <w:b w:val="0"/>
                <w:bCs w:val="0"/>
                <w:color w:val="auto"/>
                <w:sz w:val="24"/>
                <w:szCs w:val="24"/>
                <w:highlight w:val="none"/>
                <w:u w:val="none" w:color="auto"/>
                <w:lang w:val="en-US" w:eastAsia="zh-CN"/>
              </w:rPr>
              <w:t>1.05t/a</w:t>
            </w:r>
          </w:p>
        </w:tc>
        <w:tc>
          <w:tcPr>
            <w:tcW w:w="514" w:type="pct"/>
            <w:tcBorders>
              <w:tl2br w:val="nil"/>
              <w:tr2bl w:val="nil"/>
            </w:tcBorders>
            <w:noWrap w:val="0"/>
            <w:vAlign w:val="center"/>
          </w:tcPr>
          <w:p w14:paraId="3808A2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444" w:type="pct"/>
            <w:tcBorders>
              <w:tl2br w:val="nil"/>
              <w:tr2bl w:val="nil"/>
            </w:tcBorders>
            <w:noWrap w:val="0"/>
            <w:vAlign w:val="center"/>
          </w:tcPr>
          <w:p w14:paraId="3049F3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670" w:type="pct"/>
            <w:tcBorders>
              <w:tl2br w:val="nil"/>
              <w:tr2bl w:val="nil"/>
            </w:tcBorders>
            <w:shd w:val="clear" w:color="auto" w:fill="auto"/>
            <w:noWrap w:val="0"/>
            <w:vAlign w:val="center"/>
          </w:tcPr>
          <w:p w14:paraId="0C4850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7.01t/a</w:t>
            </w:r>
          </w:p>
        </w:tc>
        <w:tc>
          <w:tcPr>
            <w:tcW w:w="467" w:type="pct"/>
            <w:tcBorders>
              <w:tl2br w:val="nil"/>
              <w:tr2bl w:val="nil"/>
            </w:tcBorders>
            <w:noWrap w:val="0"/>
            <w:vAlign w:val="center"/>
          </w:tcPr>
          <w:p w14:paraId="5C0029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u w:val="none" w:color="auto"/>
                <w:lang w:val="en-US" w:eastAsia="zh-CN"/>
              </w:rPr>
            </w:pPr>
            <w:r>
              <w:rPr>
                <w:rFonts w:hint="default"/>
                <w:color w:val="auto"/>
                <w:spacing w:val="11"/>
                <w:position w:val="0"/>
                <w:sz w:val="24"/>
                <w:szCs w:val="24"/>
                <w:highlight w:val="none"/>
                <w:u w:val="none" w:color="auto"/>
                <w:lang w:val="en-US" w:eastAsia="zh-CN"/>
              </w:rPr>
              <w:t>/</w:t>
            </w:r>
          </w:p>
        </w:tc>
        <w:tc>
          <w:tcPr>
            <w:tcW w:w="2010" w:type="dxa"/>
            <w:tcBorders>
              <w:tl2br w:val="nil"/>
              <w:tr2bl w:val="nil"/>
            </w:tcBorders>
            <w:shd w:val="clear" w:color="auto" w:fill="auto"/>
            <w:noWrap w:val="0"/>
            <w:vAlign w:val="center"/>
          </w:tcPr>
          <w:p w14:paraId="2FB775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7.01t/a</w:t>
            </w:r>
          </w:p>
        </w:tc>
        <w:tc>
          <w:tcPr>
            <w:tcW w:w="2152" w:type="dxa"/>
            <w:tcBorders>
              <w:tl2br w:val="nil"/>
              <w:tr2bl w:val="nil"/>
            </w:tcBorders>
            <w:shd w:val="clear" w:color="auto" w:fill="auto"/>
            <w:noWrap w:val="0"/>
            <w:vAlign w:val="center"/>
          </w:tcPr>
          <w:p w14:paraId="419A31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w:t>
            </w: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7.01t/a</w:t>
            </w:r>
          </w:p>
        </w:tc>
      </w:tr>
      <w:tr w14:paraId="0F543F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14:paraId="74EC4B4F">
            <w:pPr>
              <w:pStyle w:val="63"/>
              <w:bidi w:val="0"/>
              <w:rPr>
                <w:rFonts w:hint="default"/>
                <w:color w:val="auto"/>
                <w:spacing w:val="11"/>
                <w:position w:val="0"/>
                <w:sz w:val="24"/>
                <w:szCs w:val="24"/>
                <w:highlight w:val="none"/>
              </w:rPr>
            </w:pPr>
          </w:p>
        </w:tc>
        <w:tc>
          <w:tcPr>
            <w:tcW w:w="490" w:type="pct"/>
            <w:tcBorders>
              <w:tl2br w:val="nil"/>
              <w:tr2bl w:val="nil"/>
            </w:tcBorders>
            <w:noWrap w:val="0"/>
            <w:vAlign w:val="center"/>
          </w:tcPr>
          <w:p w14:paraId="0CC4F23A">
            <w:pPr>
              <w:pStyle w:val="63"/>
              <w:bidi w:val="0"/>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rPr>
              <w:t>NH</w:t>
            </w:r>
            <w:r>
              <w:rPr>
                <w:rFonts w:hint="default"/>
                <w:color w:val="auto"/>
                <w:spacing w:val="11"/>
                <w:position w:val="0"/>
                <w:sz w:val="24"/>
                <w:szCs w:val="24"/>
                <w:highlight w:val="none"/>
                <w:vertAlign w:val="subscript"/>
              </w:rPr>
              <w:t>3</w:t>
            </w:r>
            <w:r>
              <w:rPr>
                <w:rFonts w:hint="default"/>
                <w:color w:val="auto"/>
                <w:spacing w:val="11"/>
                <w:position w:val="0"/>
                <w:sz w:val="24"/>
                <w:szCs w:val="24"/>
                <w:highlight w:val="none"/>
              </w:rPr>
              <w:t>-N</w:t>
            </w:r>
          </w:p>
        </w:tc>
        <w:tc>
          <w:tcPr>
            <w:tcW w:w="498" w:type="pct"/>
            <w:tcBorders>
              <w:tl2br w:val="nil"/>
              <w:tr2bl w:val="nil"/>
            </w:tcBorders>
            <w:shd w:val="clear" w:color="auto" w:fill="auto"/>
            <w:noWrap w:val="0"/>
            <w:vAlign w:val="center"/>
          </w:tcPr>
          <w:p w14:paraId="125268F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4"/>
                <w:szCs w:val="24"/>
                <w:highlight w:val="none"/>
                <w:u w:val="none" w:color="auto"/>
                <w:lang w:val="en-US" w:eastAsia="zh-CN" w:bidi="ar-SA"/>
              </w:rPr>
            </w:pPr>
            <w:r>
              <w:rPr>
                <w:rFonts w:hint="eastAsia" w:cs="Times New Roman"/>
                <w:b w:val="0"/>
                <w:bCs w:val="0"/>
                <w:color w:val="auto"/>
                <w:sz w:val="24"/>
                <w:szCs w:val="24"/>
                <w:highlight w:val="none"/>
                <w:u w:val="none" w:color="auto"/>
                <w:lang w:val="en-US" w:eastAsia="zh-CN"/>
              </w:rPr>
              <w:t>1.28t/a</w:t>
            </w:r>
          </w:p>
        </w:tc>
        <w:tc>
          <w:tcPr>
            <w:tcW w:w="514" w:type="pct"/>
            <w:tcBorders>
              <w:tl2br w:val="nil"/>
              <w:tr2bl w:val="nil"/>
            </w:tcBorders>
            <w:noWrap w:val="0"/>
            <w:vAlign w:val="center"/>
          </w:tcPr>
          <w:p w14:paraId="47D00D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444" w:type="pct"/>
            <w:tcBorders>
              <w:tl2br w:val="nil"/>
              <w:tr2bl w:val="nil"/>
            </w:tcBorders>
            <w:noWrap w:val="0"/>
            <w:vAlign w:val="center"/>
          </w:tcPr>
          <w:p w14:paraId="78A70C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670" w:type="pct"/>
            <w:tcBorders>
              <w:tl2br w:val="nil"/>
              <w:tr2bl w:val="nil"/>
            </w:tcBorders>
            <w:shd w:val="clear" w:color="auto" w:fill="auto"/>
            <w:noWrap w:val="0"/>
            <w:vAlign w:val="center"/>
          </w:tcPr>
          <w:p w14:paraId="3B4DF8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4.09t/a</w:t>
            </w:r>
          </w:p>
        </w:tc>
        <w:tc>
          <w:tcPr>
            <w:tcW w:w="467" w:type="pct"/>
            <w:tcBorders>
              <w:tl2br w:val="nil"/>
              <w:tr2bl w:val="nil"/>
            </w:tcBorders>
            <w:noWrap w:val="0"/>
            <w:vAlign w:val="center"/>
          </w:tcPr>
          <w:p w14:paraId="631516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u w:val="none" w:color="auto"/>
                <w:lang w:val="en-US" w:eastAsia="zh-CN"/>
              </w:rPr>
            </w:pPr>
            <w:r>
              <w:rPr>
                <w:rFonts w:hint="default"/>
                <w:color w:val="auto"/>
                <w:spacing w:val="11"/>
                <w:position w:val="0"/>
                <w:sz w:val="24"/>
                <w:szCs w:val="24"/>
                <w:highlight w:val="none"/>
                <w:u w:val="none" w:color="auto"/>
                <w:lang w:val="en-US" w:eastAsia="zh-CN"/>
              </w:rPr>
              <w:t>/</w:t>
            </w:r>
          </w:p>
        </w:tc>
        <w:tc>
          <w:tcPr>
            <w:tcW w:w="2010" w:type="dxa"/>
            <w:tcBorders>
              <w:tl2br w:val="nil"/>
              <w:tr2bl w:val="nil"/>
            </w:tcBorders>
            <w:shd w:val="clear" w:color="auto" w:fill="auto"/>
            <w:noWrap w:val="0"/>
            <w:vAlign w:val="center"/>
          </w:tcPr>
          <w:p w14:paraId="107EEF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4.09t/a</w:t>
            </w:r>
          </w:p>
        </w:tc>
        <w:tc>
          <w:tcPr>
            <w:tcW w:w="2152" w:type="dxa"/>
            <w:tcBorders>
              <w:tl2br w:val="nil"/>
              <w:tr2bl w:val="nil"/>
            </w:tcBorders>
            <w:shd w:val="clear" w:color="auto" w:fill="auto"/>
            <w:noWrap w:val="0"/>
            <w:vAlign w:val="center"/>
          </w:tcPr>
          <w:p w14:paraId="1DEF34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w:t>
            </w: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4.09t/a</w:t>
            </w:r>
          </w:p>
        </w:tc>
      </w:tr>
      <w:tr w14:paraId="625888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restart"/>
            <w:tcBorders>
              <w:tl2br w:val="nil"/>
              <w:tr2bl w:val="nil"/>
            </w:tcBorders>
            <w:noWrap w:val="0"/>
            <w:vAlign w:val="center"/>
          </w:tcPr>
          <w:p w14:paraId="0A334945">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一般工业</w:t>
            </w:r>
          </w:p>
          <w:p w14:paraId="18897953">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固体废物</w:t>
            </w:r>
          </w:p>
        </w:tc>
        <w:tc>
          <w:tcPr>
            <w:tcW w:w="490" w:type="pct"/>
            <w:tcBorders>
              <w:tl2br w:val="nil"/>
              <w:tr2bl w:val="nil"/>
            </w:tcBorders>
            <w:shd w:val="clear" w:color="auto" w:fill="auto"/>
            <w:noWrap w:val="0"/>
            <w:vAlign w:val="center"/>
          </w:tcPr>
          <w:p w14:paraId="70C422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kern w:val="2"/>
                <w:position w:val="0"/>
                <w:sz w:val="24"/>
                <w:szCs w:val="24"/>
                <w:highlight w:val="none"/>
                <w:u w:val="none" w:color="auto"/>
                <w:lang w:val="en-US" w:eastAsia="zh-CN" w:bidi="ar-SA"/>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日常生活垃圾</w:t>
            </w:r>
          </w:p>
        </w:tc>
        <w:tc>
          <w:tcPr>
            <w:tcW w:w="498" w:type="pct"/>
            <w:tcBorders>
              <w:tl2br w:val="nil"/>
              <w:tr2bl w:val="nil"/>
            </w:tcBorders>
            <w:shd w:val="clear" w:color="auto" w:fill="auto"/>
            <w:noWrap w:val="0"/>
            <w:vAlign w:val="center"/>
          </w:tcPr>
          <w:p w14:paraId="2E38CD2B">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4"/>
                <w:szCs w:val="24"/>
                <w:highlight w:val="none"/>
                <w:u w:val="none" w:color="auto"/>
                <w:lang w:val="en-US" w:eastAsia="zh-CN" w:bidi="ar-SA"/>
              </w:rPr>
            </w:pPr>
            <w:r>
              <w:rPr>
                <w:rFonts w:hint="eastAsia" w:cs="Times New Roman"/>
                <w:b w:val="0"/>
                <w:bCs w:val="0"/>
                <w:color w:val="auto"/>
                <w:kern w:val="2"/>
                <w:sz w:val="24"/>
                <w:szCs w:val="24"/>
                <w:highlight w:val="none"/>
                <w:u w:val="none" w:color="auto"/>
                <w:lang w:val="en-US" w:eastAsia="zh-CN" w:bidi="ar-SA"/>
              </w:rPr>
              <w:t>50.07t/a</w:t>
            </w:r>
          </w:p>
        </w:tc>
        <w:tc>
          <w:tcPr>
            <w:tcW w:w="514" w:type="pct"/>
            <w:tcBorders>
              <w:tl2br w:val="nil"/>
              <w:tr2bl w:val="nil"/>
            </w:tcBorders>
            <w:noWrap w:val="0"/>
            <w:vAlign w:val="center"/>
          </w:tcPr>
          <w:p w14:paraId="43DB46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444" w:type="pct"/>
            <w:tcBorders>
              <w:tl2br w:val="nil"/>
              <w:tr2bl w:val="nil"/>
            </w:tcBorders>
            <w:noWrap w:val="0"/>
            <w:vAlign w:val="center"/>
          </w:tcPr>
          <w:p w14:paraId="618D01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670" w:type="pct"/>
            <w:tcBorders>
              <w:tl2br w:val="nil"/>
              <w:tr2bl w:val="nil"/>
            </w:tcBorders>
            <w:noWrap w:val="0"/>
            <w:vAlign w:val="center"/>
          </w:tcPr>
          <w:p w14:paraId="76B5E2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eastAsia" w:cs="Times New Roman"/>
                <w:color w:val="auto"/>
                <w:spacing w:val="11"/>
                <w:position w:val="0"/>
                <w:sz w:val="24"/>
                <w:szCs w:val="24"/>
                <w:highlight w:val="none"/>
                <w:lang w:val="en-US" w:eastAsia="zh-CN"/>
              </w:rPr>
              <w:t>131.4t/a</w:t>
            </w:r>
          </w:p>
        </w:tc>
        <w:tc>
          <w:tcPr>
            <w:tcW w:w="467" w:type="pct"/>
            <w:tcBorders>
              <w:tl2br w:val="nil"/>
              <w:tr2bl w:val="nil"/>
            </w:tcBorders>
            <w:noWrap w:val="0"/>
            <w:vAlign w:val="center"/>
          </w:tcPr>
          <w:p w14:paraId="497FE3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88" w:type="pct"/>
            <w:tcBorders>
              <w:tl2br w:val="nil"/>
              <w:tr2bl w:val="nil"/>
            </w:tcBorders>
            <w:shd w:val="clear" w:color="auto" w:fill="auto"/>
            <w:noWrap w:val="0"/>
            <w:vAlign w:val="center"/>
          </w:tcPr>
          <w:p w14:paraId="3C0A81D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4"/>
                <w:szCs w:val="24"/>
                <w:u w:val="none" w:color="auto"/>
                <w:lang w:val="en-US" w:eastAsia="zh-CN" w:bidi="ar-SA"/>
              </w:rPr>
            </w:pPr>
            <w:r>
              <w:rPr>
                <w:rFonts w:hint="default" w:ascii="Times New Roman" w:hAnsi="Times New Roman" w:eastAsia="宋体" w:cs="Times New Roman"/>
                <w:color w:val="auto"/>
                <w:kern w:val="0"/>
                <w:sz w:val="24"/>
                <w:szCs w:val="24"/>
                <w:u w:val="none" w:color="auto"/>
                <w:lang w:val="en-US" w:eastAsia="zh-CN"/>
              </w:rPr>
              <w:t>181.47t/a</w:t>
            </w:r>
          </w:p>
        </w:tc>
        <w:tc>
          <w:tcPr>
            <w:tcW w:w="736" w:type="pct"/>
            <w:tcBorders>
              <w:tl2br w:val="nil"/>
              <w:tr2bl w:val="nil"/>
            </w:tcBorders>
            <w:shd w:val="clear" w:color="auto" w:fill="auto"/>
            <w:noWrap w:val="0"/>
            <w:vAlign w:val="center"/>
          </w:tcPr>
          <w:p w14:paraId="456E1D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4"/>
                <w:szCs w:val="24"/>
                <w:u w:val="none" w:color="auto"/>
                <w:lang w:val="en-US" w:eastAsia="zh-CN" w:bidi="ar-SA"/>
              </w:rPr>
            </w:pPr>
            <w:r>
              <w:rPr>
                <w:rFonts w:hint="eastAsia" w:ascii="Times New Roman" w:hAnsi="Times New Roman" w:eastAsia="宋体" w:cs="Times New Roman"/>
                <w:color w:val="auto"/>
                <w:kern w:val="0"/>
                <w:sz w:val="24"/>
                <w:szCs w:val="24"/>
                <w:u w:val="none" w:color="auto"/>
                <w:lang w:val="en-US" w:eastAsia="zh-CN"/>
              </w:rPr>
              <w:t>+131.4t/a</w:t>
            </w:r>
          </w:p>
        </w:tc>
      </w:tr>
      <w:tr w14:paraId="2CCB91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14:paraId="44ADCB82">
            <w:pPr>
              <w:pStyle w:val="63"/>
              <w:bidi w:val="0"/>
              <w:rPr>
                <w:rFonts w:hint="default"/>
                <w:color w:val="auto"/>
                <w:spacing w:val="11"/>
                <w:position w:val="0"/>
                <w:sz w:val="24"/>
                <w:szCs w:val="24"/>
                <w:highlight w:val="none"/>
              </w:rPr>
            </w:pPr>
          </w:p>
        </w:tc>
        <w:tc>
          <w:tcPr>
            <w:tcW w:w="490" w:type="pct"/>
            <w:tcBorders>
              <w:tl2br w:val="nil"/>
              <w:tr2bl w:val="nil"/>
            </w:tcBorders>
            <w:shd w:val="clear" w:color="auto" w:fill="auto"/>
            <w:noWrap w:val="0"/>
            <w:vAlign w:val="center"/>
          </w:tcPr>
          <w:p w14:paraId="127390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中药药渣</w:t>
            </w:r>
          </w:p>
        </w:tc>
        <w:tc>
          <w:tcPr>
            <w:tcW w:w="498" w:type="pct"/>
            <w:tcBorders>
              <w:tl2br w:val="nil"/>
              <w:tr2bl w:val="nil"/>
            </w:tcBorders>
            <w:shd w:val="clear" w:color="auto" w:fill="auto"/>
            <w:noWrap w:val="0"/>
            <w:vAlign w:val="center"/>
          </w:tcPr>
          <w:p w14:paraId="33D94941">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4"/>
                <w:szCs w:val="24"/>
                <w:highlight w:val="none"/>
                <w:u w:val="none" w:color="auto"/>
                <w:lang w:val="en-US" w:eastAsia="zh-CN" w:bidi="ar-SA"/>
              </w:rPr>
            </w:pPr>
            <w:r>
              <w:rPr>
                <w:rFonts w:hint="eastAsia" w:cs="Times New Roman"/>
                <w:b w:val="0"/>
                <w:bCs w:val="0"/>
                <w:color w:val="auto"/>
                <w:kern w:val="2"/>
                <w:sz w:val="24"/>
                <w:szCs w:val="24"/>
                <w:highlight w:val="none"/>
                <w:u w:val="none" w:color="auto"/>
                <w:lang w:val="en-US" w:eastAsia="zh-CN" w:bidi="ar-SA"/>
              </w:rPr>
              <w:t>1.2t/a</w:t>
            </w:r>
          </w:p>
        </w:tc>
        <w:tc>
          <w:tcPr>
            <w:tcW w:w="514" w:type="pct"/>
            <w:tcBorders>
              <w:tl2br w:val="nil"/>
              <w:tr2bl w:val="nil"/>
            </w:tcBorders>
            <w:shd w:val="clear" w:color="auto" w:fill="auto"/>
            <w:noWrap w:val="0"/>
            <w:vAlign w:val="center"/>
          </w:tcPr>
          <w:p w14:paraId="68AFD3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color w:val="auto"/>
                <w:spacing w:val="11"/>
                <w:position w:val="0"/>
                <w:sz w:val="24"/>
                <w:szCs w:val="24"/>
                <w:highlight w:val="none"/>
                <w:lang w:val="en-US" w:eastAsia="zh-CN"/>
              </w:rPr>
              <w:t>/</w:t>
            </w:r>
          </w:p>
        </w:tc>
        <w:tc>
          <w:tcPr>
            <w:tcW w:w="444" w:type="pct"/>
            <w:tcBorders>
              <w:tl2br w:val="nil"/>
              <w:tr2bl w:val="nil"/>
            </w:tcBorders>
            <w:shd w:val="clear" w:color="auto" w:fill="auto"/>
            <w:noWrap w:val="0"/>
            <w:vAlign w:val="center"/>
          </w:tcPr>
          <w:p w14:paraId="3A2995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color w:val="auto"/>
                <w:spacing w:val="11"/>
                <w:position w:val="0"/>
                <w:sz w:val="24"/>
                <w:szCs w:val="24"/>
                <w:highlight w:val="none"/>
                <w:lang w:val="en-US" w:eastAsia="zh-CN"/>
              </w:rPr>
              <w:t>/</w:t>
            </w:r>
          </w:p>
        </w:tc>
        <w:tc>
          <w:tcPr>
            <w:tcW w:w="670" w:type="pct"/>
            <w:tcBorders>
              <w:tl2br w:val="nil"/>
              <w:tr2bl w:val="nil"/>
            </w:tcBorders>
            <w:noWrap w:val="0"/>
            <w:vAlign w:val="center"/>
          </w:tcPr>
          <w:p w14:paraId="74B2C3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11"/>
                <w:position w:val="0"/>
                <w:sz w:val="24"/>
                <w:szCs w:val="24"/>
                <w:highlight w:val="none"/>
                <w:lang w:val="en-US" w:eastAsia="zh-CN"/>
              </w:rPr>
            </w:pPr>
            <w:r>
              <w:rPr>
                <w:rFonts w:hint="eastAsia" w:cs="Times New Roman"/>
                <w:color w:val="auto"/>
                <w:spacing w:val="11"/>
                <w:position w:val="0"/>
                <w:sz w:val="24"/>
                <w:szCs w:val="24"/>
                <w:highlight w:val="none"/>
                <w:lang w:val="en-US" w:eastAsia="zh-CN"/>
              </w:rPr>
              <w:t>15.768t/a</w:t>
            </w:r>
          </w:p>
        </w:tc>
        <w:tc>
          <w:tcPr>
            <w:tcW w:w="467" w:type="pct"/>
            <w:tcBorders>
              <w:tl2br w:val="nil"/>
              <w:tr2bl w:val="nil"/>
            </w:tcBorders>
            <w:noWrap w:val="0"/>
            <w:vAlign w:val="center"/>
          </w:tcPr>
          <w:p w14:paraId="2652B6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p>
        </w:tc>
        <w:tc>
          <w:tcPr>
            <w:tcW w:w="688" w:type="pct"/>
            <w:tcBorders>
              <w:tl2br w:val="nil"/>
              <w:tr2bl w:val="nil"/>
            </w:tcBorders>
            <w:shd w:val="clear" w:color="auto" w:fill="auto"/>
            <w:noWrap w:val="0"/>
            <w:vAlign w:val="center"/>
          </w:tcPr>
          <w:p w14:paraId="1E4C4B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4"/>
                <w:u w:val="none" w:color="auto"/>
                <w:lang w:val="en-US" w:eastAsia="zh-CN" w:bidi="ar-SA"/>
              </w:rPr>
            </w:pPr>
            <w:r>
              <w:rPr>
                <w:rFonts w:hint="default" w:ascii="Times New Roman" w:hAnsi="Times New Roman" w:eastAsia="宋体" w:cs="Times New Roman"/>
                <w:color w:val="auto"/>
                <w:kern w:val="0"/>
                <w:sz w:val="24"/>
                <w:szCs w:val="24"/>
                <w:u w:val="none" w:color="auto"/>
                <w:lang w:val="en-US" w:eastAsia="zh-CN"/>
              </w:rPr>
              <w:t>16.968t/a</w:t>
            </w:r>
          </w:p>
        </w:tc>
        <w:tc>
          <w:tcPr>
            <w:tcW w:w="736" w:type="pct"/>
            <w:tcBorders>
              <w:tl2br w:val="nil"/>
              <w:tr2bl w:val="nil"/>
            </w:tcBorders>
            <w:shd w:val="clear" w:color="auto" w:fill="auto"/>
            <w:noWrap w:val="0"/>
            <w:vAlign w:val="center"/>
          </w:tcPr>
          <w:p w14:paraId="44E4C8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4"/>
                <w:szCs w:val="24"/>
                <w:u w:val="none" w:color="auto"/>
                <w:lang w:val="en-US" w:eastAsia="zh-CN" w:bidi="ar-SA"/>
              </w:rPr>
            </w:pPr>
            <w:r>
              <w:rPr>
                <w:rFonts w:hint="eastAsia" w:ascii="Times New Roman" w:hAnsi="Times New Roman" w:eastAsia="宋体" w:cs="Times New Roman"/>
                <w:color w:val="auto"/>
                <w:kern w:val="0"/>
                <w:sz w:val="24"/>
                <w:szCs w:val="24"/>
                <w:u w:val="none" w:color="auto"/>
                <w:lang w:val="en-US" w:eastAsia="zh-CN"/>
              </w:rPr>
              <w:t>+15.768t/a</w:t>
            </w:r>
          </w:p>
        </w:tc>
      </w:tr>
      <w:tr w14:paraId="4C493D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restart"/>
            <w:tcBorders>
              <w:tl2br w:val="nil"/>
              <w:tr2bl w:val="nil"/>
            </w:tcBorders>
            <w:noWrap w:val="0"/>
            <w:vAlign w:val="center"/>
          </w:tcPr>
          <w:p w14:paraId="55E93A43">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危险废物</w:t>
            </w:r>
          </w:p>
        </w:tc>
        <w:tc>
          <w:tcPr>
            <w:tcW w:w="490" w:type="pct"/>
            <w:tcBorders>
              <w:tl2br w:val="nil"/>
              <w:tr2bl w:val="nil"/>
            </w:tcBorders>
            <w:shd w:val="clear" w:color="auto" w:fill="auto"/>
            <w:noWrap w:val="0"/>
            <w:vAlign w:val="center"/>
          </w:tcPr>
          <w:p w14:paraId="3E1994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医疗废物</w:t>
            </w:r>
          </w:p>
        </w:tc>
        <w:tc>
          <w:tcPr>
            <w:tcW w:w="498" w:type="pct"/>
            <w:tcBorders>
              <w:tl2br w:val="nil"/>
              <w:tr2bl w:val="nil"/>
            </w:tcBorders>
            <w:shd w:val="clear" w:color="auto" w:fill="auto"/>
            <w:noWrap w:val="0"/>
            <w:vAlign w:val="center"/>
          </w:tcPr>
          <w:p w14:paraId="2203269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4"/>
                <w:szCs w:val="24"/>
                <w:highlight w:val="none"/>
                <w:u w:val="none" w:color="auto"/>
                <w:lang w:val="en-US" w:eastAsia="zh-CN" w:bidi="ar-SA"/>
              </w:rPr>
            </w:pPr>
            <w:r>
              <w:rPr>
                <w:rFonts w:hint="eastAsia" w:cs="Times New Roman"/>
                <w:b w:val="0"/>
                <w:bCs w:val="0"/>
                <w:color w:val="auto"/>
                <w:sz w:val="24"/>
                <w:szCs w:val="24"/>
                <w:highlight w:val="none"/>
                <w:u w:val="none" w:color="auto"/>
                <w:lang w:val="en-US" w:eastAsia="zh-CN"/>
              </w:rPr>
              <w:t>17.47t/a</w:t>
            </w:r>
          </w:p>
        </w:tc>
        <w:tc>
          <w:tcPr>
            <w:tcW w:w="514" w:type="pct"/>
            <w:tcBorders>
              <w:tl2br w:val="nil"/>
              <w:tr2bl w:val="nil"/>
            </w:tcBorders>
            <w:noWrap w:val="0"/>
            <w:vAlign w:val="center"/>
          </w:tcPr>
          <w:p w14:paraId="10889A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444" w:type="pct"/>
            <w:tcBorders>
              <w:tl2br w:val="nil"/>
              <w:tr2bl w:val="nil"/>
            </w:tcBorders>
            <w:noWrap w:val="0"/>
            <w:vAlign w:val="center"/>
          </w:tcPr>
          <w:p w14:paraId="3D4E66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670" w:type="pct"/>
            <w:tcBorders>
              <w:tl2br w:val="nil"/>
              <w:tr2bl w:val="nil"/>
            </w:tcBorders>
            <w:shd w:val="clear" w:color="auto" w:fill="auto"/>
            <w:noWrap w:val="0"/>
            <w:vAlign w:val="center"/>
          </w:tcPr>
          <w:p w14:paraId="7A056E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25.55t/a</w:t>
            </w:r>
          </w:p>
        </w:tc>
        <w:tc>
          <w:tcPr>
            <w:tcW w:w="467" w:type="pct"/>
            <w:tcBorders>
              <w:tl2br w:val="nil"/>
              <w:tr2bl w:val="nil"/>
            </w:tcBorders>
            <w:noWrap w:val="0"/>
            <w:vAlign w:val="center"/>
          </w:tcPr>
          <w:p w14:paraId="4F2AB1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88" w:type="pct"/>
            <w:tcBorders>
              <w:tl2br w:val="nil"/>
              <w:tr2bl w:val="nil"/>
            </w:tcBorders>
            <w:shd w:val="clear" w:color="auto" w:fill="auto"/>
            <w:noWrap w:val="0"/>
            <w:vAlign w:val="center"/>
          </w:tcPr>
          <w:p w14:paraId="4EAE56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4"/>
                <w:szCs w:val="24"/>
                <w:u w:val="none" w:color="auto"/>
                <w:lang w:val="en-US" w:eastAsia="zh-CN" w:bidi="ar-SA"/>
              </w:rPr>
            </w:pPr>
            <w:r>
              <w:rPr>
                <w:rFonts w:hint="default" w:ascii="Times New Roman" w:hAnsi="Times New Roman" w:eastAsia="宋体" w:cs="Times New Roman"/>
                <w:color w:val="auto"/>
                <w:kern w:val="0"/>
                <w:sz w:val="24"/>
                <w:szCs w:val="24"/>
                <w:u w:val="none" w:color="auto"/>
                <w:lang w:val="en-US" w:eastAsia="zh-CN"/>
              </w:rPr>
              <w:t>43.02t/a</w:t>
            </w:r>
          </w:p>
        </w:tc>
        <w:tc>
          <w:tcPr>
            <w:tcW w:w="736" w:type="pct"/>
            <w:tcBorders>
              <w:tl2br w:val="nil"/>
              <w:tr2bl w:val="nil"/>
            </w:tcBorders>
            <w:shd w:val="clear" w:color="auto" w:fill="auto"/>
            <w:noWrap w:val="0"/>
            <w:vAlign w:val="center"/>
          </w:tcPr>
          <w:p w14:paraId="7E2510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4"/>
                <w:szCs w:val="24"/>
                <w:u w:val="none" w:color="auto"/>
                <w:lang w:val="en-US" w:eastAsia="zh-CN" w:bidi="ar-SA"/>
              </w:rPr>
            </w:pPr>
            <w:r>
              <w:rPr>
                <w:rFonts w:hint="eastAsia" w:ascii="Times New Roman" w:hAnsi="Times New Roman" w:eastAsia="宋体" w:cs="Times New Roman"/>
                <w:color w:val="auto"/>
                <w:kern w:val="0"/>
                <w:sz w:val="24"/>
                <w:szCs w:val="24"/>
                <w:u w:val="none" w:color="auto"/>
                <w:lang w:val="en-US" w:eastAsia="zh-CN"/>
              </w:rPr>
              <w:t>+25.55t/a</w:t>
            </w:r>
          </w:p>
        </w:tc>
      </w:tr>
      <w:tr w14:paraId="78B626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14:paraId="579DF1D7">
            <w:pPr>
              <w:pStyle w:val="63"/>
              <w:bidi w:val="0"/>
              <w:rPr>
                <w:rFonts w:hint="default"/>
                <w:color w:val="auto"/>
                <w:spacing w:val="11"/>
                <w:position w:val="0"/>
                <w:sz w:val="24"/>
                <w:szCs w:val="24"/>
                <w:highlight w:val="none"/>
              </w:rPr>
            </w:pPr>
          </w:p>
        </w:tc>
        <w:tc>
          <w:tcPr>
            <w:tcW w:w="490" w:type="pct"/>
            <w:tcBorders>
              <w:tl2br w:val="nil"/>
              <w:tr2bl w:val="nil"/>
            </w:tcBorders>
            <w:shd w:val="clear" w:color="auto" w:fill="auto"/>
            <w:noWrap w:val="0"/>
            <w:vAlign w:val="center"/>
          </w:tcPr>
          <w:p w14:paraId="4D0701FD">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污水处理站污泥</w:t>
            </w:r>
          </w:p>
        </w:tc>
        <w:tc>
          <w:tcPr>
            <w:tcW w:w="498" w:type="pct"/>
            <w:tcBorders>
              <w:tl2br w:val="nil"/>
              <w:tr2bl w:val="nil"/>
            </w:tcBorders>
            <w:shd w:val="clear" w:color="auto" w:fill="auto"/>
            <w:noWrap w:val="0"/>
            <w:vAlign w:val="center"/>
          </w:tcPr>
          <w:p w14:paraId="49B62B84">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4"/>
                <w:szCs w:val="24"/>
                <w:highlight w:val="none"/>
                <w:u w:val="none" w:color="auto"/>
                <w:lang w:val="en-US" w:eastAsia="zh-CN" w:bidi="ar-SA"/>
              </w:rPr>
            </w:pPr>
            <w:r>
              <w:rPr>
                <w:rFonts w:hint="eastAsia" w:cs="Times New Roman"/>
                <w:b w:val="0"/>
                <w:bCs w:val="0"/>
                <w:color w:val="auto"/>
                <w:kern w:val="2"/>
                <w:sz w:val="24"/>
                <w:szCs w:val="24"/>
                <w:highlight w:val="none"/>
                <w:u w:val="none" w:color="auto"/>
                <w:lang w:val="en-US" w:eastAsia="zh-CN" w:bidi="ar-SA"/>
              </w:rPr>
              <w:t>1.93t/a</w:t>
            </w:r>
          </w:p>
        </w:tc>
        <w:tc>
          <w:tcPr>
            <w:tcW w:w="514" w:type="pct"/>
            <w:tcBorders>
              <w:tl2br w:val="nil"/>
              <w:tr2bl w:val="nil"/>
            </w:tcBorders>
            <w:noWrap w:val="0"/>
            <w:vAlign w:val="center"/>
          </w:tcPr>
          <w:p w14:paraId="012157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444" w:type="pct"/>
            <w:tcBorders>
              <w:tl2br w:val="nil"/>
              <w:tr2bl w:val="nil"/>
            </w:tcBorders>
            <w:noWrap w:val="0"/>
            <w:vAlign w:val="center"/>
          </w:tcPr>
          <w:p w14:paraId="11C8BE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670" w:type="pct"/>
            <w:tcBorders>
              <w:tl2br w:val="nil"/>
              <w:tr2bl w:val="nil"/>
            </w:tcBorders>
            <w:shd w:val="clear" w:color="auto" w:fill="auto"/>
            <w:noWrap w:val="0"/>
            <w:vAlign w:val="center"/>
          </w:tcPr>
          <w:p w14:paraId="298D4F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cs="Times New Roman"/>
                <w:color w:val="auto"/>
                <w:spacing w:val="11"/>
                <w:kern w:val="2"/>
                <w:position w:val="0"/>
                <w:sz w:val="24"/>
                <w:szCs w:val="24"/>
                <w:highlight w:val="none"/>
                <w:u w:val="none" w:color="auto"/>
                <w:lang w:val="en-US" w:eastAsia="zh-CN" w:bidi="ar-SA"/>
              </w:rPr>
              <w:t>23.38</w:t>
            </w: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t/a</w:t>
            </w:r>
          </w:p>
        </w:tc>
        <w:tc>
          <w:tcPr>
            <w:tcW w:w="467" w:type="pct"/>
            <w:tcBorders>
              <w:tl2br w:val="nil"/>
              <w:tr2bl w:val="nil"/>
            </w:tcBorders>
            <w:noWrap w:val="0"/>
            <w:vAlign w:val="center"/>
          </w:tcPr>
          <w:p w14:paraId="1F0C34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88" w:type="pct"/>
            <w:tcBorders>
              <w:tl2br w:val="nil"/>
              <w:tr2bl w:val="nil"/>
            </w:tcBorders>
            <w:shd w:val="clear" w:color="auto" w:fill="auto"/>
            <w:noWrap w:val="0"/>
            <w:vAlign w:val="center"/>
          </w:tcPr>
          <w:p w14:paraId="1A2B70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4"/>
                <w:szCs w:val="24"/>
                <w:u w:val="none" w:color="auto"/>
                <w:lang w:val="en-US" w:eastAsia="zh-CN" w:bidi="ar-SA"/>
              </w:rPr>
            </w:pPr>
            <w:r>
              <w:rPr>
                <w:rFonts w:hint="default" w:ascii="Times New Roman" w:hAnsi="Times New Roman" w:eastAsia="宋体" w:cs="Times New Roman"/>
                <w:color w:val="auto"/>
                <w:kern w:val="0"/>
                <w:sz w:val="24"/>
                <w:szCs w:val="24"/>
                <w:u w:val="none" w:color="auto"/>
                <w:lang w:val="en-US" w:eastAsia="zh-CN"/>
              </w:rPr>
              <w:t>25.31t/a</w:t>
            </w:r>
          </w:p>
        </w:tc>
        <w:tc>
          <w:tcPr>
            <w:tcW w:w="736" w:type="pct"/>
            <w:tcBorders>
              <w:tl2br w:val="nil"/>
              <w:tr2bl w:val="nil"/>
            </w:tcBorders>
            <w:shd w:val="clear" w:color="auto" w:fill="auto"/>
            <w:noWrap w:val="0"/>
            <w:vAlign w:val="center"/>
          </w:tcPr>
          <w:p w14:paraId="20D3F8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4"/>
                <w:szCs w:val="24"/>
                <w:u w:val="none" w:color="auto"/>
                <w:lang w:val="en-US" w:eastAsia="zh-CN" w:bidi="ar-SA"/>
              </w:rPr>
            </w:pPr>
            <w:r>
              <w:rPr>
                <w:rFonts w:hint="eastAsia" w:ascii="Times New Roman" w:hAnsi="Times New Roman" w:eastAsia="宋体" w:cs="Times New Roman"/>
                <w:color w:val="auto"/>
                <w:kern w:val="0"/>
                <w:sz w:val="24"/>
                <w:szCs w:val="24"/>
                <w:u w:val="none" w:color="auto"/>
                <w:lang w:val="en-US" w:eastAsia="zh-CN"/>
              </w:rPr>
              <w:t>+23.38t/a</w:t>
            </w:r>
          </w:p>
        </w:tc>
      </w:tr>
      <w:tr w14:paraId="281439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14:paraId="336FE65E">
            <w:pPr>
              <w:pStyle w:val="63"/>
              <w:bidi w:val="0"/>
              <w:rPr>
                <w:rFonts w:hint="default"/>
                <w:color w:val="auto"/>
                <w:spacing w:val="11"/>
                <w:position w:val="0"/>
                <w:sz w:val="24"/>
                <w:szCs w:val="24"/>
                <w:highlight w:val="none"/>
              </w:rPr>
            </w:pPr>
          </w:p>
        </w:tc>
        <w:tc>
          <w:tcPr>
            <w:tcW w:w="490" w:type="pct"/>
            <w:tcBorders>
              <w:tl2br w:val="nil"/>
              <w:tr2bl w:val="nil"/>
            </w:tcBorders>
            <w:shd w:val="clear" w:color="auto" w:fill="auto"/>
            <w:noWrap w:val="0"/>
            <w:vAlign w:val="center"/>
          </w:tcPr>
          <w:p w14:paraId="58D625F0">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药物性废物</w:t>
            </w:r>
          </w:p>
        </w:tc>
        <w:tc>
          <w:tcPr>
            <w:tcW w:w="498" w:type="pct"/>
            <w:tcBorders>
              <w:tl2br w:val="nil"/>
              <w:tr2bl w:val="nil"/>
            </w:tcBorders>
            <w:shd w:val="clear" w:color="auto" w:fill="auto"/>
            <w:noWrap w:val="0"/>
            <w:vAlign w:val="center"/>
          </w:tcPr>
          <w:p w14:paraId="2E149E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color w:val="auto"/>
                <w:spacing w:val="11"/>
                <w:position w:val="0"/>
                <w:sz w:val="24"/>
                <w:szCs w:val="24"/>
                <w:highlight w:val="none"/>
                <w:lang w:val="en-US" w:eastAsia="zh-CN"/>
              </w:rPr>
              <w:t>/</w:t>
            </w:r>
          </w:p>
        </w:tc>
        <w:tc>
          <w:tcPr>
            <w:tcW w:w="514" w:type="pct"/>
            <w:tcBorders>
              <w:tl2br w:val="nil"/>
              <w:tr2bl w:val="nil"/>
            </w:tcBorders>
            <w:shd w:val="clear" w:color="auto" w:fill="auto"/>
            <w:noWrap w:val="0"/>
            <w:vAlign w:val="center"/>
          </w:tcPr>
          <w:p w14:paraId="1D89BB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color w:val="auto"/>
                <w:spacing w:val="11"/>
                <w:position w:val="0"/>
                <w:sz w:val="24"/>
                <w:szCs w:val="24"/>
                <w:highlight w:val="none"/>
                <w:lang w:val="en-US" w:eastAsia="zh-CN"/>
              </w:rPr>
              <w:t>/</w:t>
            </w:r>
          </w:p>
        </w:tc>
        <w:tc>
          <w:tcPr>
            <w:tcW w:w="444" w:type="pct"/>
            <w:tcBorders>
              <w:tl2br w:val="nil"/>
              <w:tr2bl w:val="nil"/>
            </w:tcBorders>
            <w:shd w:val="clear" w:color="auto" w:fill="auto"/>
            <w:noWrap w:val="0"/>
            <w:vAlign w:val="center"/>
          </w:tcPr>
          <w:p w14:paraId="07EF6E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color w:val="auto"/>
                <w:spacing w:val="11"/>
                <w:position w:val="0"/>
                <w:sz w:val="24"/>
                <w:szCs w:val="24"/>
                <w:highlight w:val="none"/>
                <w:lang w:val="en-US" w:eastAsia="zh-CN"/>
              </w:rPr>
              <w:t>/</w:t>
            </w:r>
          </w:p>
        </w:tc>
        <w:tc>
          <w:tcPr>
            <w:tcW w:w="670" w:type="pct"/>
            <w:tcBorders>
              <w:tl2br w:val="nil"/>
              <w:tr2bl w:val="nil"/>
            </w:tcBorders>
            <w:shd w:val="clear" w:color="auto" w:fill="auto"/>
            <w:noWrap w:val="0"/>
            <w:vAlign w:val="center"/>
          </w:tcPr>
          <w:p w14:paraId="5339F6AD">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0.07t/a</w:t>
            </w:r>
          </w:p>
        </w:tc>
        <w:tc>
          <w:tcPr>
            <w:tcW w:w="467" w:type="pct"/>
            <w:tcBorders>
              <w:tl2br w:val="nil"/>
              <w:tr2bl w:val="nil"/>
            </w:tcBorders>
            <w:noWrap w:val="0"/>
            <w:vAlign w:val="center"/>
          </w:tcPr>
          <w:p w14:paraId="5AE60EFF">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w:t>
            </w:r>
          </w:p>
        </w:tc>
        <w:tc>
          <w:tcPr>
            <w:tcW w:w="688" w:type="pct"/>
            <w:tcBorders>
              <w:tl2br w:val="nil"/>
              <w:tr2bl w:val="nil"/>
            </w:tcBorders>
            <w:shd w:val="clear" w:color="auto" w:fill="auto"/>
            <w:noWrap w:val="0"/>
            <w:vAlign w:val="center"/>
          </w:tcPr>
          <w:p w14:paraId="349582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4"/>
                <w:u w:val="none" w:color="auto"/>
                <w:lang w:val="en-US" w:eastAsia="zh-CN" w:bidi="ar-SA"/>
              </w:rPr>
            </w:pPr>
            <w:r>
              <w:rPr>
                <w:rFonts w:hint="eastAsia" w:ascii="Times New Roman" w:hAnsi="Times New Roman" w:eastAsia="宋体" w:cs="Times New Roman"/>
                <w:color w:val="auto"/>
                <w:kern w:val="0"/>
                <w:sz w:val="24"/>
                <w:szCs w:val="24"/>
                <w:u w:val="none" w:color="auto"/>
                <w:lang w:val="en-US" w:eastAsia="zh-CN"/>
              </w:rPr>
              <w:t>0.07t/a</w:t>
            </w:r>
          </w:p>
        </w:tc>
        <w:tc>
          <w:tcPr>
            <w:tcW w:w="736" w:type="pct"/>
            <w:tcBorders>
              <w:tl2br w:val="nil"/>
              <w:tr2bl w:val="nil"/>
            </w:tcBorders>
            <w:shd w:val="clear" w:color="auto" w:fill="auto"/>
            <w:noWrap w:val="0"/>
            <w:vAlign w:val="center"/>
          </w:tcPr>
          <w:p w14:paraId="1E4EC8E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4"/>
                <w:szCs w:val="24"/>
                <w:u w:val="none" w:color="auto"/>
                <w:lang w:val="en-US" w:eastAsia="zh-CN" w:bidi="ar-SA"/>
              </w:rPr>
            </w:pPr>
            <w:r>
              <w:rPr>
                <w:rFonts w:hint="eastAsia" w:ascii="Times New Roman" w:hAnsi="Times New Roman" w:eastAsia="宋体" w:cs="Times New Roman"/>
                <w:color w:val="auto"/>
                <w:kern w:val="0"/>
                <w:sz w:val="24"/>
                <w:szCs w:val="24"/>
                <w:u w:val="none" w:color="auto"/>
                <w:lang w:val="en-US" w:eastAsia="zh-CN"/>
              </w:rPr>
              <w:t>+0.07t/a</w:t>
            </w:r>
          </w:p>
        </w:tc>
      </w:tr>
      <w:tr w14:paraId="096200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14:paraId="7169EE0B">
            <w:pPr>
              <w:pStyle w:val="63"/>
              <w:bidi w:val="0"/>
              <w:rPr>
                <w:rFonts w:hint="default"/>
                <w:color w:val="auto"/>
                <w:spacing w:val="11"/>
                <w:position w:val="0"/>
                <w:sz w:val="24"/>
                <w:szCs w:val="24"/>
                <w:highlight w:val="none"/>
              </w:rPr>
            </w:pPr>
          </w:p>
        </w:tc>
        <w:tc>
          <w:tcPr>
            <w:tcW w:w="490" w:type="pct"/>
            <w:tcBorders>
              <w:tl2br w:val="nil"/>
              <w:tr2bl w:val="nil"/>
            </w:tcBorders>
            <w:shd w:val="clear" w:color="auto" w:fill="auto"/>
            <w:noWrap w:val="0"/>
            <w:vAlign w:val="center"/>
          </w:tcPr>
          <w:p w14:paraId="465936D4">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cs="Times New Roman"/>
                <w:color w:val="auto"/>
                <w:spacing w:val="11"/>
                <w:kern w:val="2"/>
                <w:position w:val="0"/>
                <w:sz w:val="24"/>
                <w:szCs w:val="24"/>
                <w:highlight w:val="none"/>
                <w:u w:val="none" w:color="auto"/>
                <w:lang w:val="en-US" w:eastAsia="zh-CN" w:bidi="ar-SA"/>
              </w:rPr>
              <w:t>含铬污水</w:t>
            </w:r>
          </w:p>
        </w:tc>
        <w:tc>
          <w:tcPr>
            <w:tcW w:w="498" w:type="pct"/>
            <w:tcBorders>
              <w:tl2br w:val="nil"/>
              <w:tr2bl w:val="nil"/>
            </w:tcBorders>
            <w:shd w:val="clear" w:color="auto" w:fill="auto"/>
            <w:noWrap w:val="0"/>
            <w:vAlign w:val="center"/>
          </w:tcPr>
          <w:p w14:paraId="5C16A5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color w:val="auto"/>
                <w:spacing w:val="11"/>
                <w:position w:val="0"/>
                <w:sz w:val="24"/>
                <w:szCs w:val="24"/>
                <w:highlight w:val="none"/>
                <w:lang w:val="en-US" w:eastAsia="zh-CN"/>
              </w:rPr>
              <w:t>/</w:t>
            </w:r>
          </w:p>
        </w:tc>
        <w:tc>
          <w:tcPr>
            <w:tcW w:w="514" w:type="pct"/>
            <w:tcBorders>
              <w:tl2br w:val="nil"/>
              <w:tr2bl w:val="nil"/>
            </w:tcBorders>
            <w:shd w:val="clear" w:color="auto" w:fill="auto"/>
            <w:noWrap w:val="0"/>
            <w:vAlign w:val="center"/>
          </w:tcPr>
          <w:p w14:paraId="36889C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color w:val="auto"/>
                <w:spacing w:val="11"/>
                <w:position w:val="0"/>
                <w:sz w:val="24"/>
                <w:szCs w:val="24"/>
                <w:highlight w:val="none"/>
                <w:lang w:val="en-US" w:eastAsia="zh-CN"/>
              </w:rPr>
              <w:t>/</w:t>
            </w:r>
          </w:p>
        </w:tc>
        <w:tc>
          <w:tcPr>
            <w:tcW w:w="444" w:type="pct"/>
            <w:tcBorders>
              <w:tl2br w:val="nil"/>
              <w:tr2bl w:val="nil"/>
            </w:tcBorders>
            <w:shd w:val="clear" w:color="auto" w:fill="auto"/>
            <w:noWrap w:val="0"/>
            <w:vAlign w:val="center"/>
          </w:tcPr>
          <w:p w14:paraId="15F9CB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color w:val="auto"/>
                <w:spacing w:val="11"/>
                <w:position w:val="0"/>
                <w:sz w:val="24"/>
                <w:szCs w:val="24"/>
                <w:highlight w:val="none"/>
                <w:lang w:val="en-US" w:eastAsia="zh-CN"/>
              </w:rPr>
              <w:t>/</w:t>
            </w:r>
          </w:p>
        </w:tc>
        <w:tc>
          <w:tcPr>
            <w:tcW w:w="670" w:type="pct"/>
            <w:tcBorders>
              <w:tl2br w:val="nil"/>
              <w:tr2bl w:val="nil"/>
            </w:tcBorders>
            <w:shd w:val="clear" w:color="auto" w:fill="auto"/>
            <w:noWrap w:val="0"/>
            <w:vAlign w:val="center"/>
          </w:tcPr>
          <w:p w14:paraId="30D589E2">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cs="Times New Roman"/>
                <w:bCs/>
                <w:color w:val="auto"/>
                <w:spacing w:val="11"/>
                <w:sz w:val="24"/>
                <w:szCs w:val="24"/>
                <w:highlight w:val="none"/>
                <w:u w:val="none"/>
                <w:lang w:val="en-US" w:eastAsia="zh-CN"/>
              </w:rPr>
              <w:t>73</w:t>
            </w:r>
            <w:r>
              <w:rPr>
                <w:rFonts w:hint="eastAsia" w:ascii="Times New Roman" w:hAnsi="Times New Roman" w:eastAsia="宋体" w:cs="Times New Roman"/>
                <w:bCs/>
                <w:color w:val="auto"/>
                <w:spacing w:val="11"/>
                <w:sz w:val="24"/>
                <w:szCs w:val="24"/>
                <w:highlight w:val="none"/>
                <w:u w:val="none"/>
                <w:lang w:val="en-US" w:eastAsia="zh-CN"/>
              </w:rPr>
              <w:t>m</w:t>
            </w:r>
            <w:r>
              <w:rPr>
                <w:rFonts w:hint="eastAsia" w:ascii="Times New Roman" w:hAnsi="Times New Roman" w:eastAsia="宋体" w:cs="Times New Roman"/>
                <w:bCs/>
                <w:color w:val="auto"/>
                <w:spacing w:val="11"/>
                <w:sz w:val="24"/>
                <w:szCs w:val="24"/>
                <w:highlight w:val="none"/>
                <w:u w:val="none"/>
                <w:vertAlign w:val="superscript"/>
                <w:lang w:val="en-US" w:eastAsia="zh-CN"/>
              </w:rPr>
              <w:t>3</w:t>
            </w:r>
            <w:r>
              <w:rPr>
                <w:rFonts w:hint="eastAsia" w:ascii="Times New Roman" w:hAnsi="Times New Roman" w:eastAsia="宋体" w:cs="Times New Roman"/>
                <w:bCs/>
                <w:color w:val="auto"/>
                <w:spacing w:val="11"/>
                <w:sz w:val="24"/>
                <w:szCs w:val="24"/>
                <w:highlight w:val="none"/>
                <w:u w:val="none"/>
                <w:lang w:val="en-US" w:eastAsia="zh-CN"/>
              </w:rPr>
              <w:t>/a</w:t>
            </w:r>
          </w:p>
        </w:tc>
        <w:tc>
          <w:tcPr>
            <w:tcW w:w="467" w:type="pct"/>
            <w:tcBorders>
              <w:tl2br w:val="nil"/>
              <w:tr2bl w:val="nil"/>
            </w:tcBorders>
            <w:noWrap w:val="0"/>
            <w:vAlign w:val="center"/>
          </w:tcPr>
          <w:p w14:paraId="352838F7">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w:t>
            </w:r>
          </w:p>
        </w:tc>
        <w:tc>
          <w:tcPr>
            <w:tcW w:w="688" w:type="pct"/>
            <w:tcBorders>
              <w:tl2br w:val="nil"/>
              <w:tr2bl w:val="nil"/>
            </w:tcBorders>
            <w:shd w:val="clear" w:color="auto" w:fill="auto"/>
            <w:noWrap w:val="0"/>
            <w:vAlign w:val="center"/>
          </w:tcPr>
          <w:p w14:paraId="428F0724">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cs="Times New Roman"/>
                <w:bCs/>
                <w:color w:val="auto"/>
                <w:spacing w:val="11"/>
                <w:sz w:val="24"/>
                <w:szCs w:val="24"/>
                <w:highlight w:val="none"/>
                <w:u w:val="none"/>
                <w:lang w:val="en-US" w:eastAsia="zh-CN"/>
              </w:rPr>
              <w:t>73</w:t>
            </w:r>
            <w:r>
              <w:rPr>
                <w:rFonts w:hint="eastAsia" w:ascii="Times New Roman" w:hAnsi="Times New Roman" w:eastAsia="宋体" w:cs="Times New Roman"/>
                <w:bCs/>
                <w:color w:val="auto"/>
                <w:spacing w:val="11"/>
                <w:sz w:val="24"/>
                <w:szCs w:val="24"/>
                <w:highlight w:val="none"/>
                <w:u w:val="none"/>
                <w:lang w:val="en-US" w:eastAsia="zh-CN"/>
              </w:rPr>
              <w:t>m</w:t>
            </w:r>
            <w:r>
              <w:rPr>
                <w:rFonts w:hint="eastAsia" w:ascii="Times New Roman" w:hAnsi="Times New Roman" w:eastAsia="宋体" w:cs="Times New Roman"/>
                <w:bCs/>
                <w:color w:val="auto"/>
                <w:spacing w:val="11"/>
                <w:sz w:val="24"/>
                <w:szCs w:val="24"/>
                <w:highlight w:val="none"/>
                <w:u w:val="none"/>
                <w:vertAlign w:val="superscript"/>
                <w:lang w:val="en-US" w:eastAsia="zh-CN"/>
              </w:rPr>
              <w:t>3</w:t>
            </w:r>
            <w:r>
              <w:rPr>
                <w:rFonts w:hint="eastAsia" w:ascii="Times New Roman" w:hAnsi="Times New Roman" w:eastAsia="宋体" w:cs="Times New Roman"/>
                <w:bCs/>
                <w:color w:val="auto"/>
                <w:spacing w:val="11"/>
                <w:sz w:val="24"/>
                <w:szCs w:val="24"/>
                <w:highlight w:val="none"/>
                <w:u w:val="none"/>
                <w:lang w:val="en-US" w:eastAsia="zh-CN"/>
              </w:rPr>
              <w:t>/a</w:t>
            </w:r>
          </w:p>
        </w:tc>
        <w:tc>
          <w:tcPr>
            <w:tcW w:w="736" w:type="pct"/>
            <w:tcBorders>
              <w:tl2br w:val="nil"/>
              <w:tr2bl w:val="nil"/>
            </w:tcBorders>
            <w:shd w:val="clear" w:color="auto" w:fill="auto"/>
            <w:noWrap w:val="0"/>
            <w:vAlign w:val="center"/>
          </w:tcPr>
          <w:p w14:paraId="2D58A9AC">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cs="Times New Roman"/>
                <w:bCs/>
                <w:color w:val="auto"/>
                <w:spacing w:val="11"/>
                <w:sz w:val="24"/>
                <w:szCs w:val="24"/>
                <w:highlight w:val="none"/>
                <w:u w:val="none"/>
                <w:lang w:val="en-US" w:eastAsia="zh-CN"/>
              </w:rPr>
              <w:t>+73</w:t>
            </w:r>
            <w:r>
              <w:rPr>
                <w:rFonts w:hint="eastAsia" w:ascii="Times New Roman" w:hAnsi="Times New Roman" w:eastAsia="宋体" w:cs="Times New Roman"/>
                <w:bCs/>
                <w:color w:val="auto"/>
                <w:spacing w:val="11"/>
                <w:sz w:val="24"/>
                <w:szCs w:val="24"/>
                <w:highlight w:val="none"/>
                <w:u w:val="none"/>
                <w:lang w:val="en-US" w:eastAsia="zh-CN"/>
              </w:rPr>
              <w:t>m</w:t>
            </w:r>
            <w:r>
              <w:rPr>
                <w:rFonts w:hint="eastAsia" w:ascii="Times New Roman" w:hAnsi="Times New Roman" w:eastAsia="宋体" w:cs="Times New Roman"/>
                <w:bCs/>
                <w:color w:val="auto"/>
                <w:spacing w:val="11"/>
                <w:sz w:val="24"/>
                <w:szCs w:val="24"/>
                <w:highlight w:val="none"/>
                <w:u w:val="none"/>
                <w:vertAlign w:val="superscript"/>
                <w:lang w:val="en-US" w:eastAsia="zh-CN"/>
              </w:rPr>
              <w:t>3</w:t>
            </w:r>
            <w:r>
              <w:rPr>
                <w:rFonts w:hint="eastAsia" w:ascii="Times New Roman" w:hAnsi="Times New Roman" w:eastAsia="宋体" w:cs="Times New Roman"/>
                <w:bCs/>
                <w:color w:val="auto"/>
                <w:spacing w:val="11"/>
                <w:sz w:val="24"/>
                <w:szCs w:val="24"/>
                <w:highlight w:val="none"/>
                <w:u w:val="none"/>
                <w:lang w:val="en-US" w:eastAsia="zh-CN"/>
              </w:rPr>
              <w:t>/a</w:t>
            </w:r>
          </w:p>
        </w:tc>
      </w:tr>
      <w:tr w14:paraId="704248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14:paraId="307E528E">
            <w:pPr>
              <w:pStyle w:val="63"/>
              <w:bidi w:val="0"/>
              <w:rPr>
                <w:rFonts w:hint="default"/>
                <w:color w:val="auto"/>
                <w:spacing w:val="11"/>
                <w:position w:val="0"/>
                <w:sz w:val="24"/>
                <w:szCs w:val="24"/>
                <w:highlight w:val="none"/>
              </w:rPr>
            </w:pPr>
          </w:p>
        </w:tc>
        <w:tc>
          <w:tcPr>
            <w:tcW w:w="490" w:type="pct"/>
            <w:tcBorders>
              <w:tl2br w:val="nil"/>
              <w:tr2bl w:val="nil"/>
            </w:tcBorders>
            <w:shd w:val="clear" w:color="auto" w:fill="auto"/>
            <w:noWrap w:val="0"/>
            <w:vAlign w:val="center"/>
          </w:tcPr>
          <w:p w14:paraId="5FD127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4"/>
                <w:u w:val="none" w:color="auto"/>
                <w:lang w:val="en-US" w:eastAsia="zh-CN" w:bidi="ar-SA"/>
              </w:rPr>
            </w:pPr>
            <w:r>
              <w:rPr>
                <w:rFonts w:hint="default" w:ascii="Times New Roman" w:hAnsi="Times New Roman" w:eastAsia="宋体" w:cs="Times New Roman"/>
                <w:color w:val="auto"/>
                <w:kern w:val="0"/>
                <w:sz w:val="24"/>
                <w:szCs w:val="24"/>
                <w:u w:val="none" w:color="auto"/>
                <w:lang w:val="en-US" w:eastAsia="zh-CN"/>
              </w:rPr>
              <w:t>废活性炭</w:t>
            </w:r>
          </w:p>
        </w:tc>
        <w:tc>
          <w:tcPr>
            <w:tcW w:w="498" w:type="pct"/>
            <w:tcBorders>
              <w:tl2br w:val="nil"/>
              <w:tr2bl w:val="nil"/>
            </w:tcBorders>
            <w:shd w:val="clear" w:color="auto" w:fill="auto"/>
            <w:noWrap w:val="0"/>
            <w:vAlign w:val="center"/>
          </w:tcPr>
          <w:p w14:paraId="7CB85E5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4"/>
                <w:szCs w:val="24"/>
                <w:highlight w:val="none"/>
                <w:u w:val="none" w:color="auto"/>
                <w:lang w:val="en-US" w:eastAsia="zh-CN" w:bidi="ar-SA"/>
              </w:rPr>
            </w:pPr>
            <w:r>
              <w:rPr>
                <w:rFonts w:hint="eastAsia" w:cs="Times New Roman"/>
                <w:b w:val="0"/>
                <w:bCs w:val="0"/>
                <w:color w:val="auto"/>
                <w:sz w:val="24"/>
                <w:szCs w:val="24"/>
                <w:highlight w:val="none"/>
                <w:u w:val="none" w:color="auto"/>
                <w:lang w:val="en-US" w:eastAsia="zh-CN"/>
              </w:rPr>
              <w:t>0.1t/a</w:t>
            </w:r>
          </w:p>
        </w:tc>
        <w:tc>
          <w:tcPr>
            <w:tcW w:w="514" w:type="pct"/>
            <w:tcBorders>
              <w:tl2br w:val="nil"/>
              <w:tr2bl w:val="nil"/>
            </w:tcBorders>
            <w:shd w:val="clear" w:color="auto" w:fill="auto"/>
            <w:noWrap w:val="0"/>
            <w:vAlign w:val="center"/>
          </w:tcPr>
          <w:p w14:paraId="4FBE22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444" w:type="pct"/>
            <w:tcBorders>
              <w:tl2br w:val="nil"/>
              <w:tr2bl w:val="nil"/>
            </w:tcBorders>
            <w:shd w:val="clear" w:color="auto" w:fill="auto"/>
            <w:noWrap w:val="0"/>
            <w:vAlign w:val="center"/>
          </w:tcPr>
          <w:p w14:paraId="7EA495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670" w:type="pct"/>
            <w:tcBorders>
              <w:tl2br w:val="nil"/>
              <w:tr2bl w:val="nil"/>
            </w:tcBorders>
            <w:shd w:val="clear" w:color="auto" w:fill="auto"/>
            <w:noWrap w:val="0"/>
            <w:vAlign w:val="center"/>
          </w:tcPr>
          <w:p w14:paraId="3D6AEE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auto"/>
                <w:spacing w:val="11"/>
                <w:sz w:val="24"/>
                <w:szCs w:val="24"/>
                <w:highlight w:val="none"/>
                <w:u w:val="none"/>
                <w:lang w:val="en-US" w:eastAsia="zh-CN"/>
              </w:rPr>
            </w:pPr>
            <w:r>
              <w:rPr>
                <w:rFonts w:hint="default"/>
                <w:color w:val="auto"/>
                <w:spacing w:val="11"/>
                <w:position w:val="0"/>
                <w:sz w:val="24"/>
                <w:szCs w:val="24"/>
                <w:highlight w:val="none"/>
                <w:lang w:val="en-US" w:eastAsia="zh-CN"/>
              </w:rPr>
              <w:t>/</w:t>
            </w:r>
          </w:p>
        </w:tc>
        <w:tc>
          <w:tcPr>
            <w:tcW w:w="467" w:type="pct"/>
            <w:tcBorders>
              <w:tl2br w:val="nil"/>
              <w:tr2bl w:val="nil"/>
            </w:tcBorders>
            <w:noWrap w:val="0"/>
            <w:vAlign w:val="center"/>
          </w:tcPr>
          <w:p w14:paraId="552F16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color w:val="auto"/>
                <w:spacing w:val="11"/>
                <w:position w:val="0"/>
                <w:sz w:val="24"/>
                <w:szCs w:val="24"/>
                <w:highlight w:val="none"/>
                <w:lang w:val="en-US" w:eastAsia="zh-CN"/>
              </w:rPr>
              <w:t>/</w:t>
            </w:r>
          </w:p>
        </w:tc>
        <w:tc>
          <w:tcPr>
            <w:tcW w:w="688" w:type="pct"/>
            <w:tcBorders>
              <w:tl2br w:val="nil"/>
              <w:tr2bl w:val="nil"/>
            </w:tcBorders>
            <w:shd w:val="clear" w:color="auto" w:fill="auto"/>
            <w:noWrap w:val="0"/>
            <w:vAlign w:val="center"/>
          </w:tcPr>
          <w:p w14:paraId="401950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position w:val="0"/>
                <w:sz w:val="24"/>
                <w:szCs w:val="24"/>
                <w:highlight w:val="none"/>
                <w:u w:val="none" w:color="auto"/>
                <w:lang w:val="en-US" w:eastAsia="zh-CN"/>
              </w:rPr>
              <w:t>0.1t/a</w:t>
            </w:r>
          </w:p>
        </w:tc>
        <w:tc>
          <w:tcPr>
            <w:tcW w:w="736" w:type="pct"/>
            <w:tcBorders>
              <w:tl2br w:val="nil"/>
              <w:tr2bl w:val="nil"/>
            </w:tcBorders>
            <w:shd w:val="clear" w:color="auto" w:fill="auto"/>
            <w:noWrap w:val="0"/>
            <w:vAlign w:val="center"/>
          </w:tcPr>
          <w:p w14:paraId="375329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cs="Times New Roman"/>
                <w:color w:val="auto"/>
                <w:spacing w:val="11"/>
                <w:position w:val="0"/>
                <w:sz w:val="24"/>
                <w:szCs w:val="24"/>
                <w:highlight w:val="none"/>
                <w:u w:val="none" w:color="auto"/>
                <w:lang w:val="en-US" w:eastAsia="zh-CN"/>
              </w:rPr>
              <w:t>/</w:t>
            </w:r>
          </w:p>
        </w:tc>
      </w:tr>
    </w:tbl>
    <w:p w14:paraId="4F8AE63C">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Chars="0"/>
        <w:jc w:val="left"/>
        <w:textAlignment w:val="auto"/>
        <w:rPr>
          <w:rFonts w:hint="default" w:ascii="Times New Roman" w:hAnsi="Times New Roman" w:cs="Times New Roman" w:eastAsiaTheme="minorEastAsia"/>
          <w:snapToGrid w:val="0"/>
          <w:color w:val="auto"/>
          <w:spacing w:val="11"/>
          <w:kern w:val="21"/>
          <w:position w:val="0"/>
          <w:szCs w:val="21"/>
          <w:highlight w:val="none"/>
          <w:u w:val="none" w:color="auto"/>
          <w:lang w:val="en-US" w:eastAsia="zh-CN"/>
        </w:rPr>
      </w:pPr>
      <w:r>
        <w:rPr>
          <w:rFonts w:hint="default" w:ascii="Times New Roman" w:hAnsi="Times New Roman" w:cs="Times New Roman" w:eastAsiaTheme="minorEastAsia"/>
          <w:snapToGrid w:val="0"/>
          <w:color w:val="auto"/>
          <w:spacing w:val="11"/>
          <w:kern w:val="21"/>
          <w:position w:val="0"/>
          <w:szCs w:val="21"/>
          <w:highlight w:val="none"/>
          <w:u w:val="none" w:color="auto"/>
        </w:rPr>
        <w:t>注：</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begin"/>
      </w:r>
      <w:r>
        <w:rPr>
          <w:rFonts w:hint="default" w:ascii="Times New Roman" w:hAnsi="Times New Roman" w:cs="Times New Roman" w:eastAsiaTheme="minorEastAsia"/>
          <w:snapToGrid w:val="0"/>
          <w:color w:val="auto"/>
          <w:spacing w:val="11"/>
          <w:kern w:val="21"/>
          <w:position w:val="0"/>
          <w:szCs w:val="21"/>
          <w:highlight w:val="none"/>
          <w:u w:val="none" w:color="auto"/>
        </w:rPr>
        <w:instrText xml:space="preserve"> = 6 \* GB3 \* MERGEFORMAT </w:instrTex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separate"/>
      </w:r>
      <w:r>
        <w:rPr>
          <w:rFonts w:hint="default" w:ascii="Times New Roman" w:hAnsi="Times New Roman" w:cs="Times New Roman" w:eastAsiaTheme="minorEastAsia"/>
          <w:color w:val="auto"/>
          <w:spacing w:val="11"/>
          <w:position w:val="0"/>
          <w:szCs w:val="21"/>
          <w:highlight w:val="none"/>
          <w:u w:val="none" w:color="auto"/>
        </w:rPr>
        <w:t>⑥</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end"/>
      </w:r>
      <w:r>
        <w:rPr>
          <w:rFonts w:hint="default" w:ascii="Times New Roman" w:hAnsi="Times New Roman" w:cs="Times New Roman" w:eastAsiaTheme="minorEastAsia"/>
          <w:snapToGrid w:val="0"/>
          <w:color w:val="auto"/>
          <w:spacing w:val="11"/>
          <w:kern w:val="21"/>
          <w:position w:val="0"/>
          <w:szCs w:val="21"/>
          <w:highlight w:val="none"/>
          <w:u w:val="none" w:color="auto"/>
        </w:rPr>
        <w:t>=</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begin"/>
      </w:r>
      <w:r>
        <w:rPr>
          <w:rFonts w:hint="default" w:ascii="Times New Roman" w:hAnsi="Times New Roman" w:cs="Times New Roman" w:eastAsiaTheme="minorEastAsia"/>
          <w:snapToGrid w:val="0"/>
          <w:color w:val="auto"/>
          <w:spacing w:val="11"/>
          <w:kern w:val="21"/>
          <w:position w:val="0"/>
          <w:szCs w:val="21"/>
          <w:highlight w:val="none"/>
          <w:u w:val="none" w:color="auto"/>
        </w:rPr>
        <w:instrText xml:space="preserve"> = 1 \* GB3 \* MERGEFORMAT </w:instrTex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separate"/>
      </w:r>
      <w:r>
        <w:rPr>
          <w:rFonts w:hint="default" w:ascii="Times New Roman" w:hAnsi="Times New Roman" w:cs="Times New Roman" w:eastAsiaTheme="minorEastAsia"/>
          <w:color w:val="auto"/>
          <w:spacing w:val="11"/>
          <w:position w:val="0"/>
          <w:szCs w:val="21"/>
          <w:highlight w:val="none"/>
          <w:u w:val="none" w:color="auto"/>
        </w:rPr>
        <w:t>①</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end"/>
      </w:r>
      <w:r>
        <w:rPr>
          <w:rFonts w:hint="default" w:ascii="Times New Roman" w:hAnsi="Times New Roman" w:cs="Times New Roman" w:eastAsiaTheme="minorEastAsia"/>
          <w:snapToGrid w:val="0"/>
          <w:color w:val="auto"/>
          <w:spacing w:val="11"/>
          <w:kern w:val="21"/>
          <w:position w:val="0"/>
          <w:szCs w:val="21"/>
          <w:highlight w:val="none"/>
          <w:u w:val="none" w:color="auto"/>
        </w:rPr>
        <w:t>+</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begin"/>
      </w:r>
      <w:r>
        <w:rPr>
          <w:rFonts w:hint="default" w:ascii="Times New Roman" w:hAnsi="Times New Roman" w:cs="Times New Roman" w:eastAsiaTheme="minorEastAsia"/>
          <w:snapToGrid w:val="0"/>
          <w:color w:val="auto"/>
          <w:spacing w:val="11"/>
          <w:kern w:val="21"/>
          <w:position w:val="0"/>
          <w:szCs w:val="21"/>
          <w:highlight w:val="none"/>
          <w:u w:val="none" w:color="auto"/>
        </w:rPr>
        <w:instrText xml:space="preserve"> = 3 \* GB3 \* MERGEFORMAT </w:instrTex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separate"/>
      </w:r>
      <w:r>
        <w:rPr>
          <w:rFonts w:hint="default" w:ascii="Times New Roman" w:hAnsi="Times New Roman" w:cs="Times New Roman" w:eastAsiaTheme="minorEastAsia"/>
          <w:color w:val="auto"/>
          <w:spacing w:val="11"/>
          <w:position w:val="0"/>
          <w:szCs w:val="21"/>
          <w:highlight w:val="none"/>
          <w:u w:val="none" w:color="auto"/>
        </w:rPr>
        <w:t>③</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end"/>
      </w:r>
      <w:r>
        <w:rPr>
          <w:rFonts w:hint="default" w:ascii="Times New Roman" w:hAnsi="Times New Roman" w:cs="Times New Roman" w:eastAsiaTheme="minorEastAsia"/>
          <w:snapToGrid w:val="0"/>
          <w:color w:val="auto"/>
          <w:spacing w:val="11"/>
          <w:kern w:val="21"/>
          <w:position w:val="0"/>
          <w:szCs w:val="21"/>
          <w:highlight w:val="none"/>
          <w:u w:val="none" w:color="auto"/>
        </w:rPr>
        <w:t>+</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begin"/>
      </w:r>
      <w:r>
        <w:rPr>
          <w:rFonts w:hint="default" w:ascii="Times New Roman" w:hAnsi="Times New Roman" w:cs="Times New Roman" w:eastAsiaTheme="minorEastAsia"/>
          <w:snapToGrid w:val="0"/>
          <w:color w:val="auto"/>
          <w:spacing w:val="11"/>
          <w:kern w:val="21"/>
          <w:position w:val="0"/>
          <w:szCs w:val="21"/>
          <w:highlight w:val="none"/>
          <w:u w:val="none" w:color="auto"/>
        </w:rPr>
        <w:instrText xml:space="preserve"> = 4 \* GB3 \* MERGEFORMAT </w:instrTex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separate"/>
      </w:r>
      <w:r>
        <w:rPr>
          <w:rFonts w:hint="default" w:ascii="Times New Roman" w:hAnsi="Times New Roman" w:cs="Times New Roman" w:eastAsiaTheme="minorEastAsia"/>
          <w:color w:val="auto"/>
          <w:spacing w:val="11"/>
          <w:position w:val="0"/>
          <w:szCs w:val="21"/>
          <w:highlight w:val="none"/>
          <w:u w:val="none" w:color="auto"/>
        </w:rPr>
        <w:t>④</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end"/>
      </w:r>
      <w:r>
        <w:rPr>
          <w:rFonts w:hint="default" w:ascii="Times New Roman" w:hAnsi="Times New Roman" w:cs="Times New Roman" w:eastAsiaTheme="minorEastAsia"/>
          <w:snapToGrid w:val="0"/>
          <w:color w:val="auto"/>
          <w:spacing w:val="11"/>
          <w:kern w:val="21"/>
          <w:position w:val="0"/>
          <w:szCs w:val="21"/>
          <w:highlight w:val="none"/>
          <w:u w:val="none" w:color="auto"/>
        </w:rPr>
        <w:t>-</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begin"/>
      </w:r>
      <w:r>
        <w:rPr>
          <w:rFonts w:hint="default" w:ascii="Times New Roman" w:hAnsi="Times New Roman" w:cs="Times New Roman" w:eastAsiaTheme="minorEastAsia"/>
          <w:snapToGrid w:val="0"/>
          <w:color w:val="auto"/>
          <w:spacing w:val="11"/>
          <w:kern w:val="21"/>
          <w:position w:val="0"/>
          <w:szCs w:val="21"/>
          <w:highlight w:val="none"/>
          <w:u w:val="none" w:color="auto"/>
        </w:rPr>
        <w:instrText xml:space="preserve"> = 5 \* GB3 \* MERGEFORMAT </w:instrTex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separate"/>
      </w:r>
      <w:r>
        <w:rPr>
          <w:rFonts w:hint="default" w:ascii="Times New Roman" w:hAnsi="Times New Roman" w:cs="Times New Roman" w:eastAsiaTheme="minorEastAsia"/>
          <w:color w:val="auto"/>
          <w:spacing w:val="11"/>
          <w:position w:val="0"/>
          <w:szCs w:val="21"/>
          <w:highlight w:val="none"/>
          <w:u w:val="none" w:color="auto"/>
        </w:rPr>
        <w:t>⑤</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end"/>
      </w:r>
      <w:r>
        <w:rPr>
          <w:rFonts w:hint="default" w:ascii="Times New Roman" w:hAnsi="Times New Roman" w:cs="Times New Roman" w:eastAsiaTheme="minorEastAsia"/>
          <w:snapToGrid w:val="0"/>
          <w:color w:val="auto"/>
          <w:spacing w:val="11"/>
          <w:kern w:val="21"/>
          <w:position w:val="0"/>
          <w:szCs w:val="21"/>
          <w:highlight w:val="none"/>
          <w:u w:val="none" w:color="auto"/>
        </w:rPr>
        <w:t>；</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begin"/>
      </w:r>
      <w:r>
        <w:rPr>
          <w:rFonts w:hint="default" w:ascii="Times New Roman" w:hAnsi="Times New Roman" w:cs="Times New Roman" w:eastAsiaTheme="minorEastAsia"/>
          <w:snapToGrid w:val="0"/>
          <w:color w:val="auto"/>
          <w:spacing w:val="11"/>
          <w:kern w:val="21"/>
          <w:position w:val="0"/>
          <w:szCs w:val="21"/>
          <w:highlight w:val="none"/>
          <w:u w:val="none" w:color="auto"/>
        </w:rPr>
        <w:instrText xml:space="preserve"> = 7 \* GB3 \* MERGEFORMAT </w:instrTex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separate"/>
      </w:r>
      <w:r>
        <w:rPr>
          <w:rFonts w:hint="default" w:ascii="Times New Roman" w:hAnsi="Times New Roman" w:cs="Times New Roman" w:eastAsiaTheme="minorEastAsia"/>
          <w:color w:val="auto"/>
          <w:spacing w:val="11"/>
          <w:position w:val="0"/>
          <w:szCs w:val="21"/>
          <w:highlight w:val="none"/>
          <w:u w:val="none" w:color="auto"/>
        </w:rPr>
        <w:t>⑦</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end"/>
      </w:r>
      <w:r>
        <w:rPr>
          <w:rFonts w:hint="default" w:ascii="Times New Roman" w:hAnsi="Times New Roman" w:cs="Times New Roman" w:eastAsiaTheme="minorEastAsia"/>
          <w:snapToGrid w:val="0"/>
          <w:color w:val="auto"/>
          <w:spacing w:val="11"/>
          <w:kern w:val="21"/>
          <w:position w:val="0"/>
          <w:szCs w:val="21"/>
          <w:highlight w:val="none"/>
          <w:u w:val="none" w:color="auto"/>
        </w:rPr>
        <w:t>=</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begin"/>
      </w:r>
      <w:r>
        <w:rPr>
          <w:rFonts w:hint="default" w:ascii="Times New Roman" w:hAnsi="Times New Roman" w:cs="Times New Roman" w:eastAsiaTheme="minorEastAsia"/>
          <w:snapToGrid w:val="0"/>
          <w:color w:val="auto"/>
          <w:spacing w:val="11"/>
          <w:kern w:val="21"/>
          <w:position w:val="0"/>
          <w:szCs w:val="21"/>
          <w:highlight w:val="none"/>
          <w:u w:val="none" w:color="auto"/>
        </w:rPr>
        <w:instrText xml:space="preserve"> = 6 \* GB3 \* MERGEFORMAT </w:instrTex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separate"/>
      </w:r>
      <w:r>
        <w:rPr>
          <w:rFonts w:hint="default" w:ascii="Times New Roman" w:hAnsi="Times New Roman" w:cs="Times New Roman" w:eastAsiaTheme="minorEastAsia"/>
          <w:color w:val="auto"/>
          <w:spacing w:val="11"/>
          <w:position w:val="0"/>
          <w:szCs w:val="21"/>
          <w:highlight w:val="none"/>
          <w:u w:val="none" w:color="auto"/>
        </w:rPr>
        <w:t>⑥</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end"/>
      </w:r>
      <w:r>
        <w:rPr>
          <w:rFonts w:hint="default" w:ascii="Times New Roman" w:hAnsi="Times New Roman" w:cs="Times New Roman" w:eastAsiaTheme="minorEastAsia"/>
          <w:snapToGrid w:val="0"/>
          <w:color w:val="auto"/>
          <w:spacing w:val="11"/>
          <w:kern w:val="21"/>
          <w:position w:val="0"/>
          <w:szCs w:val="21"/>
          <w:highlight w:val="none"/>
          <w:u w:val="none" w:color="auto"/>
        </w:rPr>
        <w:t>-</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begin"/>
      </w:r>
      <w:r>
        <w:rPr>
          <w:rFonts w:hint="default" w:ascii="Times New Roman" w:hAnsi="Times New Roman" w:cs="Times New Roman" w:eastAsiaTheme="minorEastAsia"/>
          <w:snapToGrid w:val="0"/>
          <w:color w:val="auto"/>
          <w:spacing w:val="11"/>
          <w:kern w:val="21"/>
          <w:position w:val="0"/>
          <w:szCs w:val="21"/>
          <w:highlight w:val="none"/>
          <w:u w:val="none" w:color="auto"/>
        </w:rPr>
        <w:instrText xml:space="preserve"> = 1 \* GB3 \* MERGEFORMAT </w:instrTex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separate"/>
      </w:r>
      <w:r>
        <w:rPr>
          <w:rFonts w:hint="default" w:ascii="Times New Roman" w:hAnsi="Times New Roman" w:cs="Times New Roman" w:eastAsiaTheme="minorEastAsia"/>
          <w:color w:val="auto"/>
          <w:spacing w:val="11"/>
          <w:position w:val="0"/>
          <w:szCs w:val="21"/>
          <w:highlight w:val="none"/>
          <w:u w:val="none" w:color="auto"/>
        </w:rPr>
        <w:t>①</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end"/>
      </w:r>
    </w:p>
    <w:sectPr>
      <w:footerReference r:id="rId6" w:type="default"/>
      <w:pgSz w:w="16838" w:h="11906" w:orient="landscape"/>
      <w:pgMar w:top="850" w:right="1134" w:bottom="850" w:left="1134" w:header="737" w:footer="170" w:gutter="0"/>
      <w:pgBorders>
        <w:top w:val="none" w:sz="0" w:space="0"/>
        <w:left w:val="none" w:sz="0" w:space="0"/>
        <w:bottom w:val="none" w:sz="0" w:space="0"/>
        <w:right w:val="none" w:sz="0" w:space="0"/>
      </w:pgBorders>
      <w:pgNumType w:fmt="decimal"/>
      <w:cols w:space="0" w:num="1"/>
      <w:rtlGutter w:val="0"/>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新宋体-18030">
    <w:altName w:val="宋体"/>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Impact">
    <w:panose1 w:val="020B0806030902050204"/>
    <w:charset w:val="00"/>
    <w:family w:val="swiss"/>
    <w:pitch w:val="default"/>
    <w:sig w:usb0="00000287" w:usb1="00000000" w:usb2="00000000" w:usb3="00000000" w:csb0="2000009F" w:csb1="DFD70000"/>
  </w:font>
  <w:font w:name="仿宋_GB2312">
    <w:altName w:val="仿宋"/>
    <w:panose1 w:val="02010609030101010101"/>
    <w:charset w:val="86"/>
    <w:family w:val="modern"/>
    <w:pitch w:val="default"/>
    <w:sig w:usb0="00000000" w:usb1="0000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sans-serif">
    <w:altName w:val="ESRI AMFM Electric"/>
    <w:panose1 w:val="00000000000000000000"/>
    <w:charset w:val="00"/>
    <w:family w:val="auto"/>
    <w:pitch w:val="default"/>
    <w:sig w:usb0="00000000" w:usb1="00000000" w:usb2="00000000" w:usb3="00000000" w:csb0="00000000" w:csb1="00000000"/>
  </w:font>
  <w:font w:name="ESRI AMFM Electric">
    <w:panose1 w:val="02000400000000000000"/>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BF2DA">
    <w:pPr>
      <w:pStyle w:val="15"/>
      <w:keepNext w:val="0"/>
      <w:keepLines w:val="0"/>
      <w:pageBreakBefore w:val="0"/>
      <w:widowControl w:val="0"/>
      <w:kinsoku/>
      <w:wordWrap/>
      <w:overflowPunct/>
      <w:topLinePunct w:val="0"/>
      <w:bidi w:val="0"/>
      <w:adjustRightInd w:val="0"/>
      <w:snapToGrid w:val="0"/>
      <w:ind w:left="0" w:leftChars="0" w:firstLine="0" w:firstLineChars="0"/>
      <w:jc w:val="center"/>
      <w:textAlignment w:val="auto"/>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3CD628">
                          <w:pPr>
                            <w:pStyle w:val="15"/>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43CD628">
                    <w:pPr>
                      <w:pStyle w:val="15"/>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361AD">
    <w:pPr>
      <w:adjustRightInd w:val="0"/>
      <w:ind w:right="227" w:firstLine="0"/>
      <w:jc w:val="right"/>
      <w:rPr>
        <w:rFonts w:ascii="Times New Roman" w:hAnsi="Times New Roman" w:cs="Times New Roman"/>
        <w:kern w:val="21"/>
        <w:szCs w:val="20"/>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51C9B6">
                          <w:pPr>
                            <w:pStyle w:val="15"/>
                          </w:pPr>
                          <w:r>
                            <w:fldChar w:fldCharType="begin"/>
                          </w:r>
                          <w:r>
                            <w:instrText xml:space="preserve"> PAGE  \* MERGEFORMAT </w:instrText>
                          </w:r>
                          <w:r>
                            <w:fldChar w:fldCharType="separate"/>
                          </w:r>
                          <w:r>
                            <w:t>- 42 -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C51C9B6">
                    <w:pPr>
                      <w:pStyle w:val="15"/>
                    </w:pPr>
                    <w:r>
                      <w:fldChar w:fldCharType="begin"/>
                    </w:r>
                    <w:r>
                      <w:instrText xml:space="preserve"> PAGE  \* MERGEFORMAT </w:instrText>
                    </w:r>
                    <w:r>
                      <w:fldChar w:fldCharType="separate"/>
                    </w:r>
                    <w:r>
                      <w:t>- 42 -</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46550A"/>
    <w:multiLevelType w:val="singleLevel"/>
    <w:tmpl w:val="B346550A"/>
    <w:lvl w:ilvl="0" w:tentative="0">
      <w:start w:val="1"/>
      <w:numFmt w:val="lowerLetter"/>
      <w:suff w:val="nothing"/>
      <w:lvlText w:val="%1）"/>
      <w:lvlJc w:val="left"/>
    </w:lvl>
  </w:abstractNum>
  <w:abstractNum w:abstractNumId="1">
    <w:nsid w:val="13EC3FFE"/>
    <w:multiLevelType w:val="singleLevel"/>
    <w:tmpl w:val="13EC3FFE"/>
    <w:lvl w:ilvl="0" w:tentative="0">
      <w:start w:val="4"/>
      <w:numFmt w:val="decimal"/>
      <w:suff w:val="nothing"/>
      <w:lvlText w:val="%1、"/>
      <w:lvlJc w:val="left"/>
    </w:lvl>
  </w:abstractNum>
  <w:abstractNum w:abstractNumId="2">
    <w:nsid w:val="3F037DB4"/>
    <w:multiLevelType w:val="singleLevel"/>
    <w:tmpl w:val="3F037DB4"/>
    <w:lvl w:ilvl="0" w:tentative="0">
      <w:start w:val="1"/>
      <w:numFmt w:val="bullet"/>
      <w:pStyle w:val="12"/>
      <w:lvlText w:val=""/>
      <w:lvlJc w:val="left"/>
      <w:pPr>
        <w:tabs>
          <w:tab w:val="left" w:pos="780"/>
        </w:tabs>
        <w:ind w:left="780" w:hanging="360"/>
      </w:pPr>
      <w:rPr>
        <w:rFonts w:hint="default" w:ascii="Wingdings" w:hAnsi="Wingdings"/>
      </w:rPr>
    </w:lvl>
  </w:abstractNum>
  <w:abstractNum w:abstractNumId="3">
    <w:nsid w:val="57C91313"/>
    <w:multiLevelType w:val="multilevel"/>
    <w:tmpl w:val="57C91313"/>
    <w:lvl w:ilvl="0" w:tentative="0">
      <w:start w:val="1"/>
      <w:numFmt w:val="decimal"/>
      <w:lvlText w:val="%1."/>
      <w:lvlJc w:val="left"/>
      <w:pPr>
        <w:ind w:left="432" w:hanging="432"/>
      </w:pPr>
      <w:rPr>
        <w:rFonts w:hint="default"/>
      </w:rPr>
    </w:lvl>
    <w:lvl w:ilvl="1" w:tentative="0">
      <w:start w:val="1"/>
      <w:numFmt w:val="decimal"/>
      <w:pStyle w:val="5"/>
      <w:lvlText w:val="%1.%2."/>
      <w:lvlJc w:val="left"/>
      <w:pPr>
        <w:ind w:left="575" w:hanging="575"/>
      </w:pPr>
      <w:rPr>
        <w:rFonts w:hint="default"/>
      </w:rPr>
    </w:lvl>
    <w:lvl w:ilvl="2" w:tentative="0">
      <w:start w:val="1"/>
      <w:numFmt w:val="decimal"/>
      <w:pStyle w:val="6"/>
      <w:lvlText w:val="%1.%2.%3."/>
      <w:lvlJc w:val="left"/>
      <w:pPr>
        <w:ind w:left="1004" w:hanging="720"/>
      </w:pPr>
      <w:rPr>
        <w:rFonts w:hint="default"/>
      </w:rPr>
    </w:lvl>
    <w:lvl w:ilvl="3" w:tentative="0">
      <w:start w:val="1"/>
      <w:numFmt w:val="decimal"/>
      <w:pStyle w:val="7"/>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0Y2NlODBhY2JjMjQ4OGNkNmQ2MWU2OWNmYzZmMzMifQ=="/>
  </w:docVars>
  <w:rsids>
    <w:rsidRoot w:val="00172A27"/>
    <w:rsid w:val="00515C5E"/>
    <w:rsid w:val="011536F9"/>
    <w:rsid w:val="012B64AF"/>
    <w:rsid w:val="01611910"/>
    <w:rsid w:val="029A1AC3"/>
    <w:rsid w:val="02C95F7F"/>
    <w:rsid w:val="02E05818"/>
    <w:rsid w:val="03773C2D"/>
    <w:rsid w:val="040E2CA8"/>
    <w:rsid w:val="041D5163"/>
    <w:rsid w:val="04444DE3"/>
    <w:rsid w:val="04596941"/>
    <w:rsid w:val="04F96FF0"/>
    <w:rsid w:val="058C00A9"/>
    <w:rsid w:val="05A92782"/>
    <w:rsid w:val="05B60A3D"/>
    <w:rsid w:val="05B7390E"/>
    <w:rsid w:val="06574C3E"/>
    <w:rsid w:val="067708AA"/>
    <w:rsid w:val="06B036DE"/>
    <w:rsid w:val="06C6290B"/>
    <w:rsid w:val="06DB44D3"/>
    <w:rsid w:val="07E5268C"/>
    <w:rsid w:val="07F74CA0"/>
    <w:rsid w:val="085B3C3F"/>
    <w:rsid w:val="08B635D4"/>
    <w:rsid w:val="08CB2B63"/>
    <w:rsid w:val="08E006C7"/>
    <w:rsid w:val="08EC3632"/>
    <w:rsid w:val="08FA7E97"/>
    <w:rsid w:val="091349B5"/>
    <w:rsid w:val="0913638B"/>
    <w:rsid w:val="09737F40"/>
    <w:rsid w:val="099D5664"/>
    <w:rsid w:val="09FA364B"/>
    <w:rsid w:val="0A132AF7"/>
    <w:rsid w:val="0A5C592B"/>
    <w:rsid w:val="0AC97464"/>
    <w:rsid w:val="0AD57713"/>
    <w:rsid w:val="0ADB7197"/>
    <w:rsid w:val="0B005A06"/>
    <w:rsid w:val="0B287FBD"/>
    <w:rsid w:val="0B5F2AD8"/>
    <w:rsid w:val="0B726AE8"/>
    <w:rsid w:val="0B81391C"/>
    <w:rsid w:val="0B9E14B9"/>
    <w:rsid w:val="0C7D33CF"/>
    <w:rsid w:val="0CA279B5"/>
    <w:rsid w:val="0D2E35AF"/>
    <w:rsid w:val="0D7D462D"/>
    <w:rsid w:val="0E265A9B"/>
    <w:rsid w:val="0E892C00"/>
    <w:rsid w:val="0EFB3964"/>
    <w:rsid w:val="0F0C5B71"/>
    <w:rsid w:val="0F5D63CD"/>
    <w:rsid w:val="0FD34206"/>
    <w:rsid w:val="10323259"/>
    <w:rsid w:val="112C42A9"/>
    <w:rsid w:val="11AE08ED"/>
    <w:rsid w:val="11B00A36"/>
    <w:rsid w:val="11BC2E42"/>
    <w:rsid w:val="11CB5358"/>
    <w:rsid w:val="11D22F58"/>
    <w:rsid w:val="122B27B2"/>
    <w:rsid w:val="12584AF5"/>
    <w:rsid w:val="12B31987"/>
    <w:rsid w:val="13951C32"/>
    <w:rsid w:val="14390ED5"/>
    <w:rsid w:val="14771B24"/>
    <w:rsid w:val="147833CE"/>
    <w:rsid w:val="14A57C45"/>
    <w:rsid w:val="150712B5"/>
    <w:rsid w:val="155208DB"/>
    <w:rsid w:val="15FD23DC"/>
    <w:rsid w:val="160B7445"/>
    <w:rsid w:val="161D6440"/>
    <w:rsid w:val="16226049"/>
    <w:rsid w:val="165F0C7D"/>
    <w:rsid w:val="16E86EC4"/>
    <w:rsid w:val="16EA1D02"/>
    <w:rsid w:val="172A128B"/>
    <w:rsid w:val="17625842"/>
    <w:rsid w:val="183F7B72"/>
    <w:rsid w:val="18786643"/>
    <w:rsid w:val="18B4565B"/>
    <w:rsid w:val="18DF05DB"/>
    <w:rsid w:val="18F2207B"/>
    <w:rsid w:val="192E7BC6"/>
    <w:rsid w:val="19996254"/>
    <w:rsid w:val="19B40E22"/>
    <w:rsid w:val="19D11840"/>
    <w:rsid w:val="1A4603CF"/>
    <w:rsid w:val="1AA41354"/>
    <w:rsid w:val="1AD324ED"/>
    <w:rsid w:val="1C0B572D"/>
    <w:rsid w:val="1DC30FB3"/>
    <w:rsid w:val="1E42510C"/>
    <w:rsid w:val="1EA83595"/>
    <w:rsid w:val="1EC127F0"/>
    <w:rsid w:val="1ED750EE"/>
    <w:rsid w:val="1EFA1543"/>
    <w:rsid w:val="1F0376D3"/>
    <w:rsid w:val="1F36766A"/>
    <w:rsid w:val="1F3F3A0E"/>
    <w:rsid w:val="1F907F3D"/>
    <w:rsid w:val="1FAB37BD"/>
    <w:rsid w:val="2141475F"/>
    <w:rsid w:val="2156782B"/>
    <w:rsid w:val="21BC3427"/>
    <w:rsid w:val="23255780"/>
    <w:rsid w:val="23614286"/>
    <w:rsid w:val="236E69A3"/>
    <w:rsid w:val="23754881"/>
    <w:rsid w:val="23A2296B"/>
    <w:rsid w:val="23F03F77"/>
    <w:rsid w:val="242026A3"/>
    <w:rsid w:val="244A2F6C"/>
    <w:rsid w:val="24877D1C"/>
    <w:rsid w:val="250D5CE3"/>
    <w:rsid w:val="25E62821"/>
    <w:rsid w:val="25FC529D"/>
    <w:rsid w:val="266C26F1"/>
    <w:rsid w:val="26713DC1"/>
    <w:rsid w:val="26804A23"/>
    <w:rsid w:val="269F5A6C"/>
    <w:rsid w:val="27BF0E73"/>
    <w:rsid w:val="28B27332"/>
    <w:rsid w:val="28C273E7"/>
    <w:rsid w:val="29012154"/>
    <w:rsid w:val="2C475CE6"/>
    <w:rsid w:val="2CA9155E"/>
    <w:rsid w:val="2D672E14"/>
    <w:rsid w:val="2DD941CF"/>
    <w:rsid w:val="2F093873"/>
    <w:rsid w:val="2F5702EB"/>
    <w:rsid w:val="2FDE6C5E"/>
    <w:rsid w:val="2FF63FA8"/>
    <w:rsid w:val="30087837"/>
    <w:rsid w:val="300A455D"/>
    <w:rsid w:val="30345C63"/>
    <w:rsid w:val="30CD4789"/>
    <w:rsid w:val="3115392B"/>
    <w:rsid w:val="31781D58"/>
    <w:rsid w:val="31C003CA"/>
    <w:rsid w:val="332E25E8"/>
    <w:rsid w:val="33DC15AF"/>
    <w:rsid w:val="3570690E"/>
    <w:rsid w:val="35D5640E"/>
    <w:rsid w:val="36105698"/>
    <w:rsid w:val="36107446"/>
    <w:rsid w:val="36687282"/>
    <w:rsid w:val="371D3113"/>
    <w:rsid w:val="379141FB"/>
    <w:rsid w:val="37BB7A0B"/>
    <w:rsid w:val="38A07A0A"/>
    <w:rsid w:val="39916AF0"/>
    <w:rsid w:val="39A64349"/>
    <w:rsid w:val="3A1874EB"/>
    <w:rsid w:val="3A683CF4"/>
    <w:rsid w:val="3A9B346C"/>
    <w:rsid w:val="3AC84793"/>
    <w:rsid w:val="3B537F7B"/>
    <w:rsid w:val="3B780251"/>
    <w:rsid w:val="3C3A521C"/>
    <w:rsid w:val="3C9D24B3"/>
    <w:rsid w:val="3CB560C9"/>
    <w:rsid w:val="3DE25B6C"/>
    <w:rsid w:val="3EA7613F"/>
    <w:rsid w:val="3F12182B"/>
    <w:rsid w:val="3F4E170B"/>
    <w:rsid w:val="3F5E6B71"/>
    <w:rsid w:val="3F7551FE"/>
    <w:rsid w:val="3F841CFC"/>
    <w:rsid w:val="3FD55988"/>
    <w:rsid w:val="3FDA7339"/>
    <w:rsid w:val="40AC19E7"/>
    <w:rsid w:val="40B44877"/>
    <w:rsid w:val="40F57964"/>
    <w:rsid w:val="419D24D5"/>
    <w:rsid w:val="41AE1ACA"/>
    <w:rsid w:val="423743B7"/>
    <w:rsid w:val="423A2E30"/>
    <w:rsid w:val="429338D8"/>
    <w:rsid w:val="43731612"/>
    <w:rsid w:val="438557E6"/>
    <w:rsid w:val="43AE4585"/>
    <w:rsid w:val="4420554D"/>
    <w:rsid w:val="449C68A9"/>
    <w:rsid w:val="4504286C"/>
    <w:rsid w:val="45773C8C"/>
    <w:rsid w:val="45FA5F54"/>
    <w:rsid w:val="461F5BAF"/>
    <w:rsid w:val="46C6602A"/>
    <w:rsid w:val="47511279"/>
    <w:rsid w:val="479563D8"/>
    <w:rsid w:val="47B65431"/>
    <w:rsid w:val="47BE31A6"/>
    <w:rsid w:val="47DB78B4"/>
    <w:rsid w:val="480F3A01"/>
    <w:rsid w:val="48733E61"/>
    <w:rsid w:val="49663AF5"/>
    <w:rsid w:val="49EF03EB"/>
    <w:rsid w:val="4A1C3426"/>
    <w:rsid w:val="4A590F64"/>
    <w:rsid w:val="4A6E2671"/>
    <w:rsid w:val="4A980B2A"/>
    <w:rsid w:val="4AC0217E"/>
    <w:rsid w:val="4B255FC2"/>
    <w:rsid w:val="4BCF3B3E"/>
    <w:rsid w:val="4BD31D63"/>
    <w:rsid w:val="4C115F9A"/>
    <w:rsid w:val="4C25342A"/>
    <w:rsid w:val="4CD32AA9"/>
    <w:rsid w:val="4DF85023"/>
    <w:rsid w:val="4E1C0E16"/>
    <w:rsid w:val="4E2D31BC"/>
    <w:rsid w:val="4E453CD9"/>
    <w:rsid w:val="4E767C4F"/>
    <w:rsid w:val="4E9C5433"/>
    <w:rsid w:val="4EEA363B"/>
    <w:rsid w:val="4FB3100D"/>
    <w:rsid w:val="4FDC5219"/>
    <w:rsid w:val="50593A6B"/>
    <w:rsid w:val="509E1DC6"/>
    <w:rsid w:val="50A429EA"/>
    <w:rsid w:val="5138757D"/>
    <w:rsid w:val="51864C33"/>
    <w:rsid w:val="51E8700C"/>
    <w:rsid w:val="523F23BD"/>
    <w:rsid w:val="52B63270"/>
    <w:rsid w:val="536D491A"/>
    <w:rsid w:val="53A14B90"/>
    <w:rsid w:val="53CC4AFE"/>
    <w:rsid w:val="54252ED2"/>
    <w:rsid w:val="54405A9C"/>
    <w:rsid w:val="551B39E5"/>
    <w:rsid w:val="55241FDB"/>
    <w:rsid w:val="553172CD"/>
    <w:rsid w:val="55425416"/>
    <w:rsid w:val="55F25012"/>
    <w:rsid w:val="567A0BDF"/>
    <w:rsid w:val="57204ECB"/>
    <w:rsid w:val="57DC5DAB"/>
    <w:rsid w:val="5882708A"/>
    <w:rsid w:val="58B16D95"/>
    <w:rsid w:val="58CC19AE"/>
    <w:rsid w:val="58DD2056"/>
    <w:rsid w:val="58DF7F5B"/>
    <w:rsid w:val="59245C84"/>
    <w:rsid w:val="59351AEA"/>
    <w:rsid w:val="599124C8"/>
    <w:rsid w:val="5A0E5881"/>
    <w:rsid w:val="5A186745"/>
    <w:rsid w:val="5A272E2C"/>
    <w:rsid w:val="5B0A40C7"/>
    <w:rsid w:val="5B544A6B"/>
    <w:rsid w:val="5B6877E6"/>
    <w:rsid w:val="5BD963A8"/>
    <w:rsid w:val="5BDE576D"/>
    <w:rsid w:val="5C2F421A"/>
    <w:rsid w:val="5C757402"/>
    <w:rsid w:val="5D3F1493"/>
    <w:rsid w:val="5D5F0C17"/>
    <w:rsid w:val="5DBE7604"/>
    <w:rsid w:val="5E451AD3"/>
    <w:rsid w:val="5EDB41E5"/>
    <w:rsid w:val="5F335DCF"/>
    <w:rsid w:val="5F6B7317"/>
    <w:rsid w:val="5F814B9F"/>
    <w:rsid w:val="5F9B533E"/>
    <w:rsid w:val="5FDA2475"/>
    <w:rsid w:val="60137700"/>
    <w:rsid w:val="601A4D49"/>
    <w:rsid w:val="603D7C1F"/>
    <w:rsid w:val="60423D1A"/>
    <w:rsid w:val="60745B43"/>
    <w:rsid w:val="60805044"/>
    <w:rsid w:val="608A1A1F"/>
    <w:rsid w:val="60987E01"/>
    <w:rsid w:val="60BF7F14"/>
    <w:rsid w:val="60F0335E"/>
    <w:rsid w:val="611B6B1B"/>
    <w:rsid w:val="6162509E"/>
    <w:rsid w:val="61F52EFD"/>
    <w:rsid w:val="61F83BB0"/>
    <w:rsid w:val="62056A62"/>
    <w:rsid w:val="626A73B3"/>
    <w:rsid w:val="62885791"/>
    <w:rsid w:val="638E55D2"/>
    <w:rsid w:val="63C4031D"/>
    <w:rsid w:val="63C4349A"/>
    <w:rsid w:val="63E328F0"/>
    <w:rsid w:val="64616BBC"/>
    <w:rsid w:val="64E6118A"/>
    <w:rsid w:val="64F47155"/>
    <w:rsid w:val="6548189E"/>
    <w:rsid w:val="65525FCE"/>
    <w:rsid w:val="65A417D5"/>
    <w:rsid w:val="6615670E"/>
    <w:rsid w:val="66302C47"/>
    <w:rsid w:val="665D15A1"/>
    <w:rsid w:val="665D4972"/>
    <w:rsid w:val="6679056C"/>
    <w:rsid w:val="671D5C54"/>
    <w:rsid w:val="686A13AA"/>
    <w:rsid w:val="68CF0B00"/>
    <w:rsid w:val="69513A22"/>
    <w:rsid w:val="69CA794D"/>
    <w:rsid w:val="6AC52575"/>
    <w:rsid w:val="6AEF29F4"/>
    <w:rsid w:val="6C164AAF"/>
    <w:rsid w:val="6CEF2BC5"/>
    <w:rsid w:val="6DA305C4"/>
    <w:rsid w:val="6E4263B6"/>
    <w:rsid w:val="6E6B59E2"/>
    <w:rsid w:val="6F516E13"/>
    <w:rsid w:val="6F8F6421"/>
    <w:rsid w:val="6F914B78"/>
    <w:rsid w:val="6FCA008A"/>
    <w:rsid w:val="70333C72"/>
    <w:rsid w:val="705B5B1D"/>
    <w:rsid w:val="70EA2DFD"/>
    <w:rsid w:val="71C873BC"/>
    <w:rsid w:val="71F445C6"/>
    <w:rsid w:val="72226E86"/>
    <w:rsid w:val="72340A93"/>
    <w:rsid w:val="7265409A"/>
    <w:rsid w:val="72D43E51"/>
    <w:rsid w:val="730D6C0C"/>
    <w:rsid w:val="73633672"/>
    <w:rsid w:val="7480340D"/>
    <w:rsid w:val="74901E63"/>
    <w:rsid w:val="74A92964"/>
    <w:rsid w:val="74ED25B2"/>
    <w:rsid w:val="74F55321"/>
    <w:rsid w:val="758D767A"/>
    <w:rsid w:val="75A0287C"/>
    <w:rsid w:val="764A68F5"/>
    <w:rsid w:val="768F78B4"/>
    <w:rsid w:val="769A6A08"/>
    <w:rsid w:val="76FE7545"/>
    <w:rsid w:val="77005CD5"/>
    <w:rsid w:val="7718236A"/>
    <w:rsid w:val="771A482C"/>
    <w:rsid w:val="77536C55"/>
    <w:rsid w:val="77552028"/>
    <w:rsid w:val="78CC09CF"/>
    <w:rsid w:val="796523E8"/>
    <w:rsid w:val="79B26B2C"/>
    <w:rsid w:val="79C45B4A"/>
    <w:rsid w:val="79F91226"/>
    <w:rsid w:val="7A6E3E85"/>
    <w:rsid w:val="7AD77553"/>
    <w:rsid w:val="7B0F7299"/>
    <w:rsid w:val="7BC953E0"/>
    <w:rsid w:val="7CA447A3"/>
    <w:rsid w:val="7CD065F5"/>
    <w:rsid w:val="7CD833D7"/>
    <w:rsid w:val="7D124E1E"/>
    <w:rsid w:val="7D5E0064"/>
    <w:rsid w:val="7D827EEF"/>
    <w:rsid w:val="7DDA4D7B"/>
    <w:rsid w:val="7E5A082B"/>
    <w:rsid w:val="7EA85A3A"/>
    <w:rsid w:val="7F5E7F3E"/>
    <w:rsid w:val="7F7A34DD"/>
    <w:rsid w:val="7FA97CBC"/>
    <w:rsid w:val="7FB56661"/>
    <w:rsid w:val="7FBA4761"/>
    <w:rsid w:val="7FBB79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1446" w:firstLineChars="200"/>
      <w:jc w:val="both"/>
    </w:pPr>
    <w:rPr>
      <w:rFonts w:ascii="Times New Roman" w:hAnsi="Times New Roman" w:eastAsia="宋体" w:cs="Times New Roman"/>
      <w:kern w:val="2"/>
      <w:sz w:val="24"/>
      <w:szCs w:val="21"/>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qFormat/>
    <w:uiPriority w:val="9"/>
    <w:pPr>
      <w:keepNext/>
      <w:keepLines/>
      <w:widowControl w:val="0"/>
      <w:numPr>
        <w:ilvl w:val="1"/>
        <w:numId w:val="1"/>
      </w:numPr>
      <w:spacing w:line="360" w:lineRule="auto"/>
      <w:ind w:left="575" w:leftChars="0" w:right="0" w:rightChars="0" w:hanging="575" w:firstLineChars="0"/>
      <w:jc w:val="both"/>
      <w:outlineLvl w:val="1"/>
    </w:pPr>
    <w:rPr>
      <w:rFonts w:ascii="Times New Roman" w:hAnsi="Times New Roman" w:eastAsia="宋体" w:cs="Times New Roman"/>
      <w:b/>
      <w:bCs/>
      <w:kern w:val="0"/>
      <w:sz w:val="28"/>
      <w:szCs w:val="32"/>
      <w:lang w:val="en-US" w:eastAsia="zh-CN" w:bidi="ar-SA"/>
    </w:rPr>
  </w:style>
  <w:style w:type="paragraph" w:styleId="6">
    <w:name w:val="heading 3"/>
    <w:basedOn w:val="1"/>
    <w:next w:val="1"/>
    <w:qFormat/>
    <w:uiPriority w:val="9"/>
    <w:pPr>
      <w:keepNext/>
      <w:keepLines/>
      <w:widowControl w:val="0"/>
      <w:numPr>
        <w:ilvl w:val="2"/>
        <w:numId w:val="1"/>
      </w:numPr>
      <w:spacing w:line="360" w:lineRule="auto"/>
      <w:ind w:firstLine="1440" w:firstLineChars="0"/>
      <w:jc w:val="both"/>
      <w:outlineLvl w:val="2"/>
    </w:pPr>
    <w:rPr>
      <w:rFonts w:ascii="Times New Roman" w:hAnsi="Times New Roman" w:eastAsia="宋体" w:cs="Times New Roman"/>
      <w:b/>
      <w:bCs/>
      <w:kern w:val="2"/>
      <w:sz w:val="24"/>
      <w:szCs w:val="32"/>
      <w:lang w:val="en-US" w:eastAsia="zh-CN" w:bidi="ar-SA"/>
    </w:rPr>
  </w:style>
  <w:style w:type="paragraph" w:styleId="7">
    <w:name w:val="heading 4"/>
    <w:next w:val="1"/>
    <w:qFormat/>
    <w:uiPriority w:val="0"/>
    <w:pPr>
      <w:keepNext/>
      <w:keepLines/>
      <w:widowControl w:val="0"/>
      <w:numPr>
        <w:ilvl w:val="3"/>
        <w:numId w:val="1"/>
      </w:numPr>
      <w:spacing w:beforeLines="0" w:beforeAutospacing="0" w:afterLines="0" w:afterAutospacing="0" w:line="360" w:lineRule="auto"/>
      <w:ind w:left="864" w:hanging="864" w:firstLineChars="0"/>
      <w:jc w:val="both"/>
      <w:outlineLvl w:val="3"/>
    </w:pPr>
    <w:rPr>
      <w:rFonts w:ascii="Times New Roman" w:hAnsi="Times New Roman" w:eastAsia="宋体" w:cs="Times New Roman"/>
      <w:b/>
      <w:kern w:val="2"/>
      <w:sz w:val="24"/>
      <w:szCs w:val="24"/>
      <w:lang w:val="en-US" w:eastAsia="zh-CN" w:bidi="ar-SA"/>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customStyle="1" w:styleId="2">
    <w:name w:val="guo-正文缩进2"/>
    <w:basedOn w:val="3"/>
    <w:autoRedefine/>
    <w:qFormat/>
    <w:uiPriority w:val="0"/>
    <w:pPr>
      <w:tabs>
        <w:tab w:val="left" w:pos="1021"/>
      </w:tabs>
      <w:ind w:firstLine="562"/>
    </w:pPr>
  </w:style>
  <w:style w:type="paragraph" w:customStyle="1" w:styleId="3">
    <w:name w:val="guo-正文不缩进"/>
    <w:basedOn w:val="1"/>
    <w:autoRedefine/>
    <w:qFormat/>
    <w:uiPriority w:val="0"/>
    <w:pPr>
      <w:tabs>
        <w:tab w:val="left" w:pos="1021"/>
      </w:tabs>
      <w:ind w:firstLine="0"/>
    </w:pPr>
  </w:style>
  <w:style w:type="paragraph" w:styleId="8">
    <w:name w:val="caption"/>
    <w:next w:val="1"/>
    <w:qFormat/>
    <w:uiPriority w:val="0"/>
    <w:pPr>
      <w:widowControl w:val="0"/>
      <w:spacing w:beforeLines="30" w:line="240" w:lineRule="auto"/>
      <w:ind w:firstLine="0" w:firstLineChars="0"/>
      <w:jc w:val="center"/>
    </w:pPr>
    <w:rPr>
      <w:rFonts w:ascii="Times New Roman" w:hAnsi="Times New Roman" w:eastAsia="宋体" w:cs="Times New Roman"/>
      <w:b/>
      <w:color w:val="000000"/>
      <w:kern w:val="2"/>
      <w:sz w:val="24"/>
      <w:szCs w:val="21"/>
      <w:lang w:val="en-US" w:eastAsia="zh-CN" w:bidi="ar-SA"/>
    </w:rPr>
  </w:style>
  <w:style w:type="paragraph" w:styleId="9">
    <w:name w:val="annotation text"/>
    <w:basedOn w:val="1"/>
    <w:qFormat/>
    <w:uiPriority w:val="0"/>
    <w:pPr>
      <w:jc w:val="left"/>
    </w:pPr>
  </w:style>
  <w:style w:type="paragraph" w:styleId="10">
    <w:name w:val="Body Text"/>
    <w:basedOn w:val="1"/>
    <w:qFormat/>
    <w:uiPriority w:val="0"/>
    <w:pPr>
      <w:widowControl/>
      <w:snapToGrid w:val="0"/>
      <w:spacing w:before="60" w:after="160" w:line="259" w:lineRule="auto"/>
      <w:ind w:right="113"/>
    </w:pPr>
    <w:rPr>
      <w:kern w:val="0"/>
      <w:sz w:val="18"/>
      <w:szCs w:val="20"/>
    </w:rPr>
  </w:style>
  <w:style w:type="paragraph" w:styleId="11">
    <w:name w:val="Body Text Indent"/>
    <w:basedOn w:val="1"/>
    <w:next w:val="1"/>
    <w:qFormat/>
    <w:uiPriority w:val="0"/>
    <w:pPr>
      <w:widowControl w:val="0"/>
      <w:spacing w:line="640" w:lineRule="exact"/>
      <w:ind w:firstLine="567"/>
      <w:jc w:val="both"/>
    </w:pPr>
    <w:rPr>
      <w:rFonts w:ascii="Times New Roman" w:hAnsi="Times New Roman" w:eastAsia="宋体" w:cs="Times New Roman"/>
      <w:kern w:val="2"/>
      <w:sz w:val="28"/>
      <w:szCs w:val="20"/>
      <w:lang w:val="en-US" w:eastAsia="zh-CN" w:bidi="ar-SA"/>
    </w:rPr>
  </w:style>
  <w:style w:type="paragraph" w:styleId="12">
    <w:name w:val="List Bullet 2"/>
    <w:basedOn w:val="1"/>
    <w:qFormat/>
    <w:uiPriority w:val="0"/>
    <w:pPr>
      <w:numPr>
        <w:ilvl w:val="0"/>
        <w:numId w:val="2"/>
      </w:numPr>
    </w:pPr>
  </w:style>
  <w:style w:type="paragraph" w:styleId="13">
    <w:name w:val="Plain Text"/>
    <w:basedOn w:val="1"/>
    <w:next w:val="1"/>
    <w:qFormat/>
    <w:uiPriority w:val="99"/>
    <w:pPr>
      <w:widowControl w:val="0"/>
      <w:ind w:firstLine="567"/>
      <w:jc w:val="both"/>
    </w:pPr>
    <w:rPr>
      <w:rFonts w:ascii="宋体" w:hAnsi="Courier New" w:eastAsia="宋体" w:cs="Times New Roman"/>
      <w:kern w:val="2"/>
      <w:sz w:val="21"/>
      <w:szCs w:val="21"/>
      <w:lang w:val="en-US" w:eastAsia="zh-CN" w:bidi="ar-SA"/>
    </w:rPr>
  </w:style>
  <w:style w:type="paragraph" w:styleId="14">
    <w:name w:val="Body Text Indent 2"/>
    <w:basedOn w:val="1"/>
    <w:qFormat/>
    <w:uiPriority w:val="0"/>
    <w:pPr>
      <w:spacing w:after="120" w:afterLines="0" w:line="480" w:lineRule="auto"/>
      <w:ind w:left="420" w:leftChars="200"/>
    </w:pPr>
  </w:style>
  <w:style w:type="paragraph" w:styleId="15">
    <w:name w:val="footer"/>
    <w:qFormat/>
    <w:uiPriority w:val="0"/>
    <w:pPr>
      <w:widowControl w:val="0"/>
      <w:tabs>
        <w:tab w:val="center" w:pos="4153"/>
        <w:tab w:val="right" w:pos="8306"/>
      </w:tabs>
      <w:snapToGrid w:val="0"/>
      <w:spacing w:line="360" w:lineRule="auto"/>
      <w:ind w:firstLine="1440" w:firstLineChars="200"/>
      <w:jc w:val="left"/>
    </w:pPr>
    <w:rPr>
      <w:rFonts w:ascii="Times New Roman" w:hAnsi="Times New Roman" w:eastAsia="宋体" w:cs="Times New Roman"/>
      <w:kern w:val="2"/>
      <w:sz w:val="18"/>
      <w:szCs w:val="18"/>
      <w:lang w:val="en-US" w:eastAsia="zh-CN" w:bidi="ar-SA"/>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next w:val="1"/>
    <w:qFormat/>
    <w:uiPriority w:val="39"/>
    <w:pPr>
      <w:widowControl w:val="0"/>
      <w:spacing w:line="360" w:lineRule="auto"/>
      <w:ind w:firstLine="0" w:firstLineChars="0"/>
      <w:jc w:val="both"/>
    </w:pPr>
    <w:rPr>
      <w:rFonts w:ascii="Times New Roman" w:hAnsi="Times New Roman" w:eastAsia="宋体" w:cs="Times New Roman"/>
      <w:kern w:val="2"/>
      <w:sz w:val="24"/>
      <w:szCs w:val="22"/>
      <w:lang w:val="en-US" w:eastAsia="zh-CN" w:bidi="ar-SA"/>
    </w:rPr>
  </w:style>
  <w:style w:type="paragraph" w:styleId="18">
    <w:name w:val="List"/>
    <w:basedOn w:val="1"/>
    <w:next w:val="1"/>
    <w:qFormat/>
    <w:uiPriority w:val="0"/>
    <w:pPr>
      <w:widowControl w:val="0"/>
      <w:spacing w:before="0" w:after="0"/>
      <w:ind w:left="200" w:right="0" w:hanging="200" w:hangingChars="200"/>
      <w:jc w:val="both"/>
    </w:pPr>
    <w:rPr>
      <w:rFonts w:ascii="Times New Roman" w:hAnsi="Times New Roman" w:eastAsia="宋体" w:cs="Times New Roman"/>
      <w:kern w:val="2"/>
      <w:sz w:val="21"/>
      <w:szCs w:val="24"/>
      <w:lang w:val="en-US" w:eastAsia="zh-CN" w:bidi="ar-SA"/>
    </w:rPr>
  </w:style>
  <w:style w:type="paragraph" w:styleId="19">
    <w:name w:val="toc 2"/>
    <w:basedOn w:val="1"/>
    <w:next w:val="1"/>
    <w:qFormat/>
    <w:uiPriority w:val="0"/>
    <w:pPr>
      <w:widowControl w:val="0"/>
      <w:ind w:left="420" w:leftChars="200"/>
      <w:jc w:val="both"/>
    </w:pPr>
    <w:rPr>
      <w:rFonts w:ascii="Calibri" w:hAnsi="Calibri" w:eastAsia="宋体" w:cs="Times New Roman"/>
      <w:kern w:val="2"/>
      <w:sz w:val="21"/>
      <w:szCs w:val="21"/>
      <w:lang w:val="en-US" w:eastAsia="zh-CN" w:bidi="ar-SA"/>
    </w:rPr>
  </w:style>
  <w:style w:type="paragraph" w:styleId="20">
    <w:name w:val="Body Text 2"/>
    <w:qFormat/>
    <w:uiPriority w:val="0"/>
    <w:pPr>
      <w:widowControl w:val="0"/>
      <w:adjustRightInd w:val="0"/>
      <w:snapToGrid w:val="0"/>
      <w:spacing w:line="360" w:lineRule="auto"/>
      <w:jc w:val="both"/>
      <w:textAlignment w:val="baseline"/>
    </w:pPr>
    <w:rPr>
      <w:rFonts w:ascii="Times New Roman" w:hAnsi="Times New Roman" w:eastAsia="宋体" w:cs="Times New Roman"/>
      <w:kern w:val="2"/>
      <w:sz w:val="24"/>
      <w:szCs w:val="24"/>
      <w:lang w:val="en-US" w:eastAsia="zh-CN" w:bidi="ar-SA"/>
    </w:rPr>
  </w:style>
  <w:style w:type="paragraph" w:styleId="2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lang w:val="en-US" w:eastAsia="zh-CN" w:bidi="ar-SA"/>
    </w:rPr>
  </w:style>
  <w:style w:type="paragraph" w:styleId="22">
    <w:name w:val="Body Text First Indent"/>
    <w:basedOn w:val="10"/>
    <w:next w:val="23"/>
    <w:unhideWhenUsed/>
    <w:qFormat/>
    <w:uiPriority w:val="99"/>
    <w:pPr>
      <w:adjustRightInd w:val="0"/>
      <w:snapToGrid w:val="0"/>
      <w:spacing w:after="200" w:line="360" w:lineRule="auto"/>
      <w:ind w:firstLine="200" w:firstLineChars="200"/>
    </w:pPr>
    <w:rPr>
      <w:rFonts w:ascii="Tahoma" w:hAnsi="Tahoma" w:eastAsia="微软雅黑" w:cs="Times New Roman"/>
      <w:sz w:val="24"/>
      <w:szCs w:val="20"/>
      <w:lang w:val="en-US" w:eastAsia="zh-CN" w:bidi="ar-SA"/>
    </w:rPr>
  </w:style>
  <w:style w:type="paragraph" w:styleId="23">
    <w:name w:val="Body Text First Indent 2"/>
    <w:basedOn w:val="11"/>
    <w:next w:val="22"/>
    <w:qFormat/>
    <w:uiPriority w:val="0"/>
    <w:pPr>
      <w:widowControl w:val="0"/>
      <w:spacing w:line="640" w:lineRule="exact"/>
      <w:ind w:firstLine="420" w:firstLineChars="200"/>
      <w:jc w:val="both"/>
    </w:pPr>
    <w:rPr>
      <w:rFonts w:ascii="Times New Roman" w:hAnsi="Times New Roman" w:eastAsia="宋体" w:cs="Times New Roman"/>
      <w:kern w:val="2"/>
      <w:sz w:val="28"/>
      <w:szCs w:val="20"/>
      <w:lang w:val="en-US" w:eastAsia="zh-CN" w:bidi="ar-SA"/>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qFormat/>
    <w:uiPriority w:val="0"/>
    <w:rPr>
      <w:color w:val="0000FF"/>
      <w:u w:val="single"/>
    </w:rPr>
  </w:style>
  <w:style w:type="character" w:styleId="28">
    <w:name w:val="annotation reference"/>
    <w:qFormat/>
    <w:uiPriority w:val="99"/>
    <w:rPr>
      <w:sz w:val="21"/>
      <w:szCs w:val="21"/>
    </w:rPr>
  </w:style>
  <w:style w:type="paragraph" w:customStyle="1" w:styleId="29">
    <w:name w:val="表"/>
    <w:basedOn w:val="1"/>
    <w:qFormat/>
    <w:uiPriority w:val="0"/>
    <w:pPr>
      <w:snapToGrid w:val="0"/>
      <w:jc w:val="center"/>
    </w:pPr>
    <w:rPr>
      <w:spacing w:val="2"/>
      <w:szCs w:val="20"/>
    </w:rPr>
  </w:style>
  <w:style w:type="paragraph" w:customStyle="1" w:styleId="30">
    <w:name w:val="段"/>
    <w:next w:val="1"/>
    <w:autoRedefine/>
    <w:qFormat/>
    <w:uiPriority w:val="0"/>
    <w:pPr>
      <w:autoSpaceDE w:val="0"/>
      <w:autoSpaceDN w:val="0"/>
      <w:spacing w:line="360" w:lineRule="auto"/>
      <w:ind w:firstLine="200" w:firstLineChars="200"/>
      <w:jc w:val="both"/>
    </w:pPr>
    <w:rPr>
      <w:rFonts w:ascii="宋体" w:hAnsi="Calibri" w:eastAsia="宋体" w:cs="Times New Roman"/>
      <w:sz w:val="21"/>
      <w:lang w:val="en-US" w:eastAsia="zh-CN" w:bidi="ar-SA"/>
    </w:rPr>
  </w:style>
  <w:style w:type="paragraph" w:customStyle="1" w:styleId="31">
    <w:name w:val="xl27"/>
    <w:basedOn w:val="1"/>
    <w:qFormat/>
    <w:uiPriority w:val="0"/>
    <w:pPr>
      <w:widowControl/>
      <w:pBdr>
        <w:top w:val="single" w:color="auto" w:sz="4" w:space="0"/>
        <w:left w:val="single" w:color="auto" w:sz="8" w:space="0"/>
        <w:bottom w:val="single" w:color="auto" w:sz="4" w:space="0"/>
        <w:right w:val="single" w:color="auto" w:sz="4" w:space="0"/>
      </w:pBdr>
      <w:spacing w:beforeAutospacing="1" w:afterAutospacing="1"/>
      <w:jc w:val="center"/>
    </w:pPr>
    <w:rPr>
      <w:rFonts w:ascii="新宋体-18030" w:hAnsi="新宋体-18030" w:eastAsia="新宋体-18030" w:cs="新宋体-18030"/>
      <w:kern w:val="0"/>
    </w:rPr>
  </w:style>
  <w:style w:type="paragraph" w:customStyle="1" w:styleId="32">
    <w:name w:val="Default"/>
    <w:basedOn w:val="33"/>
    <w:next w:val="18"/>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33">
    <w:name w:val="纯文本1"/>
    <w:basedOn w:val="1"/>
    <w:next w:val="13"/>
    <w:qFormat/>
    <w:uiPriority w:val="0"/>
    <w:rPr>
      <w:rFonts w:hint="eastAsia" w:ascii="宋体" w:hAnsi="Courier New"/>
    </w:rPr>
  </w:style>
  <w:style w:type="paragraph" w:customStyle="1" w:styleId="34">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5">
    <w:name w:val="样式 标题 2 +"/>
    <w:qFormat/>
    <w:uiPriority w:val="0"/>
    <w:pPr>
      <w:keepNext/>
      <w:keepLines/>
      <w:widowControl w:val="0"/>
      <w:numPr>
        <w:ilvl w:val="1"/>
        <w:numId w:val="1"/>
      </w:numPr>
      <w:spacing w:line="240" w:lineRule="auto"/>
      <w:ind w:left="575" w:leftChars="0" w:right="0" w:rightChars="0" w:hanging="575" w:firstLineChars="0"/>
      <w:jc w:val="both"/>
      <w:outlineLvl w:val="1"/>
    </w:pPr>
    <w:rPr>
      <w:rFonts w:ascii="Times New Roman" w:hAnsi="Times New Roman" w:eastAsia="宋体" w:cs="Times New Roman"/>
      <w:b/>
      <w:bCs/>
      <w:kern w:val="2"/>
      <w:sz w:val="28"/>
      <w:szCs w:val="32"/>
      <w:lang w:val="en-US" w:eastAsia="zh-CN" w:bidi="ar-SA"/>
    </w:rPr>
  </w:style>
  <w:style w:type="paragraph" w:customStyle="1" w:styleId="36">
    <w:name w:val="表格内文字"/>
    <w:next w:val="1"/>
    <w:qFormat/>
    <w:uiPriority w:val="0"/>
    <w:pPr>
      <w:widowControl w:val="0"/>
      <w:tabs>
        <w:tab w:val="left" w:pos="0"/>
      </w:tabs>
      <w:adjustRightInd w:val="0"/>
      <w:snapToGrid w:val="0"/>
      <w:spacing w:line="240" w:lineRule="auto"/>
      <w:ind w:firstLine="0" w:firstLineChars="0"/>
      <w:jc w:val="center"/>
    </w:pPr>
    <w:rPr>
      <w:rFonts w:ascii="仿宋" w:hAnsi="Times New Roman" w:eastAsia="仿宋" w:cs="Times New Roman"/>
      <w:kern w:val="2"/>
      <w:sz w:val="24"/>
      <w:szCs w:val="24"/>
      <w:lang w:val="en-US" w:eastAsia="zh-CN" w:bidi="ar-SA"/>
    </w:rPr>
  </w:style>
  <w:style w:type="paragraph" w:customStyle="1" w:styleId="37">
    <w:name w:val="报告书正文"/>
    <w:qFormat/>
    <w:uiPriority w:val="0"/>
    <w:pPr>
      <w:widowControl w:val="0"/>
      <w:spacing w:line="300" w:lineRule="auto"/>
      <w:ind w:firstLine="200" w:firstLineChars="200"/>
      <w:jc w:val="both"/>
    </w:pPr>
    <w:rPr>
      <w:rFonts w:ascii="Calibri" w:hAnsi="Calibri" w:eastAsia="宋体" w:cs="Times New Roman"/>
      <w:kern w:val="2"/>
      <w:sz w:val="24"/>
      <w:szCs w:val="21"/>
      <w:lang w:val="en-US" w:eastAsia="zh-CN" w:bidi="ar-SA"/>
    </w:rPr>
  </w:style>
  <w:style w:type="paragraph" w:customStyle="1" w:styleId="38">
    <w:name w:val="aa正文aa"/>
    <w:qFormat/>
    <w:uiPriority w:val="0"/>
    <w:pPr>
      <w:widowControl w:val="0"/>
      <w:snapToGrid w:val="0"/>
      <w:spacing w:line="360" w:lineRule="auto"/>
      <w:ind w:firstLine="200" w:firstLineChars="200"/>
      <w:jc w:val="left"/>
      <w:textAlignment w:val="auto"/>
    </w:pPr>
    <w:rPr>
      <w:rFonts w:ascii="Times New Roman" w:hAnsi="Times New Roman" w:eastAsia="宋体" w:cs="Arial"/>
      <w:kern w:val="2"/>
      <w:sz w:val="24"/>
      <w:szCs w:val="24"/>
      <w:lang w:val="en-US" w:eastAsia="zh-CN" w:bidi="ar-SA"/>
    </w:rPr>
  </w:style>
  <w:style w:type="paragraph" w:customStyle="1" w:styleId="39">
    <w:name w:val="_Style 2"/>
    <w:qFormat/>
    <w:uiPriority w:val="0"/>
    <w:pPr>
      <w:widowControl w:val="0"/>
      <w:spacing w:line="380" w:lineRule="exact"/>
      <w:jc w:val="center"/>
    </w:pPr>
    <w:rPr>
      <w:rFonts w:ascii="Times New Roman" w:hAnsi="Times New Roman" w:eastAsia="宋体" w:cs="Times New Roman"/>
      <w:kern w:val="2"/>
      <w:sz w:val="21"/>
      <w:szCs w:val="22"/>
      <w:lang w:val="en-US" w:eastAsia="zh-CN" w:bidi="ar-SA"/>
    </w:rPr>
  </w:style>
  <w:style w:type="paragraph" w:customStyle="1" w:styleId="40">
    <w:name w:val="+"/>
    <w:link w:val="41"/>
    <w:qFormat/>
    <w:uiPriority w:val="0"/>
    <w:pPr>
      <w:widowControl w:val="0"/>
      <w:adjustRightInd w:val="0"/>
      <w:snapToGrid w:val="0"/>
      <w:spacing w:line="360" w:lineRule="auto"/>
      <w:ind w:firstLine="420" w:firstLineChars="200"/>
      <w:jc w:val="left"/>
    </w:pPr>
    <w:rPr>
      <w:rFonts w:ascii="Times New Roman" w:hAnsi="Times New Roman" w:eastAsia="宋体" w:cs="Times New Roman"/>
      <w:kern w:val="0"/>
      <w:sz w:val="24"/>
      <w:szCs w:val="24"/>
      <w:lang w:val="en-US" w:eastAsia="zh-CN" w:bidi="ar-SA"/>
    </w:rPr>
  </w:style>
  <w:style w:type="character" w:customStyle="1" w:styleId="41">
    <w:name w:val="+ Char"/>
    <w:link w:val="40"/>
    <w:qFormat/>
    <w:uiPriority w:val="0"/>
    <w:rPr>
      <w:rFonts w:ascii="Times New Roman" w:hAnsi="Times New Roman" w:eastAsia="宋体" w:cs="Times New Roman"/>
      <w:kern w:val="0"/>
      <w:sz w:val="24"/>
      <w:szCs w:val="24"/>
      <w:lang w:val="en-US" w:eastAsia="zh-CN" w:bidi="ar-SA"/>
    </w:rPr>
  </w:style>
  <w:style w:type="paragraph" w:customStyle="1" w:styleId="42">
    <w:name w:val="BT"/>
    <w:qFormat/>
    <w:uiPriority w:val="0"/>
    <w:pPr>
      <w:widowControl w:val="0"/>
      <w:adjustRightInd w:val="0"/>
      <w:snapToGrid w:val="0"/>
      <w:jc w:val="center"/>
    </w:pPr>
    <w:rPr>
      <w:rFonts w:ascii="Times New Roman" w:hAnsi="Times New Roman" w:eastAsia="宋体" w:cs="Times New Roman"/>
      <w:b/>
      <w:kern w:val="0"/>
      <w:sz w:val="24"/>
      <w:szCs w:val="20"/>
      <w:lang w:val="en-US" w:eastAsia="zh-CN" w:bidi="ar-SA"/>
    </w:rPr>
  </w:style>
  <w:style w:type="paragraph" w:customStyle="1" w:styleId="43">
    <w:name w:val="Table Paragraph"/>
    <w:qFormat/>
    <w:uiPriority w:val="1"/>
    <w:pPr>
      <w:widowControl w:val="0"/>
      <w:autoSpaceDE w:val="0"/>
      <w:autoSpaceDN w:val="0"/>
      <w:adjustRightInd w:val="0"/>
      <w:spacing w:line="240" w:lineRule="auto"/>
      <w:ind w:firstLine="0" w:firstLineChars="0"/>
      <w:jc w:val="left"/>
    </w:pPr>
    <w:rPr>
      <w:rFonts w:ascii="Times New Roman" w:hAnsi="Times New Roman" w:eastAsia="宋体" w:cs="Times New Roman"/>
      <w:kern w:val="0"/>
      <w:sz w:val="24"/>
      <w:szCs w:val="24"/>
      <w:lang w:val="en-US" w:eastAsia="zh-CN" w:bidi="ar-SA"/>
    </w:rPr>
  </w:style>
  <w:style w:type="paragraph" w:customStyle="1" w:styleId="44">
    <w:name w:val="表格"/>
    <w:basedOn w:val="45"/>
    <w:next w:val="1"/>
    <w:qFormat/>
    <w:uiPriority w:val="0"/>
    <w:pPr>
      <w:widowControl w:val="0"/>
      <w:tabs>
        <w:tab w:val="right" w:pos="0"/>
      </w:tabs>
      <w:adjustRightInd w:val="0"/>
      <w:snapToGrid w:val="0"/>
      <w:spacing w:beforeLines="10" w:afterLines="10" w:line="259" w:lineRule="auto"/>
      <w:jc w:val="center"/>
    </w:pPr>
    <w:rPr>
      <w:rFonts w:ascii="宋体" w:hAnsi="Times New Roman" w:eastAsia="宋体" w:cs="Times New Roman"/>
      <w:kern w:val="0"/>
      <w:sz w:val="21"/>
      <w:szCs w:val="20"/>
      <w:lang w:val="en-US" w:eastAsia="zh-CN" w:bidi="ar-SA"/>
    </w:rPr>
  </w:style>
  <w:style w:type="paragraph" w:customStyle="1" w:styleId="45">
    <w:name w:val="表题"/>
    <w:basedOn w:val="1"/>
    <w:qFormat/>
    <w:uiPriority w:val="0"/>
    <w:pPr>
      <w:tabs>
        <w:tab w:val="right" w:pos="0"/>
      </w:tabs>
      <w:adjustRightInd w:val="0"/>
      <w:snapToGrid w:val="0"/>
      <w:ind w:firstLine="0"/>
      <w:jc w:val="center"/>
    </w:pPr>
    <w:rPr>
      <w:rFonts w:ascii="宋体" w:hAnsi="宋体"/>
      <w:b/>
      <w:spacing w:val="12"/>
      <w:sz w:val="24"/>
      <w:szCs w:val="24"/>
    </w:rPr>
  </w:style>
  <w:style w:type="table" w:customStyle="1" w:styleId="46">
    <w:name w:val="网格型1"/>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font01"/>
    <w:basedOn w:val="26"/>
    <w:qFormat/>
    <w:uiPriority w:val="0"/>
    <w:rPr>
      <w:rFonts w:hint="default" w:ascii="Times New Roman" w:hAnsi="Times New Roman" w:cs="Times New Roman"/>
      <w:color w:val="000000"/>
      <w:sz w:val="22"/>
      <w:szCs w:val="22"/>
      <w:u w:val="none"/>
      <w:vertAlign w:val="superscript"/>
    </w:rPr>
  </w:style>
  <w:style w:type="paragraph" w:customStyle="1" w:styleId="48">
    <w:name w:val="正文1"/>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49">
    <w:name w:val="样式 小四 行距: 1.5 倍行距"/>
    <w:qFormat/>
    <w:uiPriority w:val="0"/>
    <w:pPr>
      <w:widowControl w:val="0"/>
      <w:ind w:firstLine="480" w:firstLineChars="200"/>
      <w:jc w:val="both"/>
    </w:pPr>
    <w:rPr>
      <w:rFonts w:hint="default" w:ascii="Times New Roman" w:hAnsi="Times New Roman" w:eastAsia="宋体" w:cs="宋体"/>
      <w:kern w:val="2"/>
      <w:sz w:val="24"/>
      <w:lang w:val="en-US" w:eastAsia="zh-CN" w:bidi="ar-SA"/>
    </w:rPr>
  </w:style>
  <w:style w:type="paragraph" w:customStyle="1" w:styleId="50">
    <w:name w:val="表标题"/>
    <w:next w:val="44"/>
    <w:qFormat/>
    <w:uiPriority w:val="0"/>
    <w:pPr>
      <w:widowControl w:val="0"/>
      <w:jc w:val="center"/>
    </w:pPr>
    <w:rPr>
      <w:rFonts w:ascii="Times New Roman" w:hAnsi="Times New Roman" w:eastAsia="宋体" w:cs="Times New Roman"/>
      <w:b/>
      <w:kern w:val="0"/>
      <w:sz w:val="20"/>
      <w:szCs w:val="20"/>
      <w:lang w:val="en-US" w:eastAsia="zh-CN" w:bidi="ar-SA"/>
    </w:rPr>
  </w:style>
  <w:style w:type="paragraph" w:customStyle="1" w:styleId="51">
    <w:name w:val="表头"/>
    <w:next w:val="44"/>
    <w:qFormat/>
    <w:uiPriority w:val="0"/>
    <w:pPr>
      <w:widowControl w:val="0"/>
      <w:adjustRightInd w:val="0"/>
      <w:snapToGrid w:val="0"/>
      <w:spacing w:line="240" w:lineRule="auto"/>
      <w:jc w:val="center"/>
      <w:textAlignment w:val="baseline"/>
    </w:pPr>
    <w:rPr>
      <w:rFonts w:ascii="Times New Roman" w:hAnsi="Times New Roman" w:eastAsia="宋体" w:cs="Times New Roman"/>
      <w:spacing w:val="-10"/>
      <w:kern w:val="0"/>
      <w:sz w:val="24"/>
      <w:szCs w:val="20"/>
      <w:lang w:val="en-US" w:eastAsia="zh-CN" w:bidi="ar-SA"/>
    </w:rPr>
  </w:style>
  <w:style w:type="paragraph" w:customStyle="1" w:styleId="52">
    <w:name w:val="样式 表格 32 + 首行缩进:  2 字符"/>
    <w:qFormat/>
    <w:uiPriority w:val="0"/>
    <w:pPr>
      <w:widowControl w:val="0"/>
      <w:autoSpaceDE w:val="0"/>
      <w:autoSpaceDN w:val="0"/>
      <w:adjustRightInd w:val="0"/>
      <w:spacing w:line="0" w:lineRule="atLeast"/>
      <w:jc w:val="center"/>
      <w:textAlignment w:val="baseline"/>
    </w:pPr>
    <w:rPr>
      <w:rFonts w:ascii="Times New Roman" w:hAnsi="Times New Roman" w:eastAsia="宋体" w:cs="宋体"/>
      <w:kern w:val="0"/>
      <w:sz w:val="21"/>
      <w:szCs w:val="21"/>
      <w:lang w:val="en-US" w:eastAsia="zh-CN" w:bidi="ar-SA"/>
    </w:rPr>
  </w:style>
  <w:style w:type="paragraph" w:customStyle="1" w:styleId="53">
    <w:name w:val="表格 32"/>
    <w:qFormat/>
    <w:uiPriority w:val="0"/>
    <w:pPr>
      <w:widowControl w:val="0"/>
      <w:autoSpaceDE w:val="0"/>
      <w:autoSpaceDN w:val="0"/>
      <w:adjustRightInd w:val="0"/>
      <w:jc w:val="center"/>
      <w:textAlignment w:val="baseline"/>
    </w:pPr>
    <w:rPr>
      <w:rFonts w:ascii="宋体" w:hAnsi="Impact" w:eastAsia="宋体" w:cs="Times New Roman"/>
      <w:kern w:val="24"/>
      <w:sz w:val="24"/>
      <w:szCs w:val="20"/>
      <w:lang w:val="en-US" w:eastAsia="zh-CN" w:bidi="ar-SA"/>
    </w:rPr>
  </w:style>
  <w:style w:type="character" w:customStyle="1" w:styleId="54">
    <w:name w:val="font31"/>
    <w:basedOn w:val="26"/>
    <w:qFormat/>
    <w:uiPriority w:val="0"/>
    <w:rPr>
      <w:rFonts w:hint="default" w:ascii="Times New Roman" w:hAnsi="Times New Roman" w:cs="Times New Roman"/>
      <w:color w:val="FF0000"/>
      <w:sz w:val="21"/>
      <w:szCs w:val="21"/>
      <w:u w:val="none"/>
      <w:vertAlign w:val="superscript"/>
    </w:rPr>
  </w:style>
  <w:style w:type="character" w:customStyle="1" w:styleId="55">
    <w:name w:val="font21"/>
    <w:basedOn w:val="26"/>
    <w:qFormat/>
    <w:uiPriority w:val="0"/>
    <w:rPr>
      <w:rFonts w:hint="default" w:ascii="Times New Roman" w:hAnsi="Times New Roman" w:cs="Times New Roman"/>
      <w:color w:val="FF0000"/>
      <w:sz w:val="21"/>
      <w:szCs w:val="21"/>
      <w:u w:val="none"/>
    </w:rPr>
  </w:style>
  <w:style w:type="character" w:customStyle="1" w:styleId="56">
    <w:name w:val="font11"/>
    <w:basedOn w:val="26"/>
    <w:qFormat/>
    <w:uiPriority w:val="0"/>
    <w:rPr>
      <w:rFonts w:hint="eastAsia" w:ascii="宋体" w:hAnsi="宋体" w:eastAsia="宋体" w:cs="宋体"/>
      <w:color w:val="FF0000"/>
      <w:sz w:val="21"/>
      <w:szCs w:val="21"/>
      <w:u w:val="none"/>
    </w:rPr>
  </w:style>
  <w:style w:type="paragraph" w:customStyle="1" w:styleId="57">
    <w:name w:val="表头 1"/>
    <w:next w:val="1"/>
    <w:qFormat/>
    <w:uiPriority w:val="0"/>
    <w:pPr>
      <w:widowControl w:val="0"/>
      <w:adjustRightInd w:val="0"/>
      <w:snapToGrid w:val="0"/>
      <w:jc w:val="center"/>
    </w:pPr>
    <w:rPr>
      <w:rFonts w:ascii="Times New Roman" w:hAnsi="Times New Roman" w:eastAsia="宋体" w:cs="Times New Roman"/>
      <w:b/>
      <w:kern w:val="2"/>
      <w:sz w:val="24"/>
      <w:szCs w:val="24"/>
      <w:lang w:val="en-US" w:eastAsia="zh-CN" w:bidi="ar-SA"/>
    </w:rPr>
  </w:style>
  <w:style w:type="paragraph" w:customStyle="1" w:styleId="58">
    <w:name w:val="表格字体"/>
    <w:qFormat/>
    <w:uiPriority w:val="0"/>
    <w:pPr>
      <w:widowControl w:val="0"/>
      <w:adjustRightInd w:val="0"/>
      <w:snapToGrid w:val="0"/>
      <w:spacing w:line="240" w:lineRule="exact"/>
      <w:jc w:val="center"/>
    </w:pPr>
    <w:rPr>
      <w:rFonts w:ascii="Times New Roman" w:hAnsi="Times New Roman" w:eastAsia="宋体" w:cs="Times New Roman"/>
      <w:kern w:val="2"/>
      <w:sz w:val="21"/>
      <w:szCs w:val="21"/>
      <w:lang w:val="en-US" w:eastAsia="zh-CN" w:bidi="ar-SA"/>
    </w:rPr>
  </w:style>
  <w:style w:type="paragraph" w:customStyle="1" w:styleId="59">
    <w:name w:val="表格字体1"/>
    <w:qFormat/>
    <w:uiPriority w:val="0"/>
    <w:pPr>
      <w:widowControl/>
      <w:adjustRightInd w:val="0"/>
      <w:snapToGrid w:val="0"/>
      <w:spacing w:before="48" w:beforeLines="20" w:after="48" w:afterLines="20"/>
      <w:jc w:val="center"/>
    </w:pPr>
    <w:rPr>
      <w:rFonts w:ascii="Times New Roman" w:hAnsi="Times New Roman" w:eastAsia="宋体" w:cs="Times New Roman"/>
      <w:color w:val="000000"/>
      <w:kern w:val="0"/>
      <w:sz w:val="21"/>
      <w:szCs w:val="21"/>
      <w:lang w:val="en-US" w:eastAsia="zh-CN" w:bidi="ar-SA"/>
    </w:rPr>
  </w:style>
  <w:style w:type="paragraph" w:customStyle="1" w:styleId="60">
    <w:name w:val="卓龙正文"/>
    <w:basedOn w:val="1"/>
    <w:qFormat/>
    <w:uiPriority w:val="0"/>
    <w:pPr>
      <w:spacing w:line="360" w:lineRule="auto"/>
      <w:ind w:firstLine="200" w:firstLineChars="200"/>
    </w:pPr>
    <w:rPr>
      <w:sz w:val="24"/>
      <w:szCs w:val="24"/>
    </w:rPr>
  </w:style>
  <w:style w:type="paragraph" w:customStyle="1" w:styleId="61">
    <w:name w:val="标准正文"/>
    <w:qFormat/>
    <w:uiPriority w:val="0"/>
    <w:pPr>
      <w:widowControl w:val="0"/>
      <w:adjustRightInd w:val="0"/>
      <w:snapToGrid w:val="0"/>
      <w:spacing w:line="540" w:lineRule="exact"/>
      <w:ind w:firstLine="480" w:firstLineChars="200"/>
      <w:jc w:val="both"/>
    </w:pPr>
    <w:rPr>
      <w:rFonts w:ascii="Times New Roman" w:hAnsi="Times New Roman" w:eastAsia="宋体" w:cs="Times New Roman"/>
      <w:bCs/>
      <w:kern w:val="2"/>
      <w:sz w:val="24"/>
      <w:szCs w:val="24"/>
      <w:lang w:val="en-US" w:eastAsia="zh-CN" w:bidi="ar-SA"/>
    </w:rPr>
  </w:style>
  <w:style w:type="paragraph" w:customStyle="1" w:styleId="62">
    <w:name w:val="ctrl+~  正文"/>
    <w:qFormat/>
    <w:uiPriority w:val="0"/>
    <w:pPr>
      <w:widowControl w:val="0"/>
      <w:spacing w:line="480" w:lineRule="exact"/>
      <w:ind w:firstLine="480" w:firstLineChars="200"/>
      <w:jc w:val="both"/>
    </w:pPr>
    <w:rPr>
      <w:rFonts w:ascii="Times New Roman" w:hAnsi="Times New Roman" w:eastAsia="Times New Roman" w:cs="Times New Roman"/>
      <w:kern w:val="2"/>
      <w:sz w:val="21"/>
      <w:szCs w:val="24"/>
      <w:lang w:val="en-US" w:eastAsia="zh-CN" w:bidi="ar-SA"/>
    </w:rPr>
  </w:style>
  <w:style w:type="paragraph" w:customStyle="1" w:styleId="63">
    <w:name w:val="表格文字"/>
    <w:basedOn w:val="1"/>
    <w:qFormat/>
    <w:uiPriority w:val="0"/>
    <w:pPr>
      <w:spacing w:line="240" w:lineRule="auto"/>
      <w:ind w:firstLine="0" w:firstLineChars="0"/>
      <w:jc w:val="center"/>
    </w:pPr>
    <w:rPr>
      <w:rFonts w:ascii="Times New Roman" w:hAnsi="Times New Roman"/>
      <w:sz w:val="21"/>
    </w:rPr>
  </w:style>
  <w:style w:type="paragraph" w:customStyle="1" w:styleId="64">
    <w:name w:val="表内-文字"/>
    <w:basedOn w:val="1"/>
    <w:qFormat/>
    <w:uiPriority w:val="99"/>
    <w:pPr>
      <w:spacing w:line="240" w:lineRule="auto"/>
      <w:ind w:firstLine="0" w:firstLineChars="0"/>
      <w:jc w:val="center"/>
    </w:pPr>
    <w:rPr>
      <w:rFonts w:ascii="Times New Roman" w:hAnsi="Times New Roman" w:cs="宋体"/>
      <w:bCs/>
      <w:color w:val="000000"/>
      <w:sz w:val="21"/>
      <w:szCs w:val="21"/>
    </w:rPr>
  </w:style>
  <w:style w:type="paragraph" w:customStyle="1" w:styleId="65">
    <w:name w:val="表格内容"/>
    <w:basedOn w:val="1"/>
    <w:qFormat/>
    <w:uiPriority w:val="0"/>
    <w:pPr>
      <w:widowControl/>
      <w:tabs>
        <w:tab w:val="left" w:pos="192"/>
      </w:tabs>
      <w:adjustRightInd w:val="0"/>
      <w:snapToGrid w:val="0"/>
      <w:spacing w:line="360" w:lineRule="exact"/>
      <w:jc w:val="center"/>
    </w:pPr>
    <w:rPr>
      <w:rFonts w:cs="宋体"/>
      <w:iCs/>
      <w:kern w:val="0"/>
      <w:sz w:val="20"/>
    </w:rPr>
  </w:style>
  <w:style w:type="paragraph" w:customStyle="1" w:styleId="66">
    <w:name w:val="Char Char1 Char"/>
    <w:basedOn w:val="1"/>
    <w:qFormat/>
    <w:uiPriority w:val="0"/>
    <w:rPr>
      <w:sz w:val="21"/>
    </w:rPr>
  </w:style>
  <w:style w:type="paragraph" w:customStyle="1" w:styleId="67">
    <w:name w:val="报告表表内容"/>
    <w:basedOn w:val="1"/>
    <w:qFormat/>
    <w:uiPriority w:val="0"/>
    <w:pPr>
      <w:spacing w:line="300" w:lineRule="exact"/>
      <w:ind w:firstLine="0" w:firstLineChars="0"/>
      <w:jc w:val="center"/>
    </w:pPr>
    <w:rPr>
      <w:rFonts w:ascii="宋体" w:hAnsi="宋体"/>
      <w:sz w:val="21"/>
    </w:rPr>
  </w:style>
  <w:style w:type="paragraph" w:customStyle="1" w:styleId="68">
    <w:name w:val="UserStyle_0"/>
    <w:qFormat/>
    <w:uiPriority w:val="0"/>
    <w:pPr>
      <w:widowControl w:val="0"/>
      <w:snapToGrid w:val="0"/>
      <w:spacing w:line="480" w:lineRule="exact"/>
      <w:jc w:val="both"/>
    </w:pPr>
    <w:rPr>
      <w:rFonts w:ascii="Calibri" w:hAnsi="Calibri" w:eastAsia="宋体" w:cs="Times New Roman"/>
      <w:kern w:val="2"/>
      <w:sz w:val="24"/>
      <w:szCs w:val="22"/>
      <w:lang w:val="en-US" w:eastAsia="zh-CN" w:bidi="ar-SA"/>
    </w:rPr>
  </w:style>
  <w:style w:type="table" w:customStyle="1" w:styleId="69">
    <w:name w:val="Table Normal"/>
    <w:autoRedefine/>
    <w:semiHidden/>
    <w:unhideWhenUsed/>
    <w:qFormat/>
    <w:uiPriority w:val="0"/>
    <w:tblPr>
      <w:tblCellMar>
        <w:top w:w="0" w:type="dxa"/>
        <w:left w:w="0" w:type="dxa"/>
        <w:bottom w:w="0" w:type="dxa"/>
        <w:right w:w="0" w:type="dxa"/>
      </w:tblCellMar>
    </w:tblPr>
  </w:style>
  <w:style w:type="paragraph" w:customStyle="1" w:styleId="70">
    <w:name w:val="reader-word-layer reader-word-s16-4"/>
    <w:qFormat/>
    <w:uiPriority w:val="0"/>
    <w:pPr>
      <w:widowControl/>
      <w:adjustRightInd w:val="0"/>
      <w:spacing w:before="100" w:beforeAutospacing="1" w:after="100" w:afterAutospacing="1" w:line="360" w:lineRule="atLeast"/>
      <w:jc w:val="left"/>
      <w:textAlignment w:val="baseline"/>
    </w:pPr>
    <w:rPr>
      <w:rFonts w:ascii="宋体" w:hAnsi="宋体" w:eastAsia="宋体" w:cs="宋体"/>
      <w:kern w:val="0"/>
      <w:sz w:val="24"/>
      <w:szCs w:val="24"/>
      <w:lang w:val="en-US" w:eastAsia="zh-CN" w:bidi="ar-SA"/>
    </w:rPr>
  </w:style>
  <w:style w:type="paragraph" w:customStyle="1" w:styleId="71">
    <w:name w:val="表 图 表头"/>
    <w:qFormat/>
    <w:uiPriority w:val="0"/>
    <w:pPr>
      <w:spacing w:line="480" w:lineRule="exact"/>
      <w:jc w:val="center"/>
    </w:pPr>
    <w:rPr>
      <w:rFonts w:ascii="Times New Roman" w:hAnsi="Times New Roman" w:eastAsia="宋体" w:cs="Times New Roman"/>
      <w:b/>
      <w:kern w:val="2"/>
      <w:sz w:val="24"/>
      <w:lang w:val="en-US" w:eastAsia="zh-CN" w:bidi="ar-SA"/>
    </w:rPr>
  </w:style>
  <w:style w:type="paragraph" w:customStyle="1" w:styleId="72">
    <w:name w:val="表 图 内容"/>
    <w:basedOn w:val="73"/>
    <w:qFormat/>
    <w:uiPriority w:val="0"/>
    <w:pPr>
      <w:jc w:val="center"/>
    </w:pPr>
    <w:rPr>
      <w:rFonts w:ascii="Calibri" w:hAnsi="宋体" w:eastAsia="宋体" w:cs="Times New Roman"/>
      <w:color w:val="000000"/>
      <w:sz w:val="21"/>
      <w:szCs w:val="24"/>
    </w:rPr>
  </w:style>
  <w:style w:type="paragraph" w:customStyle="1" w:styleId="73">
    <w:name w:val="正  文"/>
    <w:basedOn w:val="1"/>
    <w:qFormat/>
    <w:uiPriority w:val="0"/>
    <w:pPr>
      <w:spacing w:line="360" w:lineRule="auto"/>
      <w:ind w:firstLine="560" w:firstLineChars="200"/>
    </w:pPr>
    <w:rPr>
      <w:rFonts w:eastAsia="仿宋_GB2312"/>
      <w:sz w:val="28"/>
      <w:szCs w:val="28"/>
    </w:rPr>
  </w:style>
  <w:style w:type="paragraph" w:customStyle="1" w:styleId="74">
    <w:name w:val="正文（无网格）"/>
    <w:basedOn w:val="1"/>
    <w:qFormat/>
    <w:uiPriority w:val="0"/>
    <w:pPr>
      <w:adjustRightInd w:val="0"/>
      <w:snapToGrid w:val="0"/>
      <w:spacing w:line="360" w:lineRule="auto"/>
      <w:ind w:firstLine="480" w:firstLineChars="200"/>
    </w:pPr>
    <w:rPr>
      <w:rFonts w:ascii="Calibri" w:hAnsi="Calibri" w:cs="宋体"/>
      <w:sz w:val="24"/>
      <w:szCs w:val="20"/>
    </w:rPr>
  </w:style>
  <w:style w:type="character" w:customStyle="1" w:styleId="75">
    <w:name w:val="fontstyle01"/>
    <w:basedOn w:val="26"/>
    <w:qFormat/>
    <w:uiPriority w:val="0"/>
    <w:rPr>
      <w:rFonts w:hint="eastAsia" w:ascii="宋体" w:hAnsi="宋体" w:eastAsia="宋体" w:cs="宋体"/>
      <w:color w:val="000000"/>
      <w:sz w:val="24"/>
      <w:szCs w:val="24"/>
    </w:rPr>
  </w:style>
  <w:style w:type="paragraph" w:customStyle="1" w:styleId="76">
    <w:name w:val="Table Text"/>
    <w:basedOn w:val="1"/>
    <w:autoRedefine/>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emf"/><Relationship Id="rId13" Type="http://schemas.openxmlformats.org/officeDocument/2006/relationships/oleObject" Target="embeddings/oleObject1.bin"/><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gyNTk4ODIwMzM5IiwKCSJHcm91cElkIiA6ICI2ODYyMTI1MTQiLAoJIkltYWdlIiA6ICJpVkJPUncwS0dnb0FBQUFOU1VoRVVnQUFCVHdBQUFQcUNBWUFBQUMrSkpDZkFBQUFBWE5TUjBJQXJzNGM2UUFBSUFCSlJFRlVlSnpzM1hsZ1ZOWDk5L0hQbVMwcklRbUo3QkIyREpCa0VqZHFWYlNXeXFPaXRsWXJMbFRxdnJTS0M3SW9XbEMwRlFVRkJmZDlseXJWYXExTC9WV3JpTW1FUlRaUlVDbEVDU1JBSUpsa1pzN3pCeVJDU0NBQndwMk03OWMvemR4N3pybWZnekUyWDg2NVJ3S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VZnSDNaUldIY2V1czZnQUFBQUJKUlU1RXJrSmdnZz09IiwKCSJUaGVtZSIgOiAiIiwKCSJUeXBlIiA6ICJmbG93IiwKCSJVc2VySWQiIDogIjYwNzA5NTI4NSIsCgkiVmVyc2lvbiIgOiAiMTYiCn0K"/>
    </extobj>
    <extobj name="ECB019B1-382A-4266-B25C-5B523AA43C14-2">
      <extobjdata type="ECB019B1-382A-4266-B25C-5B523AA43C14" data="ewoJIkZpbGVJZCIgOiAiMzgzMjM4NzQxNzQ1IiwKCSJHcm91cElkIiA6ICI2ODYyMTI1MTQiLAoJIkltYWdlIiA6ICJpVkJPUncwS0dnb0FBQUFOU1VoRVVnQUFCbEVBQUFMUkNBWUFBQURMRllXRUFBQUFBWE5TUjBJQXJzNGM2UUFBSUFCSlJFRlVlSnpzM1hkOFZGWCsvL0gzdVpPUVVBMFFSQUVWRlVVcHljd0FsbFhFaW9wZEYyeTdycUtpcm9wckFRRmhVZnpaTzRvaUNpcUtpTENXdFdHWG9pNWlacEtReENDSW9IU0NCb2lremoyL1A1TEpkNUpNR2hJRzlQVjhQSGdrYzArNW56dGt1T1I4N2psSEFn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NRGo3ZjhETStIRlkwVTlzcUlBQUFBQVNVVk9SSzVDWUlJPSIsCgkiVGhlbWUiIDogIiIsCgkiVHlwZSIgOiAiZmxvdyIsCgkiVXNlcklkIiA6ICI2MDcwOTUyODUiLAoJIlZlcnNpb24iIDogIjQ1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124</Words>
  <Characters>151</Characters>
  <Lines>0</Lines>
  <Paragraphs>0</Paragraphs>
  <TotalTime>0</TotalTime>
  <ScaleCrop>false</ScaleCrop>
  <LinksUpToDate>false</LinksUpToDate>
  <CharactersWithSpaces>159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2021-03-08T00:56:00Z</dcterms:created>
  <dc:creator>HP</dc:creator>
  <cp:lastModifiedBy>zey</cp:lastModifiedBy>
  <dcterms:modified xsi:type="dcterms:W3CDTF">2025-04-29T06:20:00Z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B68A65F85ED94045A28184DBDF8A710A_13</vt:lpwstr>
  </property>
  <property fmtid="{D5CDD505-2E9C-101B-9397-08002B2CF9AE}" pid="4" name="KSOTemplateDocerSaveRecord">
    <vt:lpwstr>eyJoZGlkIjoiYTM0Y2NlODBhY2JjMjQ4OGNkNmQ2MWU2OWNmYzZmMzMiLCJ1c2VySWQiOiI2MDcwOTUyODUifQ==</vt:lpwstr>
  </property>
</Properties>
</file>