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82E91">
      <w:pPr>
        <w:jc w:val="center"/>
        <w:outlineLvl w:val="9"/>
        <w:rPr>
          <w:rFonts w:hint="default" w:ascii="Times New Roman" w:hAnsi="Times New Roman" w:eastAsia="宋体" w:cs="Times New Roman"/>
          <w:bCs/>
          <w:color w:val="000000"/>
          <w:sz w:val="72"/>
          <w:szCs w:val="72"/>
        </w:rPr>
      </w:pPr>
      <w:bookmarkStart w:id="0" w:name="_Toc8537"/>
      <w:bookmarkStart w:id="1" w:name="_Toc10039"/>
      <w:bookmarkStart w:id="2" w:name="_Toc9439"/>
      <w:bookmarkStart w:id="3" w:name="_Toc16521"/>
    </w:p>
    <w:p w14:paraId="214C6AB3">
      <w:pPr>
        <w:jc w:val="center"/>
        <w:outlineLvl w:val="9"/>
        <w:rPr>
          <w:rFonts w:hint="default" w:ascii="Times New Roman" w:hAnsi="Times New Roman" w:eastAsia="宋体" w:cs="Times New Roman"/>
          <w:bCs/>
          <w:color w:val="000000"/>
          <w:sz w:val="72"/>
          <w:szCs w:val="72"/>
        </w:rPr>
      </w:pPr>
    </w:p>
    <w:p w14:paraId="6802E23F">
      <w:pPr>
        <w:jc w:val="center"/>
        <w:outlineLvl w:val="9"/>
        <w:rPr>
          <w:rFonts w:hint="default" w:ascii="Times New Roman" w:hAnsi="Times New Roman" w:eastAsia="宋体" w:cs="Times New Roman"/>
          <w:bCs/>
          <w:color w:val="000000"/>
          <w:sz w:val="72"/>
          <w:szCs w:val="72"/>
        </w:rPr>
      </w:pPr>
    </w:p>
    <w:p w14:paraId="289CD6B7">
      <w:pPr>
        <w:jc w:val="center"/>
        <w:outlineLvl w:val="9"/>
        <w:rPr>
          <w:rFonts w:hint="default" w:ascii="Times New Roman" w:hAnsi="Times New Roman" w:eastAsia="宋体" w:cs="Times New Roman"/>
          <w:bCs/>
          <w:color w:val="000000"/>
          <w:sz w:val="72"/>
          <w:szCs w:val="72"/>
        </w:rPr>
      </w:pPr>
      <w:bookmarkStart w:id="4" w:name="_Toc1092"/>
      <w:r>
        <w:rPr>
          <w:rFonts w:hint="default" w:ascii="Times New Roman" w:hAnsi="Times New Roman" w:eastAsia="宋体" w:cs="Times New Roman"/>
          <w:bCs/>
          <w:color w:val="000000"/>
          <w:sz w:val="72"/>
          <w:szCs w:val="72"/>
        </w:rPr>
        <w:t>建设项目环境影响报告表</w:t>
      </w:r>
      <w:bookmarkEnd w:id="0"/>
      <w:bookmarkEnd w:id="1"/>
      <w:bookmarkEnd w:id="2"/>
      <w:bookmarkEnd w:id="3"/>
      <w:bookmarkEnd w:id="4"/>
    </w:p>
    <w:p w14:paraId="077CDF57">
      <w:pPr>
        <w:jc w:val="center"/>
        <w:rPr>
          <w:rFonts w:hint="default" w:ascii="Times New Roman" w:hAnsi="Times New Roman" w:eastAsia="宋体" w:cs="Times New Roman"/>
          <w:bCs/>
          <w:color w:val="000000"/>
          <w:sz w:val="48"/>
          <w:szCs w:val="48"/>
        </w:rPr>
      </w:pPr>
      <w:r>
        <w:rPr>
          <w:rFonts w:hint="default" w:ascii="Times New Roman" w:hAnsi="Times New Roman" w:eastAsia="宋体" w:cs="Times New Roman"/>
          <w:bCs/>
          <w:color w:val="000000"/>
          <w:sz w:val="48"/>
          <w:szCs w:val="48"/>
        </w:rPr>
        <w:t>（污染影响类）</w:t>
      </w:r>
    </w:p>
    <w:p w14:paraId="573E4AC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lang w:val="en-US" w:eastAsia="zh-CN"/>
        </w:rPr>
      </w:pPr>
      <w:r>
        <w:rPr>
          <w:rFonts w:hint="eastAsia" w:cs="Times New Roman"/>
          <w:bCs/>
          <w:color w:val="000000"/>
          <w:sz w:val="48"/>
          <w:szCs w:val="48"/>
          <w:lang w:val="en-US" w:eastAsia="zh-CN"/>
        </w:rPr>
        <w:t xml:space="preserve">             </w:t>
      </w:r>
      <w:r>
        <w:rPr>
          <w:rFonts w:hint="eastAsia" w:cs="Times New Roman"/>
          <w:bCs/>
          <w:color w:val="000000"/>
          <w:sz w:val="44"/>
          <w:szCs w:val="44"/>
          <w:lang w:val="en-US" w:eastAsia="zh-CN"/>
        </w:rPr>
        <w:t>（报批稿）</w:t>
      </w:r>
    </w:p>
    <w:p w14:paraId="77743DD0">
      <w:pPr>
        <w:pStyle w:val="15"/>
        <w:rPr>
          <w:rFonts w:hint="default" w:ascii="Times New Roman" w:hAnsi="Times New Roman" w:eastAsia="宋体" w:cs="Times New Roman"/>
          <w:bCs/>
          <w:color w:val="000000"/>
          <w:sz w:val="48"/>
          <w:szCs w:val="48"/>
        </w:rPr>
      </w:pPr>
    </w:p>
    <w:p w14:paraId="4903DCF7">
      <w:pPr>
        <w:pStyle w:val="15"/>
        <w:rPr>
          <w:rFonts w:hint="default" w:ascii="Times New Roman" w:hAnsi="Times New Roman" w:eastAsia="宋体" w:cs="Times New Roman"/>
          <w:bCs/>
          <w:color w:val="000000"/>
          <w:sz w:val="48"/>
          <w:szCs w:val="48"/>
        </w:rPr>
      </w:pPr>
    </w:p>
    <w:p w14:paraId="479CEE63">
      <w:pPr>
        <w:pStyle w:val="15"/>
        <w:rPr>
          <w:rFonts w:hint="default" w:ascii="Times New Roman" w:hAnsi="Times New Roman" w:eastAsia="宋体" w:cs="Times New Roman"/>
          <w:bCs/>
          <w:color w:val="000000"/>
          <w:sz w:val="48"/>
          <w:szCs w:val="48"/>
        </w:rPr>
      </w:pPr>
    </w:p>
    <w:p w14:paraId="7A2C3740">
      <w:pPr>
        <w:bidi w:val="0"/>
        <w:rPr>
          <w:rFonts w:hint="default"/>
        </w:rPr>
      </w:pPr>
    </w:p>
    <w:p w14:paraId="4F33F347">
      <w:pPr>
        <w:pStyle w:val="15"/>
        <w:rPr>
          <w:rFonts w:hint="default" w:ascii="Times New Roman" w:hAnsi="Times New Roman" w:eastAsia="宋体" w:cs="Times New Roman"/>
          <w:bCs/>
          <w:color w:val="000000"/>
          <w:sz w:val="48"/>
          <w:szCs w:val="48"/>
        </w:rPr>
      </w:pPr>
    </w:p>
    <w:p w14:paraId="34143AB9">
      <w:pPr>
        <w:pStyle w:val="15"/>
        <w:rPr>
          <w:rFonts w:hint="default" w:ascii="Times New Roman" w:hAnsi="Times New Roman" w:eastAsia="宋体" w:cs="Times New Roman"/>
          <w:bCs/>
          <w:color w:val="000000"/>
          <w:sz w:val="48"/>
          <w:szCs w:val="48"/>
        </w:rPr>
      </w:pPr>
    </w:p>
    <w:tbl>
      <w:tblPr>
        <w:tblStyle w:val="25"/>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4"/>
        <w:gridCol w:w="6428"/>
      </w:tblGrid>
      <w:tr w14:paraId="04B2B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jc w:val="center"/>
        </w:trPr>
        <w:tc>
          <w:tcPr>
            <w:tcW w:w="2094" w:type="dxa"/>
            <w:tcBorders>
              <w:tl2br w:val="nil"/>
              <w:tr2bl w:val="nil"/>
            </w:tcBorders>
            <w:noWrap w:val="0"/>
            <w:vAlign w:val="center"/>
          </w:tcPr>
          <w:p w14:paraId="10F93123">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项目名称：</w:t>
            </w:r>
          </w:p>
        </w:tc>
        <w:tc>
          <w:tcPr>
            <w:tcW w:w="6428" w:type="dxa"/>
            <w:tcBorders>
              <w:bottom w:val="single" w:color="000000" w:sz="4" w:space="0"/>
              <w:tl2br w:val="nil"/>
              <w:tr2bl w:val="nil"/>
            </w:tcBorders>
            <w:noWrap w:val="0"/>
            <w:vAlign w:val="center"/>
          </w:tcPr>
          <w:p w14:paraId="405CEAF8">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eastAsia" w:ascii="Times New Roman" w:hAnsi="Times New Roman" w:eastAsia="宋体" w:cs="Times New Roman"/>
                <w:b/>
                <w:bCs/>
                <w:sz w:val="32"/>
                <w:szCs w:val="32"/>
                <w:lang w:val="en-US" w:eastAsia="zh-CN"/>
              </w:rPr>
            </w:pPr>
            <w:r>
              <w:rPr>
                <w:rFonts w:hint="eastAsia" w:cs="Times New Roman"/>
                <w:b/>
                <w:bCs/>
                <w:sz w:val="32"/>
                <w:szCs w:val="32"/>
                <w:lang w:eastAsia="zh-CN"/>
              </w:rPr>
              <w:t>新田县三井镇卫生院建设项目</w:t>
            </w:r>
          </w:p>
        </w:tc>
      </w:tr>
      <w:tr w14:paraId="3CCD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14:paraId="558BED00">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建设单位</w:t>
            </w:r>
          </w:p>
          <w:p w14:paraId="1E76D724">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（盖章）：</w:t>
            </w:r>
          </w:p>
        </w:tc>
        <w:tc>
          <w:tcPr>
            <w:tcW w:w="6428" w:type="dxa"/>
            <w:tcBorders>
              <w:top w:val="single" w:color="000000" w:sz="4" w:space="0"/>
              <w:bottom w:val="single" w:color="000000" w:sz="4" w:space="0"/>
              <w:tl2br w:val="nil"/>
              <w:tr2bl w:val="nil"/>
            </w:tcBorders>
            <w:noWrap w:val="0"/>
            <w:vAlign w:val="center"/>
          </w:tcPr>
          <w:p w14:paraId="2AFC577E">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lang w:val="en-US" w:eastAsia="zh-CN"/>
              </w:rPr>
            </w:pPr>
            <w:r>
              <w:rPr>
                <w:rFonts w:hint="eastAsia" w:cs="Times New Roman"/>
                <w:b/>
                <w:bCs/>
                <w:sz w:val="32"/>
                <w:szCs w:val="32"/>
                <w:lang w:eastAsia="zh-CN"/>
              </w:rPr>
              <w:t>新田县三井镇卫生院</w:t>
            </w:r>
          </w:p>
        </w:tc>
      </w:tr>
      <w:tr w14:paraId="4285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2094" w:type="dxa"/>
            <w:tcBorders>
              <w:tl2br w:val="nil"/>
              <w:tr2bl w:val="nil"/>
            </w:tcBorders>
            <w:noWrap w:val="0"/>
            <w:vAlign w:val="center"/>
          </w:tcPr>
          <w:p w14:paraId="66E3FFA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both"/>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编制日期：</w:t>
            </w:r>
          </w:p>
        </w:tc>
        <w:tc>
          <w:tcPr>
            <w:tcW w:w="6428" w:type="dxa"/>
            <w:tcBorders>
              <w:top w:val="single" w:color="000000" w:sz="4" w:space="0"/>
              <w:bottom w:val="single" w:color="000000" w:sz="4" w:space="0"/>
              <w:tl2br w:val="nil"/>
              <w:tr2bl w:val="nil"/>
            </w:tcBorders>
            <w:noWrap w:val="0"/>
            <w:vAlign w:val="center"/>
          </w:tcPr>
          <w:p w14:paraId="6EE625A2">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202</w:t>
            </w:r>
            <w:r>
              <w:rPr>
                <w:rFonts w:hint="eastAsia" w:cs="Times New Roman"/>
                <w:b/>
                <w:bCs/>
                <w:sz w:val="32"/>
                <w:szCs w:val="32"/>
                <w:lang w:val="en-US" w:eastAsia="zh-CN"/>
              </w:rPr>
              <w:t>5</w:t>
            </w:r>
            <w:r>
              <w:rPr>
                <w:rFonts w:hint="default" w:ascii="Times New Roman" w:hAnsi="Times New Roman" w:eastAsia="宋体" w:cs="Times New Roman"/>
                <w:b/>
                <w:bCs/>
                <w:sz w:val="32"/>
                <w:szCs w:val="32"/>
              </w:rPr>
              <w:t>年</w:t>
            </w:r>
            <w:r>
              <w:rPr>
                <w:rFonts w:hint="eastAsia" w:cs="Times New Roman"/>
                <w:b/>
                <w:bCs/>
                <w:sz w:val="32"/>
                <w:szCs w:val="32"/>
                <w:lang w:val="en-US" w:eastAsia="zh-CN"/>
              </w:rPr>
              <w:t>3</w:t>
            </w:r>
            <w:r>
              <w:rPr>
                <w:rFonts w:hint="default" w:ascii="Times New Roman" w:hAnsi="Times New Roman" w:eastAsia="宋体" w:cs="Times New Roman"/>
                <w:b/>
                <w:bCs/>
                <w:sz w:val="32"/>
                <w:szCs w:val="32"/>
              </w:rPr>
              <w:t>月</w:t>
            </w:r>
          </w:p>
        </w:tc>
      </w:tr>
    </w:tbl>
    <w:p w14:paraId="168D6F1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宋体" w:cs="Times New Roman"/>
          <w:bCs/>
          <w:color w:val="000000"/>
          <w:sz w:val="48"/>
          <w:szCs w:val="48"/>
        </w:rPr>
      </w:pPr>
    </w:p>
    <w:p w14:paraId="3DE3FF61">
      <w:pPr>
        <w:adjustRightInd w:val="0"/>
        <w:snapToGrid w:val="0"/>
        <w:spacing w:line="288" w:lineRule="auto"/>
        <w:rPr>
          <w:rFonts w:hint="default" w:ascii="Times New Roman" w:hAnsi="Times New Roman" w:eastAsia="宋体" w:cs="Times New Roman"/>
          <w:color w:val="000000"/>
          <w:kern w:val="44"/>
          <w:sz w:val="44"/>
          <w:szCs w:val="44"/>
        </w:rPr>
      </w:pPr>
      <w:bookmarkStart w:id="5" w:name="_Hlk57884087"/>
    </w:p>
    <w:bookmarkEnd w:id="5"/>
    <w:p w14:paraId="0D8561B2">
      <w:pPr>
        <w:jc w:val="center"/>
        <w:rPr>
          <w:rFonts w:hint="eastAsia" w:ascii="楷体_GB2312" w:hAnsi="Times New Roman" w:eastAsia="楷体_GB2312" w:cs="Times New Roman"/>
          <w:color w:val="auto"/>
          <w:sz w:val="36"/>
          <w:szCs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6" w:name="_Toc528"/>
      <w:r>
        <w:rPr>
          <w:rFonts w:hint="eastAsia" w:ascii="楷体_GB2312" w:hAnsi="Times New Roman" w:eastAsia="楷体_GB2312" w:cs="Times New Roman"/>
          <w:color w:val="auto"/>
          <w:sz w:val="36"/>
          <w:szCs w:val="36"/>
        </w:rPr>
        <w:t>中华人民共和国生态环境部制</w:t>
      </w:r>
      <w:bookmarkEnd w:id="6"/>
    </w:p>
    <w:sdt>
      <w:sdtPr>
        <w:rPr>
          <w:rFonts w:ascii="宋体" w:hAnsi="宋体" w:eastAsia="宋体" w:cs="Times New Roman"/>
          <w:kern w:val="2"/>
          <w:sz w:val="21"/>
          <w:szCs w:val="24"/>
          <w:lang w:val="en-US" w:eastAsia="zh-CN" w:bidi="ar-SA"/>
        </w:rPr>
        <w:id w:val="147470128"/>
        <w15:color w:val="DBDBDB"/>
        <w:docPartObj>
          <w:docPartGallery w:val="Table of Contents"/>
          <w:docPartUnique/>
        </w:docPartObj>
      </w:sdtPr>
      <w:sdtEndPr>
        <w:rPr>
          <w:rFonts w:hint="eastAsia" w:ascii="楷体_GB2312" w:hAnsi="Times New Roman" w:eastAsia="楷体_GB2312" w:cs="Times New Roman"/>
          <w:color w:val="auto"/>
          <w:kern w:val="2"/>
          <w:sz w:val="24"/>
          <w:szCs w:val="36"/>
          <w:lang w:val="en-US" w:eastAsia="zh-CN" w:bidi="ar-SA"/>
        </w:rPr>
      </w:sdtEndPr>
      <w:sdtContent>
        <w:p w14:paraId="4C92EF63">
          <w:pPr>
            <w:spacing w:before="0" w:beforeLines="0" w:after="0" w:afterLines="0" w:line="240" w:lineRule="auto"/>
            <w:ind w:left="0" w:leftChars="0" w:right="0" w:rightChars="0" w:firstLine="0" w:firstLineChars="0"/>
            <w:jc w:val="center"/>
          </w:pPr>
          <w:r>
            <w:rPr>
              <w:rFonts w:ascii="宋体" w:hAnsi="宋体" w:eastAsia="宋体"/>
              <w:sz w:val="48"/>
              <w:szCs w:val="48"/>
            </w:rPr>
            <w:t>目</w:t>
          </w:r>
          <w:r>
            <w:rPr>
              <w:rFonts w:hint="eastAsia" w:ascii="宋体" w:hAnsi="宋体" w:eastAsia="宋体"/>
              <w:sz w:val="48"/>
              <w:szCs w:val="48"/>
              <w:lang w:val="en-US" w:eastAsia="zh-CN"/>
            </w:rPr>
            <w:t xml:space="preserve"> </w:t>
          </w:r>
          <w:r>
            <w:rPr>
              <w:rFonts w:ascii="宋体" w:hAnsi="宋体" w:eastAsia="宋体"/>
              <w:sz w:val="48"/>
              <w:szCs w:val="48"/>
            </w:rPr>
            <w:t>录</w:t>
          </w:r>
        </w:p>
        <w:p w14:paraId="366358CE">
          <w:pPr>
            <w:pStyle w:val="45"/>
            <w:tabs>
              <w:tab w:val="right" w:leader="dot" w:pos="8306"/>
            </w:tabs>
          </w:pPr>
          <w:r>
            <w:rPr>
              <w:rFonts w:hint="eastAsia" w:ascii="楷体_GB2312" w:hAnsi="Times New Roman" w:eastAsia="楷体_GB2312" w:cs="Times New Roman"/>
              <w:color w:val="auto"/>
              <w:sz w:val="36"/>
              <w:szCs w:val="36"/>
            </w:rPr>
            <w:fldChar w:fldCharType="begin"/>
          </w:r>
          <w:r>
            <w:rPr>
              <w:rFonts w:hint="eastAsia" w:ascii="楷体_GB2312" w:hAnsi="Times New Roman" w:eastAsia="楷体_GB2312" w:cs="Times New Roman"/>
              <w:color w:val="auto"/>
              <w:sz w:val="36"/>
              <w:szCs w:val="36"/>
            </w:rPr>
            <w:instrText xml:space="preserve">TOC \o "1-1" \h \u </w:instrText>
          </w:r>
          <w:r>
            <w:rPr>
              <w:rFonts w:hint="eastAsia" w:ascii="楷体_GB2312" w:hAnsi="Times New Roman" w:eastAsia="楷体_GB2312" w:cs="Times New Roman"/>
              <w:color w:val="auto"/>
              <w:sz w:val="36"/>
              <w:szCs w:val="36"/>
            </w:rPr>
            <w:fldChar w:fldCharType="separate"/>
          </w:r>
        </w:p>
        <w:p w14:paraId="507958C9">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_Toc9264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kern w:val="44"/>
              <w:sz w:val="28"/>
              <w:szCs w:val="28"/>
              <w:lang w:val="en-US" w:eastAsia="zh-CN" w:bidi="ar-SA"/>
            </w:rPr>
            <w:t>一、建设项目基本情况</w:t>
          </w:r>
          <w:r>
            <w:rPr>
              <w:sz w:val="28"/>
              <w:szCs w:val="28"/>
            </w:rPr>
            <w:tab/>
          </w:r>
          <w:r>
            <w:rPr>
              <w:sz w:val="28"/>
              <w:szCs w:val="28"/>
            </w:rPr>
            <w:fldChar w:fldCharType="begin"/>
          </w:r>
          <w:r>
            <w:rPr>
              <w:sz w:val="28"/>
              <w:szCs w:val="28"/>
            </w:rPr>
            <w:instrText xml:space="preserve"> PAGEREF _Toc9264 \h </w:instrText>
          </w:r>
          <w:r>
            <w:rPr>
              <w:sz w:val="28"/>
              <w:szCs w:val="28"/>
            </w:rPr>
            <w:fldChar w:fldCharType="separate"/>
          </w:r>
          <w:r>
            <w:rPr>
              <w:sz w:val="28"/>
              <w:szCs w:val="28"/>
            </w:rPr>
            <w:t>- 1 -</w:t>
          </w:r>
          <w:r>
            <w:rPr>
              <w:sz w:val="28"/>
              <w:szCs w:val="28"/>
            </w:rPr>
            <w:fldChar w:fldCharType="end"/>
          </w:r>
          <w:r>
            <w:rPr>
              <w:rFonts w:hint="eastAsia" w:ascii="楷体_GB2312" w:hAnsi="Times New Roman" w:eastAsia="楷体_GB2312" w:cs="Times New Roman"/>
              <w:color w:val="auto"/>
              <w:sz w:val="28"/>
              <w:szCs w:val="28"/>
            </w:rPr>
            <w:fldChar w:fldCharType="end"/>
          </w:r>
        </w:p>
        <w:p w14:paraId="6841E79F">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_Toc2268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二、</w:t>
          </w:r>
          <w:r>
            <w:rPr>
              <w:rFonts w:ascii="Times New Roman" w:hAnsi="Times New Roman"/>
              <w:bCs/>
              <w:snapToGrid w:val="0"/>
              <w:sz w:val="28"/>
              <w:szCs w:val="28"/>
            </w:rPr>
            <w:t>建设项目工程分析</w:t>
          </w:r>
          <w:r>
            <w:rPr>
              <w:sz w:val="28"/>
              <w:szCs w:val="28"/>
            </w:rPr>
            <w:tab/>
          </w:r>
          <w:r>
            <w:rPr>
              <w:sz w:val="28"/>
              <w:szCs w:val="28"/>
            </w:rPr>
            <w:fldChar w:fldCharType="begin"/>
          </w:r>
          <w:r>
            <w:rPr>
              <w:sz w:val="28"/>
              <w:szCs w:val="28"/>
            </w:rPr>
            <w:instrText xml:space="preserve"> PAGEREF _Toc2268 \h </w:instrText>
          </w:r>
          <w:r>
            <w:rPr>
              <w:sz w:val="28"/>
              <w:szCs w:val="28"/>
            </w:rPr>
            <w:fldChar w:fldCharType="separate"/>
          </w:r>
          <w:r>
            <w:rPr>
              <w:sz w:val="28"/>
              <w:szCs w:val="28"/>
            </w:rPr>
            <w:t>- 8 -</w:t>
          </w:r>
          <w:r>
            <w:rPr>
              <w:sz w:val="28"/>
              <w:szCs w:val="28"/>
            </w:rPr>
            <w:fldChar w:fldCharType="end"/>
          </w:r>
          <w:r>
            <w:rPr>
              <w:rFonts w:hint="eastAsia" w:ascii="楷体_GB2312" w:hAnsi="Times New Roman" w:eastAsia="楷体_GB2312" w:cs="Times New Roman"/>
              <w:color w:val="auto"/>
              <w:sz w:val="28"/>
              <w:szCs w:val="28"/>
            </w:rPr>
            <w:fldChar w:fldCharType="end"/>
          </w:r>
        </w:p>
        <w:p w14:paraId="0712EAC4">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_Toc24813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三、</w:t>
          </w:r>
          <w:r>
            <w:rPr>
              <w:rFonts w:ascii="Times New Roman" w:hAnsi="Times New Roman"/>
              <w:bCs/>
              <w:snapToGrid w:val="0"/>
              <w:sz w:val="28"/>
              <w:szCs w:val="28"/>
            </w:rPr>
            <w:t>区域环境质量现状、环境保护目标及评价标准</w:t>
          </w:r>
          <w:r>
            <w:rPr>
              <w:sz w:val="28"/>
              <w:szCs w:val="28"/>
            </w:rPr>
            <w:tab/>
          </w:r>
          <w:r>
            <w:rPr>
              <w:sz w:val="28"/>
              <w:szCs w:val="28"/>
            </w:rPr>
            <w:fldChar w:fldCharType="begin"/>
          </w:r>
          <w:r>
            <w:rPr>
              <w:sz w:val="28"/>
              <w:szCs w:val="28"/>
            </w:rPr>
            <w:instrText xml:space="preserve"> PAGEREF _Toc24813 \h </w:instrText>
          </w:r>
          <w:r>
            <w:rPr>
              <w:sz w:val="28"/>
              <w:szCs w:val="28"/>
            </w:rPr>
            <w:fldChar w:fldCharType="separate"/>
          </w:r>
          <w:r>
            <w:rPr>
              <w:sz w:val="28"/>
              <w:szCs w:val="28"/>
            </w:rPr>
            <w:t>- 20 -</w:t>
          </w:r>
          <w:r>
            <w:rPr>
              <w:sz w:val="28"/>
              <w:szCs w:val="28"/>
            </w:rPr>
            <w:fldChar w:fldCharType="end"/>
          </w:r>
          <w:r>
            <w:rPr>
              <w:rFonts w:hint="eastAsia" w:ascii="楷体_GB2312" w:hAnsi="Times New Roman" w:eastAsia="楷体_GB2312" w:cs="Times New Roman"/>
              <w:color w:val="auto"/>
              <w:sz w:val="28"/>
              <w:szCs w:val="28"/>
            </w:rPr>
            <w:fldChar w:fldCharType="end"/>
          </w:r>
        </w:p>
        <w:p w14:paraId="78475FFB">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_Toc15789 </w:instrText>
          </w:r>
          <w:r>
            <w:rPr>
              <w:rFonts w:hint="eastAsia" w:ascii="楷体_GB2312" w:hAnsi="Times New Roman" w:eastAsia="楷体_GB2312" w:cs="Times New Roman"/>
              <w:sz w:val="28"/>
              <w:szCs w:val="28"/>
            </w:rPr>
            <w:fldChar w:fldCharType="separate"/>
          </w:r>
          <w:r>
            <w:rPr>
              <w:rFonts w:hint="eastAsia" w:ascii="Times New Roman" w:hAnsi="Times New Roman" w:eastAsia="宋体" w:cs="Times New Roman"/>
              <w:bCs/>
              <w:snapToGrid w:val="0"/>
              <w:kern w:val="2"/>
              <w:sz w:val="28"/>
              <w:szCs w:val="28"/>
              <w:lang w:val="en-US" w:eastAsia="zh-CN" w:bidi="ar-SA"/>
            </w:rPr>
            <w:t>四、</w:t>
          </w:r>
          <w:r>
            <w:rPr>
              <w:bCs/>
              <w:snapToGrid w:val="0"/>
              <w:sz w:val="28"/>
              <w:szCs w:val="28"/>
            </w:rPr>
            <w:t>主要环境影响和保护措施</w:t>
          </w:r>
          <w:r>
            <w:rPr>
              <w:sz w:val="28"/>
              <w:szCs w:val="28"/>
            </w:rPr>
            <w:tab/>
          </w:r>
          <w:r>
            <w:rPr>
              <w:sz w:val="28"/>
              <w:szCs w:val="28"/>
            </w:rPr>
            <w:fldChar w:fldCharType="begin"/>
          </w:r>
          <w:r>
            <w:rPr>
              <w:sz w:val="28"/>
              <w:szCs w:val="28"/>
            </w:rPr>
            <w:instrText xml:space="preserve"> PAGEREF _Toc15789 \h </w:instrText>
          </w:r>
          <w:r>
            <w:rPr>
              <w:sz w:val="28"/>
              <w:szCs w:val="28"/>
            </w:rPr>
            <w:fldChar w:fldCharType="separate"/>
          </w:r>
          <w:r>
            <w:rPr>
              <w:sz w:val="28"/>
              <w:szCs w:val="28"/>
            </w:rPr>
            <w:t>- 25 -</w:t>
          </w:r>
          <w:r>
            <w:rPr>
              <w:sz w:val="28"/>
              <w:szCs w:val="28"/>
            </w:rPr>
            <w:fldChar w:fldCharType="end"/>
          </w:r>
          <w:r>
            <w:rPr>
              <w:rFonts w:hint="eastAsia" w:ascii="楷体_GB2312" w:hAnsi="Times New Roman" w:eastAsia="楷体_GB2312" w:cs="Times New Roman"/>
              <w:color w:val="auto"/>
              <w:sz w:val="28"/>
              <w:szCs w:val="28"/>
            </w:rPr>
            <w:fldChar w:fldCharType="end"/>
          </w:r>
        </w:p>
        <w:p w14:paraId="7DBB2F8F">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_Toc21252 </w:instrText>
          </w:r>
          <w:r>
            <w:rPr>
              <w:rFonts w:hint="eastAsia" w:ascii="楷体_GB2312" w:hAnsi="Times New Roman" w:eastAsia="楷体_GB2312" w:cs="Times New Roman"/>
              <w:sz w:val="28"/>
              <w:szCs w:val="28"/>
            </w:rPr>
            <w:fldChar w:fldCharType="separate"/>
          </w:r>
          <w:r>
            <w:rPr>
              <w:rFonts w:ascii="Times New Roman" w:hAnsi="Times New Roman"/>
              <w:bCs/>
              <w:snapToGrid w:val="0"/>
              <w:sz w:val="28"/>
              <w:szCs w:val="28"/>
            </w:rPr>
            <w:t>五、环境保护措施监督检查清单</w:t>
          </w:r>
          <w:r>
            <w:rPr>
              <w:sz w:val="28"/>
              <w:szCs w:val="28"/>
            </w:rPr>
            <w:tab/>
          </w:r>
          <w:r>
            <w:rPr>
              <w:sz w:val="28"/>
              <w:szCs w:val="28"/>
            </w:rPr>
            <w:fldChar w:fldCharType="begin"/>
          </w:r>
          <w:r>
            <w:rPr>
              <w:sz w:val="28"/>
              <w:szCs w:val="28"/>
            </w:rPr>
            <w:instrText xml:space="preserve"> PAGEREF _Toc21252 \h </w:instrText>
          </w:r>
          <w:r>
            <w:rPr>
              <w:sz w:val="28"/>
              <w:szCs w:val="28"/>
            </w:rPr>
            <w:fldChar w:fldCharType="separate"/>
          </w:r>
          <w:r>
            <w:rPr>
              <w:sz w:val="28"/>
              <w:szCs w:val="28"/>
            </w:rPr>
            <w:t>- 47 -</w:t>
          </w:r>
          <w:r>
            <w:rPr>
              <w:sz w:val="28"/>
              <w:szCs w:val="28"/>
            </w:rPr>
            <w:fldChar w:fldCharType="end"/>
          </w:r>
          <w:r>
            <w:rPr>
              <w:rFonts w:hint="eastAsia" w:ascii="楷体_GB2312" w:hAnsi="Times New Roman" w:eastAsia="楷体_GB2312" w:cs="Times New Roman"/>
              <w:color w:val="auto"/>
              <w:sz w:val="28"/>
              <w:szCs w:val="28"/>
            </w:rPr>
            <w:fldChar w:fldCharType="end"/>
          </w:r>
        </w:p>
        <w:p w14:paraId="3EDA65A4">
          <w:pPr>
            <w:pStyle w:val="45"/>
            <w:keepNext w:val="0"/>
            <w:keepLines w:val="0"/>
            <w:pageBreakBefore w:val="0"/>
            <w:widowControl/>
            <w:tabs>
              <w:tab w:val="right" w:leader="dot" w:pos="8306"/>
            </w:tabs>
            <w:kinsoku/>
            <w:wordWrap/>
            <w:overflowPunct/>
            <w:topLinePunct w:val="0"/>
            <w:autoSpaceDE/>
            <w:autoSpaceDN/>
            <w:bidi w:val="0"/>
            <w:adjustRightInd/>
            <w:snapToGrid/>
            <w:spacing w:line="360" w:lineRule="auto"/>
            <w:textAlignment w:val="auto"/>
          </w:pPr>
          <w:r>
            <w:rPr>
              <w:rFonts w:hint="eastAsia" w:ascii="楷体_GB2312" w:hAnsi="Times New Roman" w:eastAsia="楷体_GB2312" w:cs="Times New Roman"/>
              <w:color w:val="auto"/>
              <w:sz w:val="28"/>
              <w:szCs w:val="28"/>
            </w:rPr>
            <w:fldChar w:fldCharType="begin"/>
          </w:r>
          <w:r>
            <w:rPr>
              <w:rFonts w:hint="eastAsia" w:ascii="楷体_GB2312" w:hAnsi="Times New Roman" w:eastAsia="楷体_GB2312" w:cs="Times New Roman"/>
              <w:sz w:val="28"/>
              <w:szCs w:val="28"/>
            </w:rPr>
            <w:instrText xml:space="preserve"> HYPERLINK \l _Toc16625 </w:instrText>
          </w:r>
          <w:r>
            <w:rPr>
              <w:rFonts w:hint="eastAsia" w:ascii="楷体_GB2312" w:hAnsi="Times New Roman" w:eastAsia="楷体_GB2312" w:cs="Times New Roman"/>
              <w:sz w:val="28"/>
              <w:szCs w:val="28"/>
            </w:rPr>
            <w:fldChar w:fldCharType="separate"/>
          </w:r>
          <w:r>
            <w:rPr>
              <w:rFonts w:hint="default" w:ascii="Times New Roman" w:hAnsi="Times New Roman" w:eastAsia="宋体" w:cs="Times New Roman"/>
              <w:snapToGrid w:val="0"/>
              <w:sz w:val="28"/>
              <w:szCs w:val="28"/>
            </w:rPr>
            <w:t>六、结论</w:t>
          </w:r>
          <w:r>
            <w:rPr>
              <w:sz w:val="28"/>
              <w:szCs w:val="28"/>
            </w:rPr>
            <w:tab/>
          </w:r>
          <w:r>
            <w:rPr>
              <w:sz w:val="28"/>
              <w:szCs w:val="28"/>
            </w:rPr>
            <w:fldChar w:fldCharType="begin"/>
          </w:r>
          <w:r>
            <w:rPr>
              <w:sz w:val="28"/>
              <w:szCs w:val="28"/>
            </w:rPr>
            <w:instrText xml:space="preserve"> PAGEREF _Toc16625 \h </w:instrText>
          </w:r>
          <w:r>
            <w:rPr>
              <w:sz w:val="28"/>
              <w:szCs w:val="28"/>
            </w:rPr>
            <w:fldChar w:fldCharType="separate"/>
          </w:r>
          <w:r>
            <w:rPr>
              <w:sz w:val="28"/>
              <w:szCs w:val="28"/>
            </w:rPr>
            <w:t>- 50 -</w:t>
          </w:r>
          <w:r>
            <w:rPr>
              <w:sz w:val="28"/>
              <w:szCs w:val="28"/>
            </w:rPr>
            <w:fldChar w:fldCharType="end"/>
          </w:r>
          <w:r>
            <w:rPr>
              <w:rFonts w:hint="eastAsia" w:ascii="楷体_GB2312" w:hAnsi="Times New Roman" w:eastAsia="楷体_GB2312" w:cs="Times New Roman"/>
              <w:color w:val="auto"/>
              <w:sz w:val="28"/>
              <w:szCs w:val="28"/>
            </w:rPr>
            <w:fldChar w:fldCharType="end"/>
          </w:r>
        </w:p>
        <w:p w14:paraId="154391EA">
          <w:pPr>
            <w:bidi w:val="0"/>
            <w:rPr>
              <w:rFonts w:hint="eastAsia"/>
              <w:lang w:val="en-US" w:eastAsia="zh-CN"/>
            </w:rPr>
          </w:pPr>
          <w:r>
            <w:rPr>
              <w:rFonts w:hint="eastAsia" w:ascii="楷体_GB2312" w:hAnsi="Times New Roman" w:eastAsia="楷体_GB2312" w:cs="Times New Roman"/>
              <w:color w:val="auto"/>
              <w:szCs w:val="36"/>
            </w:rPr>
            <w:fldChar w:fldCharType="end"/>
          </w:r>
          <w:r>
            <w:rPr>
              <w:rFonts w:hint="eastAsia"/>
              <w:b/>
              <w:bCs/>
              <w:lang w:val="en-US" w:eastAsia="zh-CN"/>
            </w:rPr>
            <w:t>附件：</w:t>
          </w:r>
        </w:p>
        <w:p w14:paraId="238F9D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bookmarkStart w:id="7" w:name="_Toc23405"/>
          <w:r>
            <w:rPr>
              <w:rFonts w:hint="eastAsia"/>
              <w:sz w:val="24"/>
              <w:szCs w:val="24"/>
              <w:lang w:val="en-US" w:eastAsia="zh-CN"/>
            </w:rPr>
            <w:t>1、环评委托函</w:t>
          </w:r>
        </w:p>
        <w:p w14:paraId="2CE53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sz w:val="24"/>
              <w:szCs w:val="24"/>
              <w:lang w:val="en-US" w:eastAsia="zh-CN"/>
            </w:rPr>
          </w:pPr>
          <w:r>
            <w:rPr>
              <w:rFonts w:hint="eastAsia"/>
              <w:sz w:val="24"/>
              <w:szCs w:val="24"/>
              <w:lang w:val="en-US" w:eastAsia="zh-CN"/>
            </w:rPr>
            <w:t>2、</w:t>
          </w:r>
          <w:bookmarkEnd w:id="7"/>
          <w:r>
            <w:rPr>
              <w:rFonts w:hint="eastAsia"/>
              <w:sz w:val="24"/>
              <w:szCs w:val="24"/>
              <w:lang w:val="en-US" w:eastAsia="zh-CN"/>
            </w:rPr>
            <w:t>事业单位法人证书</w:t>
          </w:r>
        </w:p>
        <w:p w14:paraId="5A6072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none"/>
              <w:lang w:val="en-US" w:eastAsia="zh-CN"/>
            </w:rPr>
          </w:pPr>
          <w:r>
            <w:rPr>
              <w:rFonts w:hint="eastAsia"/>
              <w:sz w:val="24"/>
              <w:szCs w:val="24"/>
              <w:u w:val="none"/>
              <w:lang w:val="en-US" w:eastAsia="zh-CN"/>
            </w:rPr>
            <w:t>3、医疗机构执业许可证</w:t>
          </w:r>
        </w:p>
        <w:p w14:paraId="416D7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lang w:val="en-US" w:eastAsia="zh-CN"/>
            </w:rPr>
          </w:pPr>
          <w:r>
            <w:rPr>
              <w:rFonts w:hint="eastAsia"/>
              <w:sz w:val="24"/>
              <w:szCs w:val="24"/>
              <w:u w:val="single"/>
              <w:lang w:val="en-US" w:eastAsia="zh-CN"/>
            </w:rPr>
            <w:t>4、医疗废物</w:t>
          </w:r>
          <w:r>
            <w:rPr>
              <w:rFonts w:hint="eastAsia" w:ascii="Times New Roman" w:hAnsi="Times New Roman" w:eastAsia="宋体" w:cs="Times New Roman"/>
              <w:sz w:val="24"/>
              <w:szCs w:val="24"/>
              <w:u w:val="single"/>
              <w:lang w:val="en-US" w:eastAsia="zh-CN"/>
            </w:rPr>
            <w:t>委托处置协议</w:t>
          </w:r>
          <w:r>
            <w:rPr>
              <w:rFonts w:hint="eastAsia" w:cs="Times New Roman"/>
              <w:sz w:val="24"/>
              <w:szCs w:val="24"/>
              <w:u w:val="single"/>
              <w:lang w:val="en-US" w:eastAsia="zh-CN"/>
            </w:rPr>
            <w:t>及转移联单</w:t>
          </w:r>
        </w:p>
        <w:p w14:paraId="787E9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none"/>
              <w:lang w:val="en-US" w:eastAsia="zh-CN"/>
            </w:rPr>
          </w:pPr>
          <w:r>
            <w:rPr>
              <w:rFonts w:hint="eastAsia" w:ascii="Times New Roman" w:hAnsi="Times New Roman" w:eastAsia="宋体" w:cs="Times New Roman"/>
              <w:sz w:val="24"/>
              <w:szCs w:val="24"/>
              <w:u w:val="none"/>
              <w:lang w:val="en-US" w:eastAsia="zh-CN"/>
            </w:rPr>
            <w:t>5、现状监测报告</w:t>
          </w:r>
          <w:r>
            <w:rPr>
              <w:rFonts w:hint="eastAsia" w:cs="Times New Roman"/>
              <w:sz w:val="24"/>
              <w:szCs w:val="24"/>
              <w:u w:val="none"/>
              <w:lang w:val="en-US" w:eastAsia="zh-CN"/>
            </w:rPr>
            <w:t>及质保单</w:t>
          </w:r>
        </w:p>
        <w:p w14:paraId="60D801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b/>
              <w:bCs/>
              <w:sz w:val="24"/>
              <w:szCs w:val="24"/>
              <w:lang w:eastAsia="zh-CN"/>
            </w:rPr>
            <w:t>附</w:t>
          </w:r>
          <w:r>
            <w:rPr>
              <w:rFonts w:hint="eastAsia"/>
              <w:b/>
              <w:bCs/>
              <w:sz w:val="24"/>
              <w:szCs w:val="24"/>
              <w:lang w:val="en-US" w:eastAsia="zh-CN"/>
            </w:rPr>
            <w:t>图：</w:t>
          </w:r>
        </w:p>
        <w:p w14:paraId="6D2530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Times New Roman" w:hAnsi="Times New Roman" w:eastAsia="宋体" w:cs="Times New Roman"/>
              <w:kern w:val="2"/>
              <w:sz w:val="24"/>
              <w:szCs w:val="24"/>
              <w:lang w:val="en-US" w:eastAsia="zh-CN" w:bidi="ar-SA"/>
            </w:rPr>
            <w:t>1、</w:t>
          </w:r>
          <w:r>
            <w:rPr>
              <w:rFonts w:hint="default"/>
              <w:sz w:val="24"/>
              <w:szCs w:val="24"/>
              <w:lang w:val="en-US" w:eastAsia="zh-CN"/>
            </w:rPr>
            <w:t>项目地理位</w:t>
          </w:r>
          <w:r>
            <w:rPr>
              <w:rFonts w:hint="eastAsia"/>
              <w:sz w:val="24"/>
              <w:szCs w:val="24"/>
              <w:lang w:val="en-US" w:eastAsia="zh-CN"/>
            </w:rPr>
            <w:t>置示意图</w:t>
          </w:r>
        </w:p>
        <w:p w14:paraId="7CF080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u w:val="none"/>
              <w:lang w:val="en-US" w:eastAsia="zh-CN"/>
            </w:rPr>
          </w:pPr>
          <w:r>
            <w:rPr>
              <w:rFonts w:hint="default" w:ascii="Times New Roman" w:hAnsi="Times New Roman" w:eastAsia="宋体" w:cs="Times New Roman"/>
              <w:kern w:val="2"/>
              <w:sz w:val="24"/>
              <w:szCs w:val="24"/>
              <w:u w:val="none"/>
              <w:lang w:val="en-US" w:eastAsia="zh-CN" w:bidi="ar-SA"/>
            </w:rPr>
            <w:t>2、</w:t>
          </w:r>
          <w:r>
            <w:rPr>
              <w:rFonts w:hint="eastAsia"/>
              <w:sz w:val="24"/>
              <w:szCs w:val="24"/>
              <w:lang w:val="en-US" w:eastAsia="zh-CN"/>
            </w:rPr>
            <w:t>项目周边环境保护目标示意图</w:t>
          </w:r>
        </w:p>
        <w:p w14:paraId="177006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3、</w:t>
          </w:r>
          <w:r>
            <w:rPr>
              <w:rFonts w:hint="eastAsia"/>
              <w:sz w:val="24"/>
              <w:szCs w:val="24"/>
              <w:u w:val="none"/>
              <w:lang w:val="en-US" w:eastAsia="zh-CN"/>
            </w:rPr>
            <w:t>项目平面布置示意图</w:t>
          </w:r>
        </w:p>
        <w:p w14:paraId="0EF088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4、项目四至图</w:t>
          </w:r>
        </w:p>
        <w:p w14:paraId="71317A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5、项目现场照片</w:t>
          </w:r>
        </w:p>
        <w:p w14:paraId="453F1D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val="en-US" w:eastAsia="zh-CN"/>
            </w:rPr>
          </w:pPr>
          <w:r>
            <w:rPr>
              <w:rFonts w:hint="eastAsia"/>
              <w:sz w:val="24"/>
              <w:szCs w:val="24"/>
              <w:lang w:val="en-US" w:eastAsia="zh-CN"/>
            </w:rPr>
            <w:t>6、项目排污现状监</w:t>
          </w:r>
          <w:r>
            <w:rPr>
              <w:rFonts w:hint="eastAsia" w:ascii="Times New Roman" w:hAnsi="Times New Roman" w:eastAsia="宋体" w:cs="Times New Roman"/>
              <w:sz w:val="24"/>
              <w:szCs w:val="24"/>
              <w:lang w:val="en-US" w:eastAsia="zh-CN"/>
            </w:rPr>
            <w:t>测点位示意图</w:t>
          </w:r>
        </w:p>
        <w:p w14:paraId="1BA2C3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u w:val="single"/>
              <w:lang w:val="en-US" w:eastAsia="zh-CN"/>
            </w:rPr>
          </w:pPr>
          <w:r>
            <w:rPr>
              <w:rFonts w:hint="eastAsia"/>
              <w:sz w:val="24"/>
              <w:szCs w:val="24"/>
              <w:u w:val="single"/>
              <w:lang w:val="en-US" w:eastAsia="zh-CN"/>
            </w:rPr>
            <w:t>7、项目国土空间规划示意图</w:t>
          </w:r>
        </w:p>
        <w:p w14:paraId="21CF8B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lang w:val="en-US" w:eastAsia="zh-CN"/>
            </w:rPr>
          </w:pPr>
          <w:r>
            <w:rPr>
              <w:rFonts w:hint="eastAsia"/>
              <w:sz w:val="24"/>
              <w:szCs w:val="24"/>
              <w:u w:val="single"/>
              <w:lang w:val="en-US" w:eastAsia="zh-CN"/>
            </w:rPr>
            <w:t>8、污水管网路径图</w:t>
          </w:r>
        </w:p>
        <w:p w14:paraId="1978F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楷体_GB2312" w:hAnsi="Times New Roman" w:eastAsia="楷体_GB2312" w:cs="Times New Roman"/>
              <w:color w:val="auto"/>
              <w:kern w:val="2"/>
              <w:sz w:val="24"/>
              <w:szCs w:val="36"/>
              <w:lang w:val="en-US" w:eastAsia="zh-CN" w:bidi="ar-SA"/>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sdtContent>
    </w:sdt>
    <w:p w14:paraId="1857DEAA">
      <w:pPr>
        <w:numPr>
          <w:ilvl w:val="0"/>
          <w:numId w:val="0"/>
        </w:numPr>
        <w:bidi w:val="0"/>
        <w:jc w:val="center"/>
        <w:outlineLvl w:val="0"/>
        <w:rPr>
          <w:rFonts w:hint="eastAsia"/>
        </w:rPr>
      </w:pPr>
      <w:bookmarkStart w:id="8" w:name="_Toc9264"/>
      <w:bookmarkStart w:id="9" w:name="_Toc31887"/>
      <w:r>
        <w:rPr>
          <w:rFonts w:hint="eastAsia" w:ascii="Times New Roman" w:hAnsi="Times New Roman" w:eastAsia="宋体" w:cs="Times New Roman"/>
          <w:b/>
          <w:bCs/>
          <w:color w:val="000000"/>
          <w:kern w:val="44"/>
          <w:sz w:val="30"/>
          <w:szCs w:val="30"/>
          <w:lang w:val="en-US" w:eastAsia="zh-CN" w:bidi="ar-SA"/>
        </w:rPr>
        <w:t>一、建设项目基本情况</w:t>
      </w:r>
      <w:bookmarkEnd w:id="8"/>
      <w:bookmarkEnd w:id="9"/>
    </w:p>
    <w:tbl>
      <w:tblPr>
        <w:tblStyle w:val="24"/>
        <w:tblW w:w="87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259"/>
        <w:gridCol w:w="2600"/>
        <w:gridCol w:w="1810"/>
        <w:gridCol w:w="1585"/>
        <w:gridCol w:w="1533"/>
      </w:tblGrid>
      <w:tr w14:paraId="0D566E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0471535F">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建设项目名称</w:t>
            </w:r>
          </w:p>
        </w:tc>
        <w:tc>
          <w:tcPr>
            <w:tcW w:w="7528" w:type="dxa"/>
            <w:gridSpan w:val="4"/>
            <w:noWrap w:val="0"/>
            <w:vAlign w:val="center"/>
          </w:tcPr>
          <w:p w14:paraId="22D0C5F5">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olor w:val="000000" w:themeColor="text1"/>
                <w:sz w:val="24"/>
                <w:szCs w:val="24"/>
                <w:lang w:val="en-US" w:eastAsia="zh-CN"/>
                <w14:textFill>
                  <w14:solidFill>
                    <w14:schemeClr w14:val="tx1"/>
                  </w14:solidFill>
                </w14:textFill>
              </w:rPr>
              <w:t>新田县三井镇卫生院建设项目</w:t>
            </w:r>
          </w:p>
        </w:tc>
      </w:tr>
      <w:tr w14:paraId="13627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68F202A8">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项目代码</w:t>
            </w:r>
          </w:p>
        </w:tc>
        <w:tc>
          <w:tcPr>
            <w:tcW w:w="7528" w:type="dxa"/>
            <w:gridSpan w:val="4"/>
            <w:noWrap w:val="0"/>
            <w:vAlign w:val="center"/>
          </w:tcPr>
          <w:p w14:paraId="1E7C06C0">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w w:val="100"/>
                <w:kern w:val="2"/>
                <w:sz w:val="24"/>
                <w:szCs w:val="24"/>
                <w:highlight w:val="none"/>
                <w:lang w:val="en-US" w:eastAsia="zh-CN" w:bidi="ar-SA"/>
              </w:rPr>
            </w:pPr>
            <w:r>
              <w:rPr>
                <w:rFonts w:hint="eastAsia" w:cs="Times New Roman"/>
                <w:color w:val="auto"/>
                <w:w w:val="100"/>
                <w:kern w:val="2"/>
                <w:sz w:val="24"/>
                <w:szCs w:val="24"/>
                <w:highlight w:val="none"/>
                <w:lang w:val="en-US" w:eastAsia="zh-CN" w:bidi="ar-SA"/>
              </w:rPr>
              <w:t>/</w:t>
            </w:r>
          </w:p>
        </w:tc>
      </w:tr>
      <w:tr w14:paraId="099B57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182EB350">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600" w:type="dxa"/>
            <w:noWrap w:val="0"/>
            <w:vAlign w:val="center"/>
          </w:tcPr>
          <w:p w14:paraId="56B831A1">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val="en-US" w:eastAsia="zh-CN"/>
                <w:woUserID w:val="1"/>
              </w:rPr>
              <w:t>肖旭</w:t>
            </w:r>
          </w:p>
        </w:tc>
        <w:tc>
          <w:tcPr>
            <w:tcW w:w="1810" w:type="dxa"/>
            <w:noWrap w:val="0"/>
            <w:vAlign w:val="center"/>
          </w:tcPr>
          <w:p w14:paraId="553A257A">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118" w:type="dxa"/>
            <w:gridSpan w:val="2"/>
            <w:noWrap w:val="0"/>
            <w:vAlign w:val="center"/>
          </w:tcPr>
          <w:p w14:paraId="7F4C5DA7">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szCs w:val="16"/>
                <w:lang w:eastAsia="zh"/>
                <w:woUserID w:val="1"/>
              </w:rPr>
              <w:t>1</w:t>
            </w:r>
            <w:r>
              <w:rPr>
                <w:rFonts w:hint="eastAsia"/>
                <w:szCs w:val="16"/>
                <w:lang w:val="en-US" w:eastAsia="zh-CN"/>
                <w:woUserID w:val="1"/>
              </w:rPr>
              <w:t>3874779091</w:t>
            </w:r>
          </w:p>
        </w:tc>
      </w:tr>
      <w:tr w14:paraId="356446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280FAEA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建设地点</w:t>
            </w:r>
          </w:p>
        </w:tc>
        <w:tc>
          <w:tcPr>
            <w:tcW w:w="7528" w:type="dxa"/>
            <w:gridSpan w:val="4"/>
            <w:noWrap w:val="0"/>
            <w:vAlign w:val="center"/>
          </w:tcPr>
          <w:p w14:paraId="17875B3C">
            <w:pPr>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4"/>
                <w:szCs w:val="24"/>
                <w:highlight w:val="none"/>
                <w:lang w:val="en-US" w:eastAsia="zh-CN"/>
              </w:rPr>
            </w:pPr>
            <w:r>
              <w:rPr>
                <w:rFonts w:hint="eastAsia" w:cs="Arial"/>
                <w:i w:val="0"/>
                <w:iCs w:val="0"/>
                <w:caps w:val="0"/>
                <w:color w:val="auto"/>
                <w:spacing w:val="0"/>
                <w:sz w:val="24"/>
                <w:szCs w:val="24"/>
                <w:u w:val="none"/>
                <w:shd w:val="clear" w:fill="FFFFFF"/>
                <w:lang w:eastAsia="zh-CN"/>
              </w:rPr>
              <w:t>永州市新田县三井镇三井村</w:t>
            </w:r>
          </w:p>
        </w:tc>
      </w:tr>
      <w:tr w14:paraId="73888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0C22EB2D">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地理坐标</w:t>
            </w:r>
          </w:p>
        </w:tc>
        <w:tc>
          <w:tcPr>
            <w:tcW w:w="7528" w:type="dxa"/>
            <w:gridSpan w:val="4"/>
            <w:noWrap w:val="0"/>
            <w:vAlign w:val="center"/>
          </w:tcPr>
          <w:p w14:paraId="3318BF44">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none"/>
                <w14:textFill>
                  <w14:solidFill>
                    <w14:schemeClr w14:val="tx1"/>
                  </w14:solidFill>
                </w14:textFill>
              </w:rPr>
              <w:t>东经</w:t>
            </w:r>
            <w:r>
              <w:rPr>
                <w:rFonts w:hint="eastAsia" w:cs="Times New Roman"/>
                <w:color w:val="auto"/>
                <w:kern w:val="2"/>
                <w:sz w:val="24"/>
                <w:szCs w:val="24"/>
                <w:u w:val="none" w:color="auto"/>
                <w:lang w:val="en-US" w:eastAsia="zh-CN" w:bidi="ar-SA"/>
              </w:rPr>
              <w:t>112度13分15.152秒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25度46分30.070秒</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tc>
      </w:tr>
      <w:tr w14:paraId="332892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26" w:hRule="atLeast"/>
          <w:jc w:val="center"/>
        </w:trPr>
        <w:tc>
          <w:tcPr>
            <w:tcW w:w="1259" w:type="dxa"/>
            <w:noWrap w:val="0"/>
            <w:tcMar>
              <w:top w:w="16" w:type="dxa"/>
              <w:left w:w="16" w:type="dxa"/>
              <w:right w:w="16" w:type="dxa"/>
            </w:tcMar>
            <w:vAlign w:val="center"/>
          </w:tcPr>
          <w:p w14:paraId="2F528D8B">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国民经济</w:t>
            </w:r>
          </w:p>
          <w:p w14:paraId="078626BD">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行业类别</w:t>
            </w:r>
          </w:p>
        </w:tc>
        <w:tc>
          <w:tcPr>
            <w:tcW w:w="2600" w:type="dxa"/>
            <w:noWrap w:val="0"/>
            <w:vAlign w:val="center"/>
          </w:tcPr>
          <w:p w14:paraId="082AFDCA">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Q8421 社区卫生服务中心</w:t>
            </w:r>
          </w:p>
        </w:tc>
        <w:tc>
          <w:tcPr>
            <w:tcW w:w="1810" w:type="dxa"/>
            <w:noWrap w:val="0"/>
            <w:vAlign w:val="center"/>
          </w:tcPr>
          <w:p w14:paraId="360DB2FB">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bookmarkStart w:id="10" w:name="_Hlk49843745"/>
            <w:r>
              <w:rPr>
                <w:rFonts w:hint="default" w:ascii="Times New Roman" w:hAnsi="Times New Roman" w:eastAsia="宋体" w:cs="Times New Roman"/>
                <w:color w:val="000000" w:themeColor="text1"/>
                <w:sz w:val="24"/>
                <w:szCs w:val="24"/>
                <w:highlight w:val="none"/>
                <w14:textFill>
                  <w14:solidFill>
                    <w14:schemeClr w14:val="tx1"/>
                  </w14:solidFill>
                </w14:textFill>
              </w:rPr>
              <w:t>建设项目</w:t>
            </w:r>
          </w:p>
          <w:p w14:paraId="1021EDEB">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行业类别</w:t>
            </w:r>
            <w:bookmarkEnd w:id="10"/>
          </w:p>
        </w:tc>
        <w:tc>
          <w:tcPr>
            <w:tcW w:w="3118" w:type="dxa"/>
            <w:gridSpan w:val="2"/>
            <w:noWrap w:val="0"/>
            <w:vAlign w:val="center"/>
          </w:tcPr>
          <w:p w14:paraId="6DF7099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p>
        </w:tc>
      </w:tr>
      <w:tr w14:paraId="1FB1A9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259" w:type="dxa"/>
            <w:noWrap w:val="0"/>
            <w:tcMar>
              <w:top w:w="16" w:type="dxa"/>
              <w:left w:w="16" w:type="dxa"/>
              <w:right w:w="16" w:type="dxa"/>
            </w:tcMar>
            <w:vAlign w:val="center"/>
          </w:tcPr>
          <w:p w14:paraId="0FF897F4">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建设性质</w:t>
            </w:r>
          </w:p>
        </w:tc>
        <w:tc>
          <w:tcPr>
            <w:tcW w:w="2600" w:type="dxa"/>
            <w:noWrap w:val="0"/>
            <w:vAlign w:val="center"/>
          </w:tcPr>
          <w:p w14:paraId="613F4AD8">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新建（</w:t>
            </w:r>
            <w:r>
              <w:rPr>
                <w:rFonts w:hint="eastAsia" w:cs="Times New Roman"/>
                <w:color w:val="auto"/>
                <w:sz w:val="24"/>
                <w:szCs w:val="24"/>
                <w:highlight w:val="none"/>
                <w:lang w:val="en-US" w:eastAsia="zh-CN"/>
              </w:rPr>
              <w:t>完善手续</w:t>
            </w:r>
            <w:r>
              <w:rPr>
                <w:rFonts w:hint="default" w:ascii="Times New Roman" w:hAnsi="Times New Roman" w:eastAsia="宋体" w:cs="Times New Roman"/>
                <w:color w:val="auto"/>
                <w:sz w:val="24"/>
                <w:szCs w:val="24"/>
                <w:highlight w:val="none"/>
              </w:rPr>
              <w:t>）</w:t>
            </w:r>
          </w:p>
          <w:p w14:paraId="67386721">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改建</w:t>
            </w:r>
          </w:p>
          <w:p w14:paraId="5D232C04">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□扩建</w:t>
            </w:r>
          </w:p>
          <w:p w14:paraId="2AE8ED2C">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技术改造</w:t>
            </w:r>
          </w:p>
        </w:tc>
        <w:tc>
          <w:tcPr>
            <w:tcW w:w="1810" w:type="dxa"/>
            <w:noWrap w:val="0"/>
            <w:vAlign w:val="center"/>
          </w:tcPr>
          <w:p w14:paraId="4508D98F">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建设项目</w:t>
            </w:r>
          </w:p>
          <w:p w14:paraId="26E1E44E">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申报情形</w:t>
            </w:r>
          </w:p>
        </w:tc>
        <w:tc>
          <w:tcPr>
            <w:tcW w:w="3118" w:type="dxa"/>
            <w:gridSpan w:val="2"/>
            <w:noWrap w:val="0"/>
            <w:vAlign w:val="center"/>
          </w:tcPr>
          <w:p w14:paraId="3A9B6661">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首次申报项目</w:t>
            </w:r>
          </w:p>
          <w:p w14:paraId="241300C2">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不予批准后再次申报项目</w:t>
            </w:r>
          </w:p>
          <w:p w14:paraId="5ACA6B74">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超五年重新审核项目</w:t>
            </w:r>
          </w:p>
          <w:p w14:paraId="3D07E061">
            <w:pPr>
              <w:keepLines w:val="0"/>
              <w:pageBreakBefore w:val="0"/>
              <w:kinsoku/>
              <w:wordWrap/>
              <w:topLinePunct w:val="0"/>
              <w:bidi w:val="0"/>
              <w:spacing w:line="240" w:lineRule="auto"/>
              <w:ind w:left="0" w:firstLine="0" w:firstLineChars="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重大变动重新报批项目</w:t>
            </w:r>
          </w:p>
        </w:tc>
      </w:tr>
      <w:tr w14:paraId="6BA17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259" w:type="dxa"/>
            <w:noWrap w:val="0"/>
            <w:tcMar>
              <w:top w:w="16" w:type="dxa"/>
              <w:left w:w="16" w:type="dxa"/>
              <w:right w:w="16" w:type="dxa"/>
            </w:tcMar>
            <w:vAlign w:val="center"/>
          </w:tcPr>
          <w:p w14:paraId="1244DD5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项目审批（核准/备案）部门</w:t>
            </w:r>
          </w:p>
          <w:p w14:paraId="4A3B8F71">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（选填）</w:t>
            </w:r>
          </w:p>
        </w:tc>
        <w:tc>
          <w:tcPr>
            <w:tcW w:w="2600" w:type="dxa"/>
            <w:noWrap w:val="0"/>
            <w:vAlign w:val="center"/>
          </w:tcPr>
          <w:p w14:paraId="7AAC7524">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c>
          <w:tcPr>
            <w:tcW w:w="1810" w:type="dxa"/>
            <w:noWrap w:val="0"/>
            <w:vAlign w:val="center"/>
          </w:tcPr>
          <w:p w14:paraId="5BD44A1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项目审批（核准/</w:t>
            </w:r>
          </w:p>
          <w:p w14:paraId="3205E6C6">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备案）文号（选填）</w:t>
            </w:r>
          </w:p>
        </w:tc>
        <w:tc>
          <w:tcPr>
            <w:tcW w:w="3118" w:type="dxa"/>
            <w:gridSpan w:val="2"/>
            <w:noWrap w:val="0"/>
            <w:vAlign w:val="center"/>
          </w:tcPr>
          <w:p w14:paraId="24EED11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p>
        </w:tc>
      </w:tr>
      <w:tr w14:paraId="3BECA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02864E56">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600" w:type="dxa"/>
            <w:noWrap w:val="0"/>
            <w:vAlign w:val="center"/>
          </w:tcPr>
          <w:p w14:paraId="0BCA73D3">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797</w:t>
            </w:r>
          </w:p>
        </w:tc>
        <w:tc>
          <w:tcPr>
            <w:tcW w:w="1810" w:type="dxa"/>
            <w:noWrap w:val="0"/>
            <w:tcMar>
              <w:top w:w="16" w:type="dxa"/>
              <w:left w:w="16" w:type="dxa"/>
              <w:right w:w="16" w:type="dxa"/>
            </w:tcMar>
            <w:vAlign w:val="center"/>
          </w:tcPr>
          <w:p w14:paraId="2A4C72E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环保投资（万元）</w:t>
            </w:r>
          </w:p>
        </w:tc>
        <w:tc>
          <w:tcPr>
            <w:tcW w:w="3118" w:type="dxa"/>
            <w:gridSpan w:val="2"/>
            <w:noWrap w:val="0"/>
            <w:vAlign w:val="center"/>
          </w:tcPr>
          <w:p w14:paraId="466113F4">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w:t>
            </w:r>
            <w:r>
              <w:rPr>
                <w:rFonts w:hint="eastAsia" w:cs="Times New Roman"/>
                <w:color w:val="auto"/>
                <w:sz w:val="24"/>
                <w:szCs w:val="24"/>
                <w:highlight w:val="none"/>
                <w:lang w:val="en-US" w:eastAsia="zh-CN"/>
              </w:rPr>
              <w:t>6</w:t>
            </w:r>
          </w:p>
        </w:tc>
      </w:tr>
      <w:tr w14:paraId="3D8619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259" w:type="dxa"/>
            <w:noWrap w:val="0"/>
            <w:tcMar>
              <w:top w:w="16" w:type="dxa"/>
              <w:left w:w="16" w:type="dxa"/>
              <w:right w:w="16" w:type="dxa"/>
            </w:tcMar>
            <w:vAlign w:val="center"/>
          </w:tcPr>
          <w:p w14:paraId="3DEE60F8">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600" w:type="dxa"/>
            <w:noWrap w:val="0"/>
            <w:vAlign w:val="center"/>
          </w:tcPr>
          <w:p w14:paraId="4A9D9352">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0000FF"/>
                <w:sz w:val="24"/>
                <w:szCs w:val="24"/>
                <w:highlight w:val="none"/>
                <w:lang w:val="en-US" w:eastAsia="zh-CN"/>
              </w:rPr>
            </w:pPr>
            <w:r>
              <w:rPr>
                <w:rFonts w:hint="eastAsia" w:cs="Times New Roman"/>
                <w:color w:val="auto"/>
                <w:sz w:val="24"/>
                <w:szCs w:val="24"/>
                <w:highlight w:val="none"/>
                <w:lang w:val="en-US" w:eastAsia="zh-CN"/>
              </w:rPr>
              <w:t>2.0</w:t>
            </w:r>
          </w:p>
        </w:tc>
        <w:tc>
          <w:tcPr>
            <w:tcW w:w="1810" w:type="dxa"/>
            <w:noWrap w:val="0"/>
            <w:tcMar>
              <w:top w:w="16" w:type="dxa"/>
              <w:left w:w="16" w:type="dxa"/>
              <w:right w:w="16" w:type="dxa"/>
            </w:tcMar>
            <w:vAlign w:val="center"/>
          </w:tcPr>
          <w:p w14:paraId="7515B41F">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118" w:type="dxa"/>
            <w:gridSpan w:val="2"/>
            <w:noWrap w:val="0"/>
            <w:vAlign w:val="center"/>
          </w:tcPr>
          <w:p w14:paraId="6671505D">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1个月</w:t>
            </w:r>
          </w:p>
        </w:tc>
      </w:tr>
      <w:tr w14:paraId="393201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259" w:type="dxa"/>
            <w:noWrap w:val="0"/>
            <w:tcMar>
              <w:top w:w="16" w:type="dxa"/>
              <w:left w:w="16" w:type="dxa"/>
              <w:right w:w="16" w:type="dxa"/>
            </w:tcMar>
            <w:vAlign w:val="center"/>
          </w:tcPr>
          <w:p w14:paraId="4F5E96EE">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4410" w:type="dxa"/>
            <w:gridSpan w:val="2"/>
            <w:noWrap w:val="0"/>
            <w:vAlign w:val="center"/>
          </w:tcPr>
          <w:p w14:paraId="18A46A7F">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否</w:t>
            </w:r>
          </w:p>
          <w:p w14:paraId="3994BC3C">
            <w:pPr>
              <w:keepLines w:val="0"/>
              <w:pageBreakBefore w:val="0"/>
              <w:kinsoku/>
              <w:wordWrap/>
              <w:topLinePunct w:val="0"/>
              <w:bidi w:val="0"/>
              <w:adjustRightInd w:val="0"/>
              <w:snapToGrid w:val="0"/>
              <w:spacing w:line="240" w:lineRule="auto"/>
              <w:ind w:left="0" w:firstLine="0" w:firstLineChars="0"/>
              <w:textAlignment w:val="auto"/>
              <w:rPr>
                <w:rFonts w:hint="default" w:ascii="Times New Roman" w:hAnsi="Times New Roman" w:eastAsia="宋体" w:cs="Times New Roman"/>
                <w:color w:val="FF0000"/>
                <w:sz w:val="24"/>
                <w:szCs w:val="24"/>
                <w:highlight w:val="none"/>
              </w:rPr>
            </w:pP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是：</w:t>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补办环评手续；项目已建成运行多年，投产至今未办理环评手续，根据《关于加强“未批先建”建设项目环境影响评价管理工作的通知》（环境保护部办公厅文件环办环评〔2018〕18号），内容：“未批先建”违法行为</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自建设行为终了之日起二年内未被发现的，依法不予行政处罚。结合《建设项目“未批先建”违法行为法律适用问题的意见》（环政法函〔</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2018</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31</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号）文件精神，不予处罚，补办环评手续。</w:t>
            </w:r>
          </w:p>
        </w:tc>
        <w:tc>
          <w:tcPr>
            <w:tcW w:w="1585" w:type="dxa"/>
            <w:noWrap w:val="0"/>
            <w:tcMar>
              <w:top w:w="16" w:type="dxa"/>
              <w:left w:w="16" w:type="dxa"/>
              <w:right w:w="16" w:type="dxa"/>
            </w:tcMar>
            <w:vAlign w:val="center"/>
          </w:tcPr>
          <w:p w14:paraId="6C793DA0">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14:paraId="3449DF4C">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1533" w:type="dxa"/>
            <w:noWrap w:val="0"/>
            <w:vAlign w:val="center"/>
          </w:tcPr>
          <w:p w14:paraId="126191EB">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953.8</w:t>
            </w:r>
          </w:p>
        </w:tc>
      </w:tr>
      <w:tr w14:paraId="65657A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259" w:type="dxa"/>
            <w:noWrap w:val="0"/>
            <w:vAlign w:val="center"/>
          </w:tcPr>
          <w:p w14:paraId="200D1C8E">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专项评价设置情况</w:t>
            </w:r>
          </w:p>
        </w:tc>
        <w:tc>
          <w:tcPr>
            <w:tcW w:w="7528" w:type="dxa"/>
            <w:gridSpan w:val="4"/>
            <w:noWrap w:val="0"/>
            <w:vAlign w:val="center"/>
          </w:tcPr>
          <w:p w14:paraId="05C86268">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both"/>
              <w:textAlignment w:val="auto"/>
              <w:rPr>
                <w:rFonts w:hint="eastAsia" w:cs="Times New Roman"/>
                <w:color w:val="auto"/>
                <w:kern w:val="0"/>
                <w:sz w:val="24"/>
                <w:szCs w:val="24"/>
                <w:highlight w:val="none"/>
                <w:u w:val="none" w:color="auto"/>
                <w:lang w:val="en-US" w:eastAsia="zh-CN"/>
              </w:rPr>
            </w:pPr>
            <w:r>
              <w:rPr>
                <w:rFonts w:hint="eastAsia" w:cs="Times New Roman"/>
                <w:color w:val="auto"/>
                <w:kern w:val="0"/>
                <w:sz w:val="24"/>
                <w:szCs w:val="24"/>
                <w:highlight w:val="none"/>
                <w:u w:val="none" w:color="auto"/>
                <w:lang w:val="en-US" w:eastAsia="zh-CN"/>
              </w:rPr>
              <w:t>根据《建设项目环境影响报告表编制技术指南（污染影响类）（试行）》专项设置评价如下：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17"/>
              <w:gridCol w:w="2679"/>
              <w:gridCol w:w="2878"/>
              <w:gridCol w:w="828"/>
            </w:tblGrid>
            <w:tr w14:paraId="3C918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0806554E">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default" w:ascii="Times New Roman" w:hAnsi="Times New Roman" w:eastAsia="宋体" w:cs="Times New Roman"/>
                      <w:color w:val="auto"/>
                      <w:sz w:val="21"/>
                      <w:szCs w:val="21"/>
                      <w:highlight w:val="none"/>
                      <w:u w:val="none" w:color="auto"/>
                      <w:vertAlign w:val="baseline"/>
                      <w:lang w:val="en-US" w:eastAsia="zh-CN"/>
                    </w:rPr>
                    <w:t>专项设置类别</w:t>
                  </w:r>
                </w:p>
              </w:tc>
              <w:tc>
                <w:tcPr>
                  <w:tcW w:w="1834" w:type="pct"/>
                  <w:noWrap w:val="0"/>
                  <w:vAlign w:val="center"/>
                </w:tcPr>
                <w:p w14:paraId="41245F57">
                  <w:pPr>
                    <w:pStyle w:val="29"/>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设置原则</w:t>
                  </w:r>
                </w:p>
              </w:tc>
              <w:tc>
                <w:tcPr>
                  <w:tcW w:w="1970" w:type="pct"/>
                  <w:noWrap w:val="0"/>
                  <w:vAlign w:val="center"/>
                </w:tcPr>
                <w:p w14:paraId="3E62131D">
                  <w:pPr>
                    <w:pStyle w:val="29"/>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本项目情况</w:t>
                  </w:r>
                </w:p>
              </w:tc>
              <w:tc>
                <w:tcPr>
                  <w:tcW w:w="567" w:type="pct"/>
                  <w:noWrap w:val="0"/>
                  <w:vAlign w:val="center"/>
                </w:tcPr>
                <w:p w14:paraId="583B78A7">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是否专项评价</w:t>
                  </w:r>
                </w:p>
              </w:tc>
            </w:tr>
            <w:tr w14:paraId="40A6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42A644BF">
                  <w:pPr>
                    <w:pStyle w:val="29"/>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大气</w:t>
                  </w:r>
                </w:p>
              </w:tc>
              <w:tc>
                <w:tcPr>
                  <w:tcW w:w="1834" w:type="pct"/>
                  <w:noWrap w:val="0"/>
                  <w:vAlign w:val="center"/>
                </w:tcPr>
                <w:p w14:paraId="57C14D18">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排放废气含有毒有害污染物</w:t>
                  </w:r>
                  <w:r>
                    <w:rPr>
                      <w:rFonts w:hint="eastAsia" w:cs="Times New Roman"/>
                      <w:color w:val="auto"/>
                      <w:kern w:val="2"/>
                      <w:sz w:val="21"/>
                      <w:szCs w:val="21"/>
                      <w:highlight w:val="none"/>
                      <w:u w:val="none" w:color="auto"/>
                      <w:vertAlign w:val="superscript"/>
                      <w:lang w:val="en-US" w:eastAsia="zh-CN" w:bidi="ar-SA"/>
                    </w:rPr>
                    <w:t>1</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、二嗯英、苯并［</w:t>
                  </w:r>
                  <w:r>
                    <w:rPr>
                      <w:rFonts w:hint="default" w:ascii="Times New Roman" w:hAnsi="Times New Roman" w:eastAsia="宋体" w:cs="Times New Roman"/>
                      <w:color w:val="auto"/>
                      <w:kern w:val="2"/>
                      <w:sz w:val="21"/>
                      <w:szCs w:val="21"/>
                      <w:highlight w:val="none"/>
                      <w:u w:val="none" w:color="auto"/>
                      <w:vertAlign w:val="baseline"/>
                      <w:lang w:val="en-US" w:eastAsia="zh-CN" w:bidi="ar-SA"/>
                    </w:rPr>
                    <w:t>a</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］芘、氰化物、氯气且厂界外</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米范围内有环境空气保护目标</w:t>
                  </w:r>
                  <w:r>
                    <w:rPr>
                      <w:rFonts w:hint="eastAsia" w:cs="Times New Roman"/>
                      <w:color w:val="auto"/>
                      <w:kern w:val="2"/>
                      <w:sz w:val="21"/>
                      <w:szCs w:val="21"/>
                      <w:highlight w:val="none"/>
                      <w:u w:val="none" w:color="auto"/>
                      <w:vertAlign w:val="superscript"/>
                      <w:lang w:val="en-US" w:eastAsia="zh-CN" w:bidi="ar-SA"/>
                    </w:rPr>
                    <w:t>2</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14:paraId="793948C2">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sz w:val="21"/>
                      <w:szCs w:val="21"/>
                      <w:vertAlign w:val="baseline"/>
                      <w:lang w:val="en-US" w:eastAsia="zh-CN"/>
                    </w:rPr>
                    <w:t>本项目厂界外500m范围内有环境空气保护目标；但，本项目排放废气所含污染物主要为硫化氢、氨气等恶臭气体，不属于左侧所列及《有毒有害大气污染物名录》中的污染物</w:t>
                  </w:r>
                </w:p>
              </w:tc>
              <w:tc>
                <w:tcPr>
                  <w:tcW w:w="567" w:type="pct"/>
                  <w:noWrap w:val="0"/>
                  <w:vAlign w:val="center"/>
                </w:tcPr>
                <w:p w14:paraId="1288B52C">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否</w:t>
                  </w:r>
                </w:p>
              </w:tc>
            </w:tr>
            <w:tr w14:paraId="28D3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43AF5277">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地表水</w:t>
                  </w:r>
                </w:p>
              </w:tc>
              <w:tc>
                <w:tcPr>
                  <w:tcW w:w="1834" w:type="pct"/>
                  <w:noWrap w:val="0"/>
                  <w:vAlign w:val="center"/>
                </w:tcPr>
                <w:p w14:paraId="12AE23B5">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新增工业废水直排建设项目(槽罐车外送污水处理厂的除外)；新增废水直排的污水集中处理厂</w:t>
                  </w:r>
                </w:p>
              </w:tc>
              <w:tc>
                <w:tcPr>
                  <w:tcW w:w="1970" w:type="pct"/>
                  <w:noWrap w:val="0"/>
                  <w:vAlign w:val="center"/>
                </w:tcPr>
                <w:p w14:paraId="384BD2D6">
                  <w:pPr>
                    <w:keepLines w:val="0"/>
                    <w:pageBreakBefore w:val="0"/>
                    <w:kinsoku/>
                    <w:wordWrap/>
                    <w:topLinePunct w:val="0"/>
                    <w:bidi w:val="0"/>
                    <w:spacing w:line="240" w:lineRule="auto"/>
                    <w:ind w:left="0" w:firstLine="0" w:firstLineChars="0"/>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cs="Times New Roman"/>
                      <w:color w:val="000000"/>
                      <w:kern w:val="0"/>
                      <w:sz w:val="21"/>
                      <w:szCs w:val="21"/>
                      <w:highlight w:val="none"/>
                      <w:u w:val="none"/>
                      <w:lang w:val="en-US" w:eastAsia="zh-CN"/>
                    </w:rPr>
                    <w:t>本</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项目废水经预处理后由</w:t>
                  </w:r>
                  <w:r>
                    <w:rPr>
                      <w:rFonts w:hint="eastAsia" w:cs="Times New Roman"/>
                      <w:color w:val="auto"/>
                      <w:kern w:val="2"/>
                      <w:sz w:val="21"/>
                      <w:szCs w:val="21"/>
                      <w:highlight w:val="none"/>
                      <w:u w:val="none" w:color="auto"/>
                      <w:vertAlign w:val="baseline"/>
                      <w:lang w:val="en-US" w:eastAsia="zh-CN" w:bidi="ar-SA"/>
                    </w:rPr>
                    <w:t>城镇</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污水管网接入污水处理厂深度处理。</w:t>
                  </w:r>
                </w:p>
              </w:tc>
              <w:tc>
                <w:tcPr>
                  <w:tcW w:w="567" w:type="pct"/>
                  <w:noWrap w:val="0"/>
                  <w:vAlign w:val="center"/>
                </w:tcPr>
                <w:p w14:paraId="45E2F33A">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4C75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04AF748A">
                  <w:pPr>
                    <w:pStyle w:val="29"/>
                    <w:keepLines w:val="0"/>
                    <w:pageBreakBefore w:val="0"/>
                    <w:kinsoku/>
                    <w:wordWrap/>
                    <w:topLinePunct w:val="0"/>
                    <w:bidi w:val="0"/>
                    <w:spacing w:line="240" w:lineRule="auto"/>
                    <w:ind w:left="0" w:leftChars="0" w:firstLine="0" w:firstLineChars="0"/>
                    <w:jc w:val="center"/>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环境</w:t>
                  </w:r>
                </w:p>
                <w:p w14:paraId="449B8C52">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风险</w:t>
                  </w:r>
                </w:p>
              </w:tc>
              <w:tc>
                <w:tcPr>
                  <w:tcW w:w="1834" w:type="pct"/>
                  <w:noWrap w:val="0"/>
                  <w:vAlign w:val="center"/>
                </w:tcPr>
                <w:p w14:paraId="7923FEB2">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有毒有害和易燃易爆危险物质储量超过临界量</w:t>
                  </w:r>
                  <w:r>
                    <w:rPr>
                      <w:rFonts w:hint="eastAsia" w:cs="Times New Roman"/>
                      <w:color w:val="auto"/>
                      <w:kern w:val="2"/>
                      <w:sz w:val="21"/>
                      <w:szCs w:val="21"/>
                      <w:highlight w:val="none"/>
                      <w:u w:val="none" w:color="auto"/>
                      <w:vertAlign w:val="superscript"/>
                      <w:lang w:val="en-US" w:eastAsia="zh-CN" w:bidi="ar-SA"/>
                    </w:rPr>
                    <w:t>3</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的建设项目</w:t>
                  </w:r>
                </w:p>
              </w:tc>
              <w:tc>
                <w:tcPr>
                  <w:tcW w:w="1970" w:type="pct"/>
                  <w:noWrap w:val="0"/>
                  <w:vAlign w:val="center"/>
                </w:tcPr>
                <w:p w14:paraId="7C9A7C71">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hAnsi="Times New Roman" w:eastAsia="宋体" w:cs="Times New Roman"/>
                      <w:sz w:val="21"/>
                      <w:szCs w:val="21"/>
                      <w:vertAlign w:val="baseline"/>
                      <w:lang w:val="en-US" w:eastAsia="zh-CN"/>
                    </w:rPr>
                    <w:t>本项目有毒有害物质主要为医疗废物及试剂，未超过临界量</w:t>
                  </w:r>
                  <w:r>
                    <w:rPr>
                      <w:rFonts w:hint="eastAsia" w:ascii="Times New Roman" w:cs="Times New Roman"/>
                      <w:sz w:val="21"/>
                      <w:szCs w:val="21"/>
                      <w:vertAlign w:val="baseline"/>
                      <w:lang w:val="en-US" w:eastAsia="zh-CN"/>
                    </w:rPr>
                    <w:t>。</w:t>
                  </w:r>
                </w:p>
              </w:tc>
              <w:tc>
                <w:tcPr>
                  <w:tcW w:w="567" w:type="pct"/>
                  <w:noWrap w:val="0"/>
                  <w:vAlign w:val="center"/>
                </w:tcPr>
                <w:p w14:paraId="78E05544">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4E7C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329EDA9D">
                  <w:pPr>
                    <w:pStyle w:val="29"/>
                    <w:keepLines w:val="0"/>
                    <w:pageBreakBefore w:val="0"/>
                    <w:kinsoku/>
                    <w:wordWrap/>
                    <w:topLinePunct w:val="0"/>
                    <w:bidi w:val="0"/>
                    <w:spacing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生态</w:t>
                  </w:r>
                </w:p>
              </w:tc>
              <w:tc>
                <w:tcPr>
                  <w:tcW w:w="1834" w:type="pct"/>
                  <w:noWrap w:val="0"/>
                  <w:vAlign w:val="center"/>
                </w:tcPr>
                <w:p w14:paraId="121FEC20">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取水口下游</w:t>
                  </w:r>
                  <w:r>
                    <w:rPr>
                      <w:rFonts w:hint="default" w:ascii="Times New Roman" w:hAnsi="Times New Roman" w:eastAsia="宋体" w:cs="Times New Roman"/>
                      <w:color w:val="auto"/>
                      <w:kern w:val="2"/>
                      <w:sz w:val="21"/>
                      <w:szCs w:val="21"/>
                      <w:highlight w:val="none"/>
                      <w:u w:val="none" w:color="auto"/>
                      <w:vertAlign w:val="baseline"/>
                      <w:lang w:val="en-US" w:eastAsia="zh-CN" w:bidi="ar-SA"/>
                    </w:rPr>
                    <w:t>500m</w:t>
                  </w:r>
                  <w:r>
                    <w:rPr>
                      <w:rFonts w:hint="eastAsia" w:ascii="Times New Roman" w:hAnsi="Times New Roman" w:eastAsia="宋体" w:cs="Times New Roman"/>
                      <w:color w:val="auto"/>
                      <w:kern w:val="2"/>
                      <w:sz w:val="21"/>
                      <w:szCs w:val="21"/>
                      <w:highlight w:val="none"/>
                      <w:u w:val="none" w:color="auto"/>
                      <w:vertAlign w:val="baseline"/>
                      <w:lang w:val="en-US" w:eastAsia="zh-CN" w:bidi="ar-SA"/>
                    </w:rPr>
                    <w:t>范围内有重要水生生物的自然产卵场、索饵场、越冬场和洄游通道的新增河道取水的污染类建设项目</w:t>
                  </w:r>
                </w:p>
              </w:tc>
              <w:tc>
                <w:tcPr>
                  <w:tcW w:w="1970" w:type="pct"/>
                  <w:noWrap w:val="0"/>
                  <w:vAlign w:val="center"/>
                </w:tcPr>
                <w:p w14:paraId="2B118E72">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项目用水为自来水，由城镇供水管网引入，无需设置河道取水口。</w:t>
                  </w:r>
                </w:p>
              </w:tc>
              <w:tc>
                <w:tcPr>
                  <w:tcW w:w="567" w:type="pct"/>
                  <w:noWrap w:val="0"/>
                  <w:vAlign w:val="center"/>
                </w:tcPr>
                <w:p w14:paraId="710E97E2">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3559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628" w:type="pct"/>
                  <w:noWrap w:val="0"/>
                  <w:vAlign w:val="center"/>
                </w:tcPr>
                <w:p w14:paraId="79DAA2D8">
                  <w:pPr>
                    <w:pStyle w:val="29"/>
                    <w:keepLines w:val="0"/>
                    <w:pageBreakBefore w:val="0"/>
                    <w:kinsoku/>
                    <w:wordWrap/>
                    <w:topLinePunct w:val="0"/>
                    <w:bidi w:val="0"/>
                    <w:spacing w:line="240" w:lineRule="auto"/>
                    <w:ind w:left="0" w:firstLine="0" w:firstLineChars="0"/>
                    <w:jc w:val="center"/>
                    <w:textAlignment w:val="auto"/>
                    <w:rPr>
                      <w:rFonts w:hint="eastAsia"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海洋</w:t>
                  </w:r>
                </w:p>
              </w:tc>
              <w:tc>
                <w:tcPr>
                  <w:tcW w:w="1834" w:type="pct"/>
                  <w:noWrap w:val="0"/>
                  <w:vAlign w:val="center"/>
                </w:tcPr>
                <w:p w14:paraId="6A0BDEFD">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2"/>
                      <w:sz w:val="21"/>
                      <w:szCs w:val="21"/>
                      <w:highlight w:val="none"/>
                      <w:u w:val="none" w:color="auto"/>
                      <w:vertAlign w:val="baseline"/>
                      <w:lang w:val="en-US" w:eastAsia="zh-CN" w:bidi="ar-SA"/>
                    </w:rPr>
                  </w:pPr>
                  <w:r>
                    <w:rPr>
                      <w:rFonts w:hint="eastAsia" w:ascii="Times New Roman" w:hAnsi="Times New Roman" w:eastAsia="宋体" w:cs="Times New Roman"/>
                      <w:color w:val="auto"/>
                      <w:kern w:val="2"/>
                      <w:sz w:val="21"/>
                      <w:szCs w:val="21"/>
                      <w:highlight w:val="none"/>
                      <w:u w:val="none" w:color="auto"/>
                      <w:vertAlign w:val="baseline"/>
                      <w:lang w:val="en-US" w:eastAsia="zh-CN" w:bidi="ar-SA"/>
                    </w:rPr>
                    <w:t>直接向海排放污染物的海洋工程建设项目</w:t>
                  </w:r>
                </w:p>
              </w:tc>
              <w:tc>
                <w:tcPr>
                  <w:tcW w:w="1970" w:type="pct"/>
                  <w:noWrap w:val="0"/>
                  <w:vAlign w:val="center"/>
                </w:tcPr>
                <w:p w14:paraId="2616D25D">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项目不属于海洋工程。</w:t>
                  </w:r>
                </w:p>
              </w:tc>
              <w:tc>
                <w:tcPr>
                  <w:tcW w:w="567" w:type="pct"/>
                  <w:noWrap w:val="0"/>
                  <w:vAlign w:val="center"/>
                </w:tcPr>
                <w:p w14:paraId="40BB814B">
                  <w:pPr>
                    <w:pStyle w:val="29"/>
                    <w:keepLines w:val="0"/>
                    <w:pageBreakBefore w:val="0"/>
                    <w:kinsoku/>
                    <w:wordWrap/>
                    <w:topLinePunct w:val="0"/>
                    <w:bidi w:val="0"/>
                    <w:spacing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u w:val="none" w:color="auto"/>
                      <w:vertAlign w:val="baseline"/>
                    </w:rPr>
                  </w:pPr>
                  <w:r>
                    <w:rPr>
                      <w:rFonts w:hint="eastAsia" w:ascii="Times New Roman" w:cs="Times New Roman"/>
                      <w:color w:val="auto"/>
                      <w:sz w:val="21"/>
                      <w:szCs w:val="21"/>
                      <w:highlight w:val="none"/>
                      <w:u w:val="none" w:color="auto"/>
                      <w:vertAlign w:val="baseline"/>
                      <w:lang w:val="en-US" w:eastAsia="zh-CN"/>
                    </w:rPr>
                    <w:t>否</w:t>
                  </w:r>
                </w:p>
              </w:tc>
            </w:tr>
            <w:tr w14:paraId="0DF6B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4" w:hRule="atLeast"/>
                <w:jc w:val="center"/>
              </w:trPr>
              <w:tc>
                <w:tcPr>
                  <w:tcW w:w="5000" w:type="pct"/>
                  <w:gridSpan w:val="4"/>
                  <w:noWrap w:val="0"/>
                  <w:vAlign w:val="center"/>
                </w:tcPr>
                <w:p w14:paraId="6FDCC2B8">
                  <w:pPr>
                    <w:pStyle w:val="29"/>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注:1.废气中有毒有害污染物指纳入《有毒有害大气污染物名录》的污染物（不包括无排放标准的污染物）。</w:t>
                  </w:r>
                </w:p>
                <w:p w14:paraId="2BCFCF33">
                  <w:pPr>
                    <w:pStyle w:val="29"/>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2.环境空气保护目标指自然保护区、风景名胜区、居住区、文化区和农村地区中人群较集中的区域。</w:t>
                  </w:r>
                </w:p>
                <w:p w14:paraId="63F1D534">
                  <w:pPr>
                    <w:pStyle w:val="29"/>
                    <w:keepLines w:val="0"/>
                    <w:pageBreakBefore w:val="0"/>
                    <w:kinsoku/>
                    <w:wordWrap/>
                    <w:topLinePunct w:val="0"/>
                    <w:bidi w:val="0"/>
                    <w:spacing w:line="240" w:lineRule="auto"/>
                    <w:ind w:left="0" w:leftChars="0" w:firstLine="0" w:firstLineChars="0"/>
                    <w:jc w:val="left"/>
                    <w:textAlignment w:val="auto"/>
                    <w:rPr>
                      <w:rFonts w:hint="eastAsia" w:ascii="Times New Roman" w:cs="Times New Roman"/>
                      <w:color w:val="auto"/>
                      <w:sz w:val="21"/>
                      <w:szCs w:val="21"/>
                      <w:highlight w:val="none"/>
                      <w:u w:val="none" w:color="auto"/>
                      <w:vertAlign w:val="baseline"/>
                      <w:lang w:val="en-US" w:eastAsia="zh-CN"/>
                    </w:rPr>
                  </w:pPr>
                  <w:r>
                    <w:rPr>
                      <w:rFonts w:hint="eastAsia" w:ascii="Times New Roman" w:cs="Times New Roman"/>
                      <w:color w:val="auto"/>
                      <w:sz w:val="21"/>
                      <w:szCs w:val="21"/>
                      <w:highlight w:val="none"/>
                      <w:u w:val="none" w:color="auto"/>
                      <w:vertAlign w:val="baseline"/>
                      <w:lang w:val="en-US" w:eastAsia="zh-CN"/>
                    </w:rPr>
                    <w:t>3.临界量及其计算方法可参考《建设项目环境风险评价技术导则》（HJ169）附录B、附录C。</w:t>
                  </w:r>
                </w:p>
              </w:tc>
            </w:tr>
          </w:tbl>
          <w:p w14:paraId="584E1586">
            <w:pPr>
              <w:pStyle w:val="3"/>
              <w:keepLines w:val="0"/>
              <w:pageBreakBefore w:val="0"/>
              <w:kinsoku/>
              <w:wordWrap/>
              <w:topLinePunct w:val="0"/>
              <w:bidi w:val="0"/>
              <w:spacing w:before="0" w:after="0" w:line="240" w:lineRule="auto"/>
              <w:ind w:left="0" w:firstLine="0" w:firstLineChars="0"/>
              <w:textAlignment w:val="auto"/>
              <w:outlineLvl w:val="9"/>
              <w:rPr>
                <w:rFonts w:hint="default"/>
                <w:color w:val="auto"/>
                <w:sz w:val="24"/>
                <w:szCs w:val="24"/>
                <w:highlight w:val="none"/>
                <w:lang w:val="en-US" w:eastAsia="zh-CN"/>
              </w:rPr>
            </w:pPr>
          </w:p>
        </w:tc>
      </w:tr>
      <w:tr w14:paraId="5CA0BD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259" w:type="dxa"/>
            <w:noWrap w:val="0"/>
            <w:vAlign w:val="center"/>
          </w:tcPr>
          <w:p w14:paraId="7480BCF4">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规划情况</w:t>
            </w:r>
          </w:p>
        </w:tc>
        <w:tc>
          <w:tcPr>
            <w:tcW w:w="7528" w:type="dxa"/>
            <w:gridSpan w:val="4"/>
            <w:noWrap w:val="0"/>
            <w:vAlign w:val="center"/>
          </w:tcPr>
          <w:p w14:paraId="3152B501">
            <w:pPr>
              <w:keepLines w:val="0"/>
              <w:pageBreakBefore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14:paraId="51E089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259" w:type="dxa"/>
            <w:noWrap w:val="0"/>
            <w:vAlign w:val="center"/>
          </w:tcPr>
          <w:p w14:paraId="50438706">
            <w:pPr>
              <w:keepLines w:val="0"/>
              <w:pageBreakBefore w:val="0"/>
              <w:kinsoku/>
              <w:wordWrap/>
              <w:topLinePunct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sz w:val="24"/>
                <w:szCs w:val="24"/>
                <w:highlight w:val="none"/>
              </w:rPr>
              <w:t>规划环境影响评价情况</w:t>
            </w:r>
          </w:p>
        </w:tc>
        <w:tc>
          <w:tcPr>
            <w:tcW w:w="7528" w:type="dxa"/>
            <w:gridSpan w:val="4"/>
            <w:noWrap w:val="0"/>
            <w:vAlign w:val="center"/>
          </w:tcPr>
          <w:p w14:paraId="6F543296">
            <w:pPr>
              <w:keepNext w:val="0"/>
              <w:keepLines w:val="0"/>
              <w:pageBreakBefore w:val="0"/>
              <w:widowControl w:val="0"/>
              <w:kinsoku/>
              <w:wordWrap/>
              <w:overflowPunct/>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spacing w:val="8"/>
                <w:sz w:val="24"/>
                <w:szCs w:val="24"/>
                <w:highlight w:val="none"/>
                <w:u w:val="none"/>
                <w:lang w:val="en-US" w:eastAsia="zh-CN"/>
              </w:rPr>
            </w:pPr>
            <w:r>
              <w:rPr>
                <w:rFonts w:hint="eastAsia" w:cs="Times New Roman"/>
                <w:color w:val="auto"/>
                <w:spacing w:val="8"/>
                <w:sz w:val="24"/>
                <w:szCs w:val="24"/>
                <w:highlight w:val="none"/>
                <w:u w:val="none"/>
                <w:lang w:val="en-US" w:eastAsia="zh-CN"/>
              </w:rPr>
              <w:t>无</w:t>
            </w:r>
          </w:p>
        </w:tc>
      </w:tr>
      <w:tr w14:paraId="419A9F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59" w:type="dxa"/>
            <w:noWrap w:val="0"/>
            <w:vAlign w:val="center"/>
          </w:tcPr>
          <w:p w14:paraId="024A0C97">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宋体" w:cs="Times New Roman"/>
                <w:color w:val="auto"/>
                <w:kern w:val="0"/>
                <w:sz w:val="24"/>
                <w:szCs w:val="24"/>
                <w:highlight w:val="none"/>
              </w:rPr>
              <w:t>规划及规划</w:t>
            </w:r>
            <w:r>
              <w:rPr>
                <w:rFonts w:hint="default" w:ascii="Times New Roman" w:hAnsi="Times New Roman" w:eastAsia="宋体" w:cs="Times New Roman"/>
                <w:color w:val="auto"/>
                <w:sz w:val="24"/>
                <w:szCs w:val="24"/>
                <w:highlight w:val="none"/>
                <w:lang w:val="en-US" w:eastAsia="zh-CN"/>
              </w:rPr>
              <w:t>环</w:t>
            </w:r>
            <w:r>
              <w:rPr>
                <w:rFonts w:hint="default" w:ascii="Times New Roman" w:hAnsi="Times New Roman" w:eastAsia="宋体" w:cs="Times New Roman"/>
                <w:color w:val="auto"/>
                <w:kern w:val="0"/>
                <w:sz w:val="24"/>
                <w:szCs w:val="24"/>
                <w:highlight w:val="none"/>
              </w:rPr>
              <w:t>境影响评价符合性分析</w:t>
            </w:r>
          </w:p>
        </w:tc>
        <w:tc>
          <w:tcPr>
            <w:tcW w:w="7528" w:type="dxa"/>
            <w:gridSpan w:val="4"/>
            <w:noWrap w:val="0"/>
            <w:vAlign w:val="center"/>
          </w:tcPr>
          <w:p w14:paraId="71A5F966">
            <w:pPr>
              <w:keepNext w:val="0"/>
              <w:keepLines w:val="0"/>
              <w:pageBreakBefore w:val="0"/>
              <w:widowControl/>
              <w:suppressLineNumbers w:val="0"/>
              <w:kinsoku/>
              <w:wordWrap/>
              <w:topLinePunct w:val="0"/>
              <w:bidi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14:paraId="3D5708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9" w:type="dxa"/>
            <w:noWrap w:val="0"/>
            <w:vAlign w:val="center"/>
          </w:tcPr>
          <w:p w14:paraId="000A5AA1">
            <w:pPr>
              <w:keepLines w:val="0"/>
              <w:pageBreakBefore w:val="0"/>
              <w:kinsoku/>
              <w:wordWrap/>
              <w:topLinePunct w:val="0"/>
              <w:autoSpaceDE w:val="0"/>
              <w:autoSpaceDN w:val="0"/>
              <w:bidi w:val="0"/>
              <w:adjustRightInd w:val="0"/>
              <w:snapToGrid w:val="0"/>
              <w:spacing w:line="240" w:lineRule="auto"/>
              <w:ind w:left="0" w:firstLine="0" w:firstLineChars="0"/>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cs="Times New Roman"/>
                <w:color w:val="000000" w:themeColor="text1"/>
                <w:kern w:val="0"/>
                <w:sz w:val="24"/>
                <w:highlight w:val="none"/>
                <w14:textFill>
                  <w14:solidFill>
                    <w14:schemeClr w14:val="tx1"/>
                  </w14:solidFill>
                </w14:textFill>
              </w:rPr>
              <w:t>其他符合性分析</w:t>
            </w:r>
          </w:p>
        </w:tc>
        <w:tc>
          <w:tcPr>
            <w:tcW w:w="7528" w:type="dxa"/>
            <w:gridSpan w:val="4"/>
            <w:noWrap w:val="0"/>
            <w:vAlign w:val="center"/>
          </w:tcPr>
          <w:p w14:paraId="74A6B494">
            <w:pPr>
              <w:pStyle w:val="33"/>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b/>
                <w:bCs/>
                <w:color w:val="000000" w:themeColor="text1"/>
                <w:kern w:val="2"/>
                <w:sz w:val="24"/>
                <w:szCs w:val="24"/>
                <w:highlight w:val="none"/>
                <w:lang w:val="en-US" w:eastAsia="zh-CN" w:bidi="ar-SA"/>
                <w14:textFill>
                  <w14:solidFill>
                    <w14:schemeClr w14:val="tx1"/>
                  </w14:solidFill>
                </w14:textFill>
              </w:rPr>
              <w:t>1、产业政策符合性分析</w:t>
            </w:r>
          </w:p>
          <w:p w14:paraId="0D7A7342">
            <w:pPr>
              <w:pStyle w:val="33"/>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根据建设单位取得的《</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医疗机构执业许可证</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》，本项目为社区卫生服务中心；同时，根据《国民经济行业分类》（GB/T4754-2017），</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本项目</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的国民经济行业代码</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为</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Q8421社区卫生服务中心</w:t>
            </w:r>
            <w:r>
              <w:rPr>
                <w:rFonts w:hint="eastAsia"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p>
          <w:p w14:paraId="1CD69791">
            <w:pPr>
              <w:pStyle w:val="33"/>
              <w:keepNext w:val="0"/>
              <w:keepLines w:val="0"/>
              <w:pageBreakBefore w:val="0"/>
              <w:kinsoku/>
              <w:wordWrap/>
              <w:overflowPunct/>
              <w:topLinePunct w:val="0"/>
              <w:autoSpaceDE/>
              <w:autoSpaceDN/>
              <w:bidi w:val="0"/>
              <w:adjustRightInd/>
              <w:snapToGrid/>
              <w:spacing w:line="360" w:lineRule="auto"/>
              <w:ind w:left="0" w:right="0" w:firstLine="420"/>
              <w:jc w:val="both"/>
              <w:textAlignment w:val="auto"/>
              <w:rPr>
                <w:rFonts w:hint="default"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auto"/>
                <w:kern w:val="0"/>
                <w:sz w:val="24"/>
                <w:szCs w:val="24"/>
                <w:highlight w:val="none"/>
                <w:u w:val="none"/>
                <w:lang w:val="en-US" w:eastAsia="zh-CN" w:bidi="ar-SA"/>
              </w:rPr>
              <w:t>对照《产业结构调整指导目录（2024年本）》，项目属于第一类鼓励类“三十七、卫生健康-1、医疗卫生服务设施建设”</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w:t>
            </w:r>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同时，本项目不属于《市场准入负面清单（2022年版）》禁止事项</w:t>
            </w:r>
            <w:bookmarkStart w:id="66" w:name="_GoBack"/>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，不使用</w:t>
            </w:r>
            <w:r>
              <w:rPr>
                <w:rFonts w:hint="eastAsia" w:ascii="Times New Roman" w:hAnsi="Times New Roman" w:cs="Times New Roman"/>
                <w:color w:val="auto"/>
                <w:kern w:val="0"/>
                <w:sz w:val="24"/>
                <w:szCs w:val="24"/>
                <w:highlight w:val="none"/>
                <w:u w:val="none"/>
                <w:lang w:val="en-US" w:eastAsia="zh-CN" w:bidi="ar-SA"/>
              </w:rPr>
              <w:t>《产业结构调整指导目录（2024年本）》中所述落后、淘汰设备</w:t>
            </w:r>
            <w:bookmarkEnd w:id="66"/>
            <w:r>
              <w:rPr>
                <w:rFonts w:hint="eastAsia" w:ascii="Times New Roman" w:hAnsi="Times New Roman" w:cs="Times New Roman"/>
                <w:color w:val="000000" w:themeColor="text1"/>
                <w:kern w:val="2"/>
                <w:sz w:val="24"/>
                <w:szCs w:val="24"/>
                <w:highlight w:val="none"/>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t>因此，本项目符合国家产业政策。</w:t>
            </w:r>
          </w:p>
          <w:p w14:paraId="57586E0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u w:val="none" w:color="auto"/>
              </w:rPr>
            </w:pPr>
            <w:r>
              <w:rPr>
                <w:rFonts w:hint="default" w:ascii="Times New Roman" w:hAnsi="Times New Roman" w:eastAsia="宋体" w:cs="Times New Roman"/>
                <w:b/>
                <w:bCs/>
                <w:color w:val="auto"/>
                <w:spacing w:val="0"/>
                <w:sz w:val="24"/>
                <w:u w:val="none" w:color="auto"/>
                <w:lang w:val="en-US" w:eastAsia="zh-CN"/>
              </w:rPr>
              <w:t>2</w:t>
            </w:r>
            <w:r>
              <w:rPr>
                <w:rFonts w:hint="default" w:ascii="Times New Roman" w:hAnsi="Times New Roman" w:eastAsia="宋体" w:cs="Times New Roman"/>
                <w:b/>
                <w:bCs/>
                <w:color w:val="auto"/>
                <w:spacing w:val="0"/>
                <w:sz w:val="24"/>
                <w:u w:val="none" w:color="auto"/>
              </w:rPr>
              <w:t>、</w:t>
            </w:r>
            <w:r>
              <w:rPr>
                <w:rFonts w:hint="eastAsia" w:cs="Times New Roman"/>
                <w:b/>
                <w:bCs/>
                <w:color w:val="auto"/>
                <w:spacing w:val="0"/>
                <w:sz w:val="24"/>
                <w:u w:val="none" w:color="auto"/>
                <w:lang w:val="en-US" w:eastAsia="zh-CN"/>
              </w:rPr>
              <w:t>生态</w:t>
            </w:r>
            <w:r>
              <w:rPr>
                <w:rFonts w:hint="eastAsia" w:cs="Times New Roman"/>
                <w:b/>
                <w:bCs/>
                <w:color w:val="auto"/>
                <w:kern w:val="0"/>
                <w:sz w:val="24"/>
                <w:szCs w:val="24"/>
                <w:highlight w:val="none"/>
                <w:u w:val="none" w:color="auto"/>
                <w:lang w:val="en-US" w:eastAsia="zh-CN" w:bidi="ar-SA"/>
              </w:rPr>
              <w:t>环境分区管控</w:t>
            </w:r>
            <w:r>
              <w:rPr>
                <w:rFonts w:hint="default" w:ascii="Times New Roman" w:hAnsi="Times New Roman" w:eastAsia="宋体" w:cs="Times New Roman"/>
                <w:b/>
                <w:bCs/>
                <w:color w:val="auto"/>
                <w:spacing w:val="0"/>
                <w:sz w:val="24"/>
                <w:u w:val="none" w:color="auto"/>
              </w:rPr>
              <w:t>要求符合性分析</w:t>
            </w:r>
          </w:p>
          <w:p w14:paraId="5826AF20">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eastAsia" w:ascii="Times New Roman" w:hAnsi="Times New Roman" w:cs="Times New Roman"/>
                <w:spacing w:val="0"/>
                <w:w w:val="100"/>
                <w:position w:val="0"/>
                <w:sz w:val="24"/>
                <w:szCs w:val="24"/>
                <w:highlight w:val="none"/>
                <w:u w:val="none" w:color="auto"/>
                <w:lang w:eastAsia="zh-CN"/>
              </w:rPr>
              <w:t>（</w:t>
            </w:r>
            <w:r>
              <w:rPr>
                <w:rFonts w:hint="eastAsia" w:ascii="Times New Roman" w:hAnsi="Times New Roman" w:cs="Times New Roman"/>
                <w:spacing w:val="0"/>
                <w:w w:val="100"/>
                <w:position w:val="0"/>
                <w:sz w:val="24"/>
                <w:szCs w:val="24"/>
                <w:highlight w:val="none"/>
                <w:u w:val="none" w:color="auto"/>
                <w:lang w:val="en-US" w:eastAsia="zh-CN"/>
              </w:rPr>
              <w:t>1</w:t>
            </w:r>
            <w:r>
              <w:rPr>
                <w:rFonts w:hint="eastAsia" w:ascii="Times New Roman" w:hAnsi="Times New Roman" w:cs="Times New Roman"/>
                <w:spacing w:val="0"/>
                <w:w w:val="100"/>
                <w:position w:val="0"/>
                <w:sz w:val="24"/>
                <w:szCs w:val="24"/>
                <w:highlight w:val="none"/>
                <w:u w:val="none" w:color="auto"/>
                <w:lang w:eastAsia="zh-CN"/>
              </w:rPr>
              <w:t>）</w:t>
            </w:r>
            <w:r>
              <w:rPr>
                <w:rFonts w:hint="default" w:ascii="Times New Roman" w:hAnsi="Times New Roman" w:eastAsia="宋体" w:cs="Times New Roman"/>
                <w:spacing w:val="0"/>
                <w:w w:val="100"/>
                <w:position w:val="0"/>
                <w:sz w:val="24"/>
                <w:szCs w:val="24"/>
                <w:highlight w:val="none"/>
                <w:u w:val="none" w:color="auto"/>
              </w:rPr>
              <w:t>生态红线</w:t>
            </w:r>
          </w:p>
          <w:p w14:paraId="27B037B9">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cs="Times New Roman"/>
                <w:color w:val="000000" w:themeColor="text1"/>
                <w:sz w:val="24"/>
                <w:highlight w:val="none"/>
                <w:u w:val="none" w:color="auto"/>
                <w:lang w:val="en-US" w:eastAsia="zh-CN"/>
                <w14:textFill>
                  <w14:solidFill>
                    <w14:schemeClr w14:val="tx1"/>
                  </w14:solidFill>
                </w14:textFill>
              </w:rPr>
            </w:pPr>
            <w:r>
              <w:rPr>
                <w:rFonts w:hint="default" w:ascii="Times New Roman" w:hAnsi="Times New Roman" w:eastAsia="宋体" w:cs="Times New Roman"/>
                <w:spacing w:val="0"/>
                <w:w w:val="100"/>
                <w:position w:val="0"/>
                <w:sz w:val="24"/>
                <w:szCs w:val="24"/>
                <w:highlight w:val="none"/>
                <w:u w:val="none" w:color="auto"/>
              </w:rPr>
              <w:t>本项目建设地点位于</w:t>
            </w:r>
            <w:r>
              <w:rPr>
                <w:rFonts w:hint="eastAsia" w:ascii="Times New Roman" w:hAnsi="Times New Roman" w:cs="Arial"/>
                <w:i w:val="0"/>
                <w:iCs w:val="0"/>
                <w:caps w:val="0"/>
                <w:color w:val="auto"/>
                <w:spacing w:val="0"/>
                <w:sz w:val="24"/>
                <w:szCs w:val="24"/>
                <w:u w:val="none" w:color="auto"/>
                <w:shd w:val="clear" w:fill="FFFFFF"/>
                <w:lang w:eastAsia="zh-CN"/>
              </w:rPr>
              <w:t>永州市新田县三井镇三井村</w:t>
            </w:r>
            <w:r>
              <w:rPr>
                <w:rFonts w:hint="eastAsia" w:ascii="Times New Roman" w:hAnsi="Times New Roman" w:cs="Times New Roman"/>
                <w:color w:val="000000" w:themeColor="text1"/>
                <w:sz w:val="24"/>
                <w:highlight w:val="none"/>
                <w:u w:val="none" w:color="auto"/>
                <w:lang w:eastAsia="zh-CN"/>
                <w14:textFill>
                  <w14:solidFill>
                    <w14:schemeClr w14:val="tx1"/>
                  </w14:solidFill>
                </w14:textFill>
              </w:rPr>
              <w:t>。</w:t>
            </w:r>
            <w:r>
              <w:rPr>
                <w:rFonts w:hint="eastAsia" w:ascii="Times New Roman" w:hAnsi="Times New Roman" w:cs="Times New Roman"/>
                <w:color w:val="000000" w:themeColor="text1"/>
                <w:sz w:val="24"/>
                <w:highlight w:val="none"/>
                <w:u w:val="none" w:color="auto"/>
                <w:lang w:val="en-US" w:eastAsia="zh-CN"/>
                <w14:textFill>
                  <w14:solidFill>
                    <w14:schemeClr w14:val="tx1"/>
                  </w14:solidFill>
                </w14:textFill>
              </w:rPr>
              <w:t>根据《新田县三井镇国土空间规划》，本项目用地属于城镇开发边界范围内。本项目用地不涉及自然保护区、风景名胜区、森林公园、地质公园、永久基本农田等敏感区，不在生态红线范围内。</w:t>
            </w:r>
          </w:p>
          <w:p w14:paraId="13C84FC1">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eastAsia" w:ascii="Times New Roman" w:hAnsi="Times New Roman" w:cs="Times New Roman"/>
                <w:spacing w:val="0"/>
                <w:w w:val="100"/>
                <w:position w:val="0"/>
                <w:sz w:val="24"/>
                <w:szCs w:val="24"/>
                <w:highlight w:val="none"/>
                <w:u w:val="none" w:color="auto"/>
                <w:lang w:eastAsia="zh-CN"/>
              </w:rPr>
              <w:t>（</w:t>
            </w:r>
            <w:r>
              <w:rPr>
                <w:rFonts w:hint="eastAsia" w:ascii="Times New Roman" w:hAnsi="Times New Roman" w:cs="Times New Roman"/>
                <w:spacing w:val="0"/>
                <w:w w:val="100"/>
                <w:position w:val="0"/>
                <w:sz w:val="24"/>
                <w:szCs w:val="24"/>
                <w:highlight w:val="none"/>
                <w:u w:val="none" w:color="auto"/>
                <w:lang w:val="en-US" w:eastAsia="zh-CN"/>
              </w:rPr>
              <w:t>2</w:t>
            </w:r>
            <w:r>
              <w:rPr>
                <w:rFonts w:hint="eastAsia" w:ascii="Times New Roman" w:hAnsi="Times New Roman" w:cs="Times New Roman"/>
                <w:spacing w:val="0"/>
                <w:w w:val="100"/>
                <w:position w:val="0"/>
                <w:sz w:val="24"/>
                <w:szCs w:val="24"/>
                <w:highlight w:val="none"/>
                <w:u w:val="none" w:color="auto"/>
                <w:lang w:eastAsia="zh-CN"/>
              </w:rPr>
              <w:t>）</w:t>
            </w:r>
            <w:r>
              <w:rPr>
                <w:rFonts w:hint="default" w:ascii="Times New Roman" w:hAnsi="Times New Roman" w:eastAsia="宋体" w:cs="Times New Roman"/>
                <w:spacing w:val="0"/>
                <w:w w:val="100"/>
                <w:position w:val="0"/>
                <w:sz w:val="24"/>
                <w:szCs w:val="24"/>
                <w:highlight w:val="none"/>
                <w:u w:val="none" w:color="auto"/>
              </w:rPr>
              <w:t>环境质量底线</w:t>
            </w:r>
          </w:p>
          <w:p w14:paraId="6CA9D17B">
            <w:pPr>
              <w:spacing w:line="360" w:lineRule="auto"/>
              <w:ind w:firstLine="480" w:firstLineChars="200"/>
              <w:rPr>
                <w:rFonts w:hint="default" w:ascii="Times New Roman" w:hAnsi="Times New Roman" w:eastAsia="宋体" w:cs="Times New Roman"/>
                <w:color w:val="auto"/>
                <w:sz w:val="24"/>
                <w:u w:val="none" w:color="auto"/>
              </w:rPr>
            </w:pPr>
            <w:r>
              <w:rPr>
                <w:rFonts w:hint="default" w:ascii="Times New Roman" w:hAnsi="Times New Roman" w:eastAsia="宋体" w:cs="Times New Roman"/>
                <w:color w:val="auto"/>
                <w:sz w:val="24"/>
                <w:u w:val="none" w:color="auto"/>
              </w:rPr>
              <w:t>根据</w:t>
            </w:r>
            <w:r>
              <w:rPr>
                <w:rFonts w:hint="eastAsia" w:cs="Times New Roman"/>
                <w:color w:val="auto"/>
                <w:sz w:val="24"/>
                <w:u w:val="none" w:color="auto"/>
                <w:lang w:eastAsia="zh-CN"/>
              </w:rPr>
              <w:t>永州</w:t>
            </w:r>
            <w:r>
              <w:rPr>
                <w:rFonts w:hint="eastAsia" w:cs="Times New Roman"/>
                <w:color w:val="000000" w:themeColor="text1"/>
                <w:sz w:val="24"/>
                <w:u w:val="none" w:color="auto"/>
                <w:lang w:eastAsia="zh-CN"/>
                <w14:textFill>
                  <w14:solidFill>
                    <w14:schemeClr w14:val="tx1"/>
                  </w14:solidFill>
                </w14:textFill>
              </w:rPr>
              <w:t>市</w:t>
            </w:r>
            <w:r>
              <w:rPr>
                <w:rFonts w:hint="default" w:ascii="Times New Roman" w:hAnsi="Times New Roman" w:eastAsia="宋体" w:cs="Times New Roman"/>
                <w:color w:val="000000" w:themeColor="text1"/>
                <w:sz w:val="24"/>
                <w:u w:val="none" w:color="auto"/>
                <w14:textFill>
                  <w14:solidFill>
                    <w14:schemeClr w14:val="tx1"/>
                  </w14:solidFill>
                </w14:textFill>
              </w:rPr>
              <w:t>生态环境</w:t>
            </w:r>
            <w:r>
              <w:rPr>
                <w:rFonts w:hint="eastAsia" w:cs="Times New Roman"/>
                <w:color w:val="000000" w:themeColor="text1"/>
                <w:sz w:val="24"/>
                <w:u w:val="none" w:color="auto"/>
                <w:lang w:val="en-US" w:eastAsia="zh-CN"/>
                <w14:textFill>
                  <w14:solidFill>
                    <w14:schemeClr w14:val="tx1"/>
                  </w14:solidFill>
                </w14:textFill>
              </w:rPr>
              <w:t>局</w:t>
            </w:r>
            <w:r>
              <w:rPr>
                <w:rFonts w:hint="default" w:ascii="Times New Roman" w:hAnsi="Times New Roman" w:eastAsia="宋体" w:cs="Times New Roman"/>
                <w:color w:val="000000" w:themeColor="text1"/>
                <w:sz w:val="24"/>
                <w:u w:val="none" w:color="auto"/>
                <w14:textFill>
                  <w14:solidFill>
                    <w14:schemeClr w14:val="tx1"/>
                  </w14:solidFill>
                </w14:textFill>
              </w:rPr>
              <w:t>202</w:t>
            </w:r>
            <w:r>
              <w:rPr>
                <w:rFonts w:hint="eastAsia" w:cs="Times New Roman"/>
                <w:color w:val="000000" w:themeColor="text1"/>
                <w:sz w:val="24"/>
                <w:u w:val="none" w:color="auto"/>
                <w:lang w:val="en-US" w:eastAsia="zh-CN"/>
                <w14:textFill>
                  <w14:solidFill>
                    <w14:schemeClr w14:val="tx1"/>
                  </w14:solidFill>
                </w14:textFill>
              </w:rPr>
              <w:t>4</w:t>
            </w:r>
            <w:r>
              <w:rPr>
                <w:rFonts w:hint="default" w:ascii="Times New Roman" w:hAnsi="Times New Roman" w:eastAsia="宋体" w:cs="Times New Roman"/>
                <w:color w:val="000000" w:themeColor="text1"/>
                <w:sz w:val="24"/>
                <w:u w:val="none" w:color="auto"/>
                <w14:textFill>
                  <w14:solidFill>
                    <w14:schemeClr w14:val="tx1"/>
                  </w14:solidFill>
                </w14:textFill>
              </w:rPr>
              <w:t>年1月</w:t>
            </w:r>
            <w:r>
              <w:rPr>
                <w:rFonts w:hint="eastAsia" w:cs="Times New Roman"/>
                <w:color w:val="000000" w:themeColor="text1"/>
                <w:sz w:val="24"/>
                <w:u w:val="none" w:color="auto"/>
                <w:lang w:val="en-US" w:eastAsia="zh-CN"/>
                <w14:textFill>
                  <w14:solidFill>
                    <w14:schemeClr w14:val="tx1"/>
                  </w14:solidFill>
                </w14:textFill>
              </w:rPr>
              <w:t>16</w:t>
            </w:r>
            <w:r>
              <w:rPr>
                <w:rFonts w:hint="default" w:ascii="Times New Roman" w:hAnsi="Times New Roman" w:eastAsia="宋体" w:cs="Times New Roman"/>
                <w:color w:val="000000" w:themeColor="text1"/>
                <w:sz w:val="24"/>
                <w:u w:val="none" w:color="auto"/>
                <w14:textFill>
                  <w14:solidFill>
                    <w14:schemeClr w14:val="tx1"/>
                  </w14:solidFill>
                </w14:textFill>
              </w:rPr>
              <w:t>日发布的《关于202</w:t>
            </w:r>
            <w:r>
              <w:rPr>
                <w:rFonts w:hint="eastAsia" w:cs="Times New Roman"/>
                <w:color w:val="000000" w:themeColor="text1"/>
                <w:sz w:val="24"/>
                <w:u w:val="none" w:color="auto"/>
                <w:lang w:val="en-US" w:eastAsia="zh-CN"/>
                <w14:textFill>
                  <w14:solidFill>
                    <w14:schemeClr w14:val="tx1"/>
                  </w14:solidFill>
                </w14:textFill>
              </w:rPr>
              <w:t>3</w:t>
            </w:r>
            <w:r>
              <w:rPr>
                <w:rFonts w:hint="default" w:ascii="Times New Roman" w:hAnsi="Times New Roman" w:eastAsia="宋体" w:cs="Times New Roman"/>
                <w:color w:val="000000" w:themeColor="text1"/>
                <w:sz w:val="24"/>
                <w:u w:val="none" w:color="auto"/>
                <w14:textFill>
                  <w14:solidFill>
                    <w14:schemeClr w14:val="tx1"/>
                  </w14:solidFill>
                </w14:textFill>
              </w:rPr>
              <w:t>年12月全市环境质量状况的通报》（</w:t>
            </w:r>
            <w:r>
              <w:rPr>
                <w:rFonts w:hint="eastAsia" w:cs="Times New Roman"/>
                <w:color w:val="000000" w:themeColor="text1"/>
                <w:sz w:val="24"/>
                <w:u w:val="none" w:color="auto"/>
                <w:lang w:val="en-US" w:eastAsia="zh-CN"/>
                <w14:textFill>
                  <w14:solidFill>
                    <w14:schemeClr w14:val="tx1"/>
                  </w14:solidFill>
                </w14:textFill>
              </w:rPr>
              <w:t>永环函</w:t>
            </w:r>
            <w:r>
              <w:rPr>
                <w:rFonts w:hint="default" w:ascii="Times New Roman" w:hAnsi="Times New Roman" w:eastAsia="宋体" w:cs="Times New Roman"/>
                <w:color w:val="000000" w:themeColor="text1"/>
                <w:sz w:val="24"/>
                <w:u w:val="none" w:color="auto"/>
                <w14:textFill>
                  <w14:solidFill>
                    <w14:schemeClr w14:val="tx1"/>
                  </w14:solidFill>
                </w14:textFill>
              </w:rPr>
              <w:t>[202</w:t>
            </w:r>
            <w:r>
              <w:rPr>
                <w:rFonts w:hint="eastAsia" w:cs="Times New Roman"/>
                <w:color w:val="000000" w:themeColor="text1"/>
                <w:sz w:val="24"/>
                <w:u w:val="none" w:color="auto"/>
                <w:lang w:val="en-US" w:eastAsia="zh-CN"/>
                <w14:textFill>
                  <w14:solidFill>
                    <w14:schemeClr w14:val="tx1"/>
                  </w14:solidFill>
                </w14:textFill>
              </w:rPr>
              <w:t>4</w:t>
            </w:r>
            <w:r>
              <w:rPr>
                <w:rFonts w:hint="default" w:ascii="Times New Roman" w:hAnsi="Times New Roman" w:eastAsia="宋体" w:cs="Times New Roman"/>
                <w:color w:val="000000" w:themeColor="text1"/>
                <w:sz w:val="24"/>
                <w:u w:val="none" w:color="auto"/>
                <w14:textFill>
                  <w14:solidFill>
                    <w14:schemeClr w14:val="tx1"/>
                  </w14:solidFill>
                </w14:textFill>
              </w:rPr>
              <w:t>]</w:t>
            </w:r>
            <w:r>
              <w:rPr>
                <w:rFonts w:hint="eastAsia" w:cs="Times New Roman"/>
                <w:color w:val="000000" w:themeColor="text1"/>
                <w:sz w:val="24"/>
                <w:u w:val="none" w:color="auto"/>
                <w:lang w:val="en-US" w:eastAsia="zh-CN"/>
                <w14:textFill>
                  <w14:solidFill>
                    <w14:schemeClr w14:val="tx1"/>
                  </w14:solidFill>
                </w14:textFill>
              </w:rPr>
              <w:t>4</w:t>
            </w:r>
            <w:r>
              <w:rPr>
                <w:rFonts w:hint="default" w:ascii="Times New Roman" w:hAnsi="Times New Roman" w:eastAsia="宋体" w:cs="Times New Roman"/>
                <w:color w:val="000000" w:themeColor="text1"/>
                <w:sz w:val="24"/>
                <w:u w:val="none" w:color="auto"/>
                <w14:textFill>
                  <w14:solidFill>
                    <w14:schemeClr w14:val="tx1"/>
                  </w14:solidFill>
                </w14:textFill>
              </w:rPr>
              <w:t>号）</w:t>
            </w:r>
            <w:r>
              <w:rPr>
                <w:rFonts w:hint="default" w:ascii="Times New Roman" w:hAnsi="Times New Roman" w:eastAsia="宋体" w:cs="Times New Roman"/>
                <w:color w:val="auto"/>
                <w:sz w:val="24"/>
                <w:u w:val="none" w:color="auto"/>
              </w:rPr>
              <w:t>，</w:t>
            </w:r>
            <w:r>
              <w:rPr>
                <w:rFonts w:hint="eastAsia" w:cs="Times New Roman"/>
                <w:color w:val="auto"/>
                <w:sz w:val="24"/>
                <w:u w:val="none" w:color="auto"/>
                <w:lang w:eastAsia="zh-CN"/>
              </w:rPr>
              <w:t>新田县</w:t>
            </w:r>
            <w:r>
              <w:rPr>
                <w:rFonts w:hint="default" w:ascii="Times New Roman" w:hAnsi="Times New Roman" w:eastAsia="宋体" w:cs="Times New Roman"/>
                <w:color w:val="auto"/>
                <w:sz w:val="24"/>
                <w:u w:val="none" w:color="auto"/>
              </w:rPr>
              <w:t>202</w:t>
            </w:r>
            <w:r>
              <w:rPr>
                <w:rFonts w:hint="eastAsia" w:ascii="Times New Roman" w:hAnsi="Times New Roman" w:eastAsia="宋体" w:cs="Times New Roman"/>
                <w:color w:val="auto"/>
                <w:sz w:val="24"/>
                <w:u w:val="none" w:color="auto"/>
                <w:lang w:val="en-US" w:eastAsia="zh-CN"/>
              </w:rPr>
              <w:t>3</w:t>
            </w:r>
            <w:r>
              <w:rPr>
                <w:rFonts w:hint="default" w:ascii="Times New Roman" w:hAnsi="Times New Roman" w:eastAsia="宋体" w:cs="Times New Roman"/>
                <w:color w:val="auto"/>
                <w:sz w:val="24"/>
                <w:u w:val="none" w:color="auto"/>
              </w:rPr>
              <w:t>年SO</w:t>
            </w:r>
            <w:r>
              <w:rPr>
                <w:rFonts w:hint="default" w:ascii="Times New Roman" w:hAnsi="Times New Roman" w:eastAsia="宋体" w:cs="Times New Roman"/>
                <w:color w:val="auto"/>
                <w:sz w:val="24"/>
                <w:u w:val="none" w:color="auto"/>
                <w:vertAlign w:val="subscript"/>
              </w:rPr>
              <w:t>2</w:t>
            </w:r>
            <w:r>
              <w:rPr>
                <w:rFonts w:hint="default" w:ascii="Times New Roman" w:hAnsi="Times New Roman" w:eastAsia="宋体" w:cs="Times New Roman"/>
                <w:color w:val="auto"/>
                <w:sz w:val="24"/>
                <w:u w:val="none" w:color="auto"/>
              </w:rPr>
              <w:t>、NO</w:t>
            </w:r>
            <w:r>
              <w:rPr>
                <w:rFonts w:hint="default" w:ascii="Times New Roman" w:hAnsi="Times New Roman" w:eastAsia="宋体" w:cs="Times New Roman"/>
                <w:color w:val="auto"/>
                <w:sz w:val="24"/>
                <w:u w:val="none" w:color="auto"/>
                <w:vertAlign w:val="subscript"/>
              </w:rPr>
              <w:t>2</w:t>
            </w:r>
            <w:r>
              <w:rPr>
                <w:rFonts w:hint="default" w:ascii="Times New Roman" w:hAnsi="Times New Roman" w:eastAsia="宋体" w:cs="Times New Roman"/>
                <w:color w:val="auto"/>
                <w:sz w:val="24"/>
                <w:u w:val="none" w:color="auto"/>
              </w:rPr>
              <w:t>、PM</w:t>
            </w:r>
            <w:r>
              <w:rPr>
                <w:rFonts w:hint="default" w:ascii="Times New Roman" w:hAnsi="Times New Roman" w:eastAsia="宋体" w:cs="Times New Roman"/>
                <w:color w:val="auto"/>
                <w:sz w:val="24"/>
                <w:u w:val="none" w:color="auto"/>
                <w:vertAlign w:val="subscript"/>
              </w:rPr>
              <w:t>10</w:t>
            </w:r>
            <w:r>
              <w:rPr>
                <w:rFonts w:hint="default" w:ascii="Times New Roman" w:hAnsi="Times New Roman" w:eastAsia="宋体" w:cs="Times New Roman"/>
                <w:color w:val="auto"/>
                <w:sz w:val="24"/>
                <w:u w:val="none" w:color="auto"/>
              </w:rPr>
              <w:t>、CO、O</w:t>
            </w:r>
            <w:r>
              <w:rPr>
                <w:rFonts w:hint="default" w:ascii="Times New Roman" w:hAnsi="Times New Roman" w:eastAsia="宋体" w:cs="Times New Roman"/>
                <w:color w:val="auto"/>
                <w:sz w:val="24"/>
                <w:u w:val="none" w:color="auto"/>
                <w:vertAlign w:val="subscript"/>
              </w:rPr>
              <w:t>3</w:t>
            </w:r>
            <w:r>
              <w:rPr>
                <w:rFonts w:hint="default" w:ascii="Times New Roman" w:hAnsi="Times New Roman" w:eastAsia="宋体" w:cs="Times New Roman"/>
                <w:color w:val="auto"/>
                <w:sz w:val="24"/>
                <w:u w:val="none" w:color="auto"/>
              </w:rPr>
              <w:t>、PM</w:t>
            </w:r>
            <w:r>
              <w:rPr>
                <w:rFonts w:hint="default" w:ascii="Times New Roman" w:hAnsi="Times New Roman" w:eastAsia="宋体" w:cs="Times New Roman"/>
                <w:color w:val="auto"/>
                <w:sz w:val="24"/>
                <w:u w:val="none" w:color="auto"/>
                <w:vertAlign w:val="subscript"/>
              </w:rPr>
              <w:t>2.5</w:t>
            </w:r>
            <w:r>
              <w:rPr>
                <w:rFonts w:hint="default" w:ascii="Times New Roman" w:hAnsi="Times New Roman" w:eastAsia="宋体" w:cs="Times New Roman"/>
                <w:color w:val="auto"/>
                <w:sz w:val="24"/>
                <w:u w:val="none" w:color="auto"/>
              </w:rPr>
              <w:t>均达到《环境空气质量标准》（GB3095-2012）中二级标准限值；水环境均可达到区域环境功能区划要求。</w:t>
            </w:r>
          </w:p>
          <w:p w14:paraId="33737E8C">
            <w:pPr>
              <w:spacing w:line="360" w:lineRule="auto"/>
              <w:ind w:firstLine="480" w:firstLineChars="200"/>
              <w:rPr>
                <w:rFonts w:hint="default" w:ascii="Times New Roman" w:hAnsi="Times New Roman" w:eastAsia="宋体" w:cs="Times New Roman"/>
                <w:color w:val="auto"/>
                <w:sz w:val="24"/>
                <w:u w:val="none" w:color="auto"/>
              </w:rPr>
            </w:pPr>
            <w:r>
              <w:rPr>
                <w:rFonts w:hint="eastAsia" w:cs="Times New Roman"/>
                <w:color w:val="auto"/>
                <w:sz w:val="24"/>
                <w:u w:val="none" w:color="auto"/>
                <w:lang w:val="en-US" w:eastAsia="zh-CN"/>
              </w:rPr>
              <w:t>本项目为社区卫生服务中心</w:t>
            </w:r>
            <w:r>
              <w:rPr>
                <w:rFonts w:hint="eastAsia" w:cs="Times New Roman"/>
                <w:color w:val="000000" w:themeColor="text1"/>
                <w:sz w:val="24"/>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sz w:val="24"/>
                <w:u w:val="none" w:color="auto"/>
                <w14:textFill>
                  <w14:solidFill>
                    <w14:schemeClr w14:val="tx1"/>
                  </w14:solidFill>
                </w14:textFill>
              </w:rPr>
              <w:t>本</w:t>
            </w:r>
            <w:r>
              <w:rPr>
                <w:rFonts w:hint="default" w:ascii="Times New Roman" w:hAnsi="Times New Roman" w:eastAsia="宋体" w:cs="Times New Roman"/>
                <w:color w:val="auto"/>
                <w:sz w:val="24"/>
                <w:u w:val="none" w:color="auto"/>
              </w:rPr>
              <w:t>项目</w:t>
            </w:r>
            <w:r>
              <w:rPr>
                <w:rFonts w:hint="eastAsia" w:cs="Times New Roman"/>
                <w:color w:val="auto"/>
                <w:sz w:val="24"/>
                <w:u w:val="none" w:color="auto"/>
                <w:lang w:val="en-US" w:eastAsia="zh-CN"/>
              </w:rPr>
              <w:t>排放的污染物可实现</w:t>
            </w:r>
            <w:r>
              <w:rPr>
                <w:rFonts w:hint="default" w:ascii="Times New Roman" w:hAnsi="Times New Roman" w:eastAsia="宋体" w:cs="Times New Roman"/>
                <w:color w:val="auto"/>
                <w:sz w:val="24"/>
                <w:u w:val="none" w:color="auto"/>
              </w:rPr>
              <w:t>达标排放，不会降低区域环境质量等级，对区域环境影响较小，符合环境质量底线要求。</w:t>
            </w:r>
          </w:p>
          <w:p w14:paraId="451EABD3">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eastAsia" w:ascii="Times New Roman" w:hAnsi="Times New Roman" w:cs="Times New Roman"/>
                <w:spacing w:val="0"/>
                <w:w w:val="100"/>
                <w:position w:val="0"/>
                <w:sz w:val="24"/>
                <w:szCs w:val="24"/>
                <w:highlight w:val="none"/>
                <w:u w:val="none" w:color="auto"/>
                <w:lang w:eastAsia="zh-CN"/>
              </w:rPr>
              <w:t>（</w:t>
            </w:r>
            <w:r>
              <w:rPr>
                <w:rFonts w:hint="eastAsia" w:ascii="Times New Roman" w:hAnsi="Times New Roman" w:cs="Times New Roman"/>
                <w:spacing w:val="0"/>
                <w:w w:val="100"/>
                <w:position w:val="0"/>
                <w:sz w:val="24"/>
                <w:szCs w:val="24"/>
                <w:highlight w:val="none"/>
                <w:u w:val="none" w:color="auto"/>
                <w:lang w:val="en-US" w:eastAsia="zh-CN"/>
              </w:rPr>
              <w:t>3</w:t>
            </w:r>
            <w:r>
              <w:rPr>
                <w:rFonts w:hint="eastAsia" w:ascii="Times New Roman" w:hAnsi="Times New Roman" w:cs="Times New Roman"/>
                <w:spacing w:val="0"/>
                <w:w w:val="100"/>
                <w:position w:val="0"/>
                <w:sz w:val="24"/>
                <w:szCs w:val="24"/>
                <w:highlight w:val="none"/>
                <w:u w:val="none" w:color="auto"/>
                <w:lang w:eastAsia="zh-CN"/>
              </w:rPr>
              <w:t>）</w:t>
            </w:r>
            <w:r>
              <w:rPr>
                <w:rFonts w:hint="default" w:ascii="Times New Roman" w:hAnsi="Times New Roman" w:eastAsia="宋体" w:cs="Times New Roman"/>
                <w:spacing w:val="0"/>
                <w:w w:val="100"/>
                <w:position w:val="0"/>
                <w:sz w:val="24"/>
                <w:szCs w:val="24"/>
                <w:highlight w:val="none"/>
                <w:u w:val="none" w:color="auto"/>
              </w:rPr>
              <w:t>资源利用上线</w:t>
            </w:r>
          </w:p>
          <w:p w14:paraId="6AF16EAA">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default" w:ascii="Times New Roman" w:hAnsi="Times New Roman" w:eastAsia="宋体" w:cs="Times New Roman"/>
                <w:spacing w:val="0"/>
                <w:w w:val="100"/>
                <w:position w:val="0"/>
                <w:sz w:val="24"/>
                <w:szCs w:val="24"/>
                <w:highlight w:val="none"/>
                <w:u w:val="none" w:color="auto"/>
              </w:rPr>
              <w:t>项目营运过程中会消耗一定量的水、电等资源，项目资源消耗量相对区域资源利用总量较少，且项目生产原料资源条件有保障，符合资源利用上线要求。</w:t>
            </w:r>
          </w:p>
          <w:p w14:paraId="4CBBA2B5">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none" w:color="auto"/>
              </w:rPr>
            </w:pPr>
            <w:r>
              <w:rPr>
                <w:rFonts w:hint="eastAsia" w:ascii="Times New Roman" w:hAnsi="Times New Roman" w:cs="Times New Roman"/>
                <w:spacing w:val="0"/>
                <w:w w:val="100"/>
                <w:position w:val="0"/>
                <w:sz w:val="24"/>
                <w:szCs w:val="24"/>
                <w:highlight w:val="none"/>
                <w:u w:val="none" w:color="auto"/>
                <w:lang w:eastAsia="zh-CN"/>
              </w:rPr>
              <w:t>（</w:t>
            </w:r>
            <w:r>
              <w:rPr>
                <w:rFonts w:hint="eastAsia" w:ascii="Times New Roman" w:hAnsi="Times New Roman" w:cs="Times New Roman"/>
                <w:spacing w:val="0"/>
                <w:w w:val="100"/>
                <w:position w:val="0"/>
                <w:sz w:val="24"/>
                <w:szCs w:val="24"/>
                <w:highlight w:val="none"/>
                <w:u w:val="none" w:color="auto"/>
                <w:lang w:val="en-US" w:eastAsia="zh-CN"/>
              </w:rPr>
              <w:t>4</w:t>
            </w:r>
            <w:r>
              <w:rPr>
                <w:rFonts w:hint="eastAsia" w:ascii="Times New Roman" w:hAnsi="Times New Roman" w:cs="Times New Roman"/>
                <w:spacing w:val="0"/>
                <w:w w:val="100"/>
                <w:position w:val="0"/>
                <w:sz w:val="24"/>
                <w:szCs w:val="24"/>
                <w:highlight w:val="none"/>
                <w:u w:val="none" w:color="auto"/>
                <w:lang w:eastAsia="zh-CN"/>
              </w:rPr>
              <w:t>）</w:t>
            </w:r>
            <w:r>
              <w:rPr>
                <w:rFonts w:hint="default" w:ascii="Times New Roman" w:hAnsi="Times New Roman" w:eastAsia="宋体" w:cs="Times New Roman"/>
                <w:spacing w:val="0"/>
                <w:w w:val="100"/>
                <w:position w:val="0"/>
                <w:sz w:val="24"/>
                <w:szCs w:val="24"/>
                <w:highlight w:val="none"/>
                <w:u w:val="none" w:color="auto"/>
              </w:rPr>
              <w:t>环境准入清单</w:t>
            </w:r>
          </w:p>
          <w:p w14:paraId="50969F73">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u w:val="single" w:color="auto"/>
              </w:rPr>
            </w:pPr>
            <w:r>
              <w:rPr>
                <w:rFonts w:hint="default" w:ascii="Times New Roman" w:hAnsi="Times New Roman" w:eastAsia="宋体" w:cs="Times New Roman"/>
                <w:spacing w:val="0"/>
                <w:w w:val="100"/>
                <w:position w:val="0"/>
                <w:sz w:val="24"/>
                <w:szCs w:val="24"/>
                <w:highlight w:val="none"/>
                <w:u w:val="none" w:color="auto"/>
              </w:rPr>
              <w:t>本项目不在</w:t>
            </w:r>
            <w:r>
              <w:rPr>
                <w:rFonts w:hint="eastAsia" w:ascii="Times New Roman" w:hAnsi="Times New Roman" w:cs="Times New Roman"/>
                <w:color w:val="000000" w:themeColor="text1"/>
                <w:kern w:val="2"/>
                <w:sz w:val="24"/>
                <w:szCs w:val="24"/>
                <w:highlight w:val="none"/>
                <w:u w:val="none" w:color="auto"/>
                <w:lang w:val="en-US" w:eastAsia="zh-CN" w:bidi="ar-SA"/>
                <w14:textFill>
                  <w14:solidFill>
                    <w14:schemeClr w14:val="tx1"/>
                  </w14:solidFill>
                </w14:textFill>
              </w:rPr>
              <w:t>《市场准入负面清单（2022年版）》</w:t>
            </w:r>
            <w:r>
              <w:rPr>
                <w:rFonts w:hint="default" w:ascii="Times New Roman" w:hAnsi="Times New Roman" w:eastAsia="宋体" w:cs="Times New Roman"/>
                <w:spacing w:val="0"/>
                <w:w w:val="100"/>
                <w:position w:val="0"/>
                <w:sz w:val="24"/>
                <w:szCs w:val="24"/>
                <w:highlight w:val="none"/>
                <w:u w:val="none" w:color="auto"/>
              </w:rPr>
              <w:t>内。本项目选址位于</w:t>
            </w:r>
            <w:r>
              <w:rPr>
                <w:rFonts w:hint="eastAsia" w:ascii="Times New Roman" w:hAnsi="Times New Roman" w:cs="Arial"/>
                <w:i w:val="0"/>
                <w:iCs w:val="0"/>
                <w:caps w:val="0"/>
                <w:color w:val="auto"/>
                <w:spacing w:val="0"/>
                <w:sz w:val="24"/>
                <w:szCs w:val="24"/>
                <w:u w:val="none" w:color="auto"/>
                <w:shd w:val="clear" w:fill="FFFFFF"/>
                <w:lang w:eastAsia="zh-CN"/>
              </w:rPr>
              <w:t>永州市新田县三井镇三井村</w:t>
            </w:r>
            <w:r>
              <w:rPr>
                <w:rFonts w:hint="default" w:ascii="Times New Roman" w:hAnsi="Times New Roman" w:eastAsia="宋体" w:cs="Times New Roman"/>
                <w:spacing w:val="0"/>
                <w:w w:val="100"/>
                <w:position w:val="0"/>
                <w:sz w:val="24"/>
                <w:szCs w:val="24"/>
                <w:highlight w:val="none"/>
                <w:u w:val="none" w:color="auto"/>
              </w:rPr>
              <w:t>，对照《永州市生态环境局关于发布永州市生态环境分区管控更新成果（2023版）的通知》（永环发〔2024〕31号），本项目环境管控单元编码为ZH43</w:t>
            </w:r>
            <w:r>
              <w:rPr>
                <w:rFonts w:hint="eastAsia" w:ascii="Times New Roman" w:hAnsi="Times New Roman" w:cs="Times New Roman"/>
                <w:spacing w:val="0"/>
                <w:w w:val="100"/>
                <w:position w:val="0"/>
                <w:sz w:val="24"/>
                <w:szCs w:val="24"/>
                <w:highlight w:val="none"/>
                <w:u w:val="none" w:color="auto"/>
                <w:lang w:val="en-US" w:eastAsia="zh-CN"/>
              </w:rPr>
              <w:t>11282</w:t>
            </w:r>
            <w:r>
              <w:rPr>
                <w:rFonts w:hint="default" w:ascii="Times New Roman" w:hAnsi="Times New Roman" w:eastAsia="宋体" w:cs="Times New Roman"/>
                <w:spacing w:val="0"/>
                <w:w w:val="100"/>
                <w:position w:val="0"/>
                <w:sz w:val="24"/>
                <w:szCs w:val="24"/>
                <w:highlight w:val="none"/>
                <w:u w:val="none" w:color="auto"/>
              </w:rPr>
              <w:t>000</w:t>
            </w:r>
            <w:r>
              <w:rPr>
                <w:rFonts w:hint="eastAsia" w:ascii="Times New Roman" w:hAnsi="Times New Roman" w:cs="Times New Roman"/>
                <w:spacing w:val="0"/>
                <w:w w:val="100"/>
                <w:position w:val="0"/>
                <w:sz w:val="24"/>
                <w:szCs w:val="24"/>
                <w:highlight w:val="none"/>
                <w:u w:val="none" w:color="auto"/>
                <w:lang w:val="en-US" w:eastAsia="zh-CN"/>
              </w:rPr>
              <w:t>2</w:t>
            </w:r>
            <w:r>
              <w:rPr>
                <w:rFonts w:hint="default" w:ascii="Times New Roman" w:hAnsi="Times New Roman" w:eastAsia="宋体" w:cs="Times New Roman"/>
                <w:spacing w:val="0"/>
                <w:w w:val="100"/>
                <w:position w:val="0"/>
                <w:sz w:val="24"/>
                <w:szCs w:val="24"/>
                <w:highlight w:val="none"/>
                <w:u w:val="none" w:color="auto"/>
              </w:rPr>
              <w:t>，该单元为重点管控单元。其符合性分析详见表1-1。</w:t>
            </w:r>
          </w:p>
          <w:p w14:paraId="51B67003">
            <w:pPr>
              <w:pStyle w:val="34"/>
              <w:keepNext w:val="0"/>
              <w:keepLines w:val="0"/>
              <w:pageBreakBefore w:val="0"/>
              <w:widowControl/>
              <w:kinsoku/>
              <w:wordWrap/>
              <w:overflowPunct/>
              <w:topLinePunct w:val="0"/>
              <w:autoSpaceDE w:val="0"/>
              <w:autoSpaceDN w:val="0"/>
              <w:bidi w:val="0"/>
              <w:adjustRightInd w:val="0"/>
              <w:snapToGrid w:val="0"/>
              <w:spacing w:line="240" w:lineRule="auto"/>
              <w:ind w:right="0"/>
              <w:jc w:val="center"/>
              <w:textAlignment w:val="baseline"/>
              <w:rPr>
                <w:rFonts w:hint="default" w:ascii="Times New Roman" w:hAnsi="Times New Roman" w:eastAsia="宋体" w:cs="Times New Roman"/>
                <w:b/>
                <w:bCs/>
                <w:spacing w:val="0"/>
                <w:w w:val="100"/>
                <w:position w:val="0"/>
                <w:sz w:val="24"/>
                <w:szCs w:val="24"/>
                <w:highlight w:val="none"/>
                <w:u w:val="none" w:color="auto"/>
              </w:rPr>
            </w:pPr>
            <w:r>
              <w:rPr>
                <w:rFonts w:hint="default" w:ascii="Times New Roman" w:hAnsi="Times New Roman" w:eastAsia="宋体" w:cs="Times New Roman"/>
                <w:b/>
                <w:bCs/>
                <w:spacing w:val="0"/>
                <w:w w:val="100"/>
                <w:position w:val="0"/>
                <w:sz w:val="21"/>
                <w:szCs w:val="21"/>
                <w:highlight w:val="none"/>
                <w:u w:val="none" w:color="auto"/>
              </w:rPr>
              <w:t>表1-1</w:t>
            </w:r>
            <w:r>
              <w:rPr>
                <w:rFonts w:hint="eastAsia" w:ascii="Times New Roman" w:hAnsi="Times New Roman" w:cs="Times New Roman"/>
                <w:b/>
                <w:bCs/>
                <w:spacing w:val="0"/>
                <w:w w:val="100"/>
                <w:position w:val="0"/>
                <w:sz w:val="21"/>
                <w:szCs w:val="21"/>
                <w:highlight w:val="none"/>
                <w:u w:val="none" w:color="auto"/>
                <w:lang w:val="en-US" w:eastAsia="zh-CN"/>
              </w:rPr>
              <w:t xml:space="preserve">  </w:t>
            </w:r>
            <w:r>
              <w:rPr>
                <w:rFonts w:hint="default" w:ascii="Times New Roman" w:hAnsi="Times New Roman" w:eastAsia="宋体" w:cs="Times New Roman"/>
                <w:b/>
                <w:bCs/>
                <w:spacing w:val="0"/>
                <w:w w:val="100"/>
                <w:position w:val="0"/>
                <w:sz w:val="21"/>
                <w:szCs w:val="21"/>
                <w:highlight w:val="none"/>
                <w:u w:val="none" w:color="auto"/>
              </w:rPr>
              <w:t>项目与</w:t>
            </w:r>
            <w:r>
              <w:rPr>
                <w:rFonts w:hint="eastAsia" w:ascii="Times New Roman" w:hAnsi="Times New Roman" w:cs="Times New Roman"/>
                <w:b/>
                <w:bCs/>
                <w:spacing w:val="0"/>
                <w:w w:val="100"/>
                <w:position w:val="0"/>
                <w:sz w:val="21"/>
                <w:szCs w:val="21"/>
                <w:highlight w:val="none"/>
                <w:u w:val="none" w:color="auto"/>
                <w:lang w:eastAsia="zh-CN"/>
              </w:rPr>
              <w:t>永州市</w:t>
            </w:r>
            <w:r>
              <w:rPr>
                <w:rFonts w:hint="default" w:ascii="Times New Roman" w:hAnsi="Times New Roman" w:eastAsia="宋体" w:cs="Times New Roman"/>
                <w:b/>
                <w:bCs/>
                <w:spacing w:val="0"/>
                <w:w w:val="100"/>
                <w:position w:val="0"/>
                <w:sz w:val="21"/>
                <w:szCs w:val="21"/>
                <w:highlight w:val="none"/>
                <w:u w:val="none" w:color="auto"/>
              </w:rPr>
              <w:t>环境管控单元生态环境准入清单的符合性分析</w:t>
            </w:r>
          </w:p>
          <w:tbl>
            <w:tblPr>
              <w:tblStyle w:val="35"/>
              <w:tblW w:w="6999"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581"/>
              <w:gridCol w:w="4029"/>
              <w:gridCol w:w="1770"/>
              <w:gridCol w:w="619"/>
            </w:tblGrid>
            <w:tr w14:paraId="46924C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3293" w:type="pct"/>
                  <w:gridSpan w:val="2"/>
                  <w:tcBorders>
                    <w:tl2br w:val="nil"/>
                    <w:tr2bl w:val="nil"/>
                  </w:tcBorders>
                  <w:vAlign w:val="center"/>
                </w:tcPr>
                <w:p w14:paraId="3A4CF533">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none" w:color="auto"/>
                    </w:rPr>
                  </w:pPr>
                  <w:r>
                    <w:rPr>
                      <w:rFonts w:hint="default" w:ascii="Times New Roman" w:hAnsi="Times New Roman" w:eastAsia="宋体" w:cs="Times New Roman"/>
                      <w:b/>
                      <w:bCs/>
                      <w:spacing w:val="0"/>
                      <w:w w:val="100"/>
                      <w:position w:val="0"/>
                      <w:sz w:val="21"/>
                      <w:szCs w:val="21"/>
                      <w:highlight w:val="none"/>
                      <w:u w:val="none" w:color="auto"/>
                    </w:rPr>
                    <w:t>相关要求</w:t>
                  </w:r>
                </w:p>
              </w:tc>
              <w:tc>
                <w:tcPr>
                  <w:tcW w:w="1264" w:type="pct"/>
                  <w:tcBorders>
                    <w:tl2br w:val="nil"/>
                    <w:tr2bl w:val="nil"/>
                  </w:tcBorders>
                  <w:vAlign w:val="center"/>
                </w:tcPr>
                <w:p w14:paraId="0423F6C2">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none" w:color="auto"/>
                    </w:rPr>
                  </w:pPr>
                  <w:r>
                    <w:rPr>
                      <w:rFonts w:hint="default" w:ascii="Times New Roman" w:hAnsi="Times New Roman" w:eastAsia="宋体" w:cs="Times New Roman"/>
                      <w:b/>
                      <w:bCs/>
                      <w:spacing w:val="0"/>
                      <w:w w:val="100"/>
                      <w:position w:val="0"/>
                      <w:sz w:val="21"/>
                      <w:szCs w:val="21"/>
                      <w:highlight w:val="none"/>
                      <w:u w:val="none" w:color="auto"/>
                    </w:rPr>
                    <w:t>本项目情况</w:t>
                  </w:r>
                </w:p>
              </w:tc>
              <w:tc>
                <w:tcPr>
                  <w:tcW w:w="442" w:type="pct"/>
                  <w:tcBorders>
                    <w:tl2br w:val="nil"/>
                    <w:tr2bl w:val="nil"/>
                  </w:tcBorders>
                  <w:vAlign w:val="center"/>
                </w:tcPr>
                <w:p w14:paraId="32733C26">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b/>
                      <w:bCs/>
                      <w:spacing w:val="0"/>
                      <w:w w:val="100"/>
                      <w:position w:val="0"/>
                      <w:sz w:val="21"/>
                      <w:szCs w:val="21"/>
                      <w:highlight w:val="none"/>
                      <w:u w:val="none" w:color="auto"/>
                    </w:rPr>
                  </w:pPr>
                  <w:r>
                    <w:rPr>
                      <w:rFonts w:hint="default" w:ascii="Times New Roman" w:hAnsi="Times New Roman" w:eastAsia="宋体" w:cs="Times New Roman"/>
                      <w:b/>
                      <w:bCs/>
                      <w:spacing w:val="0"/>
                      <w:w w:val="100"/>
                      <w:position w:val="0"/>
                      <w:sz w:val="21"/>
                      <w:szCs w:val="21"/>
                      <w:highlight w:val="none"/>
                      <w:u w:val="none" w:color="auto"/>
                    </w:rPr>
                    <w:t>符合性</w:t>
                  </w:r>
                </w:p>
              </w:tc>
            </w:tr>
            <w:tr w14:paraId="446C56F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148" w:hRule="atLeast"/>
              </w:trPr>
              <w:tc>
                <w:tcPr>
                  <w:tcW w:w="415" w:type="pct"/>
                  <w:tcBorders>
                    <w:tl2br w:val="nil"/>
                    <w:tr2bl w:val="nil"/>
                  </w:tcBorders>
                  <w:vAlign w:val="center"/>
                </w:tcPr>
                <w:p w14:paraId="03946FA1">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空间布局约束</w:t>
                  </w:r>
                </w:p>
              </w:tc>
              <w:tc>
                <w:tcPr>
                  <w:tcW w:w="2878" w:type="pct"/>
                  <w:tcBorders>
                    <w:tl2br w:val="nil"/>
                    <w:tr2bl w:val="nil"/>
                  </w:tcBorders>
                  <w:vAlign w:val="center"/>
                </w:tcPr>
                <w:p w14:paraId="7988EA8D">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(1.1)产业准入应严格执行国家、省级关于主体功能区划的环境保护及产业准入负面清单要求。</w:t>
                  </w:r>
                </w:p>
                <w:p w14:paraId="0844C655">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(1.2)畜禽养殖产业布局应符合《湖南省新田县畜禽规模养殖“三区”划定方案》。</w:t>
                  </w:r>
                </w:p>
              </w:tc>
              <w:tc>
                <w:tcPr>
                  <w:tcW w:w="1264" w:type="pct"/>
                  <w:tcBorders>
                    <w:tl2br w:val="nil"/>
                    <w:tr2bl w:val="nil"/>
                  </w:tcBorders>
                  <w:vAlign w:val="center"/>
                </w:tcPr>
                <w:p w14:paraId="760506C9">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本项目为</w:t>
                  </w:r>
                  <w:r>
                    <w:rPr>
                      <w:rFonts w:hint="eastAsia" w:ascii="Times New Roman" w:hAnsi="Times New Roman" w:eastAsia="宋体" w:cs="Times New Roman"/>
                      <w:spacing w:val="0"/>
                      <w:w w:val="100"/>
                      <w:position w:val="0"/>
                      <w:sz w:val="21"/>
                      <w:szCs w:val="21"/>
                      <w:highlight w:val="none"/>
                      <w:u w:val="none" w:color="auto"/>
                      <w:lang w:val="en-US" w:eastAsia="zh-CN"/>
                    </w:rPr>
                    <w:t>社区卫生服务中心</w:t>
                  </w:r>
                  <w:r>
                    <w:rPr>
                      <w:rFonts w:hint="eastAsia" w:ascii="Times New Roman" w:hAnsi="Times New Roman" w:cs="Times New Roman"/>
                      <w:spacing w:val="0"/>
                      <w:w w:val="100"/>
                      <w:position w:val="0"/>
                      <w:sz w:val="21"/>
                      <w:szCs w:val="21"/>
                      <w:highlight w:val="none"/>
                      <w:u w:val="none" w:color="auto"/>
                      <w:lang w:val="en-US" w:eastAsia="zh-CN"/>
                    </w:rPr>
                    <w:t>建设</w:t>
                  </w:r>
                  <w:r>
                    <w:rPr>
                      <w:rFonts w:hint="default" w:ascii="Times New Roman" w:hAnsi="Times New Roman" w:eastAsia="宋体" w:cs="Times New Roman"/>
                      <w:spacing w:val="0"/>
                      <w:w w:val="100"/>
                      <w:position w:val="0"/>
                      <w:sz w:val="21"/>
                      <w:szCs w:val="21"/>
                      <w:highlight w:val="none"/>
                      <w:u w:val="none" w:color="auto"/>
                    </w:rPr>
                    <w:t>项目，不属于环境保护及产业准入负面清单</w:t>
                  </w:r>
                  <w:r>
                    <w:rPr>
                      <w:rFonts w:hint="eastAsia" w:ascii="Times New Roman" w:hAnsi="Times New Roman" w:eastAsia="宋体" w:cs="Times New Roman"/>
                      <w:spacing w:val="0"/>
                      <w:w w:val="100"/>
                      <w:position w:val="0"/>
                      <w:sz w:val="21"/>
                      <w:szCs w:val="21"/>
                      <w:highlight w:val="none"/>
                      <w:u w:val="none" w:color="auto"/>
                      <w:lang w:val="en-US" w:eastAsia="zh-CN"/>
                    </w:rPr>
                    <w:t>所列项目</w:t>
                  </w:r>
                  <w:r>
                    <w:rPr>
                      <w:rFonts w:hint="default" w:ascii="Times New Roman" w:hAnsi="Times New Roman" w:eastAsia="宋体" w:cs="Times New Roman"/>
                      <w:spacing w:val="0"/>
                      <w:w w:val="100"/>
                      <w:position w:val="0"/>
                      <w:sz w:val="21"/>
                      <w:szCs w:val="21"/>
                      <w:highlight w:val="none"/>
                      <w:u w:val="none" w:color="auto"/>
                    </w:rPr>
                    <w:t>。</w:t>
                  </w:r>
                </w:p>
              </w:tc>
              <w:tc>
                <w:tcPr>
                  <w:tcW w:w="442" w:type="pct"/>
                  <w:tcBorders>
                    <w:tl2br w:val="nil"/>
                    <w:tr2bl w:val="nil"/>
                  </w:tcBorders>
                  <w:vAlign w:val="center"/>
                </w:tcPr>
                <w:p w14:paraId="45E2ED14">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符合</w:t>
                  </w:r>
                </w:p>
              </w:tc>
            </w:tr>
            <w:tr w14:paraId="79A817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14:paraId="47CFD809">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污染物排放管控</w:t>
                  </w:r>
                </w:p>
              </w:tc>
              <w:tc>
                <w:tcPr>
                  <w:tcW w:w="2878" w:type="pct"/>
                  <w:tcBorders>
                    <w:tl2br w:val="nil"/>
                    <w:tr2bl w:val="nil"/>
                  </w:tcBorders>
                  <w:vAlign w:val="center"/>
                </w:tcPr>
                <w:p w14:paraId="19C1DB4C">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(2.1)有关行业新建项目必须执行《新田县环境突出问题集中整治重点行业操作规范》(试行),现有项目必须在规定期限内达到《规范》要求，否则自行淘汰退出。</w:t>
                  </w:r>
                </w:p>
                <w:p w14:paraId="62CC10E8">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(2.2)加大露天焚烧垃圾和露天烧烤的查处力度、禁止露天烧烤直排。及时处理群众对露天焚烧的投诉，依法查处露天焚烧建筑垃圾、生活垃圾、秸杆等行为。全面推广并形成“户分类减量、村收集利用、镇少量中转、县处理处置”等符合农村实情、具有新田县特色的农村垃圾收集处理体系。</w:t>
                  </w:r>
                </w:p>
                <w:p w14:paraId="53DBCCC4">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(2.3)严格控制涉重金属企业进入，依法关停达标无望、治理整顿后仍不能稳定达标的涉重金属企业。强化涉重金属重点工矿企业的重金属污染物排放及周边环境中的重金属监测。</w:t>
                  </w:r>
                </w:p>
              </w:tc>
              <w:tc>
                <w:tcPr>
                  <w:tcW w:w="1264" w:type="pct"/>
                  <w:tcBorders>
                    <w:tl2br w:val="nil"/>
                    <w:tr2bl w:val="nil"/>
                  </w:tcBorders>
                  <w:vAlign w:val="center"/>
                </w:tcPr>
                <w:p w14:paraId="7E31742D">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Times New Roman" w:hAnsi="Times New Roman" w:eastAsia="宋体" w:cs="Times New Roman"/>
                      <w:spacing w:val="0"/>
                      <w:w w:val="100"/>
                      <w:position w:val="0"/>
                      <w:sz w:val="21"/>
                      <w:szCs w:val="21"/>
                      <w:highlight w:val="none"/>
                      <w:u w:val="none" w:color="auto"/>
                      <w:lang w:val="en-US" w:eastAsia="zh-CN"/>
                    </w:rPr>
                  </w:pPr>
                  <w:r>
                    <w:rPr>
                      <w:rFonts w:hint="default" w:ascii="Times New Roman" w:hAnsi="Times New Roman" w:eastAsia="宋体" w:cs="Times New Roman"/>
                      <w:spacing w:val="0"/>
                      <w:w w:val="100"/>
                      <w:position w:val="0"/>
                      <w:sz w:val="21"/>
                      <w:szCs w:val="21"/>
                      <w:highlight w:val="none"/>
                      <w:u w:val="none" w:color="auto"/>
                    </w:rPr>
                    <w:t>本项目为</w:t>
                  </w:r>
                  <w:r>
                    <w:rPr>
                      <w:rFonts w:hint="eastAsia" w:ascii="Times New Roman" w:hAnsi="Times New Roman" w:eastAsia="宋体" w:cs="Times New Roman"/>
                      <w:spacing w:val="0"/>
                      <w:w w:val="100"/>
                      <w:position w:val="0"/>
                      <w:sz w:val="21"/>
                      <w:szCs w:val="21"/>
                      <w:highlight w:val="none"/>
                      <w:u w:val="none" w:color="auto"/>
                      <w:lang w:val="en-US" w:eastAsia="zh-CN"/>
                    </w:rPr>
                    <w:t>社区卫生服务中心</w:t>
                  </w:r>
                  <w:r>
                    <w:rPr>
                      <w:rFonts w:hint="eastAsia" w:ascii="Times New Roman" w:hAnsi="Times New Roman" w:cs="Times New Roman"/>
                      <w:spacing w:val="0"/>
                      <w:w w:val="100"/>
                      <w:position w:val="0"/>
                      <w:sz w:val="21"/>
                      <w:szCs w:val="21"/>
                      <w:highlight w:val="none"/>
                      <w:u w:val="none" w:color="auto"/>
                      <w:lang w:val="en-US" w:eastAsia="zh-CN"/>
                    </w:rPr>
                    <w:t>建设</w:t>
                  </w:r>
                  <w:r>
                    <w:rPr>
                      <w:rFonts w:hint="default" w:ascii="Times New Roman" w:hAnsi="Times New Roman" w:eastAsia="宋体" w:cs="Times New Roman"/>
                      <w:spacing w:val="0"/>
                      <w:w w:val="100"/>
                      <w:position w:val="0"/>
                      <w:sz w:val="21"/>
                      <w:szCs w:val="21"/>
                      <w:highlight w:val="none"/>
                      <w:u w:val="none" w:color="auto"/>
                    </w:rPr>
                    <w:t>项目，</w:t>
                  </w:r>
                  <w:r>
                    <w:rPr>
                      <w:rFonts w:hint="eastAsia" w:ascii="Times New Roman" w:hAnsi="Times New Roman" w:eastAsia="宋体" w:cs="Times New Roman"/>
                      <w:spacing w:val="0"/>
                      <w:w w:val="100"/>
                      <w:position w:val="0"/>
                      <w:sz w:val="21"/>
                      <w:szCs w:val="21"/>
                      <w:highlight w:val="none"/>
                      <w:u w:val="none" w:color="auto"/>
                      <w:lang w:val="en-US" w:eastAsia="zh-CN"/>
                    </w:rPr>
                    <w:t>不属于</w:t>
                  </w:r>
                  <w:r>
                    <w:rPr>
                      <w:rFonts w:hint="default" w:ascii="Times New Roman" w:hAnsi="Times New Roman" w:eastAsia="宋体" w:cs="Times New Roman"/>
                      <w:spacing w:val="0"/>
                      <w:w w:val="100"/>
                      <w:position w:val="0"/>
                      <w:sz w:val="21"/>
                      <w:szCs w:val="21"/>
                      <w:highlight w:val="none"/>
                      <w:u w:val="none" w:color="auto"/>
                    </w:rPr>
                    <w:t>新田县环境突出问题集中整治重点行业</w:t>
                  </w:r>
                  <w:r>
                    <w:rPr>
                      <w:rFonts w:hint="default" w:ascii="Times New Roman" w:hAnsi="Times New Roman" w:eastAsia="宋体" w:cs="Times New Roman"/>
                      <w:color w:val="000000" w:themeColor="text1"/>
                      <w:spacing w:val="0"/>
                      <w:w w:val="100"/>
                      <w:position w:val="0"/>
                      <w:sz w:val="21"/>
                      <w:szCs w:val="21"/>
                      <w:highlight w:val="none"/>
                      <w:u w:val="none" w:color="auto"/>
                      <w14:textFill>
                        <w14:solidFill>
                          <w14:schemeClr w14:val="tx1"/>
                        </w14:solidFill>
                      </w14:textFill>
                    </w:rPr>
                    <w:t>。</w:t>
                  </w:r>
                  <w:r>
                    <w:rPr>
                      <w:rFonts w:hint="eastAsia" w:ascii="Times New Roman" w:hAnsi="Times New Roman" w:cs="Times New Roman"/>
                      <w:color w:val="000000" w:themeColor="text1"/>
                      <w:spacing w:val="0"/>
                      <w:w w:val="100"/>
                      <w:position w:val="0"/>
                      <w:sz w:val="21"/>
                      <w:szCs w:val="21"/>
                      <w:highlight w:val="none"/>
                      <w:u w:val="none" w:color="auto"/>
                      <w:lang w:val="en-US" w:eastAsia="zh-CN"/>
                      <w14:textFill>
                        <w14:solidFill>
                          <w14:schemeClr w14:val="tx1"/>
                        </w14:solidFill>
                      </w14:textFill>
                    </w:rPr>
                    <w:t>本项目严禁</w:t>
                  </w:r>
                  <w:r>
                    <w:rPr>
                      <w:rFonts w:hint="default" w:ascii="Times New Roman" w:hAnsi="Times New Roman" w:eastAsia="宋体" w:cs="Times New Roman"/>
                      <w:spacing w:val="0"/>
                      <w:w w:val="100"/>
                      <w:position w:val="0"/>
                      <w:sz w:val="21"/>
                      <w:szCs w:val="21"/>
                      <w:highlight w:val="none"/>
                      <w:u w:val="none" w:color="auto"/>
                    </w:rPr>
                    <w:t>露天焚烧垃圾</w:t>
                  </w:r>
                  <w:r>
                    <w:rPr>
                      <w:rFonts w:hint="eastAsia" w:ascii="Times New Roman" w:hAnsi="Times New Roman" w:eastAsia="宋体" w:cs="Times New Roman"/>
                      <w:spacing w:val="0"/>
                      <w:w w:val="100"/>
                      <w:position w:val="0"/>
                      <w:sz w:val="21"/>
                      <w:szCs w:val="21"/>
                      <w:highlight w:val="none"/>
                      <w:u w:val="none" w:color="auto"/>
                      <w:lang w:eastAsia="zh-CN"/>
                    </w:rPr>
                    <w:t>，</w:t>
                  </w:r>
                  <w:r>
                    <w:rPr>
                      <w:rFonts w:hint="eastAsia" w:ascii="Times New Roman" w:hAnsi="Times New Roman" w:cs="Times New Roman"/>
                      <w:color w:val="000000" w:themeColor="text1"/>
                      <w:spacing w:val="0"/>
                      <w:w w:val="100"/>
                      <w:position w:val="0"/>
                      <w:sz w:val="21"/>
                      <w:szCs w:val="21"/>
                      <w:highlight w:val="none"/>
                      <w:u w:val="none" w:color="auto"/>
                      <w:lang w:val="en-US" w:eastAsia="zh-CN"/>
                      <w14:textFill>
                        <w14:solidFill>
                          <w14:schemeClr w14:val="tx1"/>
                        </w14:solidFill>
                      </w14:textFill>
                    </w:rPr>
                    <w:t>不涉及</w:t>
                  </w:r>
                  <w:r>
                    <w:rPr>
                      <w:rFonts w:hint="default" w:ascii="Times New Roman" w:hAnsi="Times New Roman" w:eastAsia="宋体" w:cs="Times New Roman"/>
                      <w:spacing w:val="0"/>
                      <w:w w:val="100"/>
                      <w:position w:val="0"/>
                      <w:sz w:val="21"/>
                      <w:szCs w:val="21"/>
                      <w:highlight w:val="none"/>
                      <w:u w:val="none" w:color="auto"/>
                    </w:rPr>
                    <w:t>露天烧烤</w:t>
                  </w:r>
                  <w:r>
                    <w:rPr>
                      <w:rFonts w:hint="eastAsia" w:ascii="Times New Roman" w:hAnsi="Times New Roman" w:cs="Times New Roman"/>
                      <w:spacing w:val="0"/>
                      <w:w w:val="100"/>
                      <w:position w:val="0"/>
                      <w:sz w:val="21"/>
                      <w:szCs w:val="21"/>
                      <w:highlight w:val="none"/>
                      <w:u w:val="none" w:color="auto"/>
                      <w:lang w:eastAsia="zh-CN"/>
                    </w:rPr>
                    <w:t>、</w:t>
                  </w:r>
                  <w:r>
                    <w:rPr>
                      <w:rFonts w:hint="eastAsia" w:ascii="Times New Roman" w:hAnsi="Times New Roman" w:cs="Times New Roman"/>
                      <w:spacing w:val="0"/>
                      <w:w w:val="100"/>
                      <w:position w:val="0"/>
                      <w:sz w:val="21"/>
                      <w:szCs w:val="21"/>
                      <w:highlight w:val="none"/>
                      <w:u w:val="none" w:color="auto"/>
                      <w:lang w:val="en-US" w:eastAsia="zh-CN"/>
                    </w:rPr>
                    <w:t>重金属</w:t>
                  </w:r>
                  <w:r>
                    <w:rPr>
                      <w:rFonts w:hint="eastAsia" w:ascii="Times New Roman" w:hAnsi="Times New Roman" w:eastAsia="宋体" w:cs="Times New Roman"/>
                      <w:spacing w:val="0"/>
                      <w:w w:val="100"/>
                      <w:position w:val="0"/>
                      <w:sz w:val="21"/>
                      <w:szCs w:val="21"/>
                      <w:highlight w:val="none"/>
                      <w:u w:val="none" w:color="auto"/>
                      <w:lang w:eastAsia="zh-CN"/>
                    </w:rPr>
                    <w:t>。</w:t>
                  </w:r>
                </w:p>
              </w:tc>
              <w:tc>
                <w:tcPr>
                  <w:tcW w:w="442" w:type="pct"/>
                  <w:tcBorders>
                    <w:tl2br w:val="nil"/>
                    <w:tr2bl w:val="nil"/>
                  </w:tcBorders>
                  <w:vAlign w:val="center"/>
                </w:tcPr>
                <w:p w14:paraId="6D583113">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符合</w:t>
                  </w:r>
                </w:p>
              </w:tc>
            </w:tr>
            <w:tr w14:paraId="7DD0A1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415" w:type="pct"/>
                  <w:tcBorders>
                    <w:tl2br w:val="nil"/>
                    <w:tr2bl w:val="nil"/>
                  </w:tcBorders>
                  <w:vAlign w:val="center"/>
                </w:tcPr>
                <w:p w14:paraId="438B2F44">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环境风险防控</w:t>
                  </w:r>
                </w:p>
              </w:tc>
              <w:tc>
                <w:tcPr>
                  <w:tcW w:w="2878" w:type="pct"/>
                  <w:tcBorders>
                    <w:tl2br w:val="nil"/>
                    <w:tr2bl w:val="nil"/>
                  </w:tcBorders>
                  <w:vAlign w:val="center"/>
                </w:tcPr>
                <w:p w14:paraId="00203FD2">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（3.1）建立环境风险台帐。加强灾害应急救助体系建设，建立救灾物资分级筹措、分级管理、逐级保障的体系，建立和完善县级救灾应急仓库。</w:t>
                  </w:r>
                </w:p>
              </w:tc>
              <w:tc>
                <w:tcPr>
                  <w:tcW w:w="1264" w:type="pct"/>
                  <w:tcBorders>
                    <w:tl2br w:val="nil"/>
                    <w:tr2bl w:val="nil"/>
                  </w:tcBorders>
                  <w:vAlign w:val="center"/>
                </w:tcPr>
                <w:p w14:paraId="6CD7F58B">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本项目</w:t>
                  </w:r>
                  <w:r>
                    <w:rPr>
                      <w:rFonts w:hint="eastAsia" w:ascii="Times New Roman" w:hAnsi="Times New Roman" w:cs="Times New Roman"/>
                      <w:spacing w:val="0"/>
                      <w:w w:val="100"/>
                      <w:position w:val="0"/>
                      <w:sz w:val="21"/>
                      <w:szCs w:val="21"/>
                      <w:highlight w:val="none"/>
                      <w:u w:val="none" w:color="auto"/>
                      <w:lang w:val="en-US" w:eastAsia="zh-CN"/>
                    </w:rPr>
                    <w:t>按要求</w:t>
                  </w:r>
                  <w:r>
                    <w:rPr>
                      <w:rFonts w:hint="default" w:ascii="Times New Roman" w:hAnsi="Times New Roman" w:eastAsia="宋体" w:cs="Times New Roman"/>
                      <w:spacing w:val="0"/>
                      <w:w w:val="100"/>
                      <w:position w:val="0"/>
                      <w:sz w:val="21"/>
                      <w:szCs w:val="21"/>
                      <w:highlight w:val="none"/>
                      <w:u w:val="none" w:color="auto"/>
                    </w:rPr>
                    <w:t>建立环境风险台帐。</w:t>
                  </w:r>
                </w:p>
              </w:tc>
              <w:tc>
                <w:tcPr>
                  <w:tcW w:w="442" w:type="pct"/>
                  <w:tcBorders>
                    <w:tl2br w:val="nil"/>
                    <w:tr2bl w:val="nil"/>
                  </w:tcBorders>
                  <w:vAlign w:val="center"/>
                </w:tcPr>
                <w:p w14:paraId="06EBE763">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符合</w:t>
                  </w:r>
                </w:p>
              </w:tc>
            </w:tr>
            <w:tr w14:paraId="5600BF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2655" w:hRule="atLeast"/>
              </w:trPr>
              <w:tc>
                <w:tcPr>
                  <w:tcW w:w="415" w:type="pct"/>
                  <w:tcBorders>
                    <w:tl2br w:val="nil"/>
                    <w:tr2bl w:val="nil"/>
                  </w:tcBorders>
                  <w:vAlign w:val="center"/>
                </w:tcPr>
                <w:p w14:paraId="0413BC78">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资源开发效率要求</w:t>
                  </w:r>
                </w:p>
              </w:tc>
              <w:tc>
                <w:tcPr>
                  <w:tcW w:w="2878" w:type="pct"/>
                  <w:tcBorders>
                    <w:tl2br w:val="nil"/>
                    <w:tr2bl w:val="nil"/>
                  </w:tcBorders>
                  <w:vAlign w:val="center"/>
                </w:tcPr>
                <w:p w14:paraId="13FFECDA">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（4.1）执行湖南省总体要求、永州市基本要求中与资源开发有关的规定。</w:t>
                  </w:r>
                </w:p>
                <w:p w14:paraId="3067E39D">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both"/>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（4.2）到2025年，新田县用水总量目标为15187万m</w:t>
                  </w:r>
                  <w:r>
                    <w:rPr>
                      <w:rFonts w:hint="default" w:ascii="Times New Roman" w:hAnsi="Times New Roman" w:eastAsia="宋体" w:cs="Times New Roman"/>
                      <w:spacing w:val="0"/>
                      <w:w w:val="100"/>
                      <w:position w:val="0"/>
                      <w:sz w:val="21"/>
                      <w:szCs w:val="21"/>
                      <w:highlight w:val="none"/>
                      <w:u w:val="none" w:color="auto"/>
                      <w:vertAlign w:val="superscript"/>
                    </w:rPr>
                    <w:t>3</w:t>
                  </w:r>
                  <w:r>
                    <w:rPr>
                      <w:rFonts w:hint="default" w:ascii="Times New Roman" w:hAnsi="Times New Roman" w:eastAsia="宋体" w:cs="Times New Roman"/>
                      <w:spacing w:val="0"/>
                      <w:w w:val="100"/>
                      <w:position w:val="0"/>
                      <w:sz w:val="21"/>
                      <w:szCs w:val="21"/>
                      <w:highlight w:val="none"/>
                      <w:u w:val="none" w:color="auto"/>
                    </w:rPr>
                    <w:t>，农业用水总量控制在12112万m</w:t>
                  </w:r>
                  <w:r>
                    <w:rPr>
                      <w:rFonts w:hint="default" w:ascii="Times New Roman" w:hAnsi="Times New Roman" w:eastAsia="宋体" w:cs="Times New Roman"/>
                      <w:spacing w:val="0"/>
                      <w:w w:val="100"/>
                      <w:position w:val="0"/>
                      <w:sz w:val="21"/>
                      <w:szCs w:val="21"/>
                      <w:highlight w:val="none"/>
                      <w:u w:val="none" w:color="auto"/>
                      <w:vertAlign w:val="superscript"/>
                    </w:rPr>
                    <w:t>3</w:t>
                  </w:r>
                  <w:r>
                    <w:rPr>
                      <w:rFonts w:hint="default" w:ascii="Times New Roman" w:hAnsi="Times New Roman" w:eastAsia="宋体" w:cs="Times New Roman"/>
                      <w:spacing w:val="0"/>
                      <w:w w:val="100"/>
                      <w:position w:val="0"/>
                      <w:sz w:val="21"/>
                      <w:szCs w:val="21"/>
                      <w:highlight w:val="none"/>
                      <w:u w:val="none" w:color="auto"/>
                    </w:rPr>
                    <w:t>，万元地区生产总值用水量、万元工业增加值用水量分别比2020年降低10.08%、8.87%，农田灌溉水有效利用系数为0.555。</w:t>
                  </w:r>
                </w:p>
              </w:tc>
              <w:tc>
                <w:tcPr>
                  <w:tcW w:w="1264" w:type="pct"/>
                  <w:tcBorders>
                    <w:tl2br w:val="nil"/>
                    <w:tr2bl w:val="nil"/>
                  </w:tcBorders>
                  <w:vAlign w:val="center"/>
                </w:tcPr>
                <w:p w14:paraId="2A2572FE">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本项目</w:t>
                  </w:r>
                  <w:r>
                    <w:rPr>
                      <w:rFonts w:hint="eastAsia" w:ascii="Times New Roman" w:hAnsi="Times New Roman" w:cs="Times New Roman"/>
                      <w:spacing w:val="0"/>
                      <w:w w:val="100"/>
                      <w:position w:val="0"/>
                      <w:sz w:val="21"/>
                      <w:szCs w:val="21"/>
                      <w:highlight w:val="none"/>
                      <w:u w:val="none" w:color="auto"/>
                      <w:lang w:val="en-US" w:eastAsia="zh-CN"/>
                    </w:rPr>
                    <w:t>不属于高耗能、高耗水项目</w:t>
                  </w:r>
                  <w:r>
                    <w:rPr>
                      <w:rFonts w:hint="default" w:ascii="Times New Roman" w:hAnsi="Times New Roman" w:eastAsia="宋体" w:cs="Times New Roman"/>
                      <w:spacing w:val="0"/>
                      <w:w w:val="100"/>
                      <w:position w:val="0"/>
                      <w:sz w:val="21"/>
                      <w:szCs w:val="21"/>
                      <w:highlight w:val="none"/>
                      <w:u w:val="none" w:color="auto"/>
                    </w:rPr>
                    <w:t>。</w:t>
                  </w:r>
                </w:p>
              </w:tc>
              <w:tc>
                <w:tcPr>
                  <w:tcW w:w="442" w:type="pct"/>
                  <w:tcBorders>
                    <w:tl2br w:val="nil"/>
                    <w:tr2bl w:val="nil"/>
                  </w:tcBorders>
                  <w:vAlign w:val="center"/>
                </w:tcPr>
                <w:p w14:paraId="7B40DCA7">
                  <w:pPr>
                    <w:pStyle w:val="34"/>
                    <w:keepNext w:val="0"/>
                    <w:keepLines w:val="0"/>
                    <w:pageBreakBefore w:val="0"/>
                    <w:widowControl/>
                    <w:kinsoku/>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Times New Roman" w:hAnsi="Times New Roman" w:eastAsia="宋体" w:cs="Times New Roman"/>
                      <w:spacing w:val="0"/>
                      <w:w w:val="100"/>
                      <w:position w:val="0"/>
                      <w:sz w:val="21"/>
                      <w:szCs w:val="21"/>
                      <w:highlight w:val="none"/>
                      <w:u w:val="none" w:color="auto"/>
                    </w:rPr>
                  </w:pPr>
                  <w:r>
                    <w:rPr>
                      <w:rFonts w:hint="default" w:ascii="Times New Roman" w:hAnsi="Times New Roman" w:eastAsia="宋体" w:cs="Times New Roman"/>
                      <w:spacing w:val="0"/>
                      <w:w w:val="100"/>
                      <w:position w:val="0"/>
                      <w:sz w:val="21"/>
                      <w:szCs w:val="21"/>
                      <w:highlight w:val="none"/>
                      <w:u w:val="none" w:color="auto"/>
                    </w:rPr>
                    <w:t>符合</w:t>
                  </w:r>
                </w:p>
              </w:tc>
            </w:tr>
          </w:tbl>
          <w:p w14:paraId="4C3296FA">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cs="Times New Roman"/>
                <w:b/>
                <w:bCs/>
                <w:color w:val="auto"/>
                <w:kern w:val="0"/>
                <w:sz w:val="24"/>
                <w:highlight w:val="none"/>
                <w:u w:val="none" w:color="auto"/>
                <w:lang w:val="en-US" w:eastAsia="zh-CN"/>
              </w:rPr>
            </w:pPr>
            <w:r>
              <w:rPr>
                <w:rFonts w:hint="default" w:ascii="Times New Roman" w:hAnsi="Times New Roman" w:eastAsia="宋体" w:cs="Times New Roman"/>
                <w:spacing w:val="0"/>
                <w:w w:val="100"/>
                <w:position w:val="0"/>
                <w:sz w:val="24"/>
                <w:szCs w:val="24"/>
                <w:highlight w:val="none"/>
                <w:u w:val="none" w:color="auto"/>
              </w:rPr>
              <w:t>综上，本项目符合《永州市生态环境局关于发布永州市生态环境分区管控更新成果（2023版）的通知》（永环发〔2024〕31号）控制条件要求。</w:t>
            </w:r>
          </w:p>
          <w:p w14:paraId="27FF1AC7">
            <w:pPr>
              <w:adjustRightInd w:val="0"/>
              <w:snapToGrid w:val="0"/>
              <w:spacing w:line="360" w:lineRule="auto"/>
              <w:ind w:firstLine="482" w:firstLineChars="200"/>
              <w:rPr>
                <w:rFonts w:hint="eastAsia" w:ascii="宋体" w:hAnsi="宋体" w:eastAsia="宋体" w:cs="宋体"/>
                <w:b/>
                <w:bCs/>
                <w:snapToGrid w:val="0"/>
                <w:color w:val="000000"/>
                <w:spacing w:val="-4"/>
                <w:sz w:val="24"/>
                <w:szCs w:val="24"/>
                <w:u w:val="single" w:color="auto"/>
                <w:lang w:val="en-US" w:eastAsia="zh-CN" w:bidi="ar-SA"/>
              </w:rPr>
            </w:pPr>
            <w:r>
              <w:rPr>
                <w:rFonts w:hint="default" w:cs="Times New Roman"/>
                <w:b/>
                <w:bCs/>
                <w:color w:val="auto"/>
                <w:sz w:val="24"/>
                <w:szCs w:val="24"/>
                <w:u w:val="single" w:color="auto"/>
                <w:lang w:val="en-US" w:eastAsia="zh-CN"/>
              </w:rPr>
              <w:t>3</w:t>
            </w:r>
            <w:r>
              <w:rPr>
                <w:rFonts w:hint="default" w:ascii="Times New Roman" w:hAnsi="Times New Roman" w:eastAsia="宋体" w:cs="Times New Roman"/>
                <w:b/>
                <w:bCs/>
                <w:color w:val="auto"/>
                <w:sz w:val="24"/>
                <w:szCs w:val="24"/>
                <w:u w:val="single" w:color="auto"/>
                <w:lang w:val="en-US" w:eastAsia="zh-CN"/>
              </w:rPr>
              <w:t>、</w:t>
            </w:r>
            <w:r>
              <w:rPr>
                <w:rFonts w:hint="eastAsia" w:ascii="宋体" w:hAnsi="宋体" w:eastAsia="宋体" w:cs="宋体"/>
                <w:b/>
                <w:bCs/>
                <w:snapToGrid w:val="0"/>
                <w:color w:val="000000"/>
                <w:spacing w:val="-4"/>
                <w:sz w:val="24"/>
                <w:szCs w:val="24"/>
                <w:u w:val="single" w:color="auto"/>
                <w:lang w:val="en-US" w:eastAsia="zh-CN" w:bidi="ar-SA"/>
              </w:rPr>
              <w:t>与新田县国土空间总体规划、三区三线等相关政策的相符性分析</w:t>
            </w:r>
          </w:p>
          <w:p w14:paraId="29A0B803">
            <w:pPr>
              <w:spacing w:line="360" w:lineRule="auto"/>
              <w:ind w:firstLine="480"/>
              <w:rPr>
                <w:rFonts w:hint="default" w:ascii="Times New Roman" w:hAnsi="Times New Roman" w:eastAsia="宋体" w:cs="Times New Roman"/>
                <w:snapToGrid w:val="0"/>
                <w:color w:val="000000"/>
                <w:spacing w:val="0"/>
                <w:sz w:val="24"/>
                <w:szCs w:val="24"/>
                <w:u w:val="single" w:color="auto"/>
                <w:lang w:val="en-US" w:eastAsia="en-US" w:bidi="ar-SA"/>
              </w:rPr>
            </w:pPr>
            <w:r>
              <w:rPr>
                <w:rFonts w:hint="default" w:ascii="Times New Roman" w:hAnsi="Times New Roman" w:eastAsia="宋体" w:cs="Times New Roman"/>
                <w:snapToGrid w:val="0"/>
                <w:color w:val="000000"/>
                <w:spacing w:val="0"/>
                <w:sz w:val="24"/>
                <w:szCs w:val="24"/>
                <w:u w:val="single" w:color="auto"/>
                <w:lang w:val="en-US" w:eastAsia="en-US" w:bidi="ar-SA"/>
              </w:rPr>
              <w:t>根据《</w:t>
            </w:r>
            <w:r>
              <w:rPr>
                <w:rFonts w:hint="eastAsia" w:ascii="Times New Roman" w:hAnsi="Times New Roman" w:eastAsia="宋体" w:cs="Times New Roman"/>
                <w:snapToGrid w:val="0"/>
                <w:color w:val="000000"/>
                <w:spacing w:val="0"/>
                <w:sz w:val="24"/>
                <w:szCs w:val="24"/>
                <w:u w:val="single" w:color="auto"/>
                <w:lang w:val="en-US" w:eastAsia="zh-CN" w:bidi="ar-SA"/>
              </w:rPr>
              <w:t>新田县</w:t>
            </w:r>
            <w:r>
              <w:rPr>
                <w:rFonts w:hint="eastAsia" w:cs="Times New Roman"/>
                <w:snapToGrid w:val="0"/>
                <w:color w:val="000000"/>
                <w:spacing w:val="0"/>
                <w:sz w:val="24"/>
                <w:szCs w:val="24"/>
                <w:u w:val="single" w:color="auto"/>
                <w:lang w:val="en-US" w:eastAsia="zh-CN" w:bidi="ar-SA"/>
              </w:rPr>
              <w:t>三井镇</w:t>
            </w:r>
            <w:r>
              <w:rPr>
                <w:rFonts w:hint="default" w:ascii="Times New Roman" w:hAnsi="Times New Roman" w:eastAsia="宋体" w:cs="Times New Roman"/>
                <w:snapToGrid w:val="0"/>
                <w:color w:val="000000"/>
                <w:spacing w:val="0"/>
                <w:sz w:val="24"/>
                <w:szCs w:val="24"/>
                <w:u w:val="single" w:color="auto"/>
                <w:lang w:val="en-US" w:eastAsia="en-US" w:bidi="ar-SA"/>
              </w:rPr>
              <w:t>国土空间规划(</w:t>
            </w:r>
            <w:r>
              <w:rPr>
                <w:rFonts w:hint="eastAsia" w:ascii="Times New Roman" w:hAnsi="Times New Roman" w:eastAsia="宋体" w:cs="Times New Roman"/>
                <w:snapToGrid w:val="0"/>
                <w:color w:val="000000"/>
                <w:spacing w:val="0"/>
                <w:sz w:val="24"/>
                <w:szCs w:val="24"/>
                <w:u w:val="single" w:color="auto"/>
                <w:lang w:val="en-US" w:eastAsia="zh-CN" w:bidi="ar-SA"/>
              </w:rPr>
              <w:t>202</w:t>
            </w:r>
            <w:r>
              <w:rPr>
                <w:rFonts w:hint="eastAsia" w:cs="Times New Roman"/>
                <w:snapToGrid w:val="0"/>
                <w:color w:val="000000"/>
                <w:spacing w:val="0"/>
                <w:sz w:val="24"/>
                <w:szCs w:val="24"/>
                <w:u w:val="single" w:color="auto"/>
                <w:lang w:val="en-US" w:eastAsia="zh-CN" w:bidi="ar-SA"/>
              </w:rPr>
              <w:t>1</w:t>
            </w:r>
            <w:r>
              <w:rPr>
                <w:rFonts w:hint="eastAsia" w:ascii="Times New Roman" w:hAnsi="Times New Roman" w:eastAsia="宋体" w:cs="Times New Roman"/>
                <w:snapToGrid w:val="0"/>
                <w:color w:val="000000"/>
                <w:spacing w:val="0"/>
                <w:sz w:val="24"/>
                <w:szCs w:val="24"/>
                <w:u w:val="single" w:color="auto"/>
                <w:lang w:val="en-US" w:eastAsia="zh-CN" w:bidi="ar-SA"/>
              </w:rPr>
              <w:t>-2035</w:t>
            </w:r>
            <w:r>
              <w:rPr>
                <w:rFonts w:hint="default" w:ascii="Times New Roman" w:hAnsi="Times New Roman" w:eastAsia="宋体" w:cs="Times New Roman"/>
                <w:snapToGrid w:val="0"/>
                <w:color w:val="000000"/>
                <w:spacing w:val="0"/>
                <w:sz w:val="24"/>
                <w:szCs w:val="24"/>
                <w:u w:val="single" w:color="auto"/>
                <w:lang w:val="en-US" w:eastAsia="en-US" w:bidi="ar-SA"/>
              </w:rPr>
              <w:t>年)》，三井镇是新田县南部现代农业型一般镇。主体功能定位为重点生态功能区。发展定位为新田县南部宜居宜业生态小城镇。优先划定耕地和永久基本农田保护线。全镇落实划定耕地保护目标33882亩，划定永久基本农田32002.95亩。落实生态保护红线。落实下发生态保护红线面积为232.65公顷，主要集中在镇域南部。合理划定城镇开发边界。实施严格的节约用地制度，防止城乡建设无序蔓延，落实划定城镇开发边界面积29.20公顷。</w:t>
            </w:r>
          </w:p>
          <w:p w14:paraId="113E31B1">
            <w:pPr>
              <w:spacing w:line="360" w:lineRule="auto"/>
              <w:ind w:firstLine="480"/>
              <w:rPr>
                <w:rFonts w:hint="default" w:ascii="宋体" w:hAnsi="宋体" w:eastAsia="宋体" w:cs="宋体"/>
                <w:snapToGrid w:val="0"/>
                <w:color w:val="000000"/>
                <w:spacing w:val="-4"/>
                <w:sz w:val="24"/>
                <w:szCs w:val="24"/>
                <w:u w:val="single" w:color="auto"/>
                <w:lang w:val="en-US" w:eastAsia="en-US" w:bidi="ar-SA"/>
              </w:rPr>
            </w:pPr>
            <w:r>
              <w:rPr>
                <w:rFonts w:hint="default" w:ascii="Times New Roman" w:hAnsi="Times New Roman" w:eastAsia="宋体" w:cs="Times New Roman"/>
                <w:snapToGrid w:val="0"/>
                <w:color w:val="000000"/>
                <w:spacing w:val="0"/>
                <w:sz w:val="24"/>
                <w:szCs w:val="24"/>
                <w:u w:val="single" w:color="auto"/>
                <w:lang w:val="en-US" w:eastAsia="en-US" w:bidi="ar-SA"/>
              </w:rPr>
              <w:t>本项目位于新田县</w:t>
            </w:r>
            <w:r>
              <w:rPr>
                <w:rFonts w:hint="eastAsia" w:cs="Times New Roman"/>
                <w:snapToGrid w:val="0"/>
                <w:color w:val="000000"/>
                <w:spacing w:val="0"/>
                <w:sz w:val="24"/>
                <w:szCs w:val="24"/>
                <w:u w:val="single" w:color="auto"/>
                <w:lang w:val="en-US" w:eastAsia="zh-CN" w:bidi="ar-SA"/>
              </w:rPr>
              <w:t>三井镇三井村</w:t>
            </w:r>
            <w:r>
              <w:rPr>
                <w:rFonts w:hint="default" w:ascii="Times New Roman" w:hAnsi="Times New Roman" w:eastAsia="宋体" w:cs="Times New Roman"/>
                <w:snapToGrid w:val="0"/>
                <w:color w:val="000000"/>
                <w:spacing w:val="0"/>
                <w:sz w:val="24"/>
                <w:szCs w:val="24"/>
                <w:u w:val="single" w:color="auto"/>
                <w:lang w:val="en-US" w:eastAsia="en-US" w:bidi="ar-SA"/>
              </w:rPr>
              <w:t>，项目为</w:t>
            </w:r>
            <w:r>
              <w:rPr>
                <w:rFonts w:hint="eastAsia" w:ascii="Times New Roman" w:hAnsi="Times New Roman" w:eastAsia="宋体" w:cs="Times New Roman"/>
                <w:snapToGrid w:val="0"/>
                <w:color w:val="000000"/>
                <w:spacing w:val="0"/>
                <w:sz w:val="24"/>
                <w:szCs w:val="24"/>
                <w:u w:val="single" w:color="auto"/>
                <w:lang w:val="en-US" w:eastAsia="zh-CN" w:bidi="ar-SA"/>
              </w:rPr>
              <w:t>社区卫生服务中心</w:t>
            </w:r>
            <w:r>
              <w:rPr>
                <w:rFonts w:hint="default" w:ascii="Times New Roman" w:hAnsi="Times New Roman" w:eastAsia="宋体" w:cs="Times New Roman"/>
                <w:snapToGrid w:val="0"/>
                <w:color w:val="000000"/>
                <w:spacing w:val="0"/>
                <w:sz w:val="24"/>
                <w:szCs w:val="24"/>
                <w:u w:val="single" w:color="auto"/>
                <w:lang w:val="en-US" w:eastAsia="en-US" w:bidi="ar-SA"/>
              </w:rPr>
              <w:t>建设</w:t>
            </w:r>
            <w:r>
              <w:rPr>
                <w:rFonts w:hint="eastAsia" w:ascii="Times New Roman" w:hAnsi="Times New Roman" w:eastAsia="宋体" w:cs="Times New Roman"/>
                <w:snapToGrid w:val="0"/>
                <w:color w:val="000000"/>
                <w:spacing w:val="0"/>
                <w:sz w:val="24"/>
                <w:szCs w:val="24"/>
                <w:u w:val="single" w:color="auto"/>
                <w:lang w:val="en-US" w:eastAsia="zh-CN" w:bidi="ar-SA"/>
              </w:rPr>
              <w:t>。</w:t>
            </w:r>
            <w:r>
              <w:rPr>
                <w:rFonts w:hint="eastAsia" w:cs="Times New Roman"/>
                <w:snapToGrid w:val="0"/>
                <w:color w:val="000000"/>
                <w:spacing w:val="0"/>
                <w:sz w:val="24"/>
                <w:szCs w:val="24"/>
                <w:u w:val="single" w:color="auto"/>
                <w:lang w:val="en-US" w:eastAsia="zh-CN" w:bidi="ar-SA"/>
              </w:rPr>
              <w:t>项目用地性质为医疗卫生用地，</w:t>
            </w:r>
            <w:r>
              <w:rPr>
                <w:rFonts w:hint="default" w:ascii="Times New Roman" w:hAnsi="Times New Roman" w:eastAsia="宋体" w:cs="Times New Roman"/>
                <w:snapToGrid w:val="0"/>
                <w:color w:val="000000"/>
                <w:spacing w:val="0"/>
                <w:sz w:val="24"/>
                <w:szCs w:val="24"/>
                <w:u w:val="single" w:color="auto"/>
                <w:lang w:val="en-US" w:eastAsia="en-US" w:bidi="ar-SA"/>
              </w:rPr>
              <w:t>不涉及永久基本农田、生态保护红线，</w:t>
            </w:r>
            <w:r>
              <w:rPr>
                <w:rFonts w:hint="eastAsia" w:ascii="Times New Roman" w:hAnsi="Times New Roman" w:eastAsia="宋体" w:cs="Times New Roman"/>
                <w:snapToGrid w:val="0"/>
                <w:color w:val="000000"/>
                <w:spacing w:val="0"/>
                <w:sz w:val="24"/>
                <w:szCs w:val="24"/>
                <w:u w:val="single" w:color="auto"/>
                <w:lang w:val="en-US" w:eastAsia="zh-CN" w:bidi="ar-SA"/>
              </w:rPr>
              <w:t>在</w:t>
            </w:r>
            <w:r>
              <w:rPr>
                <w:rFonts w:hint="default" w:ascii="Times New Roman" w:hAnsi="Times New Roman" w:eastAsia="宋体" w:cs="Times New Roman"/>
                <w:snapToGrid w:val="0"/>
                <w:color w:val="000000"/>
                <w:spacing w:val="0"/>
                <w:sz w:val="24"/>
                <w:szCs w:val="24"/>
                <w:u w:val="single" w:color="auto"/>
                <w:lang w:val="en-US" w:eastAsia="en-US" w:bidi="ar-SA"/>
              </w:rPr>
              <w:t>城镇开发边界范围</w:t>
            </w:r>
            <w:r>
              <w:rPr>
                <w:rFonts w:hint="eastAsia" w:ascii="Times New Roman" w:hAnsi="Times New Roman" w:eastAsia="宋体" w:cs="Times New Roman"/>
                <w:snapToGrid w:val="0"/>
                <w:color w:val="000000"/>
                <w:spacing w:val="0"/>
                <w:sz w:val="24"/>
                <w:szCs w:val="24"/>
                <w:u w:val="single" w:color="auto"/>
                <w:lang w:val="en-US" w:eastAsia="zh-CN" w:bidi="ar-SA"/>
              </w:rPr>
              <w:t>内</w:t>
            </w:r>
            <w:r>
              <w:rPr>
                <w:rFonts w:hint="default" w:ascii="Times New Roman" w:hAnsi="Times New Roman" w:eastAsia="宋体" w:cs="Times New Roman"/>
                <w:snapToGrid w:val="0"/>
                <w:color w:val="000000"/>
                <w:spacing w:val="0"/>
                <w:sz w:val="24"/>
                <w:szCs w:val="24"/>
                <w:u w:val="single" w:color="auto"/>
                <w:lang w:val="en-US" w:eastAsia="en-US" w:bidi="ar-SA"/>
              </w:rPr>
              <w:t>。</w:t>
            </w:r>
            <w:r>
              <w:rPr>
                <w:rFonts w:hint="eastAsia" w:ascii="Times New Roman" w:hAnsi="Times New Roman" w:eastAsia="宋体" w:cs="Times New Roman"/>
                <w:snapToGrid w:val="0"/>
                <w:color w:val="000000"/>
                <w:spacing w:val="0"/>
                <w:sz w:val="24"/>
                <w:szCs w:val="24"/>
                <w:u w:val="single" w:color="auto"/>
                <w:lang w:val="en-US" w:eastAsia="zh-CN" w:bidi="ar-SA"/>
              </w:rPr>
              <w:t>因此，</w:t>
            </w:r>
            <w:r>
              <w:rPr>
                <w:rFonts w:hint="default" w:ascii="Times New Roman" w:hAnsi="Times New Roman" w:eastAsia="宋体" w:cs="Times New Roman"/>
                <w:snapToGrid w:val="0"/>
                <w:color w:val="000000"/>
                <w:spacing w:val="0"/>
                <w:sz w:val="24"/>
                <w:szCs w:val="24"/>
                <w:u w:val="single" w:color="auto"/>
                <w:lang w:val="en-US" w:eastAsia="en-US" w:bidi="ar-SA"/>
              </w:rPr>
              <w:t>本</w:t>
            </w:r>
            <w:r>
              <w:rPr>
                <w:rFonts w:hint="eastAsia" w:ascii="Times New Roman" w:hAnsi="Times New Roman" w:eastAsia="宋体" w:cs="Times New Roman"/>
                <w:snapToGrid w:val="0"/>
                <w:color w:val="000000"/>
                <w:spacing w:val="0"/>
                <w:sz w:val="24"/>
                <w:szCs w:val="24"/>
                <w:u w:val="single" w:color="auto"/>
                <w:lang w:val="en-US" w:eastAsia="zh-CN" w:bidi="ar-SA"/>
              </w:rPr>
              <w:t>项目</w:t>
            </w:r>
            <w:r>
              <w:rPr>
                <w:rFonts w:hint="default" w:ascii="Times New Roman" w:hAnsi="Times New Roman" w:eastAsia="宋体" w:cs="Times New Roman"/>
                <w:snapToGrid w:val="0"/>
                <w:color w:val="000000"/>
                <w:spacing w:val="0"/>
                <w:sz w:val="24"/>
                <w:szCs w:val="24"/>
                <w:u w:val="single" w:color="auto"/>
                <w:lang w:val="en-US" w:eastAsia="en-US" w:bidi="ar-SA"/>
              </w:rPr>
              <w:t>与</w:t>
            </w:r>
            <w:r>
              <w:rPr>
                <w:rFonts w:hint="eastAsia" w:ascii="Times New Roman" w:hAnsi="Times New Roman" w:eastAsia="宋体" w:cs="Times New Roman"/>
                <w:snapToGrid w:val="0"/>
                <w:color w:val="000000"/>
                <w:spacing w:val="0"/>
                <w:sz w:val="24"/>
                <w:szCs w:val="24"/>
                <w:u w:val="single" w:color="auto"/>
                <w:lang w:val="en-US" w:eastAsia="zh-CN" w:bidi="ar-SA"/>
              </w:rPr>
              <w:t>新田县</w:t>
            </w:r>
            <w:r>
              <w:rPr>
                <w:rFonts w:hint="eastAsia" w:cs="Times New Roman"/>
                <w:snapToGrid w:val="0"/>
                <w:color w:val="000000"/>
                <w:spacing w:val="0"/>
                <w:sz w:val="24"/>
                <w:szCs w:val="24"/>
                <w:u w:val="single" w:color="auto"/>
                <w:lang w:val="en-US" w:eastAsia="zh-CN" w:bidi="ar-SA"/>
              </w:rPr>
              <w:t>三井镇</w:t>
            </w:r>
            <w:r>
              <w:rPr>
                <w:rFonts w:hint="default" w:ascii="Times New Roman" w:hAnsi="Times New Roman" w:eastAsia="宋体" w:cs="Times New Roman"/>
                <w:snapToGrid w:val="0"/>
                <w:color w:val="000000"/>
                <w:spacing w:val="0"/>
                <w:sz w:val="24"/>
                <w:szCs w:val="24"/>
                <w:u w:val="single" w:color="auto"/>
                <w:lang w:val="en-US" w:eastAsia="en-US" w:bidi="ar-SA"/>
              </w:rPr>
              <w:t>“三区三线”国土空间规划相关要求相符</w:t>
            </w:r>
            <w:r>
              <w:rPr>
                <w:rFonts w:hint="default" w:ascii="宋体" w:hAnsi="宋体" w:eastAsia="宋体" w:cs="宋体"/>
                <w:snapToGrid w:val="0"/>
                <w:color w:val="000000"/>
                <w:spacing w:val="-4"/>
                <w:sz w:val="24"/>
                <w:szCs w:val="24"/>
                <w:u w:val="single" w:color="auto"/>
                <w:lang w:val="en-US" w:eastAsia="en-US" w:bidi="ar-SA"/>
              </w:rPr>
              <w:t>。</w:t>
            </w:r>
          </w:p>
          <w:p w14:paraId="4580E8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sz w:val="24"/>
                <w:szCs w:val="24"/>
                <w:lang w:val="en-US" w:eastAsia="zh-CN"/>
              </w:rPr>
            </w:pPr>
            <w:r>
              <w:rPr>
                <w:rFonts w:hint="eastAsia" w:cs="Times New Roman"/>
                <w:b/>
                <w:bCs/>
                <w:color w:val="auto"/>
                <w:kern w:val="2"/>
                <w:sz w:val="24"/>
                <w:szCs w:val="24"/>
                <w:highlight w:val="none"/>
                <w:u w:val="none"/>
                <w:lang w:val="en-US" w:eastAsia="zh-CN"/>
              </w:rPr>
              <w:t>4</w:t>
            </w:r>
            <w:r>
              <w:rPr>
                <w:rFonts w:hint="eastAsia" w:ascii="Times New Roman" w:hAnsi="Times New Roman" w:eastAsia="宋体" w:cs="Times New Roman"/>
                <w:b/>
                <w:bCs/>
                <w:color w:val="auto"/>
                <w:kern w:val="2"/>
                <w:sz w:val="24"/>
                <w:szCs w:val="24"/>
                <w:highlight w:val="none"/>
                <w:u w:val="none"/>
                <w:lang w:val="en-US" w:eastAsia="zh-CN"/>
              </w:rPr>
              <w:t>、</w:t>
            </w:r>
            <w:r>
              <w:rPr>
                <w:rFonts w:hint="default"/>
                <w:b/>
                <w:bCs/>
                <w:sz w:val="24"/>
                <w:szCs w:val="24"/>
              </w:rPr>
              <w:t>卫生规划符合性分析</w:t>
            </w:r>
          </w:p>
          <w:p w14:paraId="1A6E0CAE">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jc w:val="both"/>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1</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2022年，国家卫生健康委发布《医疗机构设置规划指导原则（2021—2025年）》，规划中提到：是以区域内居民实际医疗服务需求为依据，以合理配置、利用医疗卫生资源，公平、可及地向全体居民提供安全、有效的基本医疗卫生服务为目的，将各级各类、不同所有制形式、不同隶属关系、不同服务对象的医疗机构统一规划布局，有利于引导医疗卫生资源合理配置，充分发挥有限资源的最大效率和效能，建设与社会主义现代化国家新征程相适应、与人民美好健康需求相匹配、结构合理、分工明确、密切协作的医疗服务体系。</w:t>
            </w:r>
          </w:p>
          <w:p w14:paraId="706F512B">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default" w:ascii="Times New Roman" w:hAnsi="Times New Roman" w:eastAsia="宋体" w:cs="Times New Roman"/>
                <w:spacing w:val="0"/>
                <w:w w:val="100"/>
                <w:position w:val="0"/>
                <w:sz w:val="24"/>
                <w:szCs w:val="24"/>
                <w:highlight w:val="none"/>
              </w:rPr>
              <w:t>本项目的建设将有助于完善医疗卫生服务体系，提高医疗卫生资源基础。</w:t>
            </w:r>
          </w:p>
          <w:p w14:paraId="1F8689ED">
            <w:pPr>
              <w:pStyle w:val="34"/>
              <w:keepNext w:val="0"/>
              <w:keepLines w:val="0"/>
              <w:pageBreakBefore w:val="0"/>
              <w:widowControl/>
              <w:kinsoku/>
              <w:wordWrap/>
              <w:overflowPunct/>
              <w:topLinePunct w:val="0"/>
              <w:autoSpaceDE w:val="0"/>
              <w:autoSpaceDN w:val="0"/>
              <w:bidi w:val="0"/>
              <w:adjustRightInd w:val="0"/>
              <w:snapToGrid w:val="0"/>
              <w:spacing w:line="360" w:lineRule="auto"/>
              <w:ind w:left="0" w:right="0" w:firstLine="480" w:firstLineChars="200"/>
              <w:textAlignment w:val="baseline"/>
              <w:rPr>
                <w:rFonts w:hint="default" w:ascii="Times New Roman" w:hAnsi="Times New Roman" w:eastAsia="宋体" w:cs="Times New Roman"/>
                <w:spacing w:val="0"/>
                <w:w w:val="100"/>
                <w:position w:val="0"/>
                <w:sz w:val="24"/>
                <w:szCs w:val="24"/>
                <w:highlight w:val="none"/>
              </w:rPr>
            </w:pPr>
            <w:r>
              <w:rPr>
                <w:rFonts w:hint="eastAsia" w:ascii="Times New Roman" w:hAnsi="Times New Roman" w:cs="Times New Roman"/>
                <w:spacing w:val="0"/>
                <w:w w:val="100"/>
                <w:position w:val="0"/>
                <w:sz w:val="24"/>
                <w:szCs w:val="24"/>
                <w:highlight w:val="none"/>
                <w:lang w:eastAsia="zh-CN"/>
              </w:rPr>
              <w:t>（</w:t>
            </w:r>
            <w:r>
              <w:rPr>
                <w:rFonts w:hint="eastAsia" w:ascii="Times New Roman" w:hAnsi="Times New Roman" w:cs="Times New Roman"/>
                <w:spacing w:val="0"/>
                <w:w w:val="100"/>
                <w:position w:val="0"/>
                <w:sz w:val="24"/>
                <w:szCs w:val="24"/>
                <w:highlight w:val="none"/>
                <w:lang w:val="en-US" w:eastAsia="zh-CN"/>
              </w:rPr>
              <w:t>2</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《湖南省医疗卫生服务体系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十四五</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规划》提出，提出到</w:t>
            </w:r>
            <w:r>
              <w:rPr>
                <w:rFonts w:hint="default" w:ascii="Times New Roman" w:hAnsi="Times New Roman" w:eastAsia="宋体" w:cs="Times New Roman"/>
                <w:color w:val="333333"/>
                <w:spacing w:val="0"/>
                <w:w w:val="100"/>
                <w:position w:val="0"/>
                <w:sz w:val="24"/>
                <w:szCs w:val="24"/>
                <w:highlight w:val="none"/>
              </w:rPr>
              <w:t>2025</w:t>
            </w:r>
            <w:r>
              <w:rPr>
                <w:rFonts w:hint="default" w:ascii="Times New Roman" w:hAnsi="Times New Roman" w:eastAsia="宋体" w:cs="Times New Roman"/>
                <w:spacing w:val="0"/>
                <w:w w:val="100"/>
                <w:position w:val="0"/>
                <w:sz w:val="24"/>
                <w:szCs w:val="24"/>
                <w:highlight w:val="none"/>
              </w:rPr>
              <w:t>年</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基本建成与全省经济社会发展水平相适应、与人民群众健康需求相匹配的医疗卫生服务体系</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重大疫情防控救治和突发公共卫生事件应对能力显著提升</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公立医院高质量发展取得明显成效</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基层医疗卫生机构普遍具备首诊分诊和健康守门人能力</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中医药服务特色优势得到充分发挥</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全方位全生命周期健康服务能力全面增强</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预防、治疗、康复、护理等医疗卫生资源配置协调发展</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基层首诊、双向转诊、上下联动、急慢分治的就医格局加快形成</w:t>
            </w:r>
            <w:r>
              <w:rPr>
                <w:rFonts w:hint="eastAsia" w:ascii="Times New Roman" w:hAnsi="Times New Roman"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城乡居民健康水平和满意度持续提升</w:t>
            </w:r>
            <w:r>
              <w:rPr>
                <w:rFonts w:hint="default" w:ascii="Times New Roman" w:hAnsi="Times New Roman" w:eastAsia="宋体" w:cs="Times New Roman"/>
                <w:color w:val="333333"/>
                <w:spacing w:val="0"/>
                <w:w w:val="100"/>
                <w:position w:val="0"/>
                <w:sz w:val="24"/>
                <w:szCs w:val="24"/>
                <w:highlight w:val="none"/>
              </w:rPr>
              <w:t>。</w:t>
            </w:r>
          </w:p>
          <w:p w14:paraId="3C166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pacing w:val="0"/>
                <w:w w:val="100"/>
                <w:position w:val="0"/>
                <w:sz w:val="24"/>
                <w:szCs w:val="24"/>
                <w:highlight w:val="none"/>
              </w:rPr>
              <w:t>本医院为</w:t>
            </w:r>
            <w:r>
              <w:rPr>
                <w:rFonts w:hint="eastAsia"/>
                <w:sz w:val="24"/>
                <w:szCs w:val="24"/>
                <w:lang w:val="en-US" w:eastAsia="zh-CN"/>
              </w:rPr>
              <w:t>社区卫生服务中心</w:t>
            </w:r>
            <w:r>
              <w:rPr>
                <w:rFonts w:hint="default" w:ascii="Times New Roman" w:hAnsi="Times New Roman" w:eastAsia="宋体" w:cs="Times New Roman"/>
                <w:spacing w:val="0"/>
                <w:w w:val="100"/>
                <w:position w:val="0"/>
                <w:sz w:val="24"/>
                <w:szCs w:val="24"/>
                <w:highlight w:val="none"/>
              </w:rPr>
              <w:t>，</w:t>
            </w:r>
            <w:r>
              <w:rPr>
                <w:rFonts w:hint="eastAsia" w:ascii="Times New Roman" w:hAnsi="Times New Roman" w:cs="Times New Roman"/>
                <w:spacing w:val="0"/>
                <w:w w:val="100"/>
                <w:position w:val="0"/>
                <w:sz w:val="24"/>
                <w:szCs w:val="24"/>
                <w:highlight w:val="none"/>
                <w:lang w:val="en-US" w:eastAsia="zh-CN"/>
              </w:rPr>
              <w:t>属于</w:t>
            </w:r>
            <w:r>
              <w:rPr>
                <w:rFonts w:hint="default" w:ascii="Times New Roman" w:hAnsi="Times New Roman" w:eastAsia="宋体" w:cs="Times New Roman"/>
                <w:spacing w:val="0"/>
                <w:w w:val="100"/>
                <w:position w:val="0"/>
                <w:sz w:val="24"/>
                <w:szCs w:val="24"/>
                <w:highlight w:val="none"/>
              </w:rPr>
              <w:t>基层医疗卫生机构</w:t>
            </w:r>
            <w:r>
              <w:rPr>
                <w:rFonts w:hint="eastAsia" w:ascii="Times New Roman" w:hAnsi="Times New Roman" w:eastAsia="宋体" w:cs="Times New Roman"/>
                <w:spacing w:val="0"/>
                <w:w w:val="100"/>
                <w:position w:val="0"/>
                <w:sz w:val="24"/>
                <w:szCs w:val="24"/>
                <w:highlight w:val="none"/>
                <w:lang w:eastAsia="zh-CN"/>
              </w:rPr>
              <w:t>，</w:t>
            </w:r>
            <w:r>
              <w:rPr>
                <w:rFonts w:hint="default" w:ascii="Times New Roman" w:hAnsi="Times New Roman" w:eastAsia="宋体" w:cs="Times New Roman"/>
                <w:spacing w:val="0"/>
                <w:w w:val="100"/>
                <w:position w:val="0"/>
                <w:sz w:val="24"/>
                <w:szCs w:val="24"/>
                <w:highlight w:val="none"/>
              </w:rPr>
              <w:t>本项目的建设</w:t>
            </w:r>
            <w:r>
              <w:rPr>
                <w:rFonts w:hint="default" w:ascii="Times New Roman" w:hAnsi="Times New Roman" w:eastAsia="宋体" w:cs="Times New Roman"/>
                <w:color w:val="000000" w:themeColor="text1"/>
                <w:spacing w:val="0"/>
                <w:w w:val="100"/>
                <w:position w:val="0"/>
                <w:sz w:val="24"/>
                <w:szCs w:val="24"/>
                <w:highlight w:val="none"/>
                <w14:textFill>
                  <w14:solidFill>
                    <w14:schemeClr w14:val="tx1"/>
                  </w14:solidFill>
                </w14:textFill>
              </w:rPr>
              <w:t>有助于完善医疗卫生服务体系，</w:t>
            </w:r>
            <w:r>
              <w:rPr>
                <w:rFonts w:hint="default" w:ascii="Times New Roman" w:hAnsi="Times New Roman" w:eastAsia="宋体" w:cs="Times New Roman"/>
                <w:spacing w:val="0"/>
                <w:w w:val="100"/>
                <w:position w:val="0"/>
                <w:sz w:val="24"/>
                <w:szCs w:val="24"/>
                <w:highlight w:val="none"/>
              </w:rPr>
              <w:t>提高城乡居民健康水平，符合湖南省医疗卫生服务体系规划。</w:t>
            </w:r>
          </w:p>
          <w:p w14:paraId="0E1A1A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综上，本项目符合</w:t>
            </w:r>
            <w:r>
              <w:rPr>
                <w:rFonts w:hint="eastAsia" w:cs="Times New Roman"/>
                <w:color w:val="auto"/>
                <w:sz w:val="24"/>
                <w:szCs w:val="24"/>
                <w:lang w:val="en-US" w:eastAsia="zh-CN"/>
              </w:rPr>
              <w:t>卫生规划相关要求</w:t>
            </w:r>
            <w:r>
              <w:rPr>
                <w:rFonts w:hint="default" w:ascii="Times New Roman" w:hAnsi="Times New Roman" w:eastAsia="宋体" w:cs="Times New Roman"/>
                <w:color w:val="auto"/>
                <w:sz w:val="24"/>
                <w:szCs w:val="24"/>
                <w:lang w:val="en-US" w:eastAsia="zh-CN"/>
              </w:rPr>
              <w:t>。</w:t>
            </w:r>
          </w:p>
          <w:p w14:paraId="5A3D8996">
            <w:pPr>
              <w:bidi w:val="0"/>
              <w:spacing w:line="360" w:lineRule="auto"/>
              <w:ind w:firstLine="482" w:firstLineChars="200"/>
              <w:rPr>
                <w:rFonts w:hint="default" w:ascii="Times New Roman" w:hAnsi="Times New Roman" w:eastAsia="宋体" w:cs="Times New Roman"/>
                <w:color w:val="auto"/>
                <w:sz w:val="24"/>
                <w:szCs w:val="24"/>
                <w:u w:val="none" w:color="auto"/>
              </w:rPr>
            </w:pPr>
            <w:r>
              <w:rPr>
                <w:rFonts w:hint="eastAsia" w:cs="Times New Roman"/>
                <w:b/>
                <w:bCs/>
                <w:color w:val="auto"/>
                <w:sz w:val="24"/>
                <w:szCs w:val="24"/>
                <w:u w:val="none" w:color="auto"/>
                <w:lang w:val="en-US" w:eastAsia="zh-CN"/>
              </w:rPr>
              <w:t>5</w:t>
            </w:r>
            <w:r>
              <w:rPr>
                <w:rFonts w:hint="default" w:ascii="Times New Roman" w:hAnsi="Times New Roman" w:eastAsia="宋体" w:cs="Times New Roman"/>
                <w:b/>
                <w:bCs/>
                <w:color w:val="auto"/>
                <w:sz w:val="24"/>
                <w:szCs w:val="24"/>
                <w:u w:val="none" w:color="auto"/>
                <w:lang w:val="en-US" w:eastAsia="zh-CN"/>
              </w:rPr>
              <w:t>、选址的合理性分析</w:t>
            </w:r>
          </w:p>
          <w:p w14:paraId="13E6249B">
            <w:pPr>
              <w:pStyle w:val="34"/>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①与周边环境相容性分析</w:t>
            </w:r>
          </w:p>
          <w:p w14:paraId="282428B4">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default" w:ascii="Times New Roman" w:hAnsi="Times New Roman" w:cs="Times New Roman"/>
                <w:color w:val="auto"/>
                <w:sz w:val="24"/>
                <w:szCs w:val="32"/>
                <w:u w:val="none" w:color="auto"/>
              </w:rPr>
              <w:t>本项目</w:t>
            </w:r>
            <w:r>
              <w:rPr>
                <w:rFonts w:hint="eastAsia" w:ascii="Times New Roman" w:hAnsi="Times New Roman" w:cs="Times New Roman"/>
                <w:color w:val="auto"/>
                <w:sz w:val="24"/>
                <w:szCs w:val="32"/>
                <w:u w:val="none" w:color="auto"/>
                <w:lang w:val="en-US" w:eastAsia="zh-CN"/>
              </w:rPr>
              <w:t>位</w:t>
            </w:r>
            <w:r>
              <w:rPr>
                <w:rFonts w:hint="eastAsia" w:ascii="Times New Roman" w:hAnsi="Times New Roman" w:cs="Times New Roman"/>
                <w:color w:val="auto"/>
                <w:sz w:val="24"/>
                <w:szCs w:val="24"/>
                <w:u w:val="none" w:color="auto"/>
                <w:lang w:val="en-US" w:eastAsia="zh-CN"/>
              </w:rPr>
              <w:t>于</w:t>
            </w:r>
            <w:r>
              <w:rPr>
                <w:rFonts w:hint="eastAsia" w:cs="Arial"/>
                <w:i w:val="0"/>
                <w:iCs w:val="0"/>
                <w:caps w:val="0"/>
                <w:color w:val="000000" w:themeColor="text1"/>
                <w:spacing w:val="0"/>
                <w:sz w:val="24"/>
                <w:szCs w:val="24"/>
                <w:shd w:val="clear" w:fill="FFFFFF"/>
                <w:lang w:eastAsia="zh-CN"/>
                <w14:textFill>
                  <w14:solidFill>
                    <w14:schemeClr w14:val="tx1"/>
                  </w14:solidFill>
                </w14:textFill>
              </w:rPr>
              <w:t>永州市新田县三井镇三井村</w:t>
            </w:r>
            <w:r>
              <w:rPr>
                <w:rFonts w:hint="eastAsia" w:ascii="Times New Roman" w:hAnsi="Times New Roman" w:eastAsia="宋体" w:cs="Times New Roman"/>
                <w:color w:val="auto"/>
                <w:sz w:val="24"/>
                <w:szCs w:val="24"/>
                <w:u w:val="none" w:color="auto"/>
                <w:lang w:val="en-US" w:eastAsia="zh-CN"/>
              </w:rPr>
              <w:t>，</w:t>
            </w:r>
            <w:r>
              <w:rPr>
                <w:rFonts w:hint="eastAsia" w:ascii="Times New Roman" w:hAnsi="Times New Roman" w:cs="Times New Roman"/>
                <w:color w:val="auto"/>
                <w:sz w:val="24"/>
                <w:szCs w:val="24"/>
                <w:u w:val="none" w:color="auto"/>
                <w:lang w:val="en-US" w:eastAsia="zh-CN"/>
              </w:rPr>
              <w:t>项</w:t>
            </w:r>
            <w:r>
              <w:rPr>
                <w:rFonts w:hint="eastAsia" w:ascii="Times New Roman" w:hAnsi="Times New Roman" w:cs="Times New Roman"/>
                <w:color w:val="auto"/>
                <w:sz w:val="24"/>
                <w:szCs w:val="32"/>
                <w:u w:val="none" w:color="auto"/>
                <w:lang w:val="en-US" w:eastAsia="zh-CN"/>
              </w:rPr>
              <w:t>目建设用地较为平坦，地质条件良</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好；项目周边供排水、供电、通讯等基础设施完善，紧邻</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村镇</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，交通便利，不涉及自然保护区、风景名胜区、饮用水源保护区等环境敏感区域</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。根据工程分析可知，本项目主要环境问题是医院废水及医疗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废物</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可能对周围环境特别是水环境造成的影响。</w:t>
            </w:r>
          </w:p>
          <w:p w14:paraId="22DF2D0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auto"/>
                <w:kern w:val="0"/>
                <w:sz w:val="24"/>
                <w:szCs w:val="24"/>
                <w:highlight w:val="none"/>
                <w:u w:val="none" w:color="auto"/>
                <w:lang w:val="en-US" w:eastAsia="zh-CN" w:bidi="ar-SA"/>
              </w:rPr>
            </w:pP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由污染防治</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对策</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分析可知，</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院内</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废水经自建污水处理站处理达标后</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排入污水处理厂处理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。项目营运期对医疗废物进行分类收集后，委托</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有资质公司处理</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处置，故该项目所产生的医疗废物不会对周围环境造成危害性影响。项目主要为</w:t>
            </w:r>
            <w:r>
              <w:rPr>
                <w:rFonts w:hint="eastAsia" w:cs="Times New Roman"/>
                <w:color w:val="000000" w:themeColor="text1"/>
                <w:kern w:val="0"/>
                <w:sz w:val="24"/>
                <w:szCs w:val="24"/>
                <w:highlight w:val="none"/>
                <w:u w:val="none" w:color="auto"/>
                <w:lang w:val="en-US" w:eastAsia="zh-CN" w:bidi="ar-SA"/>
                <w14:textFill>
                  <w14:solidFill>
                    <w14:schemeClr w14:val="tx1"/>
                  </w14:solidFill>
                </w14:textFill>
              </w:rPr>
              <w:t>周边</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居民</w:t>
            </w:r>
            <w:r>
              <w:rPr>
                <w:rFonts w:hint="default"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提供医疗</w:t>
            </w:r>
            <w:r>
              <w:rPr>
                <w:rFonts w:hint="default" w:ascii="Times New Roman" w:hAnsi="Times New Roman" w:eastAsia="宋体" w:cs="Times New Roman"/>
                <w:color w:val="auto"/>
                <w:kern w:val="0"/>
                <w:sz w:val="24"/>
                <w:szCs w:val="24"/>
                <w:highlight w:val="none"/>
                <w:u w:val="none" w:color="auto"/>
                <w:lang w:val="en-US" w:eastAsia="zh-CN" w:bidi="ar-SA"/>
              </w:rPr>
              <w:t>卫生服务为主，废气污染源及噪声源</w:t>
            </w:r>
            <w:r>
              <w:rPr>
                <w:rFonts w:hint="eastAsia" w:ascii="Times New Roman" w:hAnsi="Times New Roman" w:eastAsia="宋体" w:cs="Times New Roman"/>
                <w:color w:val="auto"/>
                <w:kern w:val="0"/>
                <w:sz w:val="24"/>
                <w:szCs w:val="24"/>
                <w:highlight w:val="none"/>
                <w:u w:val="none" w:color="auto"/>
                <w:lang w:val="en-US" w:eastAsia="zh-CN" w:bidi="ar-SA"/>
              </w:rPr>
              <w:t>均较小</w:t>
            </w:r>
            <w:r>
              <w:rPr>
                <w:rFonts w:hint="default" w:ascii="Times New Roman" w:hAnsi="Times New Roman" w:eastAsia="宋体" w:cs="Times New Roman"/>
                <w:color w:val="auto"/>
                <w:kern w:val="0"/>
                <w:sz w:val="24"/>
                <w:szCs w:val="24"/>
                <w:highlight w:val="none"/>
                <w:u w:val="none" w:color="auto"/>
                <w:lang w:val="en-US" w:eastAsia="zh-CN" w:bidi="ar-SA"/>
              </w:rPr>
              <w:t>，</w:t>
            </w:r>
            <w:r>
              <w:rPr>
                <w:rFonts w:hint="eastAsia" w:ascii="Times New Roman" w:hAnsi="Times New Roman" w:eastAsia="宋体" w:cs="Times New Roman"/>
                <w:color w:val="auto"/>
                <w:kern w:val="0"/>
                <w:sz w:val="24"/>
                <w:szCs w:val="24"/>
                <w:highlight w:val="none"/>
                <w:u w:val="none" w:color="auto"/>
                <w:lang w:val="en-US" w:eastAsia="zh-CN" w:bidi="ar-SA"/>
              </w:rPr>
              <w:t>且采取相应防治措施，可达标排放，</w:t>
            </w:r>
            <w:r>
              <w:rPr>
                <w:rFonts w:hint="default" w:ascii="Times New Roman" w:hAnsi="Times New Roman" w:eastAsia="宋体" w:cs="Times New Roman"/>
                <w:color w:val="auto"/>
                <w:kern w:val="0"/>
                <w:sz w:val="24"/>
                <w:szCs w:val="24"/>
                <w:highlight w:val="none"/>
                <w:u w:val="none" w:color="auto"/>
                <w:lang w:val="en-US" w:eastAsia="zh-CN" w:bidi="ar-SA"/>
              </w:rPr>
              <w:t>对周围环境影响较小。</w:t>
            </w:r>
            <w:r>
              <w:rPr>
                <w:rFonts w:hint="eastAsia" w:ascii="Times New Roman" w:hAnsi="Times New Roman" w:eastAsia="宋体" w:cs="Times New Roman"/>
                <w:color w:val="auto"/>
                <w:kern w:val="0"/>
                <w:sz w:val="24"/>
                <w:szCs w:val="24"/>
                <w:highlight w:val="none"/>
                <w:u w:val="none" w:color="auto"/>
                <w:lang w:val="en-US" w:eastAsia="zh-CN" w:bidi="ar-SA"/>
              </w:rPr>
              <w:t>项目在运营过程中各污染物均能够实现达标排放，项目的建设和运营不会对周边环境产生明显的影响。</w:t>
            </w:r>
            <w:r>
              <w:rPr>
                <w:rFonts w:hint="default" w:ascii="Times New Roman" w:hAnsi="Times New Roman" w:eastAsia="宋体" w:cs="Times New Roman"/>
                <w:color w:val="auto"/>
                <w:kern w:val="0"/>
                <w:sz w:val="24"/>
                <w:szCs w:val="24"/>
                <w:highlight w:val="none"/>
                <w:u w:val="none" w:color="auto"/>
                <w:lang w:val="en-US" w:eastAsia="zh-CN" w:bidi="ar-SA"/>
              </w:rPr>
              <w:t>医院周边污染源主要为道路汽车行驶过程中产生的废气、噪声及人声，</w:t>
            </w:r>
            <w:r>
              <w:rPr>
                <w:rFonts w:hint="eastAsia" w:ascii="Times New Roman" w:hAnsi="Times New Roman" w:eastAsia="宋体" w:cs="Times New Roman"/>
                <w:color w:val="auto"/>
                <w:kern w:val="0"/>
                <w:sz w:val="24"/>
                <w:szCs w:val="24"/>
                <w:highlight w:val="none"/>
                <w:u w:val="none" w:color="auto"/>
                <w:lang w:val="en-US" w:eastAsia="zh-CN" w:bidi="ar-SA"/>
              </w:rPr>
              <w:t>院区</w:t>
            </w:r>
            <w:r>
              <w:rPr>
                <w:rFonts w:hint="eastAsia" w:cs="Times New Roman"/>
                <w:color w:val="auto"/>
                <w:kern w:val="0"/>
                <w:sz w:val="24"/>
                <w:szCs w:val="24"/>
                <w:highlight w:val="none"/>
                <w:u w:val="none" w:color="auto"/>
                <w:lang w:val="en-US" w:eastAsia="zh-CN" w:bidi="ar-SA"/>
              </w:rPr>
              <w:t>四周</w:t>
            </w:r>
            <w:r>
              <w:rPr>
                <w:rFonts w:hint="default" w:ascii="Times New Roman" w:hAnsi="Times New Roman" w:eastAsia="宋体" w:cs="Times New Roman"/>
                <w:color w:val="auto"/>
                <w:kern w:val="0"/>
                <w:sz w:val="24"/>
                <w:szCs w:val="24"/>
                <w:highlight w:val="none"/>
                <w:u w:val="none" w:color="auto"/>
                <w:lang w:val="en-US" w:eastAsia="zh-CN" w:bidi="ar-SA"/>
              </w:rPr>
              <w:t>车流量较小，故产生的废气及噪声源强很小，对本项目的影响很小</w:t>
            </w:r>
            <w:r>
              <w:rPr>
                <w:rFonts w:hint="eastAsia" w:ascii="Times New Roman" w:hAnsi="Times New Roman" w:eastAsia="宋体" w:cs="Times New Roman"/>
                <w:color w:val="auto"/>
                <w:kern w:val="0"/>
                <w:sz w:val="24"/>
                <w:szCs w:val="24"/>
                <w:highlight w:val="none"/>
                <w:u w:val="none" w:color="auto"/>
                <w:lang w:val="en-US" w:eastAsia="zh-CN" w:bidi="ar-SA"/>
              </w:rPr>
              <w:t>。</w:t>
            </w:r>
          </w:p>
          <w:p w14:paraId="35201DA1">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宋体"/>
                <w:color w:val="auto"/>
                <w:spacing w:val="0"/>
                <w:sz w:val="24"/>
                <w:szCs w:val="24"/>
                <w:highlight w:val="none"/>
                <w:u w:val="none" w:color="auto"/>
                <w:lang w:val="en-US" w:eastAsia="zh-CN"/>
              </w:rPr>
            </w:pPr>
            <w:r>
              <w:rPr>
                <w:rFonts w:hint="eastAsia" w:ascii="Times New Roman" w:hAnsi="Times New Roman" w:eastAsia="宋体" w:cs="Times New Roman"/>
                <w:color w:val="auto"/>
                <w:kern w:val="0"/>
                <w:sz w:val="24"/>
                <w:szCs w:val="24"/>
                <w:highlight w:val="none"/>
                <w:u w:val="none" w:color="auto"/>
                <w:lang w:val="en-US" w:eastAsia="zh-CN" w:bidi="ar-SA"/>
              </w:rPr>
              <w:t>因此，本项目所在区域环境具有相容性，无重大外环境制约因素，从环境保护的角度而言</w:t>
            </w:r>
            <w:r>
              <w:rPr>
                <w:rFonts w:hint="default" w:ascii="Times New Roman" w:hAnsi="Times New Roman" w:eastAsia="宋体" w:cs="Times New Roman"/>
                <w:color w:val="auto"/>
                <w:kern w:val="2"/>
                <w:sz w:val="24"/>
                <w:szCs w:val="24"/>
                <w:highlight w:val="none"/>
                <w:u w:val="none" w:color="auto"/>
                <w:lang w:val="en-US" w:eastAsia="zh-CN" w:bidi="ar-SA"/>
              </w:rPr>
              <w:t>。</w:t>
            </w:r>
          </w:p>
          <w:p w14:paraId="7D6C1B5C">
            <w:pPr>
              <w:pStyle w:val="34"/>
              <w:keepNext w:val="0"/>
              <w:keepLines w:val="0"/>
              <w:pageBreakBefore w:val="0"/>
              <w:kinsoku/>
              <w:wordWrap/>
              <w:overflowPunct/>
              <w:topLinePunct w:val="0"/>
              <w:bidi w:val="0"/>
              <w:spacing w:line="360" w:lineRule="auto"/>
              <w:ind w:left="0" w:right="0" w:firstLine="483"/>
              <w:textAlignment w:val="auto"/>
              <w:rPr>
                <w:rFonts w:ascii="Times New Roman" w:hAnsi="Times New Roman" w:eastAsia="宋体" w:cs="宋体"/>
                <w:color w:val="auto"/>
                <w:spacing w:val="0"/>
                <w:sz w:val="24"/>
                <w:szCs w:val="24"/>
                <w:u w:val="none" w:color="auto"/>
              </w:rPr>
            </w:pPr>
            <w:r>
              <w:rPr>
                <w:rFonts w:hint="eastAsia" w:ascii="Times New Roman" w:hAnsi="Times New Roman" w:eastAsia="宋体" w:cs="宋体"/>
                <w:color w:val="auto"/>
                <w:spacing w:val="0"/>
                <w:sz w:val="24"/>
                <w:szCs w:val="24"/>
                <w:u w:val="none" w:color="auto"/>
                <w:lang w:val="en-US" w:eastAsia="zh-CN"/>
              </w:rPr>
              <w:t xml:space="preserve">②外部建设条件的可行性 </w:t>
            </w:r>
          </w:p>
          <w:p w14:paraId="3B2D7A68">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宋体"/>
                <w:color w:val="auto"/>
                <w:spacing w:val="0"/>
                <w:sz w:val="24"/>
                <w:szCs w:val="24"/>
                <w:u w:val="none" w:color="auto"/>
                <w:lang w:val="en-US" w:eastAsia="zh-CN"/>
              </w:rPr>
              <w:t>根据现场勘查，项目区域水、电、通讯等基础配套设施齐全，</w:t>
            </w:r>
            <w:r>
              <w:rPr>
                <w:rFonts w:hint="eastAsia" w:ascii="Times New Roman" w:hAnsi="Times New Roman" w:eastAsia="宋体" w:cs="宋体"/>
                <w:color w:val="000000" w:themeColor="text1"/>
                <w:spacing w:val="0"/>
                <w:sz w:val="24"/>
                <w:szCs w:val="24"/>
                <w:u w:val="none" w:color="auto"/>
                <w:lang w:val="en-US" w:eastAsia="zh-CN"/>
                <w14:textFill>
                  <w14:solidFill>
                    <w14:schemeClr w14:val="tx1"/>
                  </w14:solidFill>
                </w14:textFill>
              </w:rPr>
              <w:t>本项目</w:t>
            </w:r>
            <w:r>
              <w:rPr>
                <w:rFonts w:hint="eastAsia" w:ascii="Times New Roman" w:hAnsi="Times New Roman" w:cs="宋体"/>
                <w:color w:val="000000" w:themeColor="text1"/>
                <w:spacing w:val="0"/>
                <w:sz w:val="24"/>
                <w:szCs w:val="24"/>
                <w:u w:val="none" w:color="auto"/>
                <w:lang w:val="en-US" w:eastAsia="zh-CN"/>
                <w14:textFill>
                  <w14:solidFill>
                    <w14:schemeClr w14:val="tx1"/>
                  </w14:solidFill>
                </w14:textFill>
              </w:rPr>
              <w:t>南</w:t>
            </w: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侧靠近先云路，交通运输便利，因此本项目的外部条件可供本项目建设。</w:t>
            </w:r>
          </w:p>
          <w:p w14:paraId="464A168D">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③对外环境的影响</w:t>
            </w:r>
          </w:p>
          <w:p w14:paraId="648B327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sz w:val="24"/>
                <w:szCs w:val="24"/>
                <w:lang w:val="en-US" w:eastAsia="zh-CN"/>
              </w:rPr>
            </w:pPr>
            <w:r>
              <w:rPr>
                <w:rFonts w:hint="eastAsia" w:ascii="Times New Roman" w:hAnsi="Times New Roman" w:eastAsia="宋体" w:cs="Times New Roman"/>
                <w:color w:val="000000" w:themeColor="text1"/>
                <w:kern w:val="0"/>
                <w:sz w:val="24"/>
                <w:szCs w:val="24"/>
                <w:highlight w:val="none"/>
                <w:u w:val="none" w:color="auto"/>
                <w:lang w:val="en-US" w:eastAsia="zh-CN" w:bidi="ar-SA"/>
                <w14:textFill>
                  <w14:solidFill>
                    <w14:schemeClr w14:val="tx1"/>
                  </w14:solidFill>
                </w14:textFill>
              </w:rPr>
              <w:t>本项目生产过程中产生的废水通过自建污水处理站进行处理，排入到污水处理厂中</w:t>
            </w:r>
            <w:r>
              <w:rPr>
                <w:rFonts w:hint="eastAsia"/>
                <w:color w:val="000000" w:themeColor="text1"/>
                <w:sz w:val="24"/>
                <w:szCs w:val="24"/>
                <w:lang w:val="en-US" w:eastAsia="zh-CN"/>
                <w14:textFill>
                  <w14:solidFill>
                    <w14:schemeClr w14:val="tx1"/>
                  </w14:solidFill>
                </w14:textFill>
              </w:rPr>
              <w:t>深度处理；</w:t>
            </w:r>
            <w:r>
              <w:rPr>
                <w:rFonts w:hint="eastAsia"/>
                <w:sz w:val="24"/>
                <w:szCs w:val="24"/>
                <w:lang w:val="en-US" w:eastAsia="zh-CN"/>
              </w:rPr>
              <w:t>产生的废气、噪声和固废通过设置相应的处理措施，可实现达标排放，对周围环境影响较小。且不会降低评价区域原有功能级别，对区域环境影响是可接受的。</w:t>
            </w:r>
          </w:p>
          <w:p w14:paraId="31C77881">
            <w:pPr>
              <w:pStyle w:val="34"/>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Times New Roman" w:hAnsi="Times New Roman" w:eastAsia="宋体" w:cs="Times New Roman"/>
                <w:spacing w:val="0"/>
                <w:w w:val="100"/>
                <w:position w:val="0"/>
                <w:sz w:val="24"/>
                <w:szCs w:val="24"/>
                <w:highlight w:val="none"/>
                <w:lang w:val="en-US" w:eastAsia="zh-CN"/>
              </w:rPr>
            </w:pPr>
          </w:p>
        </w:tc>
      </w:tr>
    </w:tbl>
    <w:p w14:paraId="6A9C9FF4">
      <w:pPr>
        <w:bidi w:val="0"/>
        <w:rPr>
          <w:rFonts w:hint="default"/>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29863D3">
      <w:pPr>
        <w:numPr>
          <w:ilvl w:val="0"/>
          <w:numId w:val="0"/>
        </w:numPr>
        <w:bidi w:val="0"/>
        <w:jc w:val="center"/>
        <w:outlineLvl w:val="0"/>
        <w:rPr>
          <w:rFonts w:ascii="Times New Roman" w:hAnsi="Times New Roman"/>
          <w:b/>
          <w:bCs/>
          <w:snapToGrid w:val="0"/>
          <w:sz w:val="30"/>
          <w:szCs w:val="30"/>
        </w:rPr>
      </w:pPr>
      <w:bookmarkStart w:id="11" w:name="_Toc2268"/>
      <w:bookmarkStart w:id="12" w:name="_Toc949"/>
      <w:r>
        <w:rPr>
          <w:rFonts w:hint="eastAsia" w:ascii="Times New Roman" w:hAnsi="Times New Roman" w:eastAsia="宋体" w:cs="Times New Roman"/>
          <w:b/>
          <w:bCs/>
          <w:snapToGrid w:val="0"/>
          <w:kern w:val="2"/>
          <w:sz w:val="30"/>
          <w:szCs w:val="30"/>
          <w:lang w:val="en-US" w:eastAsia="zh-CN" w:bidi="ar-SA"/>
        </w:rPr>
        <w:t>二、</w:t>
      </w:r>
      <w:r>
        <w:rPr>
          <w:rFonts w:ascii="Times New Roman" w:hAnsi="Times New Roman"/>
          <w:b/>
          <w:bCs/>
          <w:snapToGrid w:val="0"/>
          <w:sz w:val="30"/>
          <w:szCs w:val="30"/>
        </w:rPr>
        <w:t>建设项目工程分析</w:t>
      </w:r>
      <w:bookmarkEnd w:id="11"/>
      <w:bookmarkEnd w:id="12"/>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981"/>
      </w:tblGrid>
      <w:tr w14:paraId="0BD2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572274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z w:val="24"/>
                <w:szCs w:val="24"/>
              </w:rPr>
              <w:t>建设内容</w:t>
            </w:r>
          </w:p>
        </w:tc>
        <w:tc>
          <w:tcPr>
            <w:tcW w:w="7981" w:type="dxa"/>
            <w:vAlign w:val="center"/>
          </w:tcPr>
          <w:p w14:paraId="4641DAC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1、</w:t>
            </w:r>
            <w:r>
              <w:rPr>
                <w:rFonts w:hint="default" w:ascii="Times New Roman" w:hAnsi="Times New Roman" w:eastAsia="宋体" w:cs="Times New Roman"/>
                <w:b/>
                <w:bCs/>
                <w:color w:val="auto"/>
                <w:spacing w:val="0"/>
                <w:position w:val="0"/>
                <w:sz w:val="24"/>
                <w:szCs w:val="24"/>
                <w:lang w:val="en-US" w:eastAsia="zh-CN"/>
              </w:rPr>
              <w:t>项目由来</w:t>
            </w:r>
          </w:p>
          <w:p w14:paraId="1DCFCB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0000FF"/>
                <w:kern w:val="0"/>
                <w:sz w:val="24"/>
                <w:szCs w:val="24"/>
                <w:u w:val="none"/>
                <w:lang w:val="en-US" w:eastAsia="zh-CN"/>
              </w:rPr>
            </w:pPr>
            <w:r>
              <w:rPr>
                <w:rFonts w:hint="eastAsia"/>
                <w:sz w:val="24"/>
                <w:szCs w:val="24"/>
                <w:u w:val="none"/>
                <w:lang w:val="en-US" w:eastAsia="zh-CN"/>
              </w:rPr>
              <w:t>新田县三井镇卫生院</w:t>
            </w:r>
            <w:r>
              <w:rPr>
                <w:rFonts w:hint="eastAsia" w:ascii="Times New Roman" w:hAnsi="Times New Roman" w:eastAsia="宋体"/>
                <w:color w:val="auto"/>
                <w:kern w:val="0"/>
                <w:sz w:val="24"/>
                <w:szCs w:val="24"/>
                <w:u w:val="none"/>
                <w:lang w:eastAsia="zh-CN"/>
              </w:rPr>
              <w:t>位于</w:t>
            </w:r>
            <w:r>
              <w:rPr>
                <w:rFonts w:hint="eastAsia" w:cs="Arial"/>
                <w:i w:val="0"/>
                <w:iCs w:val="0"/>
                <w:caps w:val="0"/>
                <w:color w:val="auto"/>
                <w:spacing w:val="0"/>
                <w:sz w:val="24"/>
                <w:szCs w:val="24"/>
                <w:u w:val="none"/>
                <w:shd w:val="clear" w:fill="FFFFFF"/>
                <w:lang w:eastAsia="zh-CN"/>
              </w:rPr>
              <w:t>永州市新田县三井镇三井村</w:t>
            </w:r>
            <w:r>
              <w:rPr>
                <w:rFonts w:hint="eastAsia" w:ascii="Times New Roman" w:hAnsi="Times New Roman" w:eastAsia="宋体"/>
                <w:color w:val="auto"/>
                <w:kern w:val="0"/>
                <w:sz w:val="24"/>
                <w:szCs w:val="24"/>
                <w:u w:val="none"/>
                <w:lang w:eastAsia="zh-CN"/>
              </w:rPr>
              <w:t>，</w:t>
            </w:r>
            <w:r>
              <w:rPr>
                <w:rFonts w:hint="eastAsia" w:ascii="Times New Roman" w:hAnsi="Times New Roman" w:eastAsia="宋体"/>
                <w:color w:val="auto"/>
                <w:kern w:val="0"/>
                <w:sz w:val="24"/>
                <w:szCs w:val="24"/>
                <w:u w:val="none"/>
                <w:lang w:val="en-US" w:eastAsia="zh-CN"/>
              </w:rPr>
              <w:t>是一所政府主办的非营利性医疗机构，能够诊治社区老百姓的各科常见病、多发病，集公共卫生、基本医疗保健为一体；</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等，不设置手术室</w:t>
            </w:r>
            <w:r>
              <w:rPr>
                <w:rFonts w:hint="eastAsia"/>
                <w:color w:val="auto"/>
                <w:kern w:val="0"/>
                <w:sz w:val="24"/>
                <w:szCs w:val="24"/>
                <w:u w:val="none"/>
                <w:lang w:val="en-US" w:eastAsia="zh-CN"/>
              </w:rPr>
              <w:t>、传染科。根据现场勘察，该卫生服务中心共</w:t>
            </w:r>
            <w:r>
              <w:rPr>
                <w:rFonts w:hint="eastAsia" w:ascii="Times New Roman" w:hAnsi="Times New Roman"/>
                <w:color w:val="auto"/>
                <w:kern w:val="0"/>
                <w:sz w:val="24"/>
                <w:u w:val="none"/>
                <w:lang w:val="en-US" w:eastAsia="zh-CN"/>
              </w:rPr>
              <w:t>设置床位</w:t>
            </w:r>
            <w:r>
              <w:rPr>
                <w:rFonts w:hint="eastAsia"/>
                <w:color w:val="auto"/>
                <w:kern w:val="0"/>
                <w:sz w:val="24"/>
                <w:u w:val="none"/>
                <w:lang w:val="en-US" w:eastAsia="zh-CN"/>
              </w:rPr>
              <w:t>30</w:t>
            </w:r>
            <w:r>
              <w:rPr>
                <w:rFonts w:hint="eastAsia" w:ascii="Times New Roman" w:hAnsi="Times New Roman"/>
                <w:color w:val="auto"/>
                <w:kern w:val="0"/>
                <w:sz w:val="24"/>
                <w:u w:val="none"/>
                <w:lang w:val="en-US" w:eastAsia="zh-CN"/>
              </w:rPr>
              <w:t>张</w:t>
            </w:r>
            <w:r>
              <w:rPr>
                <w:rFonts w:hint="eastAsia" w:ascii="Times New Roman" w:hAnsi="Times New Roman"/>
                <w:color w:val="auto"/>
                <w:kern w:val="0"/>
                <w:sz w:val="24"/>
                <w:szCs w:val="24"/>
                <w:u w:val="none"/>
                <w:lang w:val="en-US" w:eastAsia="zh-CN"/>
              </w:rPr>
              <w:t>，现有职工</w:t>
            </w:r>
            <w:r>
              <w:rPr>
                <w:rFonts w:hint="eastAsia"/>
                <w:color w:val="auto"/>
                <w:kern w:val="0"/>
                <w:sz w:val="24"/>
                <w:szCs w:val="24"/>
                <w:u w:val="none"/>
                <w:lang w:val="en-US" w:eastAsia="zh-CN"/>
              </w:rPr>
              <w:t>48</w:t>
            </w:r>
            <w:r>
              <w:rPr>
                <w:rFonts w:hint="eastAsia" w:ascii="Times New Roman" w:hAnsi="Times New Roman"/>
                <w:color w:val="auto"/>
                <w:kern w:val="0"/>
                <w:sz w:val="24"/>
                <w:szCs w:val="24"/>
                <w:u w:val="none"/>
                <w:lang w:val="en-US" w:eastAsia="zh-CN"/>
              </w:rPr>
              <w:t>人</w:t>
            </w:r>
            <w:r>
              <w:rPr>
                <w:rFonts w:hint="eastAsia"/>
                <w:color w:val="auto"/>
                <w:kern w:val="0"/>
                <w:sz w:val="24"/>
                <w:szCs w:val="24"/>
                <w:u w:val="none"/>
                <w:lang w:val="en-US" w:eastAsia="zh-CN"/>
              </w:rPr>
              <w:t>。</w:t>
            </w:r>
          </w:p>
          <w:p w14:paraId="2A918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eastAsia" w:cs="Times New Roman"/>
                <w:sz w:val="24"/>
                <w:szCs w:val="24"/>
                <w:u w:val="none"/>
                <w:lang w:val="en-US" w:eastAsia="zh-CN"/>
              </w:rPr>
              <w:t>项目于2022年床位增设至20张以上，</w:t>
            </w:r>
            <w:r>
              <w:rPr>
                <w:rFonts w:hint="default" w:ascii="Times New Roman" w:hAnsi="Times New Roman" w:cs="Times New Roman"/>
                <w:sz w:val="24"/>
                <w:szCs w:val="24"/>
                <w:u w:val="none"/>
                <w:lang w:val="en-US" w:eastAsia="zh-CN"/>
              </w:rPr>
              <w:t>该项目已经投入运营两年以上。根据《关于加强</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建设项目环境影响评价管理工作的通知》（环境保护部办公厅文件环办环评〔2018〕18号）内容：</w:t>
            </w:r>
            <w:r>
              <w:rPr>
                <w:rFonts w:hint="eastAsia" w:ascii="宋体" w:hAnsi="宋体" w:eastAsia="宋体" w:cs="宋体"/>
                <w:sz w:val="24"/>
                <w:szCs w:val="24"/>
                <w:u w:val="none"/>
                <w:lang w:val="en-US" w:eastAsia="zh-CN"/>
              </w:rPr>
              <w:t>“未批先建”</w:t>
            </w:r>
            <w:r>
              <w:rPr>
                <w:rFonts w:hint="default" w:ascii="Times New Roman" w:hAnsi="Times New Roman" w:cs="Times New Roman"/>
                <w:sz w:val="24"/>
                <w:szCs w:val="24"/>
                <w:u w:val="none"/>
                <w:lang w:val="en-US" w:eastAsia="zh-CN"/>
              </w:rPr>
              <w:t>违法行为自建设行为终了之日起二年内未被发现的，依法不予行政处罚</w:t>
            </w:r>
            <w:r>
              <w:rPr>
                <w:rFonts w:hint="eastAsia" w:cs="Times New Roman"/>
                <w:sz w:val="24"/>
                <w:szCs w:val="24"/>
                <w:u w:val="none"/>
                <w:lang w:val="en-US" w:eastAsia="zh-CN"/>
              </w:rPr>
              <w:t>。</w:t>
            </w:r>
            <w:r>
              <w:rPr>
                <w:rFonts w:hint="default" w:ascii="Times New Roman" w:hAnsi="Times New Roman" w:cs="Times New Roman"/>
                <w:sz w:val="24"/>
                <w:szCs w:val="24"/>
                <w:u w:val="none"/>
                <w:lang w:val="en-US" w:eastAsia="zh-CN"/>
              </w:rPr>
              <w:t>通过对院区环保措施整改和强化区域环境风险管控措施后，为更好</w:t>
            </w:r>
            <w:r>
              <w:rPr>
                <w:rFonts w:hint="eastAsia" w:cs="Times New Roman"/>
                <w:sz w:val="24"/>
                <w:szCs w:val="24"/>
                <w:u w:val="none"/>
                <w:lang w:val="en-US" w:eastAsia="zh-CN"/>
              </w:rPr>
              <w:t>地</w:t>
            </w:r>
            <w:r>
              <w:rPr>
                <w:rFonts w:hint="default" w:ascii="Times New Roman" w:hAnsi="Times New Roman" w:cs="Times New Roman"/>
                <w:sz w:val="24"/>
                <w:szCs w:val="24"/>
                <w:u w:val="none"/>
                <w:lang w:val="en-US" w:eastAsia="zh-CN"/>
              </w:rPr>
              <w:t>规范</w:t>
            </w:r>
            <w:r>
              <w:rPr>
                <w:rFonts w:hint="eastAsia" w:ascii="Times New Roman" w:hAnsi="Times New Roman" w:cs="Times New Roman"/>
                <w:sz w:val="24"/>
                <w:szCs w:val="24"/>
                <w:u w:val="none"/>
                <w:lang w:val="en-US" w:eastAsia="zh-CN"/>
              </w:rPr>
              <w:t>医</w:t>
            </w:r>
            <w:r>
              <w:rPr>
                <w:rFonts w:hint="default" w:ascii="Times New Roman" w:hAnsi="Times New Roman" w:cs="Times New Roman"/>
                <w:sz w:val="24"/>
                <w:szCs w:val="24"/>
                <w:u w:val="none"/>
                <w:lang w:val="en-US" w:eastAsia="zh-CN"/>
              </w:rPr>
              <w:t>院内部的管理，</w:t>
            </w:r>
            <w:r>
              <w:rPr>
                <w:rFonts w:hint="eastAsia"/>
                <w:sz w:val="24"/>
                <w:szCs w:val="24"/>
                <w:u w:val="none"/>
                <w:lang w:val="en-US" w:eastAsia="zh-CN"/>
              </w:rPr>
              <w:t>新田县三井镇卫生院</w:t>
            </w:r>
            <w:r>
              <w:rPr>
                <w:rFonts w:hint="default" w:ascii="Times New Roman" w:hAnsi="Times New Roman" w:cs="Times New Roman"/>
                <w:sz w:val="24"/>
                <w:szCs w:val="24"/>
                <w:u w:val="none"/>
                <w:lang w:val="en-US" w:eastAsia="zh-CN"/>
              </w:rPr>
              <w:t>主动补办</w:t>
            </w:r>
            <w:r>
              <w:rPr>
                <w:rFonts w:hint="eastAsia" w:cs="Times New Roman"/>
                <w:sz w:val="24"/>
                <w:szCs w:val="24"/>
                <w:u w:val="none"/>
                <w:lang w:val="en-US" w:eastAsia="zh-CN"/>
              </w:rPr>
              <w:t>环境影响评价</w:t>
            </w:r>
            <w:r>
              <w:rPr>
                <w:rFonts w:hint="default" w:ascii="Times New Roman" w:hAnsi="Times New Roman" w:cs="Times New Roman"/>
                <w:sz w:val="24"/>
                <w:szCs w:val="24"/>
                <w:u w:val="none"/>
                <w:lang w:val="en-US" w:eastAsia="zh-CN"/>
              </w:rPr>
              <w:t>有关手续</w:t>
            </w:r>
            <w:r>
              <w:rPr>
                <w:rFonts w:hint="default" w:ascii="Times New Roman" w:hAnsi="Times New Roman" w:eastAsia="Calibri" w:cs="Times New Roman"/>
                <w:b w:val="0"/>
                <w:bCs/>
                <w:color w:val="auto"/>
                <w:sz w:val="24"/>
                <w:szCs w:val="24"/>
                <w:u w:val="none"/>
                <w:lang w:val="en-US" w:eastAsia="zh-CN"/>
              </w:rPr>
              <w:t>。</w:t>
            </w:r>
          </w:p>
          <w:p w14:paraId="2F0F2A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none"/>
                <w:lang w:val="en-US" w:eastAsia="zh-CN"/>
              </w:rPr>
            </w:pPr>
            <w:r>
              <w:rPr>
                <w:rFonts w:hint="default" w:ascii="Times New Roman" w:hAnsi="Times New Roman" w:eastAsia="Calibri" w:cs="Times New Roman"/>
                <w:b w:val="0"/>
                <w:bCs/>
                <w:color w:val="auto"/>
                <w:sz w:val="24"/>
                <w:szCs w:val="24"/>
                <w:u w:val="none"/>
                <w:lang w:val="en-US" w:eastAsia="zh-CN"/>
              </w:rPr>
              <w:t>根据《中华人民共和国环境影响评价法》、国务院《建设项目环境保护管理条例》规定，</w:t>
            </w:r>
            <w:r>
              <w:rPr>
                <w:rFonts w:hint="eastAsia"/>
                <w:sz w:val="24"/>
                <w:szCs w:val="24"/>
                <w:u w:val="none"/>
                <w:lang w:val="en-US" w:eastAsia="zh-CN"/>
              </w:rPr>
              <w:t>新田县三井镇卫生院</w:t>
            </w:r>
            <w:r>
              <w:rPr>
                <w:rFonts w:hint="default" w:ascii="Times New Roman" w:hAnsi="Times New Roman" w:eastAsia="Calibri" w:cs="Times New Roman"/>
                <w:b w:val="0"/>
                <w:bCs/>
                <w:color w:val="auto"/>
                <w:sz w:val="24"/>
                <w:szCs w:val="24"/>
                <w:u w:val="none"/>
                <w:lang w:val="en-US" w:eastAsia="zh-CN"/>
              </w:rPr>
              <w:t>委托</w:t>
            </w:r>
            <w:r>
              <w:rPr>
                <w:rFonts w:hint="eastAsia" w:ascii="Times New Roman" w:hAnsi="Times New Roman" w:eastAsia="Calibri" w:cs="Times New Roman"/>
                <w:b w:val="0"/>
                <w:bCs/>
                <w:color w:val="auto"/>
                <w:sz w:val="24"/>
                <w:szCs w:val="24"/>
                <w:u w:val="none"/>
                <w:lang w:val="en-US" w:eastAsia="zh-CN"/>
              </w:rPr>
              <w:t>湖南</w:t>
            </w:r>
            <w:r>
              <w:rPr>
                <w:rFonts w:hint="eastAsia" w:eastAsia="Calibri" w:cs="Times New Roman"/>
                <w:b w:val="0"/>
                <w:bCs/>
                <w:color w:val="auto"/>
                <w:sz w:val="24"/>
                <w:szCs w:val="24"/>
                <w:u w:val="none"/>
                <w:lang w:val="en-US" w:eastAsia="zh-CN"/>
              </w:rPr>
              <w:t>博然</w:t>
            </w:r>
            <w:r>
              <w:rPr>
                <w:rFonts w:hint="eastAsia" w:ascii="Times New Roman" w:hAnsi="Times New Roman" w:eastAsia="Calibri" w:cs="Times New Roman"/>
                <w:b w:val="0"/>
                <w:bCs/>
                <w:color w:val="auto"/>
                <w:sz w:val="24"/>
                <w:szCs w:val="24"/>
                <w:u w:val="none"/>
                <w:lang w:val="en-US" w:eastAsia="zh-CN"/>
              </w:rPr>
              <w:t>环保科技有限公司</w:t>
            </w:r>
            <w:r>
              <w:rPr>
                <w:rFonts w:hint="default" w:ascii="Times New Roman" w:hAnsi="Times New Roman" w:eastAsia="Calibri" w:cs="Times New Roman"/>
                <w:b w:val="0"/>
                <w:bCs/>
                <w:color w:val="auto"/>
                <w:sz w:val="24"/>
                <w:szCs w:val="24"/>
                <w:u w:val="none"/>
                <w:lang w:val="en-US" w:eastAsia="zh-CN"/>
              </w:rPr>
              <w:t>承担该项目的环境影响评价工作。根据《建设项目环境影响评价分类管理名录》</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2021年版</w:t>
            </w:r>
            <w:r>
              <w:rPr>
                <w:rFonts w:hint="default" w:ascii="Times New Roman" w:hAnsi="Times New Roman" w:cs="Times New Roman"/>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，本项目属于</w:t>
            </w:r>
            <w:r>
              <w:rPr>
                <w:rFonts w:hint="eastAsia" w:ascii="宋体" w:hAnsi="宋体" w:eastAsia="宋体" w:cs="宋体"/>
                <w:b w:val="0"/>
                <w:bCs/>
                <w:color w:val="auto"/>
                <w:sz w:val="24"/>
                <w:szCs w:val="24"/>
                <w:u w:val="none"/>
                <w:lang w:val="en-US" w:eastAsia="zh-CN"/>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四十九、卫生84：108.基层医疗卫生服务842-其他（住院床位20张以下的除外）</w:t>
            </w:r>
            <w:r>
              <w:rPr>
                <w:rFonts w:hint="eastAsia" w:ascii="宋体" w:hAnsi="宋体" w:eastAsia="宋体" w:cs="宋体"/>
                <w:b w:val="0"/>
                <w:bCs/>
                <w:color w:val="auto"/>
                <w:sz w:val="24"/>
                <w:szCs w:val="24"/>
                <w:u w:val="none"/>
                <w:lang w:val="en-US" w:eastAsia="zh-CN"/>
              </w:rPr>
              <w:t>”</w:t>
            </w:r>
            <w:r>
              <w:rPr>
                <w:rFonts w:hint="default" w:ascii="Times New Roman" w:hAnsi="Times New Roman" w:eastAsia="Calibri" w:cs="Times New Roman"/>
                <w:b w:val="0"/>
                <w:bCs/>
                <w:color w:val="auto"/>
                <w:sz w:val="24"/>
                <w:szCs w:val="24"/>
                <w:u w:val="none"/>
                <w:lang w:val="en-US" w:eastAsia="zh-CN"/>
              </w:rPr>
              <w:t>，应编制环境影响报告表。我单位接受委托后，组织有关技术人员到项目所在地进行了现场踏勘和收集资料，并结合本项目环境特点和工程特征，依据有关规范、标准要求，编制完成了《</w:t>
            </w:r>
            <w:r>
              <w:rPr>
                <w:rFonts w:hint="eastAsia"/>
                <w:sz w:val="24"/>
                <w:szCs w:val="24"/>
                <w:u w:val="none"/>
                <w:lang w:val="en-US" w:eastAsia="zh-CN"/>
              </w:rPr>
              <w:t>新田县三井镇卫生院建设项目</w:t>
            </w:r>
            <w:r>
              <w:rPr>
                <w:rFonts w:hint="default" w:ascii="Times New Roman" w:hAnsi="Times New Roman" w:eastAsia="Calibri" w:cs="Times New Roman"/>
                <w:b w:val="0"/>
                <w:bCs/>
                <w:color w:val="auto"/>
                <w:sz w:val="24"/>
                <w:szCs w:val="24"/>
                <w:u w:val="none"/>
                <w:lang w:val="en-US" w:eastAsia="zh-CN"/>
              </w:rPr>
              <w:t>环境影响报告表》并交建设单位呈环保部门审查。</w:t>
            </w:r>
          </w:p>
          <w:p w14:paraId="7CCE9C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Calibri" w:cs="Times New Roman"/>
                <w:b w:val="0"/>
                <w:bCs/>
                <w:color w:val="auto"/>
                <w:sz w:val="24"/>
                <w:szCs w:val="24"/>
                <w:u w:val="single"/>
                <w:lang w:val="en-US" w:eastAsia="zh-CN"/>
              </w:rPr>
            </w:pPr>
            <w:r>
              <w:rPr>
                <w:rFonts w:hint="default" w:ascii="Times New Roman" w:hAnsi="Times New Roman" w:eastAsia="Calibri" w:cs="Times New Roman"/>
                <w:b w:val="0"/>
                <w:bCs/>
                <w:color w:val="auto"/>
                <w:sz w:val="24"/>
                <w:szCs w:val="24"/>
                <w:u w:val="none"/>
                <w:lang w:val="en-US" w:eastAsia="zh-CN"/>
              </w:rPr>
              <w:t>本次环评范围不含放射性评价。</w:t>
            </w:r>
          </w:p>
          <w:p w14:paraId="6928107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0" w:firstLineChars="0"/>
              <w:textAlignment w:val="auto"/>
              <w:rPr>
                <w:rFonts w:hint="default" w:ascii="Times New Roman" w:hAnsi="Times New Roman" w:eastAsia="宋体" w:cs="Times New Roman"/>
                <w:b/>
                <w:bCs/>
                <w:color w:val="auto"/>
                <w:spacing w:val="0"/>
                <w:position w:val="0"/>
                <w:sz w:val="24"/>
                <w:szCs w:val="24"/>
                <w:highlight w:val="none"/>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2、</w:t>
            </w:r>
            <w:r>
              <w:rPr>
                <w:rFonts w:hint="eastAsia" w:cs="Times New Roman"/>
                <w:b/>
                <w:bCs/>
                <w:color w:val="auto"/>
                <w:spacing w:val="0"/>
                <w:position w:val="0"/>
                <w:sz w:val="24"/>
                <w:szCs w:val="24"/>
                <w:highlight w:val="none"/>
                <w:lang w:val="en-US" w:eastAsia="zh-CN"/>
              </w:rPr>
              <w:t>项目概况</w:t>
            </w:r>
          </w:p>
          <w:p w14:paraId="2A351B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1</w:t>
            </w:r>
            <w:r>
              <w:rPr>
                <w:rFonts w:hint="eastAsia"/>
                <w:color w:val="auto"/>
                <w:sz w:val="24"/>
                <w:szCs w:val="24"/>
                <w:u w:val="none" w:color="auto"/>
                <w:lang w:eastAsia="zh-CN"/>
              </w:rPr>
              <w:t>）</w:t>
            </w:r>
            <w:r>
              <w:rPr>
                <w:rFonts w:hint="default"/>
                <w:color w:val="auto"/>
                <w:sz w:val="24"/>
                <w:szCs w:val="24"/>
                <w:u w:val="none" w:color="auto"/>
              </w:rPr>
              <w:t>项目名称：</w:t>
            </w:r>
            <w:r>
              <w:rPr>
                <w:rFonts w:hint="eastAsia"/>
                <w:sz w:val="24"/>
                <w:szCs w:val="24"/>
                <w:u w:val="none"/>
                <w:lang w:val="en-US" w:eastAsia="zh-CN"/>
              </w:rPr>
              <w:t>新田县三井镇卫生院建设项目</w:t>
            </w:r>
          </w:p>
          <w:p w14:paraId="4DAA79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lang w:val="en-US" w:eastAsia="zh-CN"/>
              </w:rPr>
            </w:pPr>
            <w:r>
              <w:rPr>
                <w:rFonts w:hint="eastAsia"/>
                <w:color w:val="auto"/>
                <w:sz w:val="24"/>
                <w:szCs w:val="24"/>
                <w:u w:val="none" w:color="auto"/>
                <w:lang w:eastAsia="zh-CN"/>
              </w:rPr>
              <w:t>（</w:t>
            </w:r>
            <w:r>
              <w:rPr>
                <w:rFonts w:hint="eastAsia"/>
                <w:color w:val="auto"/>
                <w:sz w:val="24"/>
                <w:szCs w:val="24"/>
                <w:u w:val="none" w:color="auto"/>
                <w:lang w:val="en-US" w:eastAsia="zh-CN"/>
              </w:rPr>
              <w:t>2</w:t>
            </w:r>
            <w:r>
              <w:rPr>
                <w:rFonts w:hint="eastAsia"/>
                <w:color w:val="auto"/>
                <w:sz w:val="24"/>
                <w:szCs w:val="24"/>
                <w:u w:val="none" w:color="auto"/>
                <w:lang w:eastAsia="zh-CN"/>
              </w:rPr>
              <w:t>）</w:t>
            </w:r>
            <w:r>
              <w:rPr>
                <w:rFonts w:hint="default"/>
                <w:color w:val="auto"/>
                <w:sz w:val="24"/>
                <w:szCs w:val="24"/>
                <w:u w:val="none" w:color="auto"/>
              </w:rPr>
              <w:t>建设地点：</w:t>
            </w:r>
            <w:r>
              <w:rPr>
                <w:rFonts w:hint="eastAsia" w:cs="Arial"/>
                <w:i w:val="0"/>
                <w:iCs w:val="0"/>
                <w:caps w:val="0"/>
                <w:color w:val="auto"/>
                <w:spacing w:val="0"/>
                <w:sz w:val="24"/>
                <w:szCs w:val="24"/>
                <w:u w:val="none"/>
                <w:shd w:val="clear" w:fill="FFFFFF"/>
                <w:lang w:eastAsia="zh-CN"/>
              </w:rPr>
              <w:t>永州市新田县三井镇三井村</w:t>
            </w:r>
            <w:r>
              <w:rPr>
                <w:rFonts w:hint="eastAsia"/>
                <w:color w:val="auto"/>
                <w:sz w:val="24"/>
                <w:szCs w:val="24"/>
                <w:u w:val="none" w:color="auto"/>
                <w:lang w:eastAsia="zh-CN"/>
              </w:rPr>
              <w:t>，场地中心地理坐标为：</w:t>
            </w:r>
            <w:r>
              <w:rPr>
                <w:rFonts w:hint="default"/>
                <w:color w:val="000000" w:themeColor="text1"/>
                <w:sz w:val="24"/>
                <w:szCs w:val="24"/>
                <w:u w:val="none" w:color="auto"/>
                <w14:textFill>
                  <w14:solidFill>
                    <w14:schemeClr w14:val="tx1"/>
                  </w14:solidFill>
                </w14:textFill>
              </w:rPr>
              <w:t>东</w:t>
            </w:r>
            <w:r>
              <w:rPr>
                <w:rFonts w:hint="default" w:ascii="Times New Roman" w:hAnsi="Times New Roman" w:eastAsia="宋体" w:cs="Times New Roman"/>
                <w:color w:val="auto"/>
                <w:kern w:val="2"/>
                <w:sz w:val="24"/>
                <w:szCs w:val="24"/>
                <w:u w:val="none" w:color="auto"/>
                <w:lang w:val="en-US" w:eastAsia="zh-CN" w:bidi="ar-SA"/>
              </w:rPr>
              <w:t>经</w:t>
            </w:r>
            <w:r>
              <w:rPr>
                <w:rFonts w:hint="eastAsia" w:cs="Times New Roman"/>
                <w:color w:val="auto"/>
                <w:kern w:val="2"/>
                <w:sz w:val="24"/>
                <w:szCs w:val="24"/>
                <w:u w:val="none" w:color="auto"/>
                <w:lang w:val="en-US" w:eastAsia="zh-CN" w:bidi="ar-SA"/>
              </w:rPr>
              <w:t>112度13分15.152秒</w:t>
            </w:r>
            <w:r>
              <w:rPr>
                <w:rFonts w:hint="default" w:ascii="Times New Roman" w:hAnsi="Times New Roman" w:eastAsia="宋体" w:cs="Times New Roman"/>
                <w:color w:val="auto"/>
                <w:kern w:val="2"/>
                <w:sz w:val="24"/>
                <w:szCs w:val="24"/>
                <w:u w:val="none" w:color="auto"/>
                <w:lang w:val="en-US" w:eastAsia="zh-CN" w:bidi="ar-SA"/>
              </w:rPr>
              <w:t>，北纬</w:t>
            </w:r>
            <w:r>
              <w:rPr>
                <w:rFonts w:hint="eastAsia" w:cs="Times New Roman"/>
                <w:color w:val="auto"/>
                <w:kern w:val="2"/>
                <w:sz w:val="24"/>
                <w:szCs w:val="24"/>
                <w:u w:val="none" w:color="auto"/>
                <w:lang w:val="en-US" w:eastAsia="zh-CN" w:bidi="ar-SA"/>
              </w:rPr>
              <w:t>25度46分30.070秒</w:t>
            </w:r>
            <w:r>
              <w:rPr>
                <w:rFonts w:hint="eastAsia"/>
                <w:color w:val="000000" w:themeColor="text1"/>
                <w:sz w:val="24"/>
                <w:szCs w:val="24"/>
                <w:u w:val="none" w:color="auto"/>
                <w:lang w:eastAsia="zh-CN"/>
                <w14:textFill>
                  <w14:solidFill>
                    <w14:schemeClr w14:val="tx1"/>
                  </w14:solidFill>
                </w14:textFill>
              </w:rPr>
              <w:t>。</w:t>
            </w:r>
          </w:p>
          <w:p w14:paraId="2B9DF6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3</w:t>
            </w:r>
            <w:r>
              <w:rPr>
                <w:rFonts w:hint="eastAsia"/>
                <w:color w:val="auto"/>
                <w:sz w:val="24"/>
                <w:szCs w:val="24"/>
                <w:u w:val="none" w:color="auto"/>
                <w:lang w:eastAsia="zh-CN"/>
              </w:rPr>
              <w:t>）</w:t>
            </w:r>
            <w:r>
              <w:rPr>
                <w:rFonts w:hint="default"/>
                <w:color w:val="auto"/>
                <w:sz w:val="24"/>
                <w:szCs w:val="24"/>
                <w:u w:val="none" w:color="auto"/>
              </w:rPr>
              <w:t>建设性质：</w:t>
            </w:r>
            <w:r>
              <w:rPr>
                <w:rFonts w:hint="eastAsia"/>
                <w:color w:val="auto"/>
                <w:sz w:val="24"/>
                <w:szCs w:val="24"/>
                <w:u w:val="none" w:color="auto"/>
                <w:lang w:eastAsia="zh-CN"/>
              </w:rPr>
              <w:t>新建（</w:t>
            </w:r>
            <w:r>
              <w:rPr>
                <w:rFonts w:hint="eastAsia" w:cs="Times New Roman"/>
                <w:color w:val="auto"/>
                <w:sz w:val="24"/>
                <w:szCs w:val="24"/>
                <w:highlight w:val="none"/>
                <w:lang w:eastAsia="zh-CN"/>
              </w:rPr>
              <w:t>完善手续</w:t>
            </w:r>
            <w:r>
              <w:rPr>
                <w:rFonts w:hint="eastAsia"/>
                <w:color w:val="auto"/>
                <w:sz w:val="24"/>
                <w:szCs w:val="24"/>
                <w:u w:val="none" w:color="auto"/>
                <w:lang w:eastAsia="zh-CN"/>
              </w:rPr>
              <w:t>）</w:t>
            </w:r>
            <w:r>
              <w:rPr>
                <w:rFonts w:hint="default"/>
                <w:color w:val="auto"/>
                <w:sz w:val="24"/>
                <w:szCs w:val="24"/>
                <w:u w:val="none" w:color="auto"/>
                <w:lang w:eastAsia="zh-CN"/>
              </w:rPr>
              <w:t>。</w:t>
            </w:r>
          </w:p>
          <w:p w14:paraId="2AA32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u w:val="none" w:color="auto"/>
              </w:rPr>
            </w:pPr>
            <w:r>
              <w:rPr>
                <w:rFonts w:hint="eastAsia"/>
                <w:color w:val="auto"/>
                <w:sz w:val="24"/>
                <w:szCs w:val="24"/>
                <w:u w:val="none" w:color="auto"/>
                <w:lang w:eastAsia="zh-CN"/>
              </w:rPr>
              <w:t>（</w:t>
            </w:r>
            <w:r>
              <w:rPr>
                <w:rFonts w:hint="eastAsia"/>
                <w:color w:val="auto"/>
                <w:sz w:val="24"/>
                <w:szCs w:val="24"/>
                <w:u w:val="none" w:color="auto"/>
                <w:lang w:val="en-US" w:eastAsia="zh-CN"/>
              </w:rPr>
              <w:t>4</w:t>
            </w:r>
            <w:r>
              <w:rPr>
                <w:rFonts w:hint="eastAsia"/>
                <w:color w:val="auto"/>
                <w:sz w:val="24"/>
                <w:szCs w:val="24"/>
                <w:u w:val="none" w:color="auto"/>
                <w:lang w:eastAsia="zh-CN"/>
              </w:rPr>
              <w:t>）</w:t>
            </w:r>
            <w:r>
              <w:rPr>
                <w:rFonts w:hint="default"/>
                <w:color w:val="auto"/>
                <w:sz w:val="24"/>
                <w:szCs w:val="24"/>
                <w:u w:val="none" w:color="auto"/>
              </w:rPr>
              <w:t>建设单位：</w:t>
            </w:r>
            <w:r>
              <w:rPr>
                <w:rFonts w:hint="eastAsia"/>
                <w:sz w:val="24"/>
                <w:szCs w:val="24"/>
                <w:u w:val="none"/>
                <w:lang w:val="en-US" w:eastAsia="zh-CN"/>
              </w:rPr>
              <w:t>新田县三井镇卫生院</w:t>
            </w:r>
            <w:r>
              <w:rPr>
                <w:rFonts w:hint="default"/>
                <w:color w:val="auto"/>
                <w:sz w:val="24"/>
                <w:szCs w:val="24"/>
                <w:u w:val="none" w:color="auto"/>
                <w:lang w:eastAsia="zh-CN"/>
              </w:rPr>
              <w:t>。</w:t>
            </w:r>
          </w:p>
          <w:p w14:paraId="12D228C9">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rPr>
            </w:pPr>
            <w:r>
              <w:rPr>
                <w:rFonts w:hint="eastAsia" w:cs="Times New Roman"/>
                <w:color w:val="auto"/>
                <w:sz w:val="24"/>
                <w:lang w:eastAsia="zh-CN"/>
              </w:rPr>
              <w:t>（</w:t>
            </w:r>
            <w:r>
              <w:rPr>
                <w:rFonts w:hint="eastAsia" w:cs="Times New Roman"/>
                <w:color w:val="auto"/>
                <w:sz w:val="24"/>
                <w:lang w:val="en-US" w:eastAsia="zh-CN"/>
              </w:rPr>
              <w:t>5</w:t>
            </w:r>
            <w:r>
              <w:rPr>
                <w:rFonts w:hint="eastAsia" w:cs="Times New Roman"/>
                <w:color w:val="auto"/>
                <w:sz w:val="24"/>
                <w:lang w:eastAsia="zh-CN"/>
              </w:rPr>
              <w:t>）总</w:t>
            </w:r>
            <w:r>
              <w:rPr>
                <w:rFonts w:hint="default" w:ascii="Times New Roman" w:hAnsi="Times New Roman" w:cs="Times New Roman"/>
                <w:color w:val="auto"/>
                <w:sz w:val="24"/>
              </w:rPr>
              <w:t>投资</w:t>
            </w:r>
            <w:r>
              <w:rPr>
                <w:rFonts w:hint="eastAsia" w:cs="Times New Roman"/>
                <w:color w:val="auto"/>
                <w:sz w:val="24"/>
                <w:lang w:eastAsia="zh-CN"/>
              </w:rPr>
              <w:t>及环保</w:t>
            </w:r>
            <w:r>
              <w:rPr>
                <w:rFonts w:hint="eastAsia" w:ascii="Times New Roman" w:hAnsi="Times New Roman" w:eastAsia="宋体" w:cs="Times New Roman"/>
                <w:color w:val="auto"/>
                <w:kern w:val="0"/>
                <w:sz w:val="24"/>
                <w:szCs w:val="24"/>
                <w:u w:val="none" w:color="auto"/>
                <w:lang w:val="en-US" w:eastAsia="zh-CN"/>
              </w:rPr>
              <w:t>投资</w:t>
            </w:r>
            <w:r>
              <w:rPr>
                <w:rFonts w:hint="default" w:ascii="Times New Roman" w:hAnsi="Times New Roman" w:eastAsia="宋体" w:cs="Times New Roman"/>
                <w:color w:val="auto"/>
                <w:kern w:val="0"/>
                <w:sz w:val="24"/>
                <w:szCs w:val="24"/>
                <w:u w:val="none" w:color="auto"/>
                <w:lang w:val="en-US" w:eastAsia="zh-CN"/>
              </w:rPr>
              <w:t>：总投资为</w:t>
            </w:r>
            <w:r>
              <w:rPr>
                <w:rFonts w:hint="eastAsia" w:cs="Times New Roman"/>
                <w:color w:val="auto"/>
                <w:kern w:val="0"/>
                <w:sz w:val="24"/>
                <w:szCs w:val="24"/>
                <w:u w:val="none" w:color="auto"/>
                <w:lang w:val="en-US" w:eastAsia="zh-CN"/>
              </w:rPr>
              <w:t>797</w:t>
            </w:r>
            <w:r>
              <w:rPr>
                <w:rFonts w:hint="eastAsia" w:ascii="Times New Roman" w:hAnsi="Times New Roman" w:eastAsia="宋体" w:cs="Times New Roman"/>
                <w:color w:val="auto"/>
                <w:kern w:val="0"/>
                <w:sz w:val="24"/>
                <w:szCs w:val="24"/>
                <w:u w:val="none" w:color="auto"/>
                <w:lang w:val="en-US" w:eastAsia="zh-CN"/>
              </w:rPr>
              <w:t>万</w:t>
            </w:r>
            <w:r>
              <w:rPr>
                <w:rFonts w:hint="default" w:ascii="Times New Roman" w:hAnsi="Times New Roman" w:eastAsia="宋体" w:cs="Times New Roman"/>
                <w:color w:val="auto"/>
                <w:kern w:val="0"/>
                <w:sz w:val="24"/>
                <w:szCs w:val="24"/>
                <w:u w:val="none" w:color="auto"/>
                <w:lang w:val="en-US" w:eastAsia="zh-CN"/>
              </w:rPr>
              <w:t>元，其中环保投资</w:t>
            </w:r>
            <w:r>
              <w:rPr>
                <w:rFonts w:hint="eastAsia" w:ascii="Times New Roman" w:hAnsi="Times New Roman" w:eastAsia="宋体" w:cs="Times New Roman"/>
                <w:color w:val="auto"/>
                <w:kern w:val="0"/>
                <w:sz w:val="24"/>
                <w:szCs w:val="24"/>
                <w:u w:val="none" w:color="auto"/>
                <w:lang w:val="en-US" w:eastAsia="zh-CN"/>
              </w:rPr>
              <w:t>17</w:t>
            </w:r>
            <w:r>
              <w:rPr>
                <w:rFonts w:hint="default" w:ascii="Times New Roman" w:hAnsi="Times New Roman" w:eastAsia="宋体" w:cs="Times New Roman"/>
                <w:color w:val="auto"/>
                <w:kern w:val="0"/>
                <w:sz w:val="24"/>
                <w:szCs w:val="24"/>
                <w:u w:val="none" w:color="auto"/>
                <w:lang w:val="en-US" w:eastAsia="zh-CN"/>
              </w:rPr>
              <w:t>万元</w:t>
            </w:r>
            <w:r>
              <w:rPr>
                <w:rFonts w:hint="default" w:ascii="Times New Roman" w:hAnsi="Times New Roman" w:cs="Times New Roman"/>
                <w:color w:val="auto"/>
                <w:sz w:val="24"/>
              </w:rPr>
              <w:t>。</w:t>
            </w:r>
          </w:p>
          <w:p w14:paraId="0D11587E">
            <w:pPr>
              <w:pStyle w:val="17"/>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textAlignment w:val="auto"/>
              <w:rPr>
                <w:rFonts w:hint="default" w:ascii="Times New Roman" w:hAnsi="Times New Roman" w:cs="Times New Roman"/>
                <w:color w:val="auto"/>
                <w:sz w:val="24"/>
                <w:szCs w:val="24"/>
                <w:u w:val="single" w:color="auto"/>
                <w:lang w:val="en-US"/>
              </w:rPr>
            </w:pPr>
            <w:r>
              <w:rPr>
                <w:rFonts w:hint="eastAsia" w:cs="Times New Roman"/>
                <w:color w:val="auto"/>
                <w:sz w:val="24"/>
                <w:u w:val="single" w:color="auto"/>
                <w:lang w:eastAsia="zh-CN"/>
              </w:rPr>
              <w:t>（</w:t>
            </w:r>
            <w:r>
              <w:rPr>
                <w:rFonts w:hint="eastAsia" w:cs="Times New Roman"/>
                <w:color w:val="auto"/>
                <w:sz w:val="24"/>
                <w:u w:val="single" w:color="auto"/>
                <w:lang w:val="en-US" w:eastAsia="zh-CN"/>
              </w:rPr>
              <w:t>6</w:t>
            </w:r>
            <w:r>
              <w:rPr>
                <w:rFonts w:hint="eastAsia" w:cs="Times New Roman"/>
                <w:color w:val="auto"/>
                <w:sz w:val="24"/>
                <w:u w:val="single" w:color="auto"/>
                <w:lang w:eastAsia="zh-CN"/>
              </w:rPr>
              <w:t>）</w:t>
            </w:r>
            <w:r>
              <w:rPr>
                <w:rFonts w:hint="default" w:ascii="Times New Roman" w:hAnsi="Times New Roman" w:cs="Times New Roman"/>
                <w:color w:val="auto"/>
                <w:sz w:val="24"/>
                <w:szCs w:val="24"/>
                <w:u w:val="single" w:color="auto"/>
                <w:lang w:eastAsia="zh-CN"/>
              </w:rPr>
              <w:t>建设</w:t>
            </w:r>
            <w:r>
              <w:rPr>
                <w:rFonts w:hint="eastAsia" w:cs="Times New Roman"/>
                <w:color w:val="auto"/>
                <w:sz w:val="24"/>
                <w:szCs w:val="24"/>
                <w:u w:val="single" w:color="auto"/>
                <w:lang w:eastAsia="zh-CN"/>
              </w:rPr>
              <w:t>内容及</w:t>
            </w:r>
            <w:r>
              <w:rPr>
                <w:rFonts w:hint="default" w:ascii="Times New Roman" w:hAnsi="Times New Roman" w:cs="Times New Roman"/>
                <w:color w:val="auto"/>
                <w:sz w:val="24"/>
                <w:szCs w:val="24"/>
                <w:u w:val="single" w:color="auto"/>
              </w:rPr>
              <w:t>规模：</w:t>
            </w:r>
            <w:r>
              <w:rPr>
                <w:rFonts w:hint="eastAsia" w:cs="Times New Roman"/>
                <w:color w:val="auto"/>
                <w:sz w:val="24"/>
                <w:u w:val="single" w:color="auto"/>
                <w:lang w:val="en-US" w:eastAsia="zh-CN"/>
              </w:rPr>
              <w:t>3</w:t>
            </w:r>
            <w:r>
              <w:rPr>
                <w:rFonts w:hint="default" w:ascii="Times New Roman" w:hAnsi="Times New Roman" w:cs="Times New Roman"/>
                <w:color w:val="auto"/>
                <w:sz w:val="24"/>
                <w:u w:val="single" w:color="auto"/>
              </w:rPr>
              <w:t>栋</w:t>
            </w:r>
            <w:r>
              <w:rPr>
                <w:rFonts w:hint="eastAsia" w:cs="Times New Roman"/>
                <w:color w:val="auto"/>
                <w:sz w:val="24"/>
                <w:u w:val="single" w:color="auto"/>
                <w:lang w:val="en-US" w:eastAsia="zh-CN"/>
              </w:rPr>
              <w:t>综合楼</w:t>
            </w:r>
            <w:r>
              <w:rPr>
                <w:rFonts w:hint="default" w:ascii="Times New Roman" w:hAnsi="Times New Roman" w:cs="Times New Roman"/>
                <w:color w:val="auto"/>
                <w:sz w:val="24"/>
                <w:u w:val="single" w:color="auto"/>
              </w:rPr>
              <w:t>，</w:t>
            </w:r>
            <w:r>
              <w:rPr>
                <w:rFonts w:hint="eastAsia"/>
                <w:color w:val="auto"/>
                <w:kern w:val="0"/>
                <w:sz w:val="24"/>
                <w:szCs w:val="24"/>
                <w:u w:val="single" w:color="auto"/>
                <w:lang w:val="en-US" w:eastAsia="zh-CN"/>
              </w:rPr>
              <w:t>设置床位30张</w:t>
            </w:r>
            <w:r>
              <w:rPr>
                <w:rFonts w:hint="eastAsia" w:cs="Times New Roman"/>
                <w:color w:val="auto"/>
                <w:sz w:val="24"/>
                <w:u w:val="single" w:color="auto"/>
                <w:lang w:val="en-US" w:eastAsia="zh-CN"/>
              </w:rPr>
              <w:t>。</w:t>
            </w:r>
          </w:p>
          <w:p w14:paraId="7A82AB28">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u w:val="none" w:color="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7</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工作制度：</w:t>
            </w:r>
            <w:r>
              <w:rPr>
                <w:rFonts w:hint="default" w:ascii="Times New Roman" w:hAnsi="Times New Roman" w:cs="Times New Roman"/>
                <w:color w:val="auto"/>
                <w:sz w:val="24"/>
              </w:rPr>
              <w:t>年工作</w:t>
            </w:r>
            <w:r>
              <w:rPr>
                <w:rFonts w:hint="eastAsia" w:cs="Times New Roman"/>
                <w:color w:val="auto"/>
                <w:sz w:val="24"/>
                <w:lang w:val="en-US" w:eastAsia="zh-CN"/>
              </w:rPr>
              <w:t>365</w:t>
            </w:r>
            <w:r>
              <w:rPr>
                <w:rFonts w:hint="default" w:ascii="Times New Roman" w:hAnsi="Times New Roman" w:cs="Times New Roman"/>
                <w:color w:val="auto"/>
                <w:sz w:val="24"/>
              </w:rPr>
              <w:t>天，</w:t>
            </w:r>
            <w:r>
              <w:rPr>
                <w:rFonts w:hint="eastAsia" w:cs="Times New Roman"/>
                <w:color w:val="auto"/>
                <w:sz w:val="24"/>
                <w:lang w:val="en-US" w:eastAsia="zh-CN"/>
              </w:rPr>
              <w:t>三</w:t>
            </w:r>
            <w:r>
              <w:rPr>
                <w:rFonts w:hint="default" w:ascii="Times New Roman" w:hAnsi="Times New Roman" w:cs="Times New Roman"/>
                <w:color w:val="auto"/>
                <w:sz w:val="24"/>
              </w:rPr>
              <w:t>班制，</w:t>
            </w:r>
            <w:r>
              <w:rPr>
                <w:rFonts w:hint="eastAsia" w:cs="Times New Roman"/>
                <w:color w:val="auto"/>
                <w:sz w:val="24"/>
                <w:lang w:val="en-US" w:eastAsia="zh-CN"/>
              </w:rPr>
              <w:t>每</w:t>
            </w:r>
            <w:r>
              <w:rPr>
                <w:rFonts w:hint="default" w:ascii="Times New Roman" w:hAnsi="Times New Roman" w:cs="Times New Roman"/>
                <w:color w:val="auto"/>
                <w:sz w:val="24"/>
              </w:rPr>
              <w:t>班工作</w:t>
            </w:r>
            <w:r>
              <w:rPr>
                <w:rFonts w:hint="eastAsia" w:ascii="Times New Roman" w:hAnsi="Times New Roman" w:cs="Times New Roman"/>
                <w:color w:val="auto"/>
                <w:sz w:val="24"/>
                <w:lang w:val="en-US" w:eastAsia="zh-CN"/>
              </w:rPr>
              <w:t>8</w:t>
            </w:r>
            <w:r>
              <w:rPr>
                <w:rFonts w:hint="default" w:ascii="Times New Roman" w:hAnsi="Times New Roman" w:cs="Times New Roman"/>
                <w:color w:val="auto"/>
                <w:sz w:val="24"/>
              </w:rPr>
              <w:t>小时</w:t>
            </w:r>
            <w:r>
              <w:rPr>
                <w:rFonts w:hint="eastAsia" w:ascii="Times New Roman" w:hAnsi="Times New Roman" w:cs="Times New Roman"/>
                <w:color w:val="auto"/>
                <w:sz w:val="24"/>
                <w:lang w:eastAsia="zh-CN"/>
              </w:rPr>
              <w:t>。</w:t>
            </w:r>
          </w:p>
          <w:p w14:paraId="6C64DE9E">
            <w:pPr>
              <w:pStyle w:val="15"/>
              <w:keepNext w:val="0"/>
              <w:keepLines w:val="0"/>
              <w:pageBreakBefore w:val="0"/>
              <w:widowControl w:val="0"/>
              <w:kinsoku/>
              <w:wordWrap/>
              <w:overflowPunct/>
              <w:topLinePunct w:val="0"/>
              <w:bidi w:val="0"/>
              <w:adjustRightInd/>
              <w:snapToGrid/>
              <w:spacing w:after="0" w:line="360" w:lineRule="auto"/>
              <w:ind w:firstLine="480" w:firstLineChars="200"/>
              <w:textAlignment w:val="auto"/>
              <w:rPr>
                <w:rFonts w:hint="eastAsia" w:eastAsia="宋体"/>
                <w:color w:val="auto"/>
                <w:lang w:eastAsia="zh-CN"/>
              </w:rPr>
            </w:pPr>
            <w:r>
              <w:rPr>
                <w:rFonts w:hint="eastAsia" w:ascii="Times New Roman" w:hAnsi="Times New Roman" w:cs="Times New Roman"/>
                <w:color w:val="auto"/>
                <w:sz w:val="24"/>
                <w:szCs w:val="24"/>
                <w:u w:val="none" w:color="auto"/>
                <w:lang w:eastAsia="zh-CN"/>
              </w:rPr>
              <w:t>（</w:t>
            </w:r>
            <w:r>
              <w:rPr>
                <w:rFonts w:hint="eastAsia" w:ascii="Times New Roman" w:hAnsi="Times New Roman" w:cs="Times New Roman"/>
                <w:color w:val="auto"/>
                <w:sz w:val="24"/>
                <w:szCs w:val="24"/>
                <w:u w:val="none" w:color="auto"/>
                <w:lang w:val="en-US" w:eastAsia="zh-CN"/>
              </w:rPr>
              <w:t>8</w:t>
            </w:r>
            <w:r>
              <w:rPr>
                <w:rFonts w:hint="eastAsia"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劳动定员：</w:t>
            </w:r>
            <w:r>
              <w:rPr>
                <w:rFonts w:hint="eastAsia" w:ascii="Times New Roman" w:hAnsi="Times New Roman"/>
                <w:color w:val="auto"/>
                <w:kern w:val="0"/>
                <w:sz w:val="24"/>
                <w:lang w:val="en-US" w:eastAsia="zh-CN"/>
              </w:rPr>
              <w:t>职工</w:t>
            </w:r>
            <w:r>
              <w:rPr>
                <w:rFonts w:hint="eastAsia"/>
                <w:color w:val="auto"/>
                <w:kern w:val="0"/>
                <w:sz w:val="24"/>
                <w:lang w:val="en-US" w:eastAsia="zh-CN"/>
              </w:rPr>
              <w:t>48</w:t>
            </w:r>
            <w:r>
              <w:rPr>
                <w:rFonts w:hint="eastAsia" w:ascii="Times New Roman" w:hAnsi="Times New Roman"/>
                <w:color w:val="auto"/>
                <w:kern w:val="0"/>
                <w:sz w:val="24"/>
                <w:lang w:val="en-US" w:eastAsia="zh-CN"/>
              </w:rPr>
              <w:t>人。</w:t>
            </w:r>
          </w:p>
          <w:p w14:paraId="06F1DE1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pacing w:val="0"/>
                <w:position w:val="0"/>
                <w:sz w:val="24"/>
                <w:szCs w:val="24"/>
                <w:highlight w:val="none"/>
                <w:u w:val="single" w:color="auto"/>
                <w:lang w:val="en-US" w:eastAsia="zh-CN"/>
              </w:rPr>
            </w:pPr>
            <w:r>
              <w:rPr>
                <w:rFonts w:hint="default" w:ascii="Times New Roman" w:hAnsi="Times New Roman" w:eastAsia="宋体" w:cs="Times New Roman"/>
                <w:b/>
                <w:bCs/>
                <w:color w:val="auto"/>
                <w:spacing w:val="0"/>
                <w:kern w:val="2"/>
                <w:position w:val="0"/>
                <w:sz w:val="24"/>
                <w:szCs w:val="24"/>
                <w:lang w:val="en-US" w:eastAsia="zh-CN" w:bidi="ar-SA"/>
              </w:rPr>
              <w:t>3、</w:t>
            </w:r>
            <w:r>
              <w:rPr>
                <w:rFonts w:hint="default" w:ascii="Times New Roman" w:hAnsi="Times New Roman" w:eastAsia="宋体" w:cs="Times New Roman"/>
                <w:b/>
                <w:bCs/>
                <w:color w:val="auto"/>
                <w:spacing w:val="0"/>
                <w:position w:val="0"/>
                <w:sz w:val="24"/>
                <w:szCs w:val="24"/>
                <w:highlight w:val="none"/>
                <w:u w:val="single" w:color="auto"/>
                <w:lang w:val="en-US" w:eastAsia="zh-CN"/>
              </w:rPr>
              <w:t>主要建设内容</w:t>
            </w:r>
          </w:p>
          <w:p w14:paraId="3EDB60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szCs w:val="24"/>
                <w:highlight w:val="none"/>
                <w:u w:val="single" w:color="auto"/>
                <w:vertAlign w:val="baseline"/>
                <w:lang w:val="en-US" w:eastAsia="zh-CN"/>
              </w:rPr>
            </w:pPr>
            <w:r>
              <w:rPr>
                <w:rFonts w:hint="eastAsia" w:cs="Times New Roman"/>
                <w:color w:val="auto"/>
                <w:spacing w:val="0"/>
                <w:position w:val="0"/>
                <w:sz w:val="24"/>
                <w:szCs w:val="24"/>
                <w:u w:val="single" w:color="auto"/>
                <w:lang w:val="en-US" w:eastAsia="zh-CN"/>
              </w:rPr>
              <w:t>本</w:t>
            </w:r>
            <w:r>
              <w:rPr>
                <w:rFonts w:hint="default" w:ascii="Times New Roman" w:hAnsi="Times New Roman" w:eastAsia="宋体" w:cs="Times New Roman"/>
                <w:color w:val="auto"/>
                <w:spacing w:val="0"/>
                <w:position w:val="0"/>
                <w:sz w:val="24"/>
                <w:szCs w:val="24"/>
                <w:u w:val="single" w:color="auto"/>
                <w:lang w:val="en-US" w:eastAsia="zh-CN"/>
              </w:rPr>
              <w:t>项目</w:t>
            </w:r>
            <w:r>
              <w:rPr>
                <w:rFonts w:hint="eastAsia" w:cs="Times New Roman"/>
                <w:color w:val="auto"/>
                <w:spacing w:val="0"/>
                <w:position w:val="0"/>
                <w:sz w:val="24"/>
                <w:szCs w:val="24"/>
                <w:u w:val="single" w:color="auto"/>
                <w:lang w:val="en-US" w:eastAsia="zh-CN"/>
              </w:rPr>
              <w:t>位于</w:t>
            </w:r>
            <w:r>
              <w:rPr>
                <w:rFonts w:hint="eastAsia" w:cs="Arial"/>
                <w:i w:val="0"/>
                <w:iCs w:val="0"/>
                <w:caps w:val="0"/>
                <w:color w:val="auto"/>
                <w:spacing w:val="0"/>
                <w:sz w:val="24"/>
                <w:szCs w:val="24"/>
                <w:u w:val="single" w:color="auto"/>
                <w:shd w:val="clear" w:fill="FFFFFF"/>
                <w:lang w:eastAsia="zh-CN"/>
              </w:rPr>
              <w:t>永州市新田县三井镇三井村</w:t>
            </w:r>
            <w:r>
              <w:rPr>
                <w:rFonts w:hint="default" w:ascii="Times New Roman" w:hAnsi="Times New Roman" w:eastAsia="宋体" w:cs="Times New Roman"/>
                <w:color w:val="auto"/>
                <w:spacing w:val="0"/>
                <w:position w:val="0"/>
                <w:sz w:val="24"/>
                <w:szCs w:val="24"/>
                <w:u w:val="single" w:color="auto"/>
                <w:lang w:val="en-US" w:eastAsia="zh-CN"/>
              </w:rPr>
              <w:t>，</w:t>
            </w:r>
            <w:r>
              <w:rPr>
                <w:rFonts w:hint="eastAsia" w:cs="Times New Roman"/>
                <w:color w:val="auto"/>
                <w:spacing w:val="0"/>
                <w:position w:val="0"/>
                <w:sz w:val="24"/>
                <w:szCs w:val="24"/>
                <w:highlight w:val="none"/>
                <w:u w:val="single" w:color="auto"/>
                <w:lang w:val="en-US" w:eastAsia="zh-CN"/>
              </w:rPr>
              <w:t>占地</w:t>
            </w:r>
            <w:r>
              <w:rPr>
                <w:rFonts w:hint="default" w:ascii="Times New Roman" w:hAnsi="Times New Roman" w:eastAsia="宋体" w:cs="Times New Roman"/>
                <w:color w:val="auto"/>
                <w:spacing w:val="0"/>
                <w:position w:val="0"/>
                <w:sz w:val="24"/>
                <w:szCs w:val="24"/>
                <w:highlight w:val="none"/>
                <w:u w:val="single" w:color="auto"/>
                <w:lang w:val="en-US" w:eastAsia="zh-CN"/>
              </w:rPr>
              <w:t>面积</w:t>
            </w:r>
            <w:r>
              <w:rPr>
                <w:rFonts w:hint="eastAsia" w:cs="Times New Roman"/>
                <w:color w:val="000000" w:themeColor="text1"/>
                <w:spacing w:val="0"/>
                <w:position w:val="0"/>
                <w:sz w:val="24"/>
                <w:szCs w:val="24"/>
                <w:highlight w:val="none"/>
                <w:u w:val="single" w:color="auto"/>
                <w:lang w:val="en-US" w:eastAsia="zh-CN"/>
                <w14:textFill>
                  <w14:solidFill>
                    <w14:schemeClr w14:val="tx1"/>
                  </w14:solidFill>
                </w14:textFill>
              </w:rPr>
              <w:t>953.8</w:t>
            </w:r>
            <w:r>
              <w:rPr>
                <w:rFonts w:hint="default" w:ascii="Times New Roman" w:hAnsi="Times New Roman" w:eastAsia="宋体" w:cs="Times New Roman"/>
                <w:color w:val="000000" w:themeColor="text1"/>
                <w:spacing w:val="0"/>
                <w:position w:val="0"/>
                <w:sz w:val="24"/>
                <w:szCs w:val="24"/>
                <w:highlight w:val="none"/>
                <w:u w:val="single" w:color="auto"/>
                <w:lang w:val="en-US" w:eastAsia="zh-CN"/>
                <w14:textFill>
                  <w14:solidFill>
                    <w14:schemeClr w14:val="tx1"/>
                  </w14:solidFill>
                </w14:textFill>
              </w:rPr>
              <w:t>m</w:t>
            </w:r>
            <w:r>
              <w:rPr>
                <w:rFonts w:hint="default" w:ascii="Times New Roman" w:hAnsi="Times New Roman" w:eastAsia="宋体" w:cs="Times New Roman"/>
                <w:color w:val="000000" w:themeColor="text1"/>
                <w:spacing w:val="0"/>
                <w:position w:val="0"/>
                <w:sz w:val="24"/>
                <w:szCs w:val="24"/>
                <w:highlight w:val="none"/>
                <w:u w:val="single" w:color="auto"/>
                <w:vertAlign w:val="superscript"/>
                <w:lang w:val="en-US" w:eastAsia="zh-CN"/>
                <w14:textFill>
                  <w14:solidFill>
                    <w14:schemeClr w14:val="tx1"/>
                  </w14:solidFill>
                </w14:textFill>
              </w:rPr>
              <w:t>2</w:t>
            </w:r>
            <w:r>
              <w:rPr>
                <w:rFonts w:hint="eastAsia" w:cs="Times New Roman"/>
                <w:color w:val="000000" w:themeColor="text1"/>
                <w:spacing w:val="0"/>
                <w:position w:val="0"/>
                <w:sz w:val="24"/>
                <w:szCs w:val="24"/>
                <w:highlight w:val="none"/>
                <w:u w:val="single" w:color="auto"/>
                <w:vertAlign w:val="baseline"/>
                <w:lang w:val="en-US" w:eastAsia="zh-CN"/>
                <w14:textFill>
                  <w14:solidFill>
                    <w14:schemeClr w14:val="tx1"/>
                  </w14:solidFill>
                </w14:textFill>
              </w:rPr>
              <w:t>，总建筑面积</w:t>
            </w:r>
            <w:r>
              <w:rPr>
                <w:rFonts w:hint="eastAsia" w:cs="Times New Roman"/>
                <w:color w:val="auto"/>
                <w:spacing w:val="0"/>
                <w:position w:val="0"/>
                <w:sz w:val="24"/>
                <w:szCs w:val="24"/>
                <w:highlight w:val="none"/>
                <w:u w:val="single" w:color="auto"/>
                <w:vertAlign w:val="baseline"/>
                <w:lang w:val="en-US" w:eastAsia="zh-CN"/>
              </w:rPr>
              <w:t>2070m</w:t>
            </w:r>
            <w:r>
              <w:rPr>
                <w:rFonts w:hint="eastAsia" w:cs="Times New Roman"/>
                <w:color w:val="auto"/>
                <w:spacing w:val="0"/>
                <w:position w:val="0"/>
                <w:sz w:val="24"/>
                <w:szCs w:val="24"/>
                <w:highlight w:val="none"/>
                <w:u w:val="single" w:color="auto"/>
                <w:vertAlign w:val="superscript"/>
                <w:lang w:val="en-US" w:eastAsia="zh-CN"/>
              </w:rPr>
              <w:t>2</w:t>
            </w:r>
            <w:r>
              <w:rPr>
                <w:rFonts w:hint="default" w:ascii="Times New Roman" w:hAnsi="Times New Roman" w:eastAsia="宋体" w:cs="Times New Roman"/>
                <w:color w:val="auto"/>
                <w:spacing w:val="0"/>
                <w:position w:val="0"/>
                <w:sz w:val="24"/>
                <w:szCs w:val="24"/>
                <w:highlight w:val="none"/>
                <w:u w:val="single" w:color="auto"/>
                <w:vertAlign w:val="baseline"/>
                <w:lang w:val="en-US" w:eastAsia="zh-CN"/>
              </w:rPr>
              <w:t>。</w:t>
            </w:r>
            <w:r>
              <w:rPr>
                <w:rFonts w:hint="eastAsia" w:cs="Times New Roman"/>
                <w:b w:val="0"/>
                <w:bCs w:val="0"/>
                <w:color w:val="auto"/>
                <w:sz w:val="24"/>
                <w:szCs w:val="24"/>
                <w:highlight w:val="none"/>
                <w:u w:val="single" w:color="auto"/>
                <w:vertAlign w:val="baseline"/>
                <w:lang w:val="en-US" w:eastAsia="zh-CN"/>
              </w:rPr>
              <w:t>本项目主要建设内容详见下表。</w:t>
            </w:r>
          </w:p>
          <w:p w14:paraId="787960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rPr>
                <w:rFonts w:hint="default" w:ascii="Times New Roman" w:hAnsi="Times New Roman" w:eastAsia="宋体" w:cs="Times New Roman"/>
                <w:b/>
                <w:color w:val="auto"/>
                <w:spacing w:val="5"/>
                <w:sz w:val="21"/>
                <w:szCs w:val="21"/>
                <w:u w:val="single" w:color="auto"/>
              </w:rPr>
            </w:pPr>
            <w:r>
              <w:rPr>
                <w:rFonts w:hint="default" w:ascii="Times New Roman" w:hAnsi="Times New Roman" w:eastAsia="宋体" w:cs="Times New Roman"/>
                <w:b/>
                <w:color w:val="auto"/>
                <w:spacing w:val="7"/>
                <w:sz w:val="21"/>
                <w:szCs w:val="21"/>
                <w:u w:val="single" w:color="auto"/>
              </w:rPr>
              <w:t>表</w:t>
            </w:r>
            <w:r>
              <w:rPr>
                <w:rFonts w:hint="default" w:ascii="Times New Roman" w:hAnsi="Times New Roman" w:eastAsia="宋体" w:cs="Times New Roman"/>
                <w:b/>
                <w:bCs/>
                <w:color w:val="auto"/>
                <w:spacing w:val="5"/>
                <w:sz w:val="21"/>
                <w:szCs w:val="21"/>
                <w:u w:val="single" w:color="auto"/>
              </w:rPr>
              <w:t>2-1</w:t>
            </w:r>
            <w:r>
              <w:rPr>
                <w:rFonts w:hint="eastAsia" w:ascii="Times New Roman" w:hAnsi="Times New Roman" w:eastAsia="宋体" w:cs="Times New Roman"/>
                <w:b/>
                <w:bCs/>
                <w:color w:val="auto"/>
                <w:spacing w:val="5"/>
                <w:sz w:val="21"/>
                <w:szCs w:val="21"/>
                <w:u w:val="single" w:color="auto"/>
                <w:lang w:val="en-US" w:eastAsia="zh-CN"/>
              </w:rPr>
              <w:t xml:space="preserve">  </w:t>
            </w:r>
            <w:r>
              <w:rPr>
                <w:rFonts w:hint="default" w:ascii="Times New Roman" w:hAnsi="Times New Roman" w:eastAsia="宋体" w:cs="Times New Roman"/>
                <w:b/>
                <w:color w:val="auto"/>
                <w:spacing w:val="5"/>
                <w:sz w:val="21"/>
                <w:szCs w:val="21"/>
                <w:u w:val="single" w:color="auto"/>
              </w:rPr>
              <w:t>项目主要建设内容一览表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738"/>
              <w:gridCol w:w="1204"/>
              <w:gridCol w:w="696"/>
              <w:gridCol w:w="4386"/>
            </w:tblGrid>
            <w:tr w14:paraId="43C7F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tcBorders>
                    <w:tl2br w:val="nil"/>
                    <w:tr2bl w:val="nil"/>
                  </w:tcBorders>
                  <w:noWrap w:val="0"/>
                  <w:vAlign w:val="center"/>
                </w:tcPr>
                <w:p w14:paraId="6FBA97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项目</w:t>
                  </w:r>
                </w:p>
              </w:tc>
              <w:tc>
                <w:tcPr>
                  <w:tcW w:w="477" w:type="pct"/>
                  <w:tcBorders>
                    <w:tl2br w:val="nil"/>
                    <w:tr2bl w:val="nil"/>
                  </w:tcBorders>
                  <w:noWrap w:val="0"/>
                  <w:vAlign w:val="center"/>
                </w:tcPr>
                <w:p w14:paraId="2B09F8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内容</w:t>
                  </w:r>
                </w:p>
              </w:tc>
              <w:tc>
                <w:tcPr>
                  <w:tcW w:w="778" w:type="pct"/>
                  <w:tcBorders>
                    <w:tl2br w:val="nil"/>
                    <w:tr2bl w:val="nil"/>
                  </w:tcBorders>
                  <w:noWrap w:val="0"/>
                  <w:vAlign w:val="center"/>
                </w:tcPr>
                <w:p w14:paraId="3A1F22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val="en-US" w:eastAsia="zh-CN"/>
                    </w:rPr>
                    <w:t>规模</w:t>
                  </w:r>
                </w:p>
              </w:tc>
              <w:tc>
                <w:tcPr>
                  <w:tcW w:w="449" w:type="pct"/>
                  <w:tcBorders>
                    <w:tl2br w:val="nil"/>
                    <w:tr2bl w:val="nil"/>
                  </w:tcBorders>
                  <w:noWrap w:val="0"/>
                  <w:vAlign w:val="center"/>
                </w:tcPr>
                <w:p w14:paraId="78013D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功能区</w:t>
                  </w:r>
                </w:p>
              </w:tc>
              <w:tc>
                <w:tcPr>
                  <w:tcW w:w="2833" w:type="pct"/>
                  <w:tcBorders>
                    <w:tl2br w:val="nil"/>
                    <w:tr2bl w:val="nil"/>
                  </w:tcBorders>
                  <w:noWrap w:val="0"/>
                  <w:vAlign w:val="center"/>
                </w:tcPr>
                <w:p w14:paraId="632634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rPr>
                    <w:t>备注</w:t>
                  </w:r>
                </w:p>
              </w:tc>
            </w:tr>
            <w:tr w14:paraId="6AC8D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l2br w:val="nil"/>
                    <w:tr2bl w:val="nil"/>
                  </w:tcBorders>
                  <w:noWrap w:val="0"/>
                  <w:vAlign w:val="center"/>
                </w:tcPr>
                <w:p w14:paraId="4972B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pPr>
                  <w:r>
                    <w:rPr>
                      <w:rFonts w:hint="default" w:ascii="Times New Roman" w:hAnsi="Times New Roman" w:eastAsia="宋体" w:cs="Times New Roman"/>
                      <w:b w:val="0"/>
                      <w:bCs w:val="0"/>
                      <w:color w:val="000000" w:themeColor="text1"/>
                      <w:sz w:val="21"/>
                      <w:szCs w:val="21"/>
                      <w:u w:val="single" w:color="auto"/>
                      <w14:textFill>
                        <w14:solidFill>
                          <w14:schemeClr w14:val="tx1"/>
                        </w14:solidFill>
                      </w14:textFill>
                    </w:rPr>
                    <w:t>主体工程</w:t>
                  </w:r>
                </w:p>
              </w:tc>
              <w:tc>
                <w:tcPr>
                  <w:tcW w:w="477" w:type="pct"/>
                  <w:vMerge w:val="restart"/>
                  <w:tcBorders>
                    <w:tl2br w:val="nil"/>
                    <w:tr2bl w:val="nil"/>
                  </w:tcBorders>
                  <w:noWrap w:val="0"/>
                  <w:vAlign w:val="center"/>
                </w:tcPr>
                <w:p w14:paraId="3BC024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1#综合楼</w:t>
                  </w:r>
                </w:p>
              </w:tc>
              <w:tc>
                <w:tcPr>
                  <w:tcW w:w="778" w:type="pct"/>
                  <w:vMerge w:val="restart"/>
                  <w:tcBorders>
                    <w:tl2br w:val="nil"/>
                    <w:tr2bl w:val="nil"/>
                  </w:tcBorders>
                  <w:noWrap w:val="0"/>
                  <w:vAlign w:val="center"/>
                </w:tcPr>
                <w:p w14:paraId="127C45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4</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约1200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49" w:type="pct"/>
                  <w:tcBorders>
                    <w:tl2br w:val="nil"/>
                    <w:tr2bl w:val="nil"/>
                  </w:tcBorders>
                  <w:noWrap w:val="0"/>
                  <w:vAlign w:val="center"/>
                </w:tcPr>
                <w:p w14:paraId="0B9573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3" w:type="pct"/>
                  <w:tcBorders>
                    <w:tl2br w:val="nil"/>
                    <w:tr2bl w:val="nil"/>
                  </w:tcBorders>
                  <w:noWrap w:val="0"/>
                  <w:vAlign w:val="center"/>
                </w:tcPr>
                <w:p w14:paraId="0C89CC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主要布设：门诊室、</w:t>
                  </w:r>
                  <w:r>
                    <w:rPr>
                      <w:rFonts w:hint="default" w:cs="Times New Roman"/>
                      <w:b w:val="0"/>
                      <w:bCs w:val="0"/>
                      <w:color w:val="000000" w:themeColor="text1"/>
                      <w:sz w:val="21"/>
                      <w:szCs w:val="21"/>
                      <w:u w:val="single" w:color="auto"/>
                      <w:lang w:val="en-US" w:eastAsia="zh-CN"/>
                      <w14:textFill>
                        <w14:solidFill>
                          <w14:schemeClr w14:val="tx1"/>
                        </w14:solidFill>
                      </w14:textFill>
                    </w:rPr>
                    <w:t>挂号</w:t>
                  </w:r>
                  <w:r>
                    <w:rPr>
                      <w:rFonts w:hint="eastAsia" w:cs="Times New Roman"/>
                      <w:b w:val="0"/>
                      <w:bCs w:val="0"/>
                      <w:color w:val="000000" w:themeColor="text1"/>
                      <w:sz w:val="21"/>
                      <w:szCs w:val="21"/>
                      <w:u w:val="single" w:color="auto"/>
                      <w:lang w:val="en-US" w:eastAsia="zh-CN"/>
                      <w14:textFill>
                        <w14:solidFill>
                          <w14:schemeClr w14:val="tx1"/>
                        </w14:solidFill>
                      </w14:textFill>
                    </w:rPr>
                    <w:t>及</w:t>
                  </w:r>
                  <w:r>
                    <w:rPr>
                      <w:rFonts w:hint="default" w:cs="Times New Roman"/>
                      <w:b w:val="0"/>
                      <w:bCs w:val="0"/>
                      <w:color w:val="000000" w:themeColor="text1"/>
                      <w:sz w:val="21"/>
                      <w:szCs w:val="21"/>
                      <w:u w:val="single" w:color="auto"/>
                      <w:lang w:val="en-US" w:eastAsia="zh-CN"/>
                      <w14:textFill>
                        <w14:solidFill>
                          <w14:schemeClr w14:val="tx1"/>
                        </w14:solidFill>
                      </w14:textFill>
                    </w:rPr>
                    <w:t>收费</w:t>
                  </w:r>
                  <w:r>
                    <w:rPr>
                      <w:rFonts w:hint="eastAsia" w:cs="Times New Roman"/>
                      <w:b w:val="0"/>
                      <w:bCs w:val="0"/>
                      <w:color w:val="000000" w:themeColor="text1"/>
                      <w:sz w:val="21"/>
                      <w:szCs w:val="21"/>
                      <w:u w:val="single" w:color="auto"/>
                      <w:lang w:val="en-US" w:eastAsia="zh-CN"/>
                      <w14:textFill>
                        <w14:solidFill>
                          <w14:schemeClr w14:val="tx1"/>
                        </w14:solidFill>
                      </w14:textFill>
                    </w:rPr>
                    <w:t>（即药房收费处）、输液大厅、护士站、卫生间</w:t>
                  </w:r>
                </w:p>
              </w:tc>
            </w:tr>
            <w:tr w14:paraId="45F5A1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59EFB7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14:paraId="06F1B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14:paraId="5A599C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14:paraId="56C8A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3" w:type="pct"/>
                  <w:tcBorders>
                    <w:tl2br w:val="nil"/>
                    <w:tr2bl w:val="nil"/>
                  </w:tcBorders>
                  <w:noWrap w:val="0"/>
                  <w:vAlign w:val="center"/>
                </w:tcPr>
                <w:p w14:paraId="3297E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主要布设：病房、检验室、办公室、信访室、卫生间</w:t>
                  </w:r>
                </w:p>
              </w:tc>
            </w:tr>
            <w:tr w14:paraId="36304F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447FA0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14:paraId="57D19E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14:paraId="793BA2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14:paraId="296E8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三楼</w:t>
                  </w:r>
                </w:p>
              </w:tc>
              <w:tc>
                <w:tcPr>
                  <w:tcW w:w="2833" w:type="pct"/>
                  <w:tcBorders>
                    <w:tl2br w:val="nil"/>
                    <w:tr2bl w:val="nil"/>
                  </w:tcBorders>
                  <w:noWrap w:val="0"/>
                  <w:vAlign w:val="center"/>
                </w:tcPr>
                <w:p w14:paraId="279FFA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主要布设：煎药室、中药房、针灸理疗室、牵引室、熏蒸室、按摩室、中医门诊室、病房、卫生间</w:t>
                  </w:r>
                </w:p>
              </w:tc>
            </w:tr>
            <w:tr w14:paraId="3399D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686590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14:paraId="36EE6D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14:paraId="6CD509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14:paraId="68E878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四楼</w:t>
                  </w:r>
                </w:p>
              </w:tc>
              <w:tc>
                <w:tcPr>
                  <w:tcW w:w="2833" w:type="pct"/>
                  <w:tcBorders>
                    <w:tl2br w:val="nil"/>
                    <w:tr2bl w:val="nil"/>
                  </w:tcBorders>
                  <w:noWrap w:val="0"/>
                  <w:vAlign w:val="center"/>
                </w:tcPr>
                <w:p w14:paraId="16BAC7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主要布设：宿舍</w:t>
                  </w:r>
                </w:p>
              </w:tc>
            </w:tr>
            <w:tr w14:paraId="04DE8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568FF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restart"/>
                  <w:tcBorders>
                    <w:tl2br w:val="nil"/>
                    <w:tr2bl w:val="nil"/>
                  </w:tcBorders>
                  <w:noWrap w:val="0"/>
                  <w:vAlign w:val="center"/>
                </w:tcPr>
                <w:p w14:paraId="63A1AC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2#综合楼</w:t>
                  </w:r>
                </w:p>
              </w:tc>
              <w:tc>
                <w:tcPr>
                  <w:tcW w:w="778" w:type="pct"/>
                  <w:vMerge w:val="restart"/>
                  <w:tcBorders>
                    <w:tl2br w:val="nil"/>
                    <w:tr2bl w:val="nil"/>
                  </w:tcBorders>
                  <w:noWrap w:val="0"/>
                  <w:vAlign w:val="center"/>
                </w:tcPr>
                <w:p w14:paraId="7E2484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2</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约520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49" w:type="pct"/>
                  <w:tcBorders>
                    <w:tl2br w:val="nil"/>
                    <w:tr2bl w:val="nil"/>
                  </w:tcBorders>
                  <w:noWrap w:val="0"/>
                  <w:vAlign w:val="center"/>
                </w:tcPr>
                <w:p w14:paraId="4632CF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3" w:type="pct"/>
                  <w:tcBorders>
                    <w:tl2br w:val="nil"/>
                    <w:tr2bl w:val="nil"/>
                  </w:tcBorders>
                  <w:noWrap w:val="0"/>
                  <w:vAlign w:val="center"/>
                </w:tcPr>
                <w:p w14:paraId="53F0D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主要布设：预防接种室、医防办公室、放射区、污水处理站加药间</w:t>
                  </w:r>
                </w:p>
              </w:tc>
            </w:tr>
            <w:tr w14:paraId="251867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18853B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14:paraId="451A62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14:paraId="17865E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14:paraId="3ADF7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3" w:type="pct"/>
                  <w:tcBorders>
                    <w:tl2br w:val="nil"/>
                    <w:tr2bl w:val="nil"/>
                  </w:tcBorders>
                  <w:noWrap w:val="0"/>
                  <w:vAlign w:val="center"/>
                </w:tcPr>
                <w:p w14:paraId="1A2F8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主要布设：病房、食堂</w:t>
                  </w:r>
                </w:p>
              </w:tc>
            </w:tr>
            <w:tr w14:paraId="02852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770B21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restart"/>
                  <w:tcBorders>
                    <w:tl2br w:val="nil"/>
                    <w:tr2bl w:val="nil"/>
                  </w:tcBorders>
                  <w:noWrap w:val="0"/>
                  <w:vAlign w:val="center"/>
                </w:tcPr>
                <w:p w14:paraId="29143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3#综合楼</w:t>
                  </w:r>
                </w:p>
              </w:tc>
              <w:tc>
                <w:tcPr>
                  <w:tcW w:w="778" w:type="pct"/>
                  <w:vMerge w:val="restart"/>
                  <w:tcBorders>
                    <w:tl2br w:val="nil"/>
                    <w:tr2bl w:val="nil"/>
                  </w:tcBorders>
                  <w:noWrap w:val="0"/>
                  <w:vAlign w:val="center"/>
                </w:tcPr>
                <w:p w14:paraId="08C2C2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2</w:t>
                  </w:r>
                  <w:r>
                    <w:rPr>
                      <w:rFonts w:hint="default" w:cs="Times New Roman"/>
                      <w:b w:val="0"/>
                      <w:bCs w:val="0"/>
                      <w:color w:val="000000" w:themeColor="text1"/>
                      <w:sz w:val="21"/>
                      <w:szCs w:val="21"/>
                      <w:u w:val="single" w:color="auto"/>
                      <w:lang w:val="en-US" w:eastAsia="zh-CN"/>
                      <w14:textFill>
                        <w14:solidFill>
                          <w14:schemeClr w14:val="tx1"/>
                        </w14:solidFill>
                      </w14:textFill>
                    </w:rPr>
                    <w:t>层、</w:t>
                  </w:r>
                  <w:r>
                    <w:rPr>
                      <w:rFonts w:hint="eastAsia" w:cs="Times New Roman"/>
                      <w:b w:val="0"/>
                      <w:bCs w:val="0"/>
                      <w:color w:val="000000" w:themeColor="text1"/>
                      <w:sz w:val="21"/>
                      <w:szCs w:val="21"/>
                      <w:u w:val="single" w:color="auto"/>
                      <w:lang w:val="en-US" w:eastAsia="zh-CN"/>
                      <w14:textFill>
                        <w14:solidFill>
                          <w14:schemeClr w14:val="tx1"/>
                        </w14:solidFill>
                      </w14:textFill>
                    </w:rPr>
                    <w:t>砖</w:t>
                  </w:r>
                  <w:r>
                    <w:rPr>
                      <w:rFonts w:hint="default" w:cs="Times New Roman"/>
                      <w:b w:val="0"/>
                      <w:bCs w:val="0"/>
                      <w:color w:val="000000" w:themeColor="text1"/>
                      <w:sz w:val="21"/>
                      <w:szCs w:val="21"/>
                      <w:u w:val="single" w:color="auto"/>
                      <w:lang w:val="en-US" w:eastAsia="zh-CN"/>
                      <w14:textFill>
                        <w14:solidFill>
                          <w14:schemeClr w14:val="tx1"/>
                        </w14:solidFill>
                      </w14:textFill>
                    </w:rPr>
                    <w:t>混结构，建筑面积</w:t>
                  </w:r>
                  <w:r>
                    <w:rPr>
                      <w:rFonts w:hint="eastAsia" w:cs="Times New Roman"/>
                      <w:b w:val="0"/>
                      <w:bCs w:val="0"/>
                      <w:color w:val="000000" w:themeColor="text1"/>
                      <w:sz w:val="21"/>
                      <w:szCs w:val="21"/>
                      <w:u w:val="single" w:color="auto"/>
                      <w:lang w:val="en-US" w:eastAsia="zh-CN"/>
                      <w14:textFill>
                        <w14:solidFill>
                          <w14:schemeClr w14:val="tx1"/>
                        </w14:solidFill>
                      </w14:textFill>
                    </w:rPr>
                    <w:t>约200</w:t>
                  </w:r>
                  <w:r>
                    <w:rPr>
                      <w:rFonts w:hint="default" w:cs="Times New Roman"/>
                      <w:b w:val="0"/>
                      <w:bCs w:val="0"/>
                      <w:color w:val="000000" w:themeColor="text1"/>
                      <w:sz w:val="21"/>
                      <w:szCs w:val="21"/>
                      <w:u w:val="single" w:color="auto"/>
                      <w:lang w:val="en-US" w:eastAsia="zh-CN"/>
                      <w14:textFill>
                        <w14:solidFill>
                          <w14:schemeClr w14:val="tx1"/>
                        </w14:solidFill>
                      </w14:textFill>
                    </w:rPr>
                    <w:t>m</w:t>
                  </w:r>
                  <w:r>
                    <w:rPr>
                      <w:rFonts w:hint="default" w:cs="Times New Roman"/>
                      <w:b w:val="0"/>
                      <w:bCs w:val="0"/>
                      <w:color w:val="000000" w:themeColor="text1"/>
                      <w:sz w:val="21"/>
                      <w:szCs w:val="21"/>
                      <w:u w:val="single" w:color="auto"/>
                      <w:vertAlign w:val="superscript"/>
                      <w:lang w:val="en-US" w:eastAsia="zh-CN"/>
                      <w14:textFill>
                        <w14:solidFill>
                          <w14:schemeClr w14:val="tx1"/>
                        </w14:solidFill>
                      </w14:textFill>
                    </w:rPr>
                    <w:t>2</w:t>
                  </w:r>
                </w:p>
              </w:tc>
              <w:tc>
                <w:tcPr>
                  <w:tcW w:w="449" w:type="pct"/>
                  <w:tcBorders>
                    <w:tl2br w:val="nil"/>
                    <w:tr2bl w:val="nil"/>
                  </w:tcBorders>
                  <w:noWrap w:val="0"/>
                  <w:vAlign w:val="center"/>
                </w:tcPr>
                <w:p w14:paraId="65D6A4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一楼</w:t>
                  </w:r>
                </w:p>
              </w:tc>
              <w:tc>
                <w:tcPr>
                  <w:tcW w:w="2833" w:type="pct"/>
                  <w:tcBorders>
                    <w:tl2br w:val="nil"/>
                    <w:tr2bl w:val="nil"/>
                  </w:tcBorders>
                  <w:noWrap w:val="0"/>
                  <w:vAlign w:val="center"/>
                </w:tcPr>
                <w:p w14:paraId="17FD58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主要布设：B超、心电图室</w:t>
                  </w:r>
                </w:p>
              </w:tc>
            </w:tr>
            <w:tr w14:paraId="03A4E6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4D3CE5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477" w:type="pct"/>
                  <w:vMerge w:val="continue"/>
                  <w:tcBorders>
                    <w:tl2br w:val="nil"/>
                    <w:tr2bl w:val="nil"/>
                  </w:tcBorders>
                  <w:noWrap w:val="0"/>
                  <w:vAlign w:val="center"/>
                </w:tcPr>
                <w:p w14:paraId="117BB4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p>
              </w:tc>
              <w:tc>
                <w:tcPr>
                  <w:tcW w:w="778" w:type="pct"/>
                  <w:vMerge w:val="continue"/>
                  <w:tcBorders>
                    <w:tl2br w:val="nil"/>
                    <w:tr2bl w:val="nil"/>
                  </w:tcBorders>
                  <w:noWrap w:val="0"/>
                  <w:vAlign w:val="center"/>
                </w:tcPr>
                <w:p w14:paraId="4DF4FE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p>
              </w:tc>
              <w:tc>
                <w:tcPr>
                  <w:tcW w:w="449" w:type="pct"/>
                  <w:tcBorders>
                    <w:tl2br w:val="nil"/>
                    <w:tr2bl w:val="nil"/>
                  </w:tcBorders>
                  <w:noWrap w:val="0"/>
                  <w:vAlign w:val="center"/>
                </w:tcPr>
                <w:p w14:paraId="4F9154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二楼</w:t>
                  </w:r>
                </w:p>
              </w:tc>
              <w:tc>
                <w:tcPr>
                  <w:tcW w:w="2833" w:type="pct"/>
                  <w:tcBorders>
                    <w:tl2br w:val="nil"/>
                    <w:tr2bl w:val="nil"/>
                  </w:tcBorders>
                  <w:noWrap w:val="0"/>
                  <w:vAlign w:val="center"/>
                </w:tcPr>
                <w:p w14:paraId="2DE9D3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主要布设：宿舍</w:t>
                  </w:r>
                </w:p>
              </w:tc>
            </w:tr>
            <w:tr w14:paraId="432FA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l2br w:val="nil"/>
                    <w:tr2bl w:val="nil"/>
                  </w:tcBorders>
                  <w:noWrap w:val="0"/>
                  <w:vAlign w:val="center"/>
                </w:tcPr>
                <w:p w14:paraId="7B4E52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lang w:val="en-US" w:eastAsia="zh-CN"/>
                    </w:rPr>
                  </w:pPr>
                  <w:r>
                    <w:rPr>
                      <w:rFonts w:hint="eastAsia" w:ascii="Times New Roman" w:hAnsi="Times New Roman" w:eastAsia="宋体" w:cs="Times New Roman"/>
                      <w:b w:val="0"/>
                      <w:bCs w:val="0"/>
                      <w:color w:val="000000" w:themeColor="text1"/>
                      <w:sz w:val="21"/>
                      <w:szCs w:val="21"/>
                      <w:u w:val="single" w:color="auto"/>
                      <w:lang w:val="en-US" w:eastAsia="zh-CN"/>
                      <w14:textFill>
                        <w14:solidFill>
                          <w14:schemeClr w14:val="tx1"/>
                        </w14:solidFill>
                      </w14:textFill>
                    </w:rPr>
                    <w:t>辅助工程</w:t>
                  </w:r>
                </w:p>
              </w:tc>
              <w:tc>
                <w:tcPr>
                  <w:tcW w:w="1705" w:type="pct"/>
                  <w:gridSpan w:val="3"/>
                  <w:tcBorders>
                    <w:tl2br w:val="nil"/>
                    <w:tr2bl w:val="nil"/>
                  </w:tcBorders>
                  <w:noWrap w:val="0"/>
                  <w:vAlign w:val="center"/>
                </w:tcPr>
                <w:p w14:paraId="3EBD68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食堂</w:t>
                  </w:r>
                </w:p>
              </w:tc>
              <w:tc>
                <w:tcPr>
                  <w:tcW w:w="2833" w:type="pct"/>
                  <w:tcBorders>
                    <w:tl2br w:val="nil"/>
                    <w:tr2bl w:val="nil"/>
                  </w:tcBorders>
                  <w:noWrap w:val="0"/>
                  <w:vAlign w:val="center"/>
                </w:tcPr>
                <w:p w14:paraId="69C235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位于2#综合楼2层，建筑面积15m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14:paraId="19C76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634A7D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14:paraId="684E08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default" w:cs="Times New Roman"/>
                      <w:b w:val="0"/>
                      <w:bCs w:val="0"/>
                      <w:color w:val="000000" w:themeColor="text1"/>
                      <w:sz w:val="21"/>
                      <w:szCs w:val="21"/>
                      <w:u w:val="single" w:color="auto"/>
                      <w:lang w:val="en-US" w:eastAsia="zh-CN"/>
                      <w14:textFill>
                        <w14:solidFill>
                          <w14:schemeClr w14:val="tx1"/>
                        </w14:solidFill>
                      </w14:textFill>
                    </w:rPr>
                    <w:t>医废暂存间</w:t>
                  </w:r>
                </w:p>
              </w:tc>
              <w:tc>
                <w:tcPr>
                  <w:tcW w:w="2833" w:type="pct"/>
                  <w:tcBorders>
                    <w:tl2br w:val="nil"/>
                    <w:tr2bl w:val="nil"/>
                  </w:tcBorders>
                  <w:noWrap w:val="0"/>
                  <w:vAlign w:val="center"/>
                </w:tcPr>
                <w:p w14:paraId="0D2599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位于3#综合楼北侧，建筑面积10m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14:paraId="7EA1D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3837B2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FF0000"/>
                      <w:sz w:val="21"/>
                      <w:szCs w:val="21"/>
                      <w:u w:val="single" w:color="auto"/>
                    </w:rPr>
                  </w:pPr>
                </w:p>
              </w:tc>
              <w:tc>
                <w:tcPr>
                  <w:tcW w:w="1705" w:type="pct"/>
                  <w:gridSpan w:val="3"/>
                  <w:tcBorders>
                    <w:tl2br w:val="nil"/>
                    <w:tr2bl w:val="nil"/>
                  </w:tcBorders>
                  <w:noWrap w:val="0"/>
                  <w:vAlign w:val="center"/>
                </w:tcPr>
                <w:p w14:paraId="678B02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污水处理站加药间</w:t>
                  </w:r>
                </w:p>
              </w:tc>
              <w:tc>
                <w:tcPr>
                  <w:tcW w:w="2833" w:type="pct"/>
                  <w:tcBorders>
                    <w:tl2br w:val="nil"/>
                    <w:tr2bl w:val="nil"/>
                  </w:tcBorders>
                  <w:noWrap w:val="0"/>
                  <w:vAlign w:val="center"/>
                </w:tcPr>
                <w:p w14:paraId="05A84F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位于2#综合楼1层，建筑面积5m</w:t>
                  </w:r>
                  <w:r>
                    <w:rPr>
                      <w:rFonts w:hint="eastAsia" w:cs="Times New Roman"/>
                      <w:b w:val="0"/>
                      <w:bCs w:val="0"/>
                      <w:color w:val="000000" w:themeColor="text1"/>
                      <w:sz w:val="21"/>
                      <w:szCs w:val="21"/>
                      <w:u w:val="single" w:color="auto"/>
                      <w:vertAlign w:val="superscript"/>
                      <w:lang w:val="en-US" w:eastAsia="zh-CN"/>
                      <w14:textFill>
                        <w14:solidFill>
                          <w14:schemeClr w14:val="tx1"/>
                        </w14:solidFill>
                      </w14:textFill>
                    </w:rPr>
                    <w:t>2</w:t>
                  </w:r>
                </w:p>
              </w:tc>
            </w:tr>
            <w:tr w14:paraId="38138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l2br w:val="nil"/>
                    <w:tr2bl w:val="nil"/>
                  </w:tcBorders>
                  <w:noWrap w:val="0"/>
                  <w:vAlign w:val="center"/>
                </w:tcPr>
                <w:p w14:paraId="66D22F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公用工程</w:t>
                  </w:r>
                </w:p>
              </w:tc>
              <w:tc>
                <w:tcPr>
                  <w:tcW w:w="477" w:type="pct"/>
                  <w:tcBorders>
                    <w:tl2br w:val="nil"/>
                    <w:tr2bl w:val="nil"/>
                  </w:tcBorders>
                  <w:noWrap w:val="0"/>
                  <w:vAlign w:val="center"/>
                </w:tcPr>
                <w:p w14:paraId="32A7F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供水</w:t>
                  </w:r>
                </w:p>
              </w:tc>
              <w:tc>
                <w:tcPr>
                  <w:tcW w:w="4061" w:type="pct"/>
                  <w:gridSpan w:val="3"/>
                  <w:tcBorders>
                    <w:tl2br w:val="nil"/>
                    <w:tr2bl w:val="nil"/>
                  </w:tcBorders>
                  <w:noWrap w:val="0"/>
                  <w:vAlign w:val="center"/>
                </w:tcPr>
                <w:p w14:paraId="47D813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由</w:t>
                  </w:r>
                  <w:r>
                    <w:rPr>
                      <w:rFonts w:hint="eastAsia" w:cs="Times New Roman"/>
                      <w:b w:val="0"/>
                      <w:bCs w:val="0"/>
                      <w:color w:val="auto"/>
                      <w:sz w:val="21"/>
                      <w:szCs w:val="21"/>
                      <w:u w:val="single" w:color="auto"/>
                      <w:lang w:eastAsia="zh-CN"/>
                    </w:rPr>
                    <w:t>新田县</w:t>
                  </w:r>
                  <w:r>
                    <w:rPr>
                      <w:rFonts w:hint="eastAsia" w:cs="Times New Roman"/>
                      <w:b w:val="0"/>
                      <w:bCs w:val="0"/>
                      <w:color w:val="auto"/>
                      <w:sz w:val="21"/>
                      <w:szCs w:val="21"/>
                      <w:u w:val="single" w:color="auto"/>
                      <w:lang w:val="en-US" w:eastAsia="zh-CN"/>
                    </w:rPr>
                    <w:t>三井镇</w:t>
                  </w:r>
                  <w:r>
                    <w:rPr>
                      <w:rFonts w:hint="default" w:ascii="Times New Roman" w:hAnsi="Times New Roman" w:eastAsia="宋体" w:cs="Times New Roman"/>
                      <w:b w:val="0"/>
                      <w:bCs w:val="0"/>
                      <w:color w:val="auto"/>
                      <w:sz w:val="21"/>
                      <w:szCs w:val="21"/>
                      <w:u w:val="single" w:color="auto"/>
                    </w:rPr>
                    <w:t>供水管网引入</w:t>
                  </w:r>
                </w:p>
              </w:tc>
            </w:tr>
            <w:tr w14:paraId="3E70CA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497AE0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14:paraId="299AC1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r>
                    <w:rPr>
                      <w:rFonts w:hint="eastAsia" w:ascii="Times New Roman" w:hAnsi="Times New Roman" w:eastAsia="宋体" w:cs="Times New Roman"/>
                      <w:b w:val="0"/>
                      <w:bCs w:val="0"/>
                      <w:color w:val="auto"/>
                      <w:sz w:val="21"/>
                      <w:szCs w:val="21"/>
                      <w:u w:val="single" w:color="auto"/>
                      <w:lang w:eastAsia="zh-CN"/>
                    </w:rPr>
                    <w:t>排水</w:t>
                  </w:r>
                </w:p>
              </w:tc>
              <w:tc>
                <w:tcPr>
                  <w:tcW w:w="778" w:type="pct"/>
                  <w:tcBorders>
                    <w:tl2br w:val="nil"/>
                    <w:tr2bl w:val="nil"/>
                  </w:tcBorders>
                  <w:noWrap w:val="0"/>
                  <w:vAlign w:val="center"/>
                </w:tcPr>
                <w:p w14:paraId="0B24C3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排水方式</w:t>
                  </w:r>
                </w:p>
              </w:tc>
              <w:tc>
                <w:tcPr>
                  <w:tcW w:w="3283" w:type="pct"/>
                  <w:gridSpan w:val="2"/>
                  <w:tcBorders>
                    <w:tl2br w:val="nil"/>
                    <w:tr2bl w:val="nil"/>
                  </w:tcBorders>
                  <w:noWrap w:val="0"/>
                  <w:vAlign w:val="center"/>
                </w:tcPr>
                <w:p w14:paraId="1E8CBC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pPr>
                  <w:r>
                    <w:rPr>
                      <w:rFonts w:hint="eastAsia" w:ascii="Times New Roman" w:hAnsi="Times New Roman" w:eastAsia="宋体" w:cs="Times New Roman"/>
                      <w:b w:val="0"/>
                      <w:bCs w:val="0"/>
                      <w:color w:val="auto"/>
                      <w:kern w:val="0"/>
                      <w:sz w:val="21"/>
                      <w:szCs w:val="21"/>
                      <w:highlight w:val="none"/>
                      <w:u w:val="single" w:color="auto"/>
                      <w:vertAlign w:val="baseline"/>
                      <w:lang w:val="en-US" w:eastAsia="zh-CN"/>
                    </w:rPr>
                    <w:t>排水实行雨污分流制。</w:t>
                  </w:r>
                </w:p>
              </w:tc>
            </w:tr>
            <w:tr w14:paraId="32140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5BBAAD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19A5E4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78" w:type="pct"/>
                  <w:tcBorders>
                    <w:tl2br w:val="nil"/>
                    <w:tr2bl w:val="nil"/>
                  </w:tcBorders>
                  <w:noWrap w:val="0"/>
                  <w:vAlign w:val="center"/>
                </w:tcPr>
                <w:p w14:paraId="330DE4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雨水</w:t>
                  </w:r>
                </w:p>
              </w:tc>
              <w:tc>
                <w:tcPr>
                  <w:tcW w:w="3283" w:type="pct"/>
                  <w:gridSpan w:val="2"/>
                  <w:tcBorders>
                    <w:tl2br w:val="nil"/>
                    <w:tr2bl w:val="nil"/>
                  </w:tcBorders>
                  <w:noWrap w:val="0"/>
                  <w:vAlign w:val="center"/>
                </w:tcPr>
                <w:p w14:paraId="3541E8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kern w:val="0"/>
                      <w:sz w:val="21"/>
                      <w:szCs w:val="21"/>
                      <w:highlight w:val="none"/>
                      <w:u w:val="single" w:color="auto"/>
                      <w:lang w:val="en-US" w:eastAsia="zh-CN"/>
                    </w:rPr>
                    <w:t>雨水排入</w:t>
                  </w:r>
                  <w:r>
                    <w:rPr>
                      <w:rFonts w:hint="eastAsia" w:cs="Times New Roman"/>
                      <w:b w:val="0"/>
                      <w:bCs w:val="0"/>
                      <w:color w:val="auto"/>
                      <w:kern w:val="0"/>
                      <w:sz w:val="21"/>
                      <w:szCs w:val="21"/>
                      <w:highlight w:val="none"/>
                      <w:u w:val="single" w:color="auto"/>
                      <w:lang w:val="en-US" w:eastAsia="zh-CN"/>
                    </w:rPr>
                    <w:t>城镇</w:t>
                  </w:r>
                  <w:r>
                    <w:rPr>
                      <w:rFonts w:hint="default" w:ascii="Times New Roman" w:hAnsi="Times New Roman" w:eastAsia="宋体" w:cs="Times New Roman"/>
                      <w:b w:val="0"/>
                      <w:bCs w:val="0"/>
                      <w:color w:val="auto"/>
                      <w:kern w:val="0"/>
                      <w:sz w:val="21"/>
                      <w:szCs w:val="21"/>
                      <w:highlight w:val="none"/>
                      <w:u w:val="single" w:color="auto"/>
                      <w:lang w:val="en-US" w:eastAsia="zh-CN"/>
                    </w:rPr>
                    <w:t>雨水</w:t>
                  </w:r>
                  <w:r>
                    <w:rPr>
                      <w:rFonts w:hint="eastAsia" w:cs="Times New Roman"/>
                      <w:b w:val="0"/>
                      <w:bCs w:val="0"/>
                      <w:color w:val="auto"/>
                      <w:kern w:val="0"/>
                      <w:sz w:val="21"/>
                      <w:szCs w:val="21"/>
                      <w:highlight w:val="none"/>
                      <w:u w:val="single" w:color="auto"/>
                      <w:lang w:val="en-US" w:eastAsia="zh-CN"/>
                    </w:rPr>
                    <w:t>沟</w:t>
                  </w:r>
                </w:p>
              </w:tc>
            </w:tr>
            <w:tr w14:paraId="1A10A6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60EEC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0B4034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eastAsia="zh-CN"/>
                    </w:rPr>
                  </w:pPr>
                </w:p>
              </w:tc>
              <w:tc>
                <w:tcPr>
                  <w:tcW w:w="778" w:type="pct"/>
                  <w:tcBorders>
                    <w:tl2br w:val="nil"/>
                    <w:tr2bl w:val="nil"/>
                  </w:tcBorders>
                  <w:noWrap w:val="0"/>
                  <w:vAlign w:val="center"/>
                </w:tcPr>
                <w:p w14:paraId="274F84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u w:val="single" w:color="auto"/>
                      <w:lang w:val="en-US" w:eastAsia="zh-CN"/>
                    </w:rPr>
                    <w:t>废水</w:t>
                  </w:r>
                </w:p>
              </w:tc>
              <w:tc>
                <w:tcPr>
                  <w:tcW w:w="3283" w:type="pct"/>
                  <w:gridSpan w:val="2"/>
                  <w:tcBorders>
                    <w:tl2br w:val="nil"/>
                    <w:tr2bl w:val="nil"/>
                  </w:tcBorders>
                  <w:noWrap w:val="0"/>
                  <w:vAlign w:val="center"/>
                </w:tcPr>
                <w:p w14:paraId="31319D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经</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化粪池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污水管网接入污水处理厂深度处理，尾水排入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新田河支流油麻岭河。</w:t>
                  </w:r>
                </w:p>
              </w:tc>
            </w:tr>
            <w:tr w14:paraId="0AC55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1423A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14:paraId="2CC984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供电</w:t>
                  </w:r>
                </w:p>
              </w:tc>
              <w:tc>
                <w:tcPr>
                  <w:tcW w:w="4061" w:type="pct"/>
                  <w:gridSpan w:val="3"/>
                  <w:tcBorders>
                    <w:tl2br w:val="nil"/>
                    <w:tr2bl w:val="nil"/>
                  </w:tcBorders>
                  <w:noWrap w:val="0"/>
                  <w:vAlign w:val="center"/>
                </w:tcPr>
                <w:p w14:paraId="3F7B8F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eastAsia" w:cs="Times New Roman"/>
                      <w:b w:val="0"/>
                      <w:bCs w:val="0"/>
                      <w:color w:val="auto"/>
                      <w:sz w:val="21"/>
                      <w:szCs w:val="21"/>
                      <w:u w:val="single" w:color="auto"/>
                      <w:lang w:val="en-US" w:eastAsia="zh-CN"/>
                    </w:rPr>
                    <w:t>由城镇</w:t>
                  </w:r>
                  <w:r>
                    <w:rPr>
                      <w:rFonts w:hint="default" w:ascii="Times New Roman" w:hAnsi="Times New Roman" w:eastAsia="宋体" w:cs="Times New Roman"/>
                      <w:b w:val="0"/>
                      <w:bCs w:val="0"/>
                      <w:color w:val="auto"/>
                      <w:sz w:val="21"/>
                      <w:szCs w:val="21"/>
                      <w:u w:val="single" w:color="auto"/>
                      <w:lang w:val="en-US" w:eastAsia="zh-CN"/>
                    </w:rPr>
                    <w:t>供电管网</w:t>
                  </w:r>
                  <w:r>
                    <w:rPr>
                      <w:rFonts w:hint="eastAsia" w:cs="Times New Roman"/>
                      <w:b w:val="0"/>
                      <w:bCs w:val="0"/>
                      <w:color w:val="auto"/>
                      <w:sz w:val="21"/>
                      <w:szCs w:val="21"/>
                      <w:u w:val="single" w:color="auto"/>
                      <w:lang w:val="en-US" w:eastAsia="zh-CN"/>
                    </w:rPr>
                    <w:t>供给</w:t>
                  </w:r>
                </w:p>
              </w:tc>
            </w:tr>
            <w:tr w14:paraId="4F315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restart"/>
                  <w:tcBorders>
                    <w:tl2br w:val="nil"/>
                    <w:tr2bl w:val="nil"/>
                  </w:tcBorders>
                  <w:noWrap w:val="0"/>
                  <w:vAlign w:val="center"/>
                </w:tcPr>
                <w:p w14:paraId="77E34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环保工程</w:t>
                  </w:r>
                </w:p>
              </w:tc>
              <w:tc>
                <w:tcPr>
                  <w:tcW w:w="477" w:type="pct"/>
                  <w:tcBorders>
                    <w:tl2br w:val="nil"/>
                    <w:tr2bl w:val="nil"/>
                  </w:tcBorders>
                  <w:noWrap w:val="0"/>
                  <w:vAlign w:val="center"/>
                </w:tcPr>
                <w:p w14:paraId="0255D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废水治理</w:t>
                  </w:r>
                </w:p>
              </w:tc>
              <w:tc>
                <w:tcPr>
                  <w:tcW w:w="4061" w:type="pct"/>
                  <w:gridSpan w:val="3"/>
                  <w:tcBorders>
                    <w:tl2br w:val="nil"/>
                    <w:tr2bl w:val="nil"/>
                  </w:tcBorders>
                  <w:noWrap w:val="0"/>
                  <w:vAlign w:val="center"/>
                </w:tcPr>
                <w:p w14:paraId="12FC1B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b w:val="0"/>
                      <w:bCs w:val="0"/>
                      <w:color w:val="auto"/>
                      <w:sz w:val="21"/>
                      <w:szCs w:val="21"/>
                      <w:highlight w:val="none"/>
                      <w:u w:val="single" w:color="auto"/>
                      <w:lang w:val="en-US" w:eastAsia="zh-CN"/>
                    </w:rPr>
                  </w:pP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生活污水和</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医疗废水</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经</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化粪池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自建污水处理站（调节池</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+沉淀池</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+消毒池（活性氧））处理后由</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城镇</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污水管网接入</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三井镇污水处理厂</w:t>
                  </w:r>
                  <w:r>
                    <w:rPr>
                      <w:rFonts w:hint="eastAsia" w:ascii="Times New Roman" w:hAnsi="Times New Roman" w:eastAsia="宋体" w:cs="Times New Roman"/>
                      <w:b w:val="0"/>
                      <w:bCs w:val="0"/>
                      <w:color w:val="000000" w:themeColor="text1"/>
                      <w:kern w:val="0"/>
                      <w:sz w:val="21"/>
                      <w:szCs w:val="21"/>
                      <w:highlight w:val="none"/>
                      <w:u w:val="single" w:color="auto"/>
                      <w:lang w:val="en-US" w:eastAsia="zh-CN"/>
                      <w14:textFill>
                        <w14:solidFill>
                          <w14:schemeClr w14:val="tx1"/>
                        </w14:solidFill>
                      </w14:textFill>
                    </w:rPr>
                    <w:t>深度处理</w:t>
                  </w:r>
                  <w:r>
                    <w:rPr>
                      <w:rFonts w:hint="eastAsia" w:cs="Times New Roman"/>
                      <w:b w:val="0"/>
                      <w:bCs w:val="0"/>
                      <w:color w:val="000000" w:themeColor="text1"/>
                      <w:kern w:val="0"/>
                      <w:sz w:val="21"/>
                      <w:szCs w:val="21"/>
                      <w:highlight w:val="none"/>
                      <w:u w:val="single" w:color="auto"/>
                      <w:lang w:val="en-US" w:eastAsia="zh-CN"/>
                      <w14:textFill>
                        <w14:solidFill>
                          <w14:schemeClr w14:val="tx1"/>
                        </w14:solidFill>
                      </w14:textFill>
                    </w:rPr>
                    <w:t>。</w:t>
                  </w:r>
                </w:p>
              </w:tc>
            </w:tr>
            <w:tr w14:paraId="0C01F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1AB13D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14:paraId="5861B5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废气治理</w:t>
                  </w:r>
                </w:p>
              </w:tc>
              <w:tc>
                <w:tcPr>
                  <w:tcW w:w="4061" w:type="pct"/>
                  <w:gridSpan w:val="3"/>
                  <w:tcBorders>
                    <w:tl2br w:val="nil"/>
                    <w:tr2bl w:val="nil"/>
                  </w:tcBorders>
                  <w:noWrap w:val="0"/>
                  <w:vAlign w:val="center"/>
                </w:tcPr>
                <w:p w14:paraId="21873BF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医疗废物暂存间异味通过设置封闭房间、加强清洁及消毒来减少对周边环境的影响</w:t>
                  </w:r>
                </w:p>
              </w:tc>
            </w:tr>
            <w:tr w14:paraId="5662B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35A7C2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614958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061" w:type="pct"/>
                  <w:gridSpan w:val="3"/>
                  <w:tcBorders>
                    <w:tl2br w:val="nil"/>
                    <w:tr2bl w:val="nil"/>
                  </w:tcBorders>
                  <w:noWrap w:val="0"/>
                  <w:vAlign w:val="center"/>
                </w:tcPr>
                <w:p w14:paraId="5CDEC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highlight w:val="none"/>
                      <w:u w:val="single" w:color="auto"/>
                      <w:lang w:val="en-US" w:eastAsia="zh-CN"/>
                    </w:rPr>
                    <w:t>污水处理站为</w:t>
                  </w:r>
                  <w:r>
                    <w:rPr>
                      <w:rFonts w:hint="eastAsia" w:cs="Times New Roman"/>
                      <w:color w:val="000000" w:themeColor="text1"/>
                      <w:sz w:val="21"/>
                      <w:szCs w:val="21"/>
                      <w:u w:val="single" w:color="auto"/>
                      <w:lang w:val="en-US" w:eastAsia="zh-CN"/>
                      <w14:textFill>
                        <w14:solidFill>
                          <w14:schemeClr w14:val="tx1"/>
                        </w14:solidFill>
                      </w14:textFill>
                    </w:rPr>
                    <w:t>地埋式，通过</w:t>
                  </w:r>
                  <w:r>
                    <w:rPr>
                      <w:rFonts w:hint="default" w:ascii="Times New Roman" w:hAnsi="Times New Roman" w:cs="Times New Roman"/>
                      <w:color w:val="000000" w:themeColor="text1"/>
                      <w:sz w:val="21"/>
                      <w:szCs w:val="21"/>
                      <w:u w:val="single" w:color="auto"/>
                      <w14:textFill>
                        <w14:solidFill>
                          <w14:schemeClr w14:val="tx1"/>
                        </w14:solidFill>
                      </w14:textFill>
                    </w:rPr>
                    <w:t>密闭</w:t>
                  </w:r>
                  <w:r>
                    <w:rPr>
                      <w:rFonts w:hint="eastAsia" w:cs="Times New Roman"/>
                      <w:color w:val="000000" w:themeColor="text1"/>
                      <w:sz w:val="21"/>
                      <w:szCs w:val="21"/>
                      <w:u w:val="single" w:color="auto"/>
                      <w:lang w:eastAsia="zh-CN"/>
                      <w14:textFill>
                        <w14:solidFill>
                          <w14:schemeClr w14:val="tx1"/>
                        </w14:solidFill>
                      </w14:textFill>
                    </w:rPr>
                    <w:t>加盖</w:t>
                  </w:r>
                  <w:r>
                    <w:rPr>
                      <w:rFonts w:hint="eastAsia"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1"/>
                      <w:szCs w:val="21"/>
                      <w:highlight w:val="none"/>
                      <w:u w:val="single" w:color="auto"/>
                      <w:lang w:val="en-US" w:eastAsia="zh-CN"/>
                    </w:rPr>
                    <w:t>加强污水处理站周边绿化等措施，恶臭气体对周边环境的影响较小。</w:t>
                  </w:r>
                </w:p>
              </w:tc>
            </w:tr>
            <w:tr w14:paraId="3340B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1D0414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tcBorders>
                    <w:tl2br w:val="nil"/>
                    <w:tr2bl w:val="nil"/>
                  </w:tcBorders>
                  <w:noWrap w:val="0"/>
                  <w:vAlign w:val="center"/>
                </w:tcPr>
                <w:p w14:paraId="2A200D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噪声治理</w:t>
                  </w:r>
                </w:p>
              </w:tc>
              <w:tc>
                <w:tcPr>
                  <w:tcW w:w="4061" w:type="pct"/>
                  <w:gridSpan w:val="3"/>
                  <w:tcBorders>
                    <w:tl2br w:val="nil"/>
                    <w:tr2bl w:val="nil"/>
                  </w:tcBorders>
                  <w:noWrap w:val="0"/>
                  <w:vAlign w:val="center"/>
                </w:tcPr>
                <w:p w14:paraId="6EF7A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选</w:t>
                  </w:r>
                  <w:r>
                    <w:rPr>
                      <w:rFonts w:hint="default" w:ascii="Times New Roman" w:hAnsi="Times New Roman" w:eastAsia="宋体" w:cs="Times New Roman"/>
                      <w:b w:val="0"/>
                      <w:bCs w:val="0"/>
                      <w:color w:val="auto"/>
                      <w:sz w:val="21"/>
                      <w:szCs w:val="21"/>
                      <w:highlight w:val="none"/>
                      <w:u w:val="single" w:color="auto"/>
                    </w:rPr>
                    <w:t>合理布局，选用低噪音设备，采取减振隔声措施，加强设备维护等措施。</w:t>
                  </w:r>
                </w:p>
              </w:tc>
            </w:tr>
            <w:tr w14:paraId="60517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79C166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restart"/>
                  <w:tcBorders>
                    <w:tl2br w:val="nil"/>
                    <w:tr2bl w:val="nil"/>
                  </w:tcBorders>
                  <w:noWrap w:val="0"/>
                  <w:vAlign w:val="center"/>
                </w:tcPr>
                <w:p w14:paraId="542627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r>
                    <w:rPr>
                      <w:rFonts w:hint="default" w:ascii="Times New Roman" w:hAnsi="Times New Roman" w:eastAsia="宋体" w:cs="Times New Roman"/>
                      <w:b w:val="0"/>
                      <w:bCs w:val="0"/>
                      <w:color w:val="auto"/>
                      <w:sz w:val="21"/>
                      <w:szCs w:val="21"/>
                      <w:u w:val="single" w:color="auto"/>
                    </w:rPr>
                    <w:t>固废治理</w:t>
                  </w:r>
                </w:p>
              </w:tc>
              <w:tc>
                <w:tcPr>
                  <w:tcW w:w="778" w:type="pct"/>
                  <w:tcBorders>
                    <w:tl2br w:val="nil"/>
                    <w:tr2bl w:val="nil"/>
                  </w:tcBorders>
                  <w:noWrap w:val="0"/>
                  <w:vAlign w:val="center"/>
                </w:tcPr>
                <w:p w14:paraId="53329F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eastAsia="宋体" w:cs="Times New Roman"/>
                      <w:b w:val="0"/>
                      <w:bCs w:val="0"/>
                      <w:color w:val="auto"/>
                      <w:sz w:val="21"/>
                      <w:szCs w:val="21"/>
                      <w:u w:val="single" w:color="auto"/>
                      <w:lang w:val="en-US" w:eastAsia="zh-CN"/>
                    </w:rPr>
                    <w:t>生活垃圾</w:t>
                  </w:r>
                </w:p>
              </w:tc>
              <w:tc>
                <w:tcPr>
                  <w:tcW w:w="3283" w:type="pct"/>
                  <w:gridSpan w:val="2"/>
                  <w:tcBorders>
                    <w:tl2br w:val="nil"/>
                    <w:tr2bl w:val="nil"/>
                  </w:tcBorders>
                  <w:noWrap w:val="0"/>
                  <w:vAlign w:val="center"/>
                </w:tcPr>
                <w:p w14:paraId="7E83EE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lang w:val="en-US" w:eastAsia="zh-CN"/>
                    </w:rPr>
                  </w:pPr>
                  <w:r>
                    <w:rPr>
                      <w:rFonts w:hint="default" w:ascii="Times New Roman" w:hAnsi="Times New Roman" w:cs="Times New Roman"/>
                      <w:color w:val="auto"/>
                      <w:sz w:val="21"/>
                      <w:szCs w:val="21"/>
                      <w:u w:val="single" w:color="auto"/>
                      <w:lang w:val="en-US"/>
                    </w:rPr>
                    <w:t>生活垃圾由垃圾桶收集</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交由</w:t>
                  </w:r>
                  <w:r>
                    <w:rPr>
                      <w:rFonts w:hint="eastAsia" w:ascii="Times New Roman" w:hAnsi="Times New Roman" w:cs="Times New Roman"/>
                      <w:color w:val="auto"/>
                      <w:sz w:val="21"/>
                      <w:szCs w:val="21"/>
                      <w:u w:val="single" w:color="auto"/>
                      <w:lang w:val="en-US" w:eastAsia="zh-CN"/>
                    </w:rPr>
                    <w:t>环卫部门统一清运处置。</w:t>
                  </w:r>
                </w:p>
              </w:tc>
            </w:tr>
            <w:tr w14:paraId="30CFB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3E082E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03EF6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78" w:type="pct"/>
                  <w:tcBorders>
                    <w:tl2br w:val="nil"/>
                    <w:tr2bl w:val="nil"/>
                  </w:tcBorders>
                  <w:noWrap w:val="0"/>
                  <w:vAlign w:val="center"/>
                </w:tcPr>
                <w:p w14:paraId="0D84D1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医疗废物暂存间</w:t>
                  </w:r>
                </w:p>
              </w:tc>
              <w:tc>
                <w:tcPr>
                  <w:tcW w:w="3283" w:type="pct"/>
                  <w:gridSpan w:val="2"/>
                  <w:tcBorders>
                    <w:tl2br w:val="nil"/>
                    <w:tr2bl w:val="nil"/>
                  </w:tcBorders>
                  <w:noWrap w:val="0"/>
                  <w:vAlign w:val="center"/>
                </w:tcPr>
                <w:p w14:paraId="30F5E4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cs="Times New Roman"/>
                      <w:color w:val="auto"/>
                      <w:sz w:val="21"/>
                      <w:szCs w:val="21"/>
                      <w:u w:val="single" w:color="auto"/>
                      <w:lang w:val="en-US"/>
                    </w:rPr>
                    <w:t>医疗废物</w:t>
                  </w:r>
                  <w:r>
                    <w:rPr>
                      <w:rFonts w:hint="eastAsia" w:ascii="Times New Roman" w:hAnsi="Times New Roman" w:cs="Times New Roman"/>
                      <w:color w:val="auto"/>
                      <w:sz w:val="21"/>
                      <w:szCs w:val="21"/>
                      <w:u w:val="single" w:color="auto"/>
                      <w:lang w:val="en-US" w:eastAsia="zh-CN"/>
                    </w:rPr>
                    <w:t>经分类收集后</w:t>
                  </w:r>
                  <w:r>
                    <w:rPr>
                      <w:rFonts w:hint="default" w:ascii="Times New Roman" w:hAnsi="Times New Roman" w:cs="Times New Roman"/>
                      <w:color w:val="auto"/>
                      <w:sz w:val="21"/>
                      <w:szCs w:val="21"/>
                      <w:u w:val="single" w:color="auto"/>
                      <w:lang w:val="en-US" w:eastAsia="zh-CN"/>
                    </w:rPr>
                    <w:t>交由有资质单位处置</w:t>
                  </w:r>
                  <w:r>
                    <w:rPr>
                      <w:rFonts w:hint="eastAsia" w:ascii="Times New Roman" w:hAnsi="Times New Roman" w:cs="Times New Roman"/>
                      <w:color w:val="auto"/>
                      <w:sz w:val="21"/>
                      <w:szCs w:val="21"/>
                      <w:u w:val="single" w:color="auto"/>
                      <w:lang w:val="en-US" w:eastAsia="zh-CN"/>
                    </w:rPr>
                    <w:t>；</w:t>
                  </w:r>
                  <w:r>
                    <w:rPr>
                      <w:rFonts w:hint="default" w:ascii="Times New Roman" w:hAnsi="Times New Roman" w:cs="Times New Roman"/>
                      <w:color w:val="auto"/>
                      <w:sz w:val="21"/>
                      <w:szCs w:val="21"/>
                      <w:u w:val="single" w:color="auto"/>
                      <w:lang w:val="en-US"/>
                    </w:rPr>
                    <w:t>废水处理站污泥</w:t>
                  </w:r>
                  <w:r>
                    <w:rPr>
                      <w:rFonts w:hint="eastAsia" w:ascii="Times New Roman" w:hAnsi="Times New Roman" w:cs="Times New Roman"/>
                      <w:color w:val="auto"/>
                      <w:sz w:val="21"/>
                      <w:szCs w:val="21"/>
                      <w:u w:val="single" w:color="auto"/>
                      <w:lang w:val="en-US" w:eastAsia="zh-CN"/>
                    </w:rPr>
                    <w:t>经收集</w:t>
                  </w:r>
                  <w:r>
                    <w:rPr>
                      <w:rFonts w:hint="eastAsia" w:cs="Times New Roman"/>
                      <w:color w:val="auto"/>
                      <w:sz w:val="21"/>
                      <w:szCs w:val="21"/>
                      <w:u w:val="single" w:color="auto"/>
                      <w:lang w:val="en-US" w:eastAsia="zh-CN"/>
                    </w:rPr>
                    <w:t>消毒</w:t>
                  </w:r>
                  <w:r>
                    <w:rPr>
                      <w:rFonts w:hint="eastAsia" w:ascii="Times New Roman" w:hAnsi="Times New Roman" w:cs="Times New Roman"/>
                      <w:color w:val="auto"/>
                      <w:sz w:val="21"/>
                      <w:szCs w:val="21"/>
                      <w:u w:val="single" w:color="auto"/>
                      <w:lang w:val="en-US" w:eastAsia="zh-CN"/>
                    </w:rPr>
                    <w:t>后，</w:t>
                  </w:r>
                  <w:r>
                    <w:rPr>
                      <w:rFonts w:hint="default" w:ascii="Times New Roman" w:hAnsi="Times New Roman" w:cs="Times New Roman"/>
                      <w:color w:val="auto"/>
                      <w:sz w:val="21"/>
                      <w:szCs w:val="21"/>
                      <w:u w:val="single" w:color="auto"/>
                      <w:lang w:val="en-US"/>
                    </w:rPr>
                    <w:t>委托有资质单位处置。</w:t>
                  </w:r>
                </w:p>
              </w:tc>
            </w:tr>
            <w:tr w14:paraId="139CE7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 w:type="pct"/>
                  <w:vMerge w:val="continue"/>
                  <w:tcBorders>
                    <w:tl2br w:val="nil"/>
                    <w:tr2bl w:val="nil"/>
                  </w:tcBorders>
                  <w:noWrap w:val="0"/>
                  <w:vAlign w:val="center"/>
                </w:tcPr>
                <w:p w14:paraId="1435B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477" w:type="pct"/>
                  <w:vMerge w:val="continue"/>
                  <w:tcBorders>
                    <w:tl2br w:val="nil"/>
                    <w:tr2bl w:val="nil"/>
                  </w:tcBorders>
                  <w:noWrap w:val="0"/>
                  <w:vAlign w:val="center"/>
                </w:tcPr>
                <w:p w14:paraId="431764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single" w:color="auto"/>
                    </w:rPr>
                  </w:pPr>
                </w:p>
              </w:tc>
              <w:tc>
                <w:tcPr>
                  <w:tcW w:w="778" w:type="pct"/>
                  <w:tcBorders>
                    <w:tl2br w:val="nil"/>
                    <w:tr2bl w:val="nil"/>
                  </w:tcBorders>
                  <w:noWrap w:val="0"/>
                  <w:vAlign w:val="center"/>
                </w:tcPr>
                <w:p w14:paraId="21C347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ascii="Times New Roman" w:hAnsi="Times New Roman" w:eastAsia="宋体" w:cs="Times New Roman"/>
                      <w:b w:val="0"/>
                      <w:bCs w:val="0"/>
                      <w:color w:val="auto"/>
                      <w:sz w:val="21"/>
                      <w:szCs w:val="21"/>
                      <w:highlight w:val="none"/>
                      <w:u w:val="single" w:color="auto"/>
                      <w:lang w:val="en-US" w:eastAsia="zh-CN"/>
                    </w:rPr>
                    <w:t>一般固废暂存间</w:t>
                  </w:r>
                </w:p>
              </w:tc>
              <w:tc>
                <w:tcPr>
                  <w:tcW w:w="3283" w:type="pct"/>
                  <w:gridSpan w:val="2"/>
                  <w:tcBorders>
                    <w:tl2br w:val="nil"/>
                    <w:tr2bl w:val="nil"/>
                  </w:tcBorders>
                  <w:noWrap w:val="0"/>
                  <w:vAlign w:val="center"/>
                </w:tcPr>
                <w:p w14:paraId="69B155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一般废包装材料暂存于一般固废暂存间</w:t>
                  </w:r>
                  <w:r>
                    <w:rPr>
                      <w:rFonts w:hint="default" w:ascii="Times New Roman" w:hAnsi="Times New Roman" w:cs="Times New Roman"/>
                      <w:color w:val="000000" w:themeColor="text1"/>
                      <w:kern w:val="0"/>
                      <w:sz w:val="21"/>
                      <w:szCs w:val="21"/>
                      <w:u w:val="single" w:color="auto"/>
                      <w14:textFill>
                        <w14:solidFill>
                          <w14:schemeClr w14:val="tx1"/>
                        </w14:solidFill>
                      </w14:textFill>
                    </w:rPr>
                    <w:t>，定期交物资回收公司回收处理。</w:t>
                  </w:r>
                </w:p>
              </w:tc>
            </w:tr>
            <w:tr w14:paraId="1DE7D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l2br w:val="nil"/>
                    <w:tr2bl w:val="nil"/>
                  </w:tcBorders>
                  <w:noWrap w:val="0"/>
                  <w:vAlign w:val="center"/>
                </w:tcPr>
                <w:p w14:paraId="0582F2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u w:val="single" w:color="auto"/>
                      <w:lang w:val="en-US" w:eastAsia="zh-CN"/>
                    </w:rPr>
                  </w:pPr>
                  <w:r>
                    <w:rPr>
                      <w:rFonts w:hint="default" w:ascii="Times New Roman" w:hAnsi="Times New Roman" w:eastAsia="宋体" w:cs="Times New Roman"/>
                      <w:b w:val="0"/>
                      <w:bCs w:val="0"/>
                      <w:color w:val="auto"/>
                      <w:sz w:val="21"/>
                      <w:szCs w:val="21"/>
                      <w:u w:val="single" w:color="auto"/>
                    </w:rPr>
                    <w:t>*项目不涉及太平间、传染科、洗片</w:t>
                  </w:r>
                  <w:r>
                    <w:rPr>
                      <w:rFonts w:hint="eastAsia" w:ascii="Times New Roman" w:hAnsi="Times New Roman" w:eastAsia="宋体"/>
                      <w:b w:val="0"/>
                      <w:bCs w:val="0"/>
                      <w:color w:val="auto"/>
                      <w:sz w:val="21"/>
                      <w:szCs w:val="21"/>
                      <w:u w:val="single" w:color="auto"/>
                      <w:lang w:eastAsia="zh-CN"/>
                    </w:rPr>
                    <w:t>、</w:t>
                  </w:r>
                  <w:r>
                    <w:rPr>
                      <w:rFonts w:hint="eastAsia" w:ascii="Times New Roman" w:hAnsi="Times New Roman" w:eastAsia="宋体"/>
                      <w:b w:val="0"/>
                      <w:bCs w:val="0"/>
                      <w:color w:val="auto"/>
                      <w:sz w:val="21"/>
                      <w:szCs w:val="21"/>
                      <w:u w:val="single" w:color="auto"/>
                      <w:lang w:val="en-US" w:eastAsia="zh-CN"/>
                    </w:rPr>
                    <w:t>锅炉房</w:t>
                  </w:r>
                  <w:r>
                    <w:rPr>
                      <w:rFonts w:hint="eastAsia" w:ascii="Times New Roman" w:hAnsi="Times New Roman" w:eastAsia="宋体" w:cs="Times New Roman"/>
                      <w:b w:val="0"/>
                      <w:bCs w:val="0"/>
                      <w:color w:val="auto"/>
                      <w:sz w:val="21"/>
                      <w:szCs w:val="21"/>
                      <w:u w:val="single" w:color="auto"/>
                      <w:lang w:val="en-US" w:eastAsia="zh-CN"/>
                    </w:rPr>
                    <w:t>等</w:t>
                  </w:r>
                  <w:r>
                    <w:rPr>
                      <w:rFonts w:hint="default" w:ascii="Times New Roman" w:hAnsi="Times New Roman" w:eastAsia="宋体" w:cs="Times New Roman"/>
                      <w:b w:val="0"/>
                      <w:bCs w:val="0"/>
                      <w:color w:val="auto"/>
                      <w:sz w:val="21"/>
                      <w:szCs w:val="21"/>
                      <w:u w:val="single" w:color="auto"/>
                    </w:rPr>
                    <w:t>。</w:t>
                  </w:r>
                </w:p>
              </w:tc>
            </w:tr>
          </w:tbl>
          <w:p w14:paraId="6F3E071D">
            <w:pPr>
              <w:tabs>
                <w:tab w:val="left" w:pos="5597"/>
              </w:tabs>
              <w:spacing w:line="360" w:lineRule="auto"/>
              <w:rPr>
                <w:rFonts w:hint="eastAsia" w:ascii="Times New Roman" w:hAnsi="Times New Roman" w:eastAsia="宋体" w:cs="Times New Roman"/>
                <w:b/>
                <w:bCs/>
                <w:color w:val="auto"/>
                <w:spacing w:val="3"/>
                <w:sz w:val="24"/>
                <w:szCs w:val="24"/>
                <w:highlight w:val="none"/>
                <w:u w:val="single"/>
                <w:lang w:eastAsia="zh-CN"/>
              </w:rPr>
            </w:pPr>
            <w:r>
              <w:rPr>
                <w:rFonts w:hint="eastAsia" w:cs="Times New Roman"/>
                <w:b w:val="0"/>
                <w:bCs w:val="0"/>
                <w:color w:val="auto"/>
                <w:sz w:val="24"/>
                <w:szCs w:val="24"/>
                <w:highlight w:val="none"/>
                <w:vertAlign w:val="baseline"/>
                <w:lang w:val="en-US" w:eastAsia="zh-CN"/>
              </w:rPr>
              <w:t xml:space="preserve"> </w:t>
            </w:r>
            <w:r>
              <w:rPr>
                <w:rFonts w:hint="eastAsia" w:cs="Times New Roman"/>
                <w:b/>
                <w:bCs/>
                <w:color w:val="auto"/>
                <w:spacing w:val="3"/>
                <w:sz w:val="24"/>
                <w:szCs w:val="24"/>
                <w:highlight w:val="none"/>
                <w:lang w:val="en-US" w:eastAsia="zh-CN"/>
              </w:rPr>
              <w:t>4</w:t>
            </w:r>
            <w:r>
              <w:rPr>
                <w:rFonts w:hint="default" w:ascii="Times New Roman" w:hAnsi="Times New Roman" w:eastAsia="宋体" w:cs="Times New Roman"/>
                <w:b/>
                <w:bCs/>
                <w:color w:val="auto"/>
                <w:spacing w:val="3"/>
                <w:sz w:val="24"/>
                <w:szCs w:val="24"/>
                <w:highlight w:val="none"/>
              </w:rPr>
              <w:t>、</w:t>
            </w:r>
            <w:r>
              <w:rPr>
                <w:rFonts w:hint="default" w:ascii="Times New Roman" w:hAnsi="Times New Roman" w:eastAsia="宋体" w:cs="Times New Roman"/>
                <w:b/>
                <w:bCs/>
                <w:color w:val="auto"/>
                <w:spacing w:val="3"/>
                <w:sz w:val="24"/>
                <w:szCs w:val="24"/>
                <w:highlight w:val="none"/>
                <w:u w:val="single"/>
              </w:rPr>
              <w:t>主要原辅材料</w:t>
            </w:r>
            <w:r>
              <w:rPr>
                <w:rFonts w:hint="eastAsia" w:cs="Times New Roman"/>
                <w:b/>
                <w:bCs/>
                <w:color w:val="auto"/>
                <w:spacing w:val="3"/>
                <w:sz w:val="24"/>
                <w:szCs w:val="24"/>
                <w:highlight w:val="none"/>
                <w:u w:val="single"/>
                <w:lang w:eastAsia="zh-CN"/>
              </w:rPr>
              <w:t>消耗</w:t>
            </w:r>
          </w:p>
          <w:p w14:paraId="49F445FE">
            <w:pPr>
              <w:keepNext w:val="0"/>
              <w:keepLines w:val="0"/>
              <w:pageBreakBefore w:val="0"/>
              <w:widowControl w:val="0"/>
              <w:kinsoku/>
              <w:wordWrap/>
              <w:overflowPunct/>
              <w:topLinePunct w:val="0"/>
              <w:autoSpaceDE/>
              <w:autoSpaceDN/>
              <w:bidi w:val="0"/>
              <w:adjustRightInd/>
              <w:snapToGrid/>
              <w:spacing w:line="240" w:lineRule="auto"/>
              <w:ind w:firstLine="492" w:firstLineChars="200"/>
              <w:jc w:val="both"/>
              <w:textAlignment w:val="auto"/>
              <w:rPr>
                <w:rFonts w:hint="default" w:ascii="Times New Roman" w:hAnsi="Times New Roman" w:eastAsia="宋体" w:cs="Times New Roman"/>
                <w:b/>
                <w:color w:val="auto"/>
                <w:spacing w:val="8"/>
                <w:sz w:val="21"/>
                <w:szCs w:val="21"/>
                <w:u w:val="single"/>
              </w:rPr>
            </w:pPr>
            <w:r>
              <w:rPr>
                <w:rFonts w:hint="default" w:ascii="Times New Roman" w:hAnsi="Times New Roman" w:eastAsia="宋体" w:cs="Times New Roman"/>
                <w:color w:val="auto"/>
                <w:spacing w:val="3"/>
                <w:sz w:val="24"/>
                <w:szCs w:val="24"/>
                <w:u w:val="single"/>
              </w:rPr>
              <w:t>项目主要原辅材料见表2-</w:t>
            </w:r>
            <w:r>
              <w:rPr>
                <w:rFonts w:hint="eastAsia" w:cs="Times New Roman"/>
                <w:color w:val="auto"/>
                <w:spacing w:val="3"/>
                <w:sz w:val="24"/>
                <w:szCs w:val="24"/>
                <w:u w:val="single"/>
                <w:lang w:val="en-US" w:eastAsia="zh-CN"/>
              </w:rPr>
              <w:t>2</w:t>
            </w:r>
            <w:r>
              <w:rPr>
                <w:rFonts w:hint="default" w:ascii="Times New Roman" w:hAnsi="Times New Roman" w:eastAsia="宋体" w:cs="Times New Roman"/>
                <w:color w:val="auto"/>
                <w:spacing w:val="3"/>
                <w:sz w:val="24"/>
                <w:szCs w:val="24"/>
                <w:u w:val="single"/>
              </w:rPr>
              <w:t>。</w:t>
            </w:r>
          </w:p>
          <w:p w14:paraId="2837B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pacing w:val="4"/>
                <w:sz w:val="21"/>
                <w:szCs w:val="21"/>
                <w:u w:val="single"/>
              </w:rPr>
            </w:pPr>
            <w:r>
              <w:rPr>
                <w:rFonts w:hint="default" w:ascii="Times New Roman" w:hAnsi="Times New Roman" w:eastAsia="宋体" w:cs="Times New Roman"/>
                <w:b/>
                <w:color w:val="auto"/>
                <w:spacing w:val="8"/>
                <w:sz w:val="21"/>
                <w:szCs w:val="21"/>
                <w:u w:val="single"/>
              </w:rPr>
              <w:t>表</w:t>
            </w:r>
            <w:r>
              <w:rPr>
                <w:rFonts w:hint="default" w:ascii="Times New Roman" w:hAnsi="Times New Roman" w:eastAsia="宋体" w:cs="Times New Roman"/>
                <w:b/>
                <w:bCs/>
                <w:color w:val="auto"/>
                <w:spacing w:val="8"/>
                <w:sz w:val="21"/>
                <w:szCs w:val="21"/>
                <w:u w:val="single"/>
              </w:rPr>
              <w:t>2</w:t>
            </w:r>
            <w:r>
              <w:rPr>
                <w:rFonts w:hint="default" w:ascii="Times New Roman" w:hAnsi="Times New Roman" w:eastAsia="宋体" w:cs="Times New Roman"/>
                <w:b/>
                <w:bCs/>
                <w:color w:val="auto"/>
                <w:spacing w:val="7"/>
                <w:sz w:val="21"/>
                <w:szCs w:val="21"/>
                <w:u w:val="single"/>
              </w:rPr>
              <w:t>-</w:t>
            </w:r>
            <w:r>
              <w:rPr>
                <w:rFonts w:hint="eastAsia" w:cs="Times New Roman"/>
                <w:b/>
                <w:bCs/>
                <w:color w:val="auto"/>
                <w:spacing w:val="7"/>
                <w:sz w:val="21"/>
                <w:szCs w:val="21"/>
                <w:u w:val="single"/>
                <w:lang w:val="en-US" w:eastAsia="zh-CN"/>
              </w:rPr>
              <w:t xml:space="preserve">2  </w:t>
            </w:r>
            <w:r>
              <w:rPr>
                <w:rFonts w:hint="default" w:ascii="Times New Roman" w:hAnsi="Times New Roman" w:eastAsia="宋体" w:cs="Times New Roman"/>
                <w:b/>
                <w:color w:val="auto"/>
                <w:spacing w:val="4"/>
                <w:sz w:val="21"/>
                <w:szCs w:val="21"/>
                <w:u w:val="single"/>
              </w:rPr>
              <w:t>项目主要原辅材料一览表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46"/>
              <w:gridCol w:w="2322"/>
              <w:gridCol w:w="1434"/>
              <w:gridCol w:w="2645"/>
              <w:gridCol w:w="888"/>
            </w:tblGrid>
            <w:tr w14:paraId="2A2717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288" w:type="pct"/>
                  <w:tcBorders>
                    <w:tl2br w:val="nil"/>
                    <w:tr2bl w:val="nil"/>
                  </w:tcBorders>
                  <w:vAlign w:val="center"/>
                </w:tcPr>
                <w:p w14:paraId="4296AAD2">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rPr>
                  </w:pPr>
                  <w:r>
                    <w:rPr>
                      <w:rFonts w:hint="eastAsia" w:ascii="Times New Roman" w:hAnsi="Times New Roman"/>
                      <w:b/>
                      <w:bCs/>
                      <w:color w:val="auto"/>
                      <w:sz w:val="21"/>
                      <w:szCs w:val="21"/>
                      <w:u w:val="single"/>
                    </w:rPr>
                    <w:t>序号</w:t>
                  </w:r>
                </w:p>
              </w:tc>
              <w:tc>
                <w:tcPr>
                  <w:tcW w:w="1501" w:type="pct"/>
                  <w:tcBorders>
                    <w:tl2br w:val="nil"/>
                    <w:tr2bl w:val="nil"/>
                  </w:tcBorders>
                  <w:vAlign w:val="center"/>
                </w:tcPr>
                <w:p w14:paraId="6F7AED5D">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rPr>
                  </w:pPr>
                  <w:r>
                    <w:rPr>
                      <w:rFonts w:hint="eastAsia" w:ascii="Times New Roman" w:hAnsi="Times New Roman"/>
                      <w:b/>
                      <w:bCs/>
                      <w:color w:val="auto"/>
                      <w:sz w:val="21"/>
                      <w:szCs w:val="21"/>
                      <w:u w:val="single"/>
                    </w:rPr>
                    <w:t>名称</w:t>
                  </w:r>
                </w:p>
              </w:tc>
              <w:tc>
                <w:tcPr>
                  <w:tcW w:w="927" w:type="pct"/>
                  <w:tcBorders>
                    <w:tl2br w:val="nil"/>
                    <w:tr2bl w:val="nil"/>
                  </w:tcBorders>
                  <w:vAlign w:val="center"/>
                </w:tcPr>
                <w:p w14:paraId="5A052F9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rPr>
                  </w:pPr>
                  <w:r>
                    <w:rPr>
                      <w:rFonts w:hint="eastAsia" w:ascii="Times New Roman" w:hAnsi="Times New Roman"/>
                      <w:b/>
                      <w:bCs/>
                      <w:color w:val="auto"/>
                      <w:sz w:val="21"/>
                      <w:szCs w:val="21"/>
                      <w:u w:val="single"/>
                    </w:rPr>
                    <w:t>年消耗量</w:t>
                  </w:r>
                </w:p>
              </w:tc>
              <w:tc>
                <w:tcPr>
                  <w:tcW w:w="1710" w:type="pct"/>
                  <w:tcBorders>
                    <w:tl2br w:val="nil"/>
                    <w:tr2bl w:val="nil"/>
                  </w:tcBorders>
                  <w:vAlign w:val="center"/>
                </w:tcPr>
                <w:p w14:paraId="09B5121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b/>
                      <w:bCs/>
                      <w:color w:val="auto"/>
                      <w:sz w:val="21"/>
                      <w:szCs w:val="21"/>
                      <w:u w:val="single"/>
                    </w:rPr>
                  </w:pPr>
                  <w:r>
                    <w:rPr>
                      <w:rFonts w:hint="eastAsia" w:ascii="Times New Roman" w:hAnsi="Times New Roman"/>
                      <w:b/>
                      <w:bCs/>
                      <w:color w:val="auto"/>
                      <w:sz w:val="21"/>
                      <w:szCs w:val="21"/>
                      <w:u w:val="single"/>
                    </w:rPr>
                    <w:t>包装规格</w:t>
                  </w:r>
                </w:p>
              </w:tc>
              <w:tc>
                <w:tcPr>
                  <w:tcW w:w="572" w:type="pct"/>
                  <w:tcBorders>
                    <w:tl2br w:val="nil"/>
                    <w:tr2bl w:val="nil"/>
                  </w:tcBorders>
                  <w:vAlign w:val="center"/>
                </w:tcPr>
                <w:p w14:paraId="386499B7">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b/>
                      <w:bCs/>
                      <w:color w:val="auto"/>
                      <w:sz w:val="21"/>
                      <w:szCs w:val="21"/>
                      <w:u w:val="single"/>
                      <w:lang w:eastAsia="zh-CN"/>
                    </w:rPr>
                  </w:pPr>
                  <w:r>
                    <w:rPr>
                      <w:rFonts w:hint="eastAsia" w:ascii="Times New Roman"/>
                      <w:b/>
                      <w:bCs/>
                      <w:color w:val="auto"/>
                      <w:sz w:val="21"/>
                      <w:szCs w:val="21"/>
                      <w:u w:val="single"/>
                      <w:lang w:val="en-US" w:eastAsia="zh-CN"/>
                    </w:rPr>
                    <w:t>备注</w:t>
                  </w:r>
                </w:p>
              </w:tc>
            </w:tr>
            <w:tr w14:paraId="658469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 w:hRule="atLeast"/>
                <w:jc w:val="center"/>
              </w:trPr>
              <w:tc>
                <w:tcPr>
                  <w:tcW w:w="5000" w:type="pct"/>
                  <w:gridSpan w:val="5"/>
                  <w:tcBorders>
                    <w:tl2br w:val="nil"/>
                    <w:tr2bl w:val="nil"/>
                  </w:tcBorders>
                  <w:vAlign w:val="center"/>
                </w:tcPr>
                <w:p w14:paraId="7840502A">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医疗用品</w:t>
                  </w:r>
                </w:p>
              </w:tc>
            </w:tr>
            <w:tr w14:paraId="4211F9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8" w:hRule="atLeast"/>
                <w:jc w:val="center"/>
              </w:trPr>
              <w:tc>
                <w:tcPr>
                  <w:tcW w:w="288" w:type="pct"/>
                  <w:tcBorders>
                    <w:tl2br w:val="nil"/>
                    <w:tr2bl w:val="nil"/>
                  </w:tcBorders>
                  <w:vAlign w:val="center"/>
                </w:tcPr>
                <w:p w14:paraId="66CFC075">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14:paraId="77324BB8">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ascii="Times New Roman" w:hAnsi="Times New Roman"/>
                      <w:color w:val="auto"/>
                      <w:sz w:val="21"/>
                      <w:szCs w:val="21"/>
                      <w:u w:val="single"/>
                    </w:rPr>
                    <w:t>PE</w:t>
                  </w:r>
                  <w:r>
                    <w:rPr>
                      <w:rFonts w:hint="eastAsia" w:ascii="Times New Roman" w:hAnsi="Times New Roman"/>
                      <w:color w:val="auto"/>
                      <w:sz w:val="21"/>
                      <w:szCs w:val="21"/>
                      <w:u w:val="single"/>
                    </w:rPr>
                    <w:t>手套</w:t>
                  </w:r>
                </w:p>
              </w:tc>
              <w:tc>
                <w:tcPr>
                  <w:tcW w:w="927" w:type="pct"/>
                  <w:tcBorders>
                    <w:tl2br w:val="nil"/>
                    <w:tr2bl w:val="nil"/>
                  </w:tcBorders>
                  <w:vAlign w:val="center"/>
                </w:tcPr>
                <w:p w14:paraId="65A8CCE3">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s="Times New Roman"/>
                      <w:color w:val="auto"/>
                      <w:kern w:val="2"/>
                      <w:sz w:val="21"/>
                      <w:szCs w:val="21"/>
                      <w:u w:val="single"/>
                      <w:lang w:val="en-US" w:eastAsia="zh-CN"/>
                    </w:rPr>
                    <w:t>20000</w:t>
                  </w:r>
                  <w:r>
                    <w:rPr>
                      <w:rFonts w:hint="eastAsia" w:ascii="Times New Roman" w:hAnsi="Times New Roman"/>
                      <w:color w:val="auto"/>
                      <w:sz w:val="21"/>
                      <w:szCs w:val="21"/>
                      <w:u w:val="single"/>
                    </w:rPr>
                    <w:t>件</w:t>
                  </w:r>
                  <w:r>
                    <w:rPr>
                      <w:rFonts w:ascii="Times New Roman" w:hAnsi="Times New Roman"/>
                      <w:color w:val="auto"/>
                      <w:sz w:val="21"/>
                      <w:szCs w:val="21"/>
                      <w:u w:val="single"/>
                    </w:rPr>
                    <w:t>/a</w:t>
                  </w:r>
                </w:p>
              </w:tc>
              <w:tc>
                <w:tcPr>
                  <w:tcW w:w="1710" w:type="pct"/>
                  <w:tcBorders>
                    <w:tl2br w:val="nil"/>
                    <w:tr2bl w:val="nil"/>
                  </w:tcBorders>
                  <w:vAlign w:val="center"/>
                </w:tcPr>
                <w:p w14:paraId="4D288947">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ascii="Times New Roman" w:hAnsi="Times New Roman"/>
                      <w:color w:val="auto"/>
                      <w:sz w:val="21"/>
                      <w:szCs w:val="21"/>
                      <w:u w:val="single"/>
                    </w:rPr>
                    <w:t>100</w:t>
                  </w:r>
                  <w:r>
                    <w:rPr>
                      <w:rFonts w:hint="eastAsia" w:ascii="Times New Roman" w:hAnsi="Times New Roman"/>
                      <w:color w:val="auto"/>
                      <w:sz w:val="21"/>
                      <w:szCs w:val="21"/>
                      <w:u w:val="single"/>
                    </w:rPr>
                    <w:t>个</w:t>
                  </w:r>
                  <w:r>
                    <w:rPr>
                      <w:rFonts w:ascii="Times New Roman" w:hAnsi="Times New Roman"/>
                      <w:color w:val="auto"/>
                      <w:sz w:val="21"/>
                      <w:szCs w:val="21"/>
                      <w:u w:val="single"/>
                    </w:rPr>
                    <w:t>/</w:t>
                  </w:r>
                  <w:r>
                    <w:rPr>
                      <w:rFonts w:hint="eastAsia" w:ascii="Times New Roman" w:hAnsi="Times New Roman"/>
                      <w:color w:val="auto"/>
                      <w:sz w:val="21"/>
                      <w:szCs w:val="21"/>
                      <w:u w:val="single"/>
                    </w:rPr>
                    <w:t>件</w:t>
                  </w:r>
                </w:p>
              </w:tc>
              <w:tc>
                <w:tcPr>
                  <w:tcW w:w="572" w:type="pct"/>
                  <w:tcBorders>
                    <w:tl2br w:val="nil"/>
                    <w:tr2bl w:val="nil"/>
                  </w:tcBorders>
                  <w:vAlign w:val="center"/>
                </w:tcPr>
                <w:p w14:paraId="40F184A7">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cs="Times New Roman"/>
                      <w:color w:val="auto"/>
                      <w:kern w:val="2"/>
                      <w:sz w:val="21"/>
                      <w:szCs w:val="21"/>
                      <w:u w:val="single"/>
                      <w:lang w:val="en-US" w:eastAsia="zh-CN"/>
                    </w:rPr>
                    <w:t>外购</w:t>
                  </w:r>
                </w:p>
              </w:tc>
            </w:tr>
            <w:tr w14:paraId="2C7711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288" w:type="pct"/>
                  <w:tcBorders>
                    <w:tl2br w:val="nil"/>
                    <w:tr2bl w:val="nil"/>
                  </w:tcBorders>
                  <w:vAlign w:val="center"/>
                </w:tcPr>
                <w:p w14:paraId="68FDD148">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w:t>
                  </w:r>
                </w:p>
              </w:tc>
              <w:tc>
                <w:tcPr>
                  <w:tcW w:w="1501" w:type="pct"/>
                  <w:tcBorders>
                    <w:tl2br w:val="nil"/>
                    <w:tr2bl w:val="nil"/>
                  </w:tcBorders>
                  <w:vAlign w:val="center"/>
                </w:tcPr>
                <w:p w14:paraId="6697F24B">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rPr>
                  </w:pPr>
                  <w:r>
                    <w:rPr>
                      <w:rFonts w:hint="eastAsia"/>
                      <w:kern w:val="0"/>
                      <w:sz w:val="21"/>
                      <w:szCs w:val="21"/>
                      <w:u w:val="single"/>
                    </w:rPr>
                    <w:t>一次性橡胶外科手套</w:t>
                  </w:r>
                </w:p>
              </w:tc>
              <w:tc>
                <w:tcPr>
                  <w:tcW w:w="927" w:type="pct"/>
                  <w:tcBorders>
                    <w:tl2br w:val="nil"/>
                    <w:tr2bl w:val="nil"/>
                  </w:tcBorders>
                  <w:vAlign w:val="center"/>
                </w:tcPr>
                <w:p w14:paraId="568FCB34">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1000</w:t>
                  </w:r>
                  <w:r>
                    <w:rPr>
                      <w:rFonts w:hint="eastAsia" w:ascii="Times New Roman" w:hAnsi="Times New Roman"/>
                      <w:color w:val="auto"/>
                      <w:sz w:val="21"/>
                      <w:szCs w:val="21"/>
                      <w:u w:val="single"/>
                    </w:rPr>
                    <w:t>件</w:t>
                  </w:r>
                  <w:r>
                    <w:rPr>
                      <w:rFonts w:ascii="Times New Roman" w:hAnsi="Times New Roman"/>
                      <w:color w:val="auto"/>
                      <w:sz w:val="21"/>
                      <w:szCs w:val="21"/>
                      <w:u w:val="single"/>
                    </w:rPr>
                    <w:t>/a</w:t>
                  </w:r>
                </w:p>
              </w:tc>
              <w:tc>
                <w:tcPr>
                  <w:tcW w:w="1710" w:type="pct"/>
                  <w:tcBorders>
                    <w:tl2br w:val="nil"/>
                    <w:tr2bl w:val="nil"/>
                  </w:tcBorders>
                  <w:vAlign w:val="center"/>
                </w:tcPr>
                <w:p w14:paraId="6546D6E1">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100</w:t>
                  </w:r>
                  <w:r>
                    <w:rPr>
                      <w:rFonts w:hint="eastAsia" w:ascii="Times New Roman" w:hAnsi="Times New Roman"/>
                      <w:color w:val="auto"/>
                      <w:sz w:val="21"/>
                      <w:szCs w:val="21"/>
                      <w:u w:val="single"/>
                    </w:rPr>
                    <w:t>个</w:t>
                  </w:r>
                  <w:r>
                    <w:rPr>
                      <w:rFonts w:ascii="Times New Roman" w:hAnsi="Times New Roman"/>
                      <w:color w:val="auto"/>
                      <w:sz w:val="21"/>
                      <w:szCs w:val="21"/>
                      <w:u w:val="single"/>
                    </w:rPr>
                    <w:t>/</w:t>
                  </w:r>
                  <w:r>
                    <w:rPr>
                      <w:rFonts w:hint="eastAsia" w:ascii="Times New Roman" w:hAnsi="Times New Roman"/>
                      <w:color w:val="auto"/>
                      <w:sz w:val="21"/>
                      <w:szCs w:val="21"/>
                      <w:u w:val="single"/>
                    </w:rPr>
                    <w:t>件</w:t>
                  </w:r>
                </w:p>
              </w:tc>
              <w:tc>
                <w:tcPr>
                  <w:tcW w:w="572" w:type="pct"/>
                  <w:tcBorders>
                    <w:tl2br w:val="nil"/>
                    <w:tr2bl w:val="nil"/>
                  </w:tcBorders>
                  <w:vAlign w:val="center"/>
                </w:tcPr>
                <w:p w14:paraId="2674916A">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3413F6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288" w:type="pct"/>
                  <w:tcBorders>
                    <w:tl2br w:val="nil"/>
                    <w:tr2bl w:val="nil"/>
                  </w:tcBorders>
                  <w:vAlign w:val="center"/>
                </w:tcPr>
                <w:p w14:paraId="5BB682FD">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3</w:t>
                  </w:r>
                </w:p>
              </w:tc>
              <w:tc>
                <w:tcPr>
                  <w:tcW w:w="1501" w:type="pct"/>
                  <w:tcBorders>
                    <w:tl2br w:val="nil"/>
                    <w:tr2bl w:val="nil"/>
                  </w:tcBorders>
                  <w:vAlign w:val="center"/>
                </w:tcPr>
                <w:p w14:paraId="427566CD">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kern w:val="0"/>
                      <w:sz w:val="21"/>
                      <w:szCs w:val="21"/>
                      <w:u w:val="single"/>
                    </w:rPr>
                    <w:t>一次性医用帽子</w:t>
                  </w:r>
                </w:p>
              </w:tc>
              <w:tc>
                <w:tcPr>
                  <w:tcW w:w="927" w:type="pct"/>
                  <w:tcBorders>
                    <w:tl2br w:val="nil"/>
                    <w:tr2bl w:val="nil"/>
                  </w:tcBorders>
                  <w:vAlign w:val="center"/>
                </w:tcPr>
                <w:p w14:paraId="4A367EBD">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500</w:t>
                  </w:r>
                  <w:r>
                    <w:rPr>
                      <w:rFonts w:hint="eastAsia" w:ascii="Times New Roman" w:hAnsi="Times New Roman"/>
                      <w:color w:val="auto"/>
                      <w:sz w:val="21"/>
                      <w:szCs w:val="21"/>
                      <w:u w:val="single"/>
                    </w:rPr>
                    <w:t>件</w:t>
                  </w:r>
                  <w:r>
                    <w:rPr>
                      <w:rFonts w:ascii="Times New Roman" w:hAnsi="Times New Roman"/>
                      <w:color w:val="auto"/>
                      <w:sz w:val="21"/>
                      <w:szCs w:val="21"/>
                      <w:u w:val="single"/>
                    </w:rPr>
                    <w:t>/a</w:t>
                  </w:r>
                </w:p>
              </w:tc>
              <w:tc>
                <w:tcPr>
                  <w:tcW w:w="1710" w:type="pct"/>
                  <w:tcBorders>
                    <w:tl2br w:val="nil"/>
                    <w:tr2bl w:val="nil"/>
                  </w:tcBorders>
                  <w:vAlign w:val="center"/>
                </w:tcPr>
                <w:p w14:paraId="789B2FE2">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100</w:t>
                  </w:r>
                  <w:r>
                    <w:rPr>
                      <w:rFonts w:hint="eastAsia" w:ascii="Times New Roman" w:hAnsi="Times New Roman"/>
                      <w:color w:val="auto"/>
                      <w:sz w:val="21"/>
                      <w:szCs w:val="21"/>
                      <w:u w:val="single"/>
                    </w:rPr>
                    <w:t>个</w:t>
                  </w:r>
                  <w:r>
                    <w:rPr>
                      <w:rFonts w:ascii="Times New Roman" w:hAnsi="Times New Roman"/>
                      <w:color w:val="auto"/>
                      <w:sz w:val="21"/>
                      <w:szCs w:val="21"/>
                      <w:u w:val="single"/>
                    </w:rPr>
                    <w:t>/</w:t>
                  </w:r>
                  <w:r>
                    <w:rPr>
                      <w:rFonts w:hint="eastAsia" w:ascii="Times New Roman" w:hAnsi="Times New Roman"/>
                      <w:color w:val="auto"/>
                      <w:sz w:val="21"/>
                      <w:szCs w:val="21"/>
                      <w:u w:val="single"/>
                    </w:rPr>
                    <w:t>件</w:t>
                  </w:r>
                </w:p>
              </w:tc>
              <w:tc>
                <w:tcPr>
                  <w:tcW w:w="572" w:type="pct"/>
                  <w:tcBorders>
                    <w:tl2br w:val="nil"/>
                    <w:tr2bl w:val="nil"/>
                  </w:tcBorders>
                  <w:vAlign w:val="center"/>
                </w:tcPr>
                <w:p w14:paraId="3EBBC25E">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524AAD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7A3955D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w:t>
                  </w:r>
                </w:p>
              </w:tc>
              <w:tc>
                <w:tcPr>
                  <w:tcW w:w="1501" w:type="pct"/>
                  <w:tcBorders>
                    <w:tl2br w:val="nil"/>
                    <w:tr2bl w:val="nil"/>
                  </w:tcBorders>
                  <w:vAlign w:val="center"/>
                </w:tcPr>
                <w:p w14:paraId="5552A950">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olor w:val="auto"/>
                      <w:sz w:val="21"/>
                      <w:szCs w:val="21"/>
                      <w:u w:val="single"/>
                    </w:rPr>
                    <w:t>口罩</w:t>
                  </w:r>
                </w:p>
              </w:tc>
              <w:tc>
                <w:tcPr>
                  <w:tcW w:w="927" w:type="pct"/>
                  <w:tcBorders>
                    <w:tl2br w:val="nil"/>
                    <w:tr2bl w:val="nil"/>
                  </w:tcBorders>
                  <w:vAlign w:val="center"/>
                </w:tcPr>
                <w:p w14:paraId="5CE62893">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s="Times New Roman"/>
                      <w:color w:val="auto"/>
                      <w:kern w:val="2"/>
                      <w:sz w:val="21"/>
                      <w:szCs w:val="21"/>
                      <w:u w:val="single"/>
                      <w:lang w:val="en-US" w:eastAsia="zh-CN"/>
                    </w:rPr>
                    <w:t>31000个</w:t>
                  </w:r>
                  <w:r>
                    <w:rPr>
                      <w:rFonts w:ascii="Times New Roman" w:hAnsi="Times New Roman"/>
                      <w:color w:val="auto"/>
                      <w:sz w:val="21"/>
                      <w:szCs w:val="21"/>
                      <w:u w:val="single"/>
                    </w:rPr>
                    <w:t>/a</w:t>
                  </w:r>
                </w:p>
              </w:tc>
              <w:tc>
                <w:tcPr>
                  <w:tcW w:w="1710" w:type="pct"/>
                  <w:tcBorders>
                    <w:tl2br w:val="nil"/>
                    <w:tr2bl w:val="nil"/>
                  </w:tcBorders>
                  <w:vAlign w:val="center"/>
                </w:tcPr>
                <w:p w14:paraId="788CB868">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ascii="Times New Roman" w:hAnsi="Times New Roman"/>
                      <w:color w:val="auto"/>
                      <w:sz w:val="21"/>
                      <w:szCs w:val="21"/>
                      <w:u w:val="single"/>
                    </w:rPr>
                    <w:t>100</w:t>
                  </w:r>
                  <w:r>
                    <w:rPr>
                      <w:rFonts w:hint="eastAsia" w:ascii="Times New Roman" w:hAnsi="Times New Roman"/>
                      <w:color w:val="auto"/>
                      <w:sz w:val="21"/>
                      <w:szCs w:val="21"/>
                      <w:u w:val="single"/>
                    </w:rPr>
                    <w:t>个</w:t>
                  </w:r>
                  <w:r>
                    <w:rPr>
                      <w:rFonts w:ascii="Times New Roman" w:hAnsi="Times New Roman"/>
                      <w:color w:val="auto"/>
                      <w:sz w:val="21"/>
                      <w:szCs w:val="21"/>
                      <w:u w:val="single"/>
                    </w:rPr>
                    <w:t>/</w:t>
                  </w:r>
                  <w:r>
                    <w:rPr>
                      <w:rFonts w:hint="eastAsia" w:ascii="Times New Roman" w:hAnsi="Times New Roman"/>
                      <w:color w:val="auto"/>
                      <w:sz w:val="21"/>
                      <w:szCs w:val="21"/>
                      <w:u w:val="single"/>
                    </w:rPr>
                    <w:t>件</w:t>
                  </w:r>
                </w:p>
              </w:tc>
              <w:tc>
                <w:tcPr>
                  <w:tcW w:w="572" w:type="pct"/>
                  <w:tcBorders>
                    <w:tl2br w:val="nil"/>
                    <w:tr2bl w:val="nil"/>
                  </w:tcBorders>
                  <w:vAlign w:val="center"/>
                </w:tcPr>
                <w:p w14:paraId="298DF30B">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cs="Times New Roman"/>
                      <w:color w:val="auto"/>
                      <w:kern w:val="2"/>
                      <w:sz w:val="21"/>
                      <w:szCs w:val="21"/>
                      <w:u w:val="single"/>
                      <w:lang w:val="en-US" w:eastAsia="zh-CN"/>
                    </w:rPr>
                    <w:t>外购</w:t>
                  </w:r>
                </w:p>
              </w:tc>
            </w:tr>
            <w:tr w14:paraId="19162A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423EE6E4">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5</w:t>
                  </w:r>
                </w:p>
              </w:tc>
              <w:tc>
                <w:tcPr>
                  <w:tcW w:w="1501" w:type="pct"/>
                  <w:tcBorders>
                    <w:tl2br w:val="nil"/>
                    <w:tr2bl w:val="nil"/>
                  </w:tcBorders>
                  <w:vAlign w:val="center"/>
                </w:tcPr>
                <w:p w14:paraId="645482BE">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eastAsia="宋体" w:cs="Times New Roman"/>
                      <w:kern w:val="2"/>
                      <w:sz w:val="21"/>
                      <w:szCs w:val="21"/>
                      <w:u w:val="single"/>
                      <w:lang w:val="en-US" w:eastAsia="zh-CN" w:bidi="ar-SA"/>
                    </w:rPr>
                  </w:pPr>
                  <w:r>
                    <w:rPr>
                      <w:rFonts w:hint="eastAsia"/>
                      <w:kern w:val="0"/>
                      <w:sz w:val="21"/>
                      <w:szCs w:val="21"/>
                      <w:u w:val="single"/>
                    </w:rPr>
                    <w:t>医用酒精</w:t>
                  </w:r>
                </w:p>
              </w:tc>
              <w:tc>
                <w:tcPr>
                  <w:tcW w:w="927" w:type="pct"/>
                  <w:tcBorders>
                    <w:tl2br w:val="nil"/>
                    <w:tr2bl w:val="nil"/>
                  </w:tcBorders>
                  <w:vAlign w:val="center"/>
                </w:tcPr>
                <w:p w14:paraId="1B474277">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olor w:val="auto"/>
                      <w:sz w:val="21"/>
                      <w:szCs w:val="21"/>
                      <w:u w:val="single"/>
                      <w:lang w:val="en-US" w:eastAsia="zh-CN"/>
                    </w:rPr>
                    <w:t>5</w:t>
                  </w:r>
                  <w:r>
                    <w:rPr>
                      <w:rFonts w:ascii="Times New Roman" w:hAnsi="Times New Roman"/>
                      <w:color w:val="auto"/>
                      <w:sz w:val="21"/>
                      <w:szCs w:val="21"/>
                      <w:u w:val="single"/>
                    </w:rPr>
                    <w:t>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14:paraId="7132810A">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100</w:t>
                  </w:r>
                  <w:r>
                    <w:rPr>
                      <w:rFonts w:ascii="Times New Roman" w:hAnsi="Times New Roman"/>
                      <w:color w:val="auto"/>
                      <w:sz w:val="21"/>
                      <w:szCs w:val="21"/>
                      <w:u w:val="single"/>
                    </w:rPr>
                    <w:t>m</w:t>
                  </w:r>
                  <w:r>
                    <w:rPr>
                      <w:rFonts w:hint="eastAsia" w:ascii="Times New Roman"/>
                      <w:color w:val="auto"/>
                      <w:sz w:val="21"/>
                      <w:szCs w:val="21"/>
                      <w:u w:val="single"/>
                      <w:lang w:val="en-US" w:eastAsia="zh-CN"/>
                    </w:rPr>
                    <w:t>L、</w:t>
                  </w:r>
                  <w:r>
                    <w:rPr>
                      <w:rFonts w:ascii="Times New Roman" w:hAnsi="Times New Roman"/>
                      <w:color w:val="auto"/>
                      <w:sz w:val="21"/>
                      <w:szCs w:val="21"/>
                      <w:u w:val="single"/>
                    </w:rPr>
                    <w:t>500m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14:paraId="602D9E16">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7FB113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65013202">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6</w:t>
                  </w:r>
                </w:p>
              </w:tc>
              <w:tc>
                <w:tcPr>
                  <w:tcW w:w="1501" w:type="pct"/>
                  <w:tcBorders>
                    <w:tl2br w:val="nil"/>
                    <w:tr2bl w:val="nil"/>
                  </w:tcBorders>
                  <w:vAlign w:val="center"/>
                </w:tcPr>
                <w:p w14:paraId="45FA70D7">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eastAsia="宋体" w:cs="Times New Roman"/>
                      <w:kern w:val="2"/>
                      <w:sz w:val="21"/>
                      <w:szCs w:val="21"/>
                      <w:u w:val="single"/>
                      <w:lang w:val="en-US" w:eastAsia="zh-CN" w:bidi="ar-SA"/>
                    </w:rPr>
                  </w:pPr>
                  <w:r>
                    <w:rPr>
                      <w:rFonts w:hint="eastAsia"/>
                      <w:kern w:val="0"/>
                      <w:sz w:val="21"/>
                      <w:szCs w:val="21"/>
                      <w:u w:val="single"/>
                    </w:rPr>
                    <w:t>免洗洗手液</w:t>
                  </w:r>
                </w:p>
              </w:tc>
              <w:tc>
                <w:tcPr>
                  <w:tcW w:w="927" w:type="pct"/>
                  <w:tcBorders>
                    <w:tl2br w:val="nil"/>
                    <w:tr2bl w:val="nil"/>
                  </w:tcBorders>
                  <w:vAlign w:val="center"/>
                </w:tcPr>
                <w:p w14:paraId="6EF3A38D">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olor w:val="auto"/>
                      <w:sz w:val="21"/>
                      <w:szCs w:val="21"/>
                      <w:u w:val="single"/>
                      <w:lang w:val="en-US" w:eastAsia="zh-CN"/>
                    </w:rPr>
                    <w:t>5</w:t>
                  </w:r>
                  <w:r>
                    <w:rPr>
                      <w:rFonts w:hint="eastAsia" w:ascii="Times New Roman"/>
                      <w:color w:val="auto"/>
                      <w:sz w:val="21"/>
                      <w:szCs w:val="21"/>
                      <w:u w:val="single"/>
                      <w:lang w:val="en-US" w:eastAsia="zh-CN"/>
                    </w:rPr>
                    <w:t>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14:paraId="5E57E8CC">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hAnsi="Times New Roman"/>
                      <w:color w:val="auto"/>
                      <w:sz w:val="21"/>
                      <w:szCs w:val="21"/>
                      <w:u w:val="single"/>
                      <w:lang w:val="en-US" w:eastAsia="zh-CN"/>
                    </w:rPr>
                    <w:t>25</w:t>
                  </w:r>
                  <w:r>
                    <w:rPr>
                      <w:rFonts w:ascii="Times New Roman" w:hAnsi="Times New Roman"/>
                      <w:color w:val="auto"/>
                      <w:sz w:val="21"/>
                      <w:szCs w:val="21"/>
                      <w:u w:val="single"/>
                    </w:rPr>
                    <w:t>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14:paraId="3C02DAC0">
                  <w:pPr>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hint="eastAsia" w:ascii="Times New Roman" w:cs="Times New Roman"/>
                      <w:color w:val="auto"/>
                      <w:kern w:val="2"/>
                      <w:sz w:val="21"/>
                      <w:szCs w:val="21"/>
                      <w:u w:val="single"/>
                      <w:lang w:val="en-US" w:eastAsia="zh-CN"/>
                    </w:rPr>
                    <w:t>外购</w:t>
                  </w:r>
                </w:p>
              </w:tc>
            </w:tr>
            <w:tr w14:paraId="20E9C5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348697F3">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7</w:t>
                  </w:r>
                </w:p>
              </w:tc>
              <w:tc>
                <w:tcPr>
                  <w:tcW w:w="1501" w:type="pct"/>
                  <w:tcBorders>
                    <w:tl2br w:val="nil"/>
                    <w:tr2bl w:val="nil"/>
                  </w:tcBorders>
                  <w:vAlign w:val="center"/>
                </w:tcPr>
                <w:p w14:paraId="761F28BA">
                  <w:pPr>
                    <w:keepNext w:val="0"/>
                    <w:keepLines w:val="0"/>
                    <w:pageBreakBefore w:val="0"/>
                    <w:widowControl/>
                    <w:kinsoku/>
                    <w:wordWrap/>
                    <w:overflowPunct/>
                    <w:topLinePunct w:val="0"/>
                    <w:bidi w:val="0"/>
                    <w:snapToGrid/>
                    <w:spacing w:line="240" w:lineRule="auto"/>
                    <w:ind w:firstLine="0" w:firstLineChars="0"/>
                    <w:jc w:val="center"/>
                    <w:textAlignment w:val="center"/>
                    <w:rPr>
                      <w:rFonts w:ascii="Times New Roman" w:hAnsi="Times New Roman"/>
                      <w:color w:val="auto"/>
                      <w:sz w:val="21"/>
                      <w:szCs w:val="21"/>
                      <w:u w:val="single"/>
                    </w:rPr>
                  </w:pPr>
                  <w:r>
                    <w:rPr>
                      <w:rFonts w:hint="eastAsia"/>
                      <w:kern w:val="0"/>
                      <w:sz w:val="21"/>
                      <w:szCs w:val="21"/>
                      <w:u w:val="single"/>
                    </w:rPr>
                    <w:t>无菌注射器</w:t>
                  </w:r>
                </w:p>
              </w:tc>
              <w:tc>
                <w:tcPr>
                  <w:tcW w:w="927" w:type="pct"/>
                  <w:tcBorders>
                    <w:tl2br w:val="nil"/>
                    <w:tr2bl w:val="nil"/>
                  </w:tcBorders>
                  <w:vAlign w:val="center"/>
                </w:tcPr>
                <w:p w14:paraId="238EB53E">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lang w:val="en-US"/>
                    </w:rPr>
                  </w:pPr>
                  <w:r>
                    <w:rPr>
                      <w:rFonts w:hint="eastAsia" w:ascii="Times New Roman" w:hAnsi="Times New Roman" w:cs="Times New Roman"/>
                      <w:color w:val="auto"/>
                      <w:kern w:val="2"/>
                      <w:sz w:val="21"/>
                      <w:szCs w:val="21"/>
                      <w:u w:val="single"/>
                      <w:lang w:val="en-US" w:eastAsia="zh-CN"/>
                    </w:rPr>
                    <w:t>20000支</w:t>
                  </w:r>
                  <w:r>
                    <w:rPr>
                      <w:rFonts w:hint="eastAsia" w:ascii="Times New Roman" w:cs="Times New Roman"/>
                      <w:color w:val="auto"/>
                      <w:kern w:val="2"/>
                      <w:sz w:val="21"/>
                      <w:szCs w:val="21"/>
                      <w:u w:val="single"/>
                      <w:lang w:val="en-US" w:eastAsia="zh-CN"/>
                    </w:rPr>
                    <w:t>/a</w:t>
                  </w:r>
                </w:p>
              </w:tc>
              <w:tc>
                <w:tcPr>
                  <w:tcW w:w="1710" w:type="pct"/>
                  <w:tcBorders>
                    <w:tl2br w:val="nil"/>
                    <w:tr2bl w:val="nil"/>
                  </w:tcBorders>
                  <w:vAlign w:val="center"/>
                </w:tcPr>
                <w:p w14:paraId="7F834159">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lang w:val="en-US"/>
                    </w:rPr>
                  </w:pPr>
                  <w:r>
                    <w:rPr>
                      <w:rFonts w:hint="eastAsia" w:ascii="Times New Roman" w:hAnsi="Times New Roman" w:cs="Times New Roman"/>
                      <w:color w:val="auto"/>
                      <w:kern w:val="2"/>
                      <w:sz w:val="21"/>
                      <w:szCs w:val="21"/>
                      <w:u w:val="single"/>
                      <w:lang w:val="en-US" w:eastAsia="zh-CN"/>
                    </w:rPr>
                    <w:t>1ml、2.5ml、5ml、10ml</w:t>
                  </w:r>
                  <w:r>
                    <w:rPr>
                      <w:rFonts w:hint="eastAsia" w:ascii="Times New Roman" w:cs="Times New Roman"/>
                      <w:color w:val="auto"/>
                      <w:kern w:val="2"/>
                      <w:sz w:val="21"/>
                      <w:szCs w:val="21"/>
                      <w:u w:val="single"/>
                      <w:lang w:val="en-US" w:eastAsia="zh-CN"/>
                    </w:rPr>
                    <w:t>/支</w:t>
                  </w:r>
                </w:p>
              </w:tc>
              <w:tc>
                <w:tcPr>
                  <w:tcW w:w="572" w:type="pct"/>
                  <w:tcBorders>
                    <w:tl2br w:val="nil"/>
                    <w:tr2bl w:val="nil"/>
                  </w:tcBorders>
                  <w:vAlign w:val="center"/>
                </w:tcPr>
                <w:p w14:paraId="3D9C175C">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4085C9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133032D">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8</w:t>
                  </w:r>
                </w:p>
              </w:tc>
              <w:tc>
                <w:tcPr>
                  <w:tcW w:w="1501" w:type="pct"/>
                  <w:tcBorders>
                    <w:tl2br w:val="nil"/>
                    <w:tr2bl w:val="nil"/>
                  </w:tcBorders>
                  <w:vAlign w:val="center"/>
                </w:tcPr>
                <w:p w14:paraId="23008121">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default" w:ascii="Times New Roman" w:hAnsi="Times New Roman" w:cs="Times New Roman"/>
                      <w:color w:val="auto"/>
                      <w:kern w:val="0"/>
                      <w:sz w:val="21"/>
                      <w:szCs w:val="21"/>
                      <w:u w:val="single"/>
                    </w:rPr>
                    <w:t>纱布</w:t>
                  </w:r>
                </w:p>
              </w:tc>
              <w:tc>
                <w:tcPr>
                  <w:tcW w:w="927" w:type="pct"/>
                  <w:tcBorders>
                    <w:tl2br w:val="nil"/>
                    <w:tr2bl w:val="nil"/>
                  </w:tcBorders>
                  <w:vAlign w:val="center"/>
                </w:tcPr>
                <w:p w14:paraId="343B2F96">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3000</w:t>
                  </w:r>
                  <w:r>
                    <w:rPr>
                      <w:rFonts w:hint="eastAsia" w:ascii="Times New Roman" w:hAnsi="Times New Roman"/>
                      <w:color w:val="auto"/>
                      <w:sz w:val="21"/>
                      <w:szCs w:val="21"/>
                      <w:u w:val="single"/>
                    </w:rPr>
                    <w:t>块</w:t>
                  </w:r>
                  <w:r>
                    <w:rPr>
                      <w:rFonts w:ascii="Times New Roman" w:hAnsi="Times New Roman"/>
                      <w:color w:val="auto"/>
                      <w:sz w:val="21"/>
                      <w:szCs w:val="21"/>
                      <w:u w:val="single"/>
                    </w:rPr>
                    <w:t>/a</w:t>
                  </w:r>
                </w:p>
              </w:tc>
              <w:tc>
                <w:tcPr>
                  <w:tcW w:w="1710" w:type="pct"/>
                  <w:tcBorders>
                    <w:tl2br w:val="nil"/>
                    <w:tr2bl w:val="nil"/>
                  </w:tcBorders>
                  <w:vAlign w:val="center"/>
                </w:tcPr>
                <w:p w14:paraId="4F79F813">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val="en-US" w:eastAsia="zh-CN"/>
                    </w:rPr>
                  </w:pPr>
                  <w:r>
                    <w:rPr>
                      <w:rFonts w:hint="eastAsia" w:ascii="Times New Roman" w:hAnsi="Times New Roman"/>
                      <w:color w:val="auto"/>
                      <w:sz w:val="21"/>
                      <w:szCs w:val="21"/>
                      <w:u w:val="single"/>
                      <w:lang w:val="en-US" w:eastAsia="zh-CN"/>
                    </w:rPr>
                    <w:t>/</w:t>
                  </w:r>
                </w:p>
              </w:tc>
              <w:tc>
                <w:tcPr>
                  <w:tcW w:w="572" w:type="pct"/>
                  <w:tcBorders>
                    <w:tl2br w:val="nil"/>
                    <w:tr2bl w:val="nil"/>
                  </w:tcBorders>
                  <w:vAlign w:val="center"/>
                </w:tcPr>
                <w:p w14:paraId="51A007FB">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398D17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230103D">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9</w:t>
                  </w:r>
                </w:p>
              </w:tc>
              <w:tc>
                <w:tcPr>
                  <w:tcW w:w="1501" w:type="pct"/>
                  <w:tcBorders>
                    <w:tl2br w:val="nil"/>
                    <w:tr2bl w:val="nil"/>
                  </w:tcBorders>
                  <w:vAlign w:val="center"/>
                </w:tcPr>
                <w:p w14:paraId="4B2137E4">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尿试纸条</w:t>
                  </w:r>
                </w:p>
              </w:tc>
              <w:tc>
                <w:tcPr>
                  <w:tcW w:w="927" w:type="pct"/>
                  <w:tcBorders>
                    <w:tl2br w:val="nil"/>
                    <w:tr2bl w:val="nil"/>
                  </w:tcBorders>
                  <w:vAlign w:val="center"/>
                </w:tcPr>
                <w:p w14:paraId="07FB0F2C">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5000</w:t>
                  </w:r>
                  <w:r>
                    <w:rPr>
                      <w:rFonts w:hint="eastAsia" w:ascii="Times New Roman" w:hAnsi="Times New Roman"/>
                      <w:color w:val="auto"/>
                      <w:sz w:val="21"/>
                      <w:szCs w:val="21"/>
                      <w:u w:val="single"/>
                    </w:rPr>
                    <w:t>条</w:t>
                  </w:r>
                  <w:r>
                    <w:rPr>
                      <w:rFonts w:ascii="Times New Roman" w:hAnsi="Times New Roman"/>
                      <w:color w:val="auto"/>
                      <w:sz w:val="21"/>
                      <w:szCs w:val="21"/>
                      <w:u w:val="single"/>
                    </w:rPr>
                    <w:t>/a</w:t>
                  </w:r>
                </w:p>
              </w:tc>
              <w:tc>
                <w:tcPr>
                  <w:tcW w:w="1710" w:type="pct"/>
                  <w:tcBorders>
                    <w:tl2br w:val="nil"/>
                    <w:tr2bl w:val="nil"/>
                  </w:tcBorders>
                  <w:vAlign w:val="center"/>
                </w:tcPr>
                <w:p w14:paraId="728C4590">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olor w:val="auto"/>
                      <w:sz w:val="21"/>
                      <w:szCs w:val="21"/>
                      <w:u w:val="single"/>
                      <w:lang w:val="en-US" w:eastAsia="zh-CN"/>
                    </w:rPr>
                  </w:pPr>
                  <w:r>
                    <w:rPr>
                      <w:rFonts w:hint="eastAsia" w:ascii="Times New Roman" w:hAnsi="Times New Roman"/>
                      <w:color w:val="auto"/>
                      <w:sz w:val="21"/>
                      <w:szCs w:val="21"/>
                      <w:u w:val="single"/>
                      <w:lang w:val="en-US" w:eastAsia="zh-CN"/>
                    </w:rPr>
                    <w:t>50条/桶</w:t>
                  </w:r>
                </w:p>
              </w:tc>
              <w:tc>
                <w:tcPr>
                  <w:tcW w:w="572" w:type="pct"/>
                  <w:tcBorders>
                    <w:tl2br w:val="nil"/>
                    <w:tr2bl w:val="nil"/>
                  </w:tcBorders>
                  <w:vAlign w:val="center"/>
                </w:tcPr>
                <w:p w14:paraId="58489FBA">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639451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288" w:type="pct"/>
                  <w:tcBorders>
                    <w:tl2br w:val="nil"/>
                    <w:tr2bl w:val="nil"/>
                  </w:tcBorders>
                  <w:vAlign w:val="center"/>
                </w:tcPr>
                <w:p w14:paraId="303BF496">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w:t>
                  </w:r>
                </w:p>
              </w:tc>
              <w:tc>
                <w:tcPr>
                  <w:tcW w:w="1501" w:type="pct"/>
                  <w:tcBorders>
                    <w:tl2br w:val="nil"/>
                    <w:tr2bl w:val="nil"/>
                  </w:tcBorders>
                  <w:vAlign w:val="center"/>
                </w:tcPr>
                <w:p w14:paraId="12A0457C">
                  <w:pPr>
                    <w:keepNext w:val="0"/>
                    <w:keepLines w:val="0"/>
                    <w:pageBreakBefore w:val="0"/>
                    <w:widowControl/>
                    <w:kinsoku/>
                    <w:wordWrap/>
                    <w:overflowPunct/>
                    <w:topLinePunct w:val="0"/>
                    <w:bidi w:val="0"/>
                    <w:snapToGrid/>
                    <w:spacing w:line="240" w:lineRule="auto"/>
                    <w:ind w:firstLine="0" w:firstLineChars="0"/>
                    <w:jc w:val="center"/>
                    <w:textAlignment w:val="center"/>
                    <w:rPr>
                      <w:kern w:val="0"/>
                      <w:sz w:val="21"/>
                      <w:szCs w:val="21"/>
                      <w:u w:val="single"/>
                    </w:rPr>
                  </w:pPr>
                  <w:r>
                    <w:rPr>
                      <w:rFonts w:hint="default" w:ascii="Times New Roman" w:hAnsi="Times New Roman" w:cs="Times New Roman"/>
                      <w:color w:val="auto"/>
                      <w:sz w:val="21"/>
                      <w:szCs w:val="21"/>
                      <w:u w:val="single"/>
                    </w:rPr>
                    <w:t>血糖试条</w:t>
                  </w:r>
                </w:p>
              </w:tc>
              <w:tc>
                <w:tcPr>
                  <w:tcW w:w="927" w:type="pct"/>
                  <w:tcBorders>
                    <w:tl2br w:val="nil"/>
                    <w:tr2bl w:val="nil"/>
                  </w:tcBorders>
                  <w:vAlign w:val="center"/>
                </w:tcPr>
                <w:p w14:paraId="1E3F0A86">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olor w:val="auto"/>
                      <w:sz w:val="21"/>
                      <w:szCs w:val="21"/>
                      <w:u w:val="single"/>
                      <w:lang w:val="en-US"/>
                    </w:rPr>
                  </w:pPr>
                  <w:r>
                    <w:rPr>
                      <w:rFonts w:hint="eastAsia" w:ascii="Times New Roman" w:cs="Times New Roman"/>
                      <w:color w:val="auto"/>
                      <w:kern w:val="2"/>
                      <w:sz w:val="21"/>
                      <w:szCs w:val="21"/>
                      <w:u w:val="single"/>
                      <w:lang w:val="en-US" w:eastAsia="zh-CN"/>
                    </w:rPr>
                    <w:t>12000/a</w:t>
                  </w:r>
                </w:p>
              </w:tc>
              <w:tc>
                <w:tcPr>
                  <w:tcW w:w="1710" w:type="pct"/>
                  <w:tcBorders>
                    <w:tl2br w:val="nil"/>
                    <w:tr2bl w:val="nil"/>
                  </w:tcBorders>
                  <w:vAlign w:val="center"/>
                </w:tcPr>
                <w:p w14:paraId="122C7BC4">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150</w:t>
                  </w:r>
                  <w:r>
                    <w:rPr>
                      <w:rFonts w:hint="eastAsia" w:ascii="Times New Roman" w:hAnsi="Times New Roman"/>
                      <w:color w:val="auto"/>
                      <w:sz w:val="21"/>
                      <w:szCs w:val="21"/>
                      <w:u w:val="single"/>
                    </w:rPr>
                    <w:t>条</w:t>
                  </w:r>
                  <w:r>
                    <w:rPr>
                      <w:rFonts w:hint="eastAsia" w:ascii="Times New Roman" w:hAnsi="Times New Roman" w:cs="Times New Roman"/>
                      <w:color w:val="auto"/>
                      <w:kern w:val="2"/>
                      <w:sz w:val="21"/>
                      <w:szCs w:val="21"/>
                      <w:u w:val="single"/>
                      <w:lang w:val="en-US" w:eastAsia="zh-CN"/>
                    </w:rPr>
                    <w:t>/盒</w:t>
                  </w:r>
                </w:p>
              </w:tc>
              <w:tc>
                <w:tcPr>
                  <w:tcW w:w="572" w:type="pct"/>
                  <w:tcBorders>
                    <w:tl2br w:val="nil"/>
                    <w:tr2bl w:val="nil"/>
                  </w:tcBorders>
                  <w:vAlign w:val="center"/>
                </w:tcPr>
                <w:p w14:paraId="63EA75F6">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3F7E0D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7" w:hRule="atLeast"/>
                <w:jc w:val="center"/>
              </w:trPr>
              <w:tc>
                <w:tcPr>
                  <w:tcW w:w="288" w:type="pct"/>
                  <w:tcBorders>
                    <w:tl2br w:val="nil"/>
                    <w:tr2bl w:val="nil"/>
                  </w:tcBorders>
                  <w:vAlign w:val="center"/>
                </w:tcPr>
                <w:p w14:paraId="686F135F">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11</w:t>
                  </w:r>
                </w:p>
              </w:tc>
              <w:tc>
                <w:tcPr>
                  <w:tcW w:w="1501" w:type="pct"/>
                  <w:tcBorders>
                    <w:tl2br w:val="nil"/>
                    <w:tr2bl w:val="nil"/>
                  </w:tcBorders>
                  <w:vAlign w:val="center"/>
                </w:tcPr>
                <w:p w14:paraId="6DBE4D2C">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kern w:val="0"/>
                      <w:sz w:val="21"/>
                      <w:szCs w:val="21"/>
                      <w:u w:val="single"/>
                    </w:rPr>
                    <w:t>大棉签</w:t>
                  </w:r>
                </w:p>
              </w:tc>
              <w:tc>
                <w:tcPr>
                  <w:tcW w:w="927" w:type="pct"/>
                  <w:tcBorders>
                    <w:tl2br w:val="nil"/>
                    <w:tr2bl w:val="nil"/>
                  </w:tcBorders>
                  <w:vAlign w:val="center"/>
                </w:tcPr>
                <w:p w14:paraId="41226FD7">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3</w:t>
                  </w:r>
                  <w:r>
                    <w:rPr>
                      <w:rFonts w:ascii="Times New Roman" w:hAnsi="Times New Roman"/>
                      <w:color w:val="auto"/>
                      <w:sz w:val="21"/>
                      <w:szCs w:val="21"/>
                      <w:u w:val="single"/>
                    </w:rPr>
                    <w:t>0</w:t>
                  </w:r>
                  <w:r>
                    <w:rPr>
                      <w:rFonts w:hint="eastAsia" w:ascii="Times New Roman" w:hAnsi="Times New Roman"/>
                      <w:color w:val="auto"/>
                      <w:sz w:val="21"/>
                      <w:szCs w:val="21"/>
                      <w:u w:val="single"/>
                    </w:rPr>
                    <w:t>包</w:t>
                  </w:r>
                  <w:r>
                    <w:rPr>
                      <w:rFonts w:ascii="Times New Roman" w:hAnsi="Times New Roman"/>
                      <w:color w:val="auto"/>
                      <w:sz w:val="21"/>
                      <w:szCs w:val="21"/>
                      <w:u w:val="single"/>
                    </w:rPr>
                    <w:t>/a</w:t>
                  </w:r>
                </w:p>
              </w:tc>
              <w:tc>
                <w:tcPr>
                  <w:tcW w:w="1710" w:type="pct"/>
                  <w:tcBorders>
                    <w:tl2br w:val="nil"/>
                    <w:tr2bl w:val="nil"/>
                  </w:tcBorders>
                  <w:vAlign w:val="center"/>
                </w:tcPr>
                <w:p w14:paraId="462E08AF">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olor w:val="auto"/>
                      <w:sz w:val="21"/>
                      <w:szCs w:val="21"/>
                      <w:u w:val="single"/>
                      <w:lang w:val="en-US" w:eastAsia="zh-CN"/>
                    </w:rPr>
                  </w:pPr>
                  <w:r>
                    <w:rPr>
                      <w:rFonts w:hint="eastAsia" w:ascii="Times New Roman" w:hAnsi="Times New Roman"/>
                      <w:color w:val="auto"/>
                      <w:sz w:val="21"/>
                      <w:szCs w:val="21"/>
                      <w:u w:val="single"/>
                      <w:lang w:val="en-US" w:eastAsia="zh-CN"/>
                    </w:rPr>
                    <w:t>100根/包</w:t>
                  </w:r>
                </w:p>
              </w:tc>
              <w:tc>
                <w:tcPr>
                  <w:tcW w:w="572" w:type="pct"/>
                  <w:tcBorders>
                    <w:tl2br w:val="nil"/>
                    <w:tr2bl w:val="nil"/>
                  </w:tcBorders>
                  <w:vAlign w:val="center"/>
                </w:tcPr>
                <w:p w14:paraId="2C409D5E">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4E9742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42CFF8E6">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12</w:t>
                  </w:r>
                </w:p>
              </w:tc>
              <w:tc>
                <w:tcPr>
                  <w:tcW w:w="1501" w:type="pct"/>
                  <w:tcBorders>
                    <w:tl2br w:val="nil"/>
                    <w:tr2bl w:val="nil"/>
                  </w:tcBorders>
                  <w:vAlign w:val="center"/>
                </w:tcPr>
                <w:p w14:paraId="4835676F">
                  <w:pPr>
                    <w:pStyle w:val="29"/>
                    <w:keepNext w:val="0"/>
                    <w:keepLines w:val="0"/>
                    <w:pageBreakBefore w:val="0"/>
                    <w:kinsoku/>
                    <w:wordWrap/>
                    <w:overflowPunct/>
                    <w:topLinePunct w:val="0"/>
                    <w:bidi w:val="0"/>
                    <w:snapToGrid/>
                    <w:spacing w:line="240" w:lineRule="auto"/>
                    <w:ind w:firstLine="0" w:firstLineChars="0"/>
                    <w:jc w:val="center"/>
                    <w:rPr>
                      <w:sz w:val="21"/>
                      <w:szCs w:val="21"/>
                      <w:u w:val="single"/>
                    </w:rPr>
                  </w:pPr>
                  <w:r>
                    <w:rPr>
                      <w:rFonts w:hint="eastAsia" w:ascii="Times New Roman" w:hAnsi="Times New Roman"/>
                      <w:color w:val="auto"/>
                      <w:sz w:val="21"/>
                      <w:szCs w:val="21"/>
                      <w:u w:val="single"/>
                    </w:rPr>
                    <w:t>小棉签</w:t>
                  </w:r>
                </w:p>
              </w:tc>
              <w:tc>
                <w:tcPr>
                  <w:tcW w:w="927" w:type="pct"/>
                  <w:tcBorders>
                    <w:tl2br w:val="nil"/>
                    <w:tr2bl w:val="nil"/>
                  </w:tcBorders>
                  <w:vAlign w:val="center"/>
                </w:tcPr>
                <w:p w14:paraId="6B470617">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1500</w:t>
                  </w:r>
                  <w:r>
                    <w:rPr>
                      <w:rFonts w:hint="eastAsia" w:ascii="Times New Roman" w:hAnsi="Times New Roman"/>
                      <w:color w:val="auto"/>
                      <w:sz w:val="21"/>
                      <w:szCs w:val="21"/>
                      <w:u w:val="single"/>
                    </w:rPr>
                    <w:t>条</w:t>
                  </w:r>
                  <w:r>
                    <w:rPr>
                      <w:rFonts w:ascii="Times New Roman" w:hAnsi="Times New Roman"/>
                      <w:color w:val="auto"/>
                      <w:sz w:val="21"/>
                      <w:szCs w:val="21"/>
                      <w:u w:val="single"/>
                    </w:rPr>
                    <w:t>/a</w:t>
                  </w:r>
                </w:p>
              </w:tc>
              <w:tc>
                <w:tcPr>
                  <w:tcW w:w="1710" w:type="pct"/>
                  <w:tcBorders>
                    <w:tl2br w:val="nil"/>
                    <w:tr2bl w:val="nil"/>
                  </w:tcBorders>
                  <w:vAlign w:val="center"/>
                </w:tcPr>
                <w:p w14:paraId="5704DA3A">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14:paraId="305B9F23">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23DE53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1DE5847A">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13</w:t>
                  </w:r>
                </w:p>
              </w:tc>
              <w:tc>
                <w:tcPr>
                  <w:tcW w:w="1501" w:type="pct"/>
                  <w:tcBorders>
                    <w:tl2br w:val="nil"/>
                    <w:tr2bl w:val="nil"/>
                  </w:tcBorders>
                  <w:vAlign w:val="center"/>
                </w:tcPr>
                <w:p w14:paraId="797A2AEC">
                  <w:pPr>
                    <w:pStyle w:val="29"/>
                    <w:keepNext w:val="0"/>
                    <w:keepLines w:val="0"/>
                    <w:pageBreakBefore w:val="0"/>
                    <w:kinsoku/>
                    <w:wordWrap/>
                    <w:overflowPunct/>
                    <w:topLinePunct w:val="0"/>
                    <w:bidi w:val="0"/>
                    <w:snapToGrid/>
                    <w:spacing w:line="240" w:lineRule="auto"/>
                    <w:ind w:firstLine="0" w:firstLineChars="0"/>
                    <w:jc w:val="center"/>
                    <w:rPr>
                      <w:sz w:val="21"/>
                      <w:szCs w:val="21"/>
                      <w:u w:val="single"/>
                    </w:rPr>
                  </w:pPr>
                  <w:r>
                    <w:rPr>
                      <w:rFonts w:hint="eastAsia" w:ascii="Times New Roman" w:hAnsi="Times New Roman"/>
                      <w:color w:val="auto"/>
                      <w:sz w:val="21"/>
                      <w:szCs w:val="21"/>
                      <w:u w:val="single"/>
                    </w:rPr>
                    <w:t>一次性采血针</w:t>
                  </w:r>
                </w:p>
              </w:tc>
              <w:tc>
                <w:tcPr>
                  <w:tcW w:w="927" w:type="pct"/>
                  <w:tcBorders>
                    <w:tl2br w:val="nil"/>
                    <w:tr2bl w:val="nil"/>
                  </w:tcBorders>
                  <w:vAlign w:val="center"/>
                </w:tcPr>
                <w:p w14:paraId="41142C15">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6500个</w:t>
                  </w:r>
                  <w:r>
                    <w:rPr>
                      <w:rFonts w:ascii="Times New Roman" w:hAnsi="Times New Roman"/>
                      <w:color w:val="auto"/>
                      <w:sz w:val="21"/>
                      <w:szCs w:val="21"/>
                      <w:u w:val="single"/>
                    </w:rPr>
                    <w:t>/a</w:t>
                  </w:r>
                </w:p>
              </w:tc>
              <w:tc>
                <w:tcPr>
                  <w:tcW w:w="1710" w:type="pct"/>
                  <w:tcBorders>
                    <w:tl2br w:val="nil"/>
                    <w:tr2bl w:val="nil"/>
                  </w:tcBorders>
                  <w:vAlign w:val="center"/>
                </w:tcPr>
                <w:p w14:paraId="3097FE2E">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14:paraId="48D5C65B">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12CC40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48FAD4A">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14</w:t>
                  </w:r>
                </w:p>
              </w:tc>
              <w:tc>
                <w:tcPr>
                  <w:tcW w:w="1501" w:type="pct"/>
                  <w:tcBorders>
                    <w:tl2br w:val="nil"/>
                    <w:tr2bl w:val="nil"/>
                  </w:tcBorders>
                  <w:vAlign w:val="center"/>
                </w:tcPr>
                <w:p w14:paraId="64B5F255">
                  <w:pPr>
                    <w:pStyle w:val="29"/>
                    <w:keepNext w:val="0"/>
                    <w:keepLines w:val="0"/>
                    <w:pageBreakBefore w:val="0"/>
                    <w:kinsoku/>
                    <w:wordWrap/>
                    <w:overflowPunct/>
                    <w:topLinePunct w:val="0"/>
                    <w:bidi w:val="0"/>
                    <w:snapToGrid/>
                    <w:spacing w:line="240" w:lineRule="auto"/>
                    <w:ind w:firstLine="0" w:firstLineChars="0"/>
                    <w:jc w:val="center"/>
                    <w:rPr>
                      <w:sz w:val="21"/>
                      <w:szCs w:val="21"/>
                      <w:u w:val="single"/>
                    </w:rPr>
                  </w:pPr>
                  <w:r>
                    <w:rPr>
                      <w:rFonts w:hint="eastAsia" w:ascii="Times New Roman" w:hAnsi="Times New Roman"/>
                      <w:color w:val="auto"/>
                      <w:sz w:val="21"/>
                      <w:szCs w:val="21"/>
                      <w:u w:val="single"/>
                    </w:rPr>
                    <w:t>一次性鼻氧管</w:t>
                  </w:r>
                </w:p>
              </w:tc>
              <w:tc>
                <w:tcPr>
                  <w:tcW w:w="927" w:type="pct"/>
                  <w:tcBorders>
                    <w:tl2br w:val="nil"/>
                    <w:tr2bl w:val="nil"/>
                  </w:tcBorders>
                  <w:vAlign w:val="center"/>
                </w:tcPr>
                <w:p w14:paraId="08017D31">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s="Times New Roman"/>
                      <w:color w:val="auto"/>
                      <w:kern w:val="2"/>
                      <w:sz w:val="21"/>
                      <w:szCs w:val="21"/>
                      <w:u w:val="single"/>
                      <w:lang w:val="en-US" w:eastAsia="zh-CN"/>
                    </w:rPr>
                    <w:t>200个</w:t>
                  </w:r>
                  <w:r>
                    <w:rPr>
                      <w:rFonts w:ascii="Times New Roman" w:hAnsi="Times New Roman"/>
                      <w:color w:val="auto"/>
                      <w:sz w:val="21"/>
                      <w:szCs w:val="21"/>
                      <w:u w:val="single"/>
                    </w:rPr>
                    <w:t>/a</w:t>
                  </w:r>
                </w:p>
              </w:tc>
              <w:tc>
                <w:tcPr>
                  <w:tcW w:w="1710" w:type="pct"/>
                  <w:tcBorders>
                    <w:tl2br w:val="nil"/>
                    <w:tr2bl w:val="nil"/>
                  </w:tcBorders>
                  <w:vAlign w:val="center"/>
                </w:tcPr>
                <w:p w14:paraId="0A4323AA">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eastAsia="zh-CN"/>
                    </w:rPr>
                  </w:pPr>
                  <w:r>
                    <w:rPr>
                      <w:rFonts w:hint="eastAsia" w:ascii="Times New Roman" w:hAnsi="Times New Roman"/>
                      <w:color w:val="auto"/>
                      <w:sz w:val="21"/>
                      <w:szCs w:val="21"/>
                      <w:u w:val="single"/>
                      <w:lang w:val="en-US" w:eastAsia="zh-CN"/>
                    </w:rPr>
                    <w:t>/</w:t>
                  </w:r>
                </w:p>
              </w:tc>
              <w:tc>
                <w:tcPr>
                  <w:tcW w:w="572" w:type="pct"/>
                  <w:tcBorders>
                    <w:tl2br w:val="nil"/>
                    <w:tr2bl w:val="nil"/>
                  </w:tcBorders>
                  <w:vAlign w:val="center"/>
                </w:tcPr>
                <w:p w14:paraId="7664EB6B">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50C208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14:paraId="13FAD106">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消毒剂</w:t>
                  </w:r>
                </w:p>
              </w:tc>
            </w:tr>
            <w:tr w14:paraId="537A8D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9A65D42">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14:paraId="4EEDB553">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络合碘</w:t>
                  </w:r>
                </w:p>
              </w:tc>
              <w:tc>
                <w:tcPr>
                  <w:tcW w:w="927" w:type="pct"/>
                  <w:tcBorders>
                    <w:tl2br w:val="nil"/>
                    <w:tr2bl w:val="nil"/>
                  </w:tcBorders>
                  <w:vAlign w:val="center"/>
                </w:tcPr>
                <w:p w14:paraId="30A1FB11">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500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14:paraId="79558077">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14:paraId="3DF3A54C">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0A690F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4C7B484E">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w:t>
                  </w:r>
                </w:p>
              </w:tc>
              <w:tc>
                <w:tcPr>
                  <w:tcW w:w="1501" w:type="pct"/>
                  <w:tcBorders>
                    <w:tl2br w:val="nil"/>
                    <w:tr2bl w:val="nil"/>
                  </w:tcBorders>
                  <w:vAlign w:val="center"/>
                </w:tcPr>
                <w:p w14:paraId="0A191292">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医用酒精</w:t>
                  </w:r>
                </w:p>
              </w:tc>
              <w:tc>
                <w:tcPr>
                  <w:tcW w:w="927" w:type="pct"/>
                  <w:tcBorders>
                    <w:tl2br w:val="nil"/>
                    <w:tr2bl w:val="nil"/>
                  </w:tcBorders>
                  <w:vAlign w:val="center"/>
                </w:tcPr>
                <w:p w14:paraId="382979D8">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100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14:paraId="706646E3">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500m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14:paraId="33902317">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585531A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2288EE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3</w:t>
                  </w:r>
                </w:p>
              </w:tc>
              <w:tc>
                <w:tcPr>
                  <w:tcW w:w="1501" w:type="pct"/>
                  <w:tcBorders>
                    <w:tl2br w:val="nil"/>
                    <w:tr2bl w:val="nil"/>
                  </w:tcBorders>
                  <w:vAlign w:val="center"/>
                </w:tcPr>
                <w:p w14:paraId="1B9939A4">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84</w:t>
                  </w:r>
                  <w:r>
                    <w:rPr>
                      <w:rFonts w:hint="eastAsia" w:ascii="Times New Roman" w:hAnsi="Times New Roman"/>
                      <w:color w:val="auto"/>
                      <w:sz w:val="21"/>
                      <w:szCs w:val="21"/>
                      <w:u w:val="single"/>
                    </w:rPr>
                    <w:t>消毒液</w:t>
                  </w:r>
                </w:p>
              </w:tc>
              <w:tc>
                <w:tcPr>
                  <w:tcW w:w="927" w:type="pct"/>
                  <w:tcBorders>
                    <w:tl2br w:val="nil"/>
                    <w:tr2bl w:val="nil"/>
                  </w:tcBorders>
                  <w:vAlign w:val="center"/>
                </w:tcPr>
                <w:p w14:paraId="6F901621">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lang w:val="en-US" w:eastAsia="zh-CN"/>
                    </w:rPr>
                    <w:t>400</w:t>
                  </w:r>
                  <w:r>
                    <w:rPr>
                      <w:rFonts w:hint="eastAsia" w:ascii="Times New Roman" w:hAnsi="Times New Roman"/>
                      <w:color w:val="auto"/>
                      <w:sz w:val="21"/>
                      <w:szCs w:val="21"/>
                      <w:u w:val="single"/>
                    </w:rPr>
                    <w:t>瓶</w:t>
                  </w:r>
                  <w:r>
                    <w:rPr>
                      <w:rFonts w:ascii="Times New Roman" w:hAnsi="Times New Roman"/>
                      <w:color w:val="auto"/>
                      <w:sz w:val="21"/>
                      <w:szCs w:val="21"/>
                      <w:u w:val="single"/>
                    </w:rPr>
                    <w:t>/a</w:t>
                  </w:r>
                </w:p>
              </w:tc>
              <w:tc>
                <w:tcPr>
                  <w:tcW w:w="1710" w:type="pct"/>
                  <w:tcBorders>
                    <w:tl2br w:val="nil"/>
                    <w:tr2bl w:val="nil"/>
                  </w:tcBorders>
                  <w:vAlign w:val="center"/>
                </w:tcPr>
                <w:p w14:paraId="1DCA036F">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500m</w:t>
                  </w:r>
                  <w:r>
                    <w:rPr>
                      <w:rFonts w:hint="eastAsia" w:ascii="Times New Roman"/>
                      <w:color w:val="auto"/>
                      <w:sz w:val="21"/>
                      <w:szCs w:val="21"/>
                      <w:u w:val="single"/>
                      <w:lang w:val="en-US" w:eastAsia="zh-CN"/>
                    </w:rPr>
                    <w:t>L</w:t>
                  </w:r>
                  <w:r>
                    <w:rPr>
                      <w:rFonts w:ascii="Times New Roman" w:hAnsi="Times New Roman"/>
                      <w:color w:val="auto"/>
                      <w:sz w:val="21"/>
                      <w:szCs w:val="21"/>
                      <w:u w:val="single"/>
                    </w:rPr>
                    <w:t>/</w:t>
                  </w:r>
                  <w:r>
                    <w:rPr>
                      <w:rFonts w:hint="eastAsia" w:ascii="Times New Roman" w:hAnsi="Times New Roman"/>
                      <w:color w:val="auto"/>
                      <w:sz w:val="21"/>
                      <w:szCs w:val="21"/>
                      <w:u w:val="single"/>
                    </w:rPr>
                    <w:t>瓶</w:t>
                  </w:r>
                </w:p>
              </w:tc>
              <w:tc>
                <w:tcPr>
                  <w:tcW w:w="572" w:type="pct"/>
                  <w:tcBorders>
                    <w:tl2br w:val="nil"/>
                    <w:tr2bl w:val="nil"/>
                  </w:tcBorders>
                  <w:vAlign w:val="center"/>
                </w:tcPr>
                <w:p w14:paraId="13DEFCA8">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065C9B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14:paraId="681FBBB7">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检化验试剂</w:t>
                  </w:r>
                </w:p>
              </w:tc>
            </w:tr>
            <w:tr w14:paraId="6B3AFC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4AD96C26">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14:paraId="681FB8D9">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肌酐测定试剂盒</w:t>
                  </w:r>
                  <w:r>
                    <w:rPr>
                      <w:sz w:val="21"/>
                      <w:szCs w:val="21"/>
                      <w:u w:val="single"/>
                    </w:rPr>
                    <w:t>2*27+1*18</w:t>
                  </w:r>
                </w:p>
              </w:tc>
              <w:tc>
                <w:tcPr>
                  <w:tcW w:w="927" w:type="pct"/>
                  <w:tcBorders>
                    <w:tl2br w:val="nil"/>
                    <w:tr2bl w:val="nil"/>
                  </w:tcBorders>
                  <w:vAlign w:val="center"/>
                </w:tcPr>
                <w:p w14:paraId="0E4A0C4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6</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1335820C">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2*27+1*18</w:t>
                  </w:r>
                </w:p>
              </w:tc>
              <w:tc>
                <w:tcPr>
                  <w:tcW w:w="572" w:type="pct"/>
                  <w:tcBorders>
                    <w:tl2br w:val="nil"/>
                    <w:tr2bl w:val="nil"/>
                  </w:tcBorders>
                  <w:vAlign w:val="center"/>
                </w:tcPr>
                <w:p w14:paraId="6476ABCA">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eastAsia="zh-CN"/>
                    </w:rPr>
                  </w:pPr>
                  <w:r>
                    <w:rPr>
                      <w:rFonts w:hint="eastAsia" w:ascii="Times New Roman" w:cs="Times New Roman"/>
                      <w:color w:val="auto"/>
                      <w:kern w:val="2"/>
                      <w:sz w:val="21"/>
                      <w:szCs w:val="21"/>
                      <w:u w:val="single"/>
                      <w:lang w:val="en-US" w:eastAsia="zh-CN"/>
                    </w:rPr>
                    <w:t>外购</w:t>
                  </w:r>
                </w:p>
              </w:tc>
            </w:tr>
            <w:tr w14:paraId="46D6E5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7CE930DF">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w:t>
                  </w:r>
                </w:p>
              </w:tc>
              <w:tc>
                <w:tcPr>
                  <w:tcW w:w="1501" w:type="pct"/>
                  <w:tcBorders>
                    <w:tl2br w:val="nil"/>
                    <w:tr2bl w:val="nil"/>
                  </w:tcBorders>
                  <w:vAlign w:val="center"/>
                </w:tcPr>
                <w:p w14:paraId="3987DDA6">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丙氨酸氨基转移酶测定试剂盒</w:t>
                  </w:r>
                  <w:r>
                    <w:rPr>
                      <w:sz w:val="21"/>
                      <w:szCs w:val="21"/>
                      <w:u w:val="single"/>
                    </w:rPr>
                    <w:t>4*35+2*18</w:t>
                  </w:r>
                </w:p>
              </w:tc>
              <w:tc>
                <w:tcPr>
                  <w:tcW w:w="927" w:type="pct"/>
                  <w:tcBorders>
                    <w:tl2br w:val="nil"/>
                    <w:tr2bl w:val="nil"/>
                  </w:tcBorders>
                  <w:vAlign w:val="center"/>
                </w:tcPr>
                <w:p w14:paraId="407968A5">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1657BB3E">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4*35+2*18</w:t>
                  </w:r>
                </w:p>
              </w:tc>
              <w:tc>
                <w:tcPr>
                  <w:tcW w:w="572" w:type="pct"/>
                  <w:tcBorders>
                    <w:tl2br w:val="nil"/>
                    <w:tr2bl w:val="nil"/>
                  </w:tcBorders>
                  <w:vAlign w:val="center"/>
                </w:tcPr>
                <w:p w14:paraId="0FE8D64B">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737BE4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07B377A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3</w:t>
                  </w:r>
                </w:p>
              </w:tc>
              <w:tc>
                <w:tcPr>
                  <w:tcW w:w="1501" w:type="pct"/>
                  <w:tcBorders>
                    <w:tl2br w:val="nil"/>
                    <w:tr2bl w:val="nil"/>
                  </w:tcBorders>
                  <w:vAlign w:val="center"/>
                </w:tcPr>
                <w:p w14:paraId="3B9C005A">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天门冬氨酸氨基转移酶测定试剂盒</w:t>
                  </w:r>
                  <w:r>
                    <w:rPr>
                      <w:sz w:val="21"/>
                      <w:szCs w:val="21"/>
                      <w:u w:val="single"/>
                    </w:rPr>
                    <w:t>4*35+2*18</w:t>
                  </w:r>
                </w:p>
              </w:tc>
              <w:tc>
                <w:tcPr>
                  <w:tcW w:w="927" w:type="pct"/>
                  <w:tcBorders>
                    <w:tl2br w:val="nil"/>
                    <w:tr2bl w:val="nil"/>
                  </w:tcBorders>
                  <w:vAlign w:val="center"/>
                </w:tcPr>
                <w:p w14:paraId="65BCB219">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6F28BB6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4*35+2*18</w:t>
                  </w:r>
                </w:p>
              </w:tc>
              <w:tc>
                <w:tcPr>
                  <w:tcW w:w="572" w:type="pct"/>
                  <w:tcBorders>
                    <w:tl2br w:val="nil"/>
                    <w:tr2bl w:val="nil"/>
                  </w:tcBorders>
                  <w:vAlign w:val="center"/>
                </w:tcPr>
                <w:p w14:paraId="337C5D86">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558F0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69697886">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w:t>
                  </w:r>
                </w:p>
              </w:tc>
              <w:tc>
                <w:tcPr>
                  <w:tcW w:w="1501" w:type="pct"/>
                  <w:tcBorders>
                    <w:tl2br w:val="nil"/>
                    <w:tr2bl w:val="nil"/>
                  </w:tcBorders>
                  <w:vAlign w:val="center"/>
                </w:tcPr>
                <w:p w14:paraId="43000733">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总胆红素测定试剂盒</w:t>
                  </w:r>
                  <w:r>
                    <w:rPr>
                      <w:rFonts w:ascii="Times New Roman" w:hAnsi="Times New Roman"/>
                      <w:color w:val="auto"/>
                      <w:sz w:val="21"/>
                      <w:szCs w:val="21"/>
                      <w:u w:val="single"/>
                    </w:rPr>
                    <w:t>R1:4*35+R2:2*18</w:t>
                  </w:r>
                </w:p>
              </w:tc>
              <w:tc>
                <w:tcPr>
                  <w:tcW w:w="927" w:type="pct"/>
                  <w:tcBorders>
                    <w:tl2br w:val="nil"/>
                    <w:tr2bl w:val="nil"/>
                  </w:tcBorders>
                  <w:vAlign w:val="center"/>
                </w:tcPr>
                <w:p w14:paraId="36251EDE">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74E8254A">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R1:4*35+R2:2*18</w:t>
                  </w:r>
                </w:p>
              </w:tc>
              <w:tc>
                <w:tcPr>
                  <w:tcW w:w="572" w:type="pct"/>
                  <w:tcBorders>
                    <w:tl2br w:val="nil"/>
                    <w:tr2bl w:val="nil"/>
                  </w:tcBorders>
                  <w:vAlign w:val="center"/>
                </w:tcPr>
                <w:p w14:paraId="2B6305B9">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0B6D7A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9476F79">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5</w:t>
                  </w:r>
                </w:p>
              </w:tc>
              <w:tc>
                <w:tcPr>
                  <w:tcW w:w="1501" w:type="pct"/>
                  <w:tcBorders>
                    <w:tl2br w:val="nil"/>
                    <w:tr2bl w:val="nil"/>
                  </w:tcBorders>
                  <w:vAlign w:val="center"/>
                </w:tcPr>
                <w:p w14:paraId="2C5DF03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尿素测定试剂盒</w:t>
                  </w:r>
                  <w:r>
                    <w:rPr>
                      <w:rFonts w:ascii="Times New Roman" w:hAnsi="Times New Roman"/>
                      <w:color w:val="auto"/>
                      <w:sz w:val="21"/>
                      <w:szCs w:val="21"/>
                      <w:u w:val="single"/>
                    </w:rPr>
                    <w:t>4*35+2*18</w:t>
                  </w:r>
                </w:p>
              </w:tc>
              <w:tc>
                <w:tcPr>
                  <w:tcW w:w="927" w:type="pct"/>
                  <w:tcBorders>
                    <w:tl2br w:val="nil"/>
                    <w:tr2bl w:val="nil"/>
                  </w:tcBorders>
                  <w:vAlign w:val="center"/>
                </w:tcPr>
                <w:p w14:paraId="78889E9E">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12CE1C6D">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4*35+2*18</w:t>
                  </w:r>
                </w:p>
              </w:tc>
              <w:tc>
                <w:tcPr>
                  <w:tcW w:w="572" w:type="pct"/>
                  <w:tcBorders>
                    <w:tl2br w:val="nil"/>
                    <w:tr2bl w:val="nil"/>
                  </w:tcBorders>
                  <w:vAlign w:val="center"/>
                </w:tcPr>
                <w:p w14:paraId="7E47333F">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421265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6BA76955">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6</w:t>
                  </w:r>
                </w:p>
              </w:tc>
              <w:tc>
                <w:tcPr>
                  <w:tcW w:w="1501" w:type="pct"/>
                  <w:tcBorders>
                    <w:tl2br w:val="nil"/>
                    <w:tr2bl w:val="nil"/>
                  </w:tcBorders>
                  <w:vAlign w:val="center"/>
                </w:tcPr>
                <w:p w14:paraId="4710A120">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尿酸测定试剂盒</w:t>
                  </w:r>
                  <w:r>
                    <w:rPr>
                      <w:sz w:val="21"/>
                      <w:szCs w:val="21"/>
                      <w:u w:val="single"/>
                    </w:rPr>
                    <w:t>4*35+2*18</w:t>
                  </w:r>
                </w:p>
              </w:tc>
              <w:tc>
                <w:tcPr>
                  <w:tcW w:w="927" w:type="pct"/>
                  <w:tcBorders>
                    <w:tl2br w:val="nil"/>
                    <w:tr2bl w:val="nil"/>
                  </w:tcBorders>
                  <w:vAlign w:val="center"/>
                </w:tcPr>
                <w:p w14:paraId="11A84FAC">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1</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3681A6B1">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4*35+2*18</w:t>
                  </w:r>
                </w:p>
              </w:tc>
              <w:tc>
                <w:tcPr>
                  <w:tcW w:w="572" w:type="pct"/>
                  <w:tcBorders>
                    <w:tl2br w:val="nil"/>
                    <w:tr2bl w:val="nil"/>
                  </w:tcBorders>
                  <w:vAlign w:val="center"/>
                </w:tcPr>
                <w:p w14:paraId="1098B26F">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2FE53D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41643230">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7</w:t>
                  </w:r>
                </w:p>
              </w:tc>
              <w:tc>
                <w:tcPr>
                  <w:tcW w:w="1501" w:type="pct"/>
                  <w:tcBorders>
                    <w:tl2br w:val="nil"/>
                    <w:tr2bl w:val="nil"/>
                  </w:tcBorders>
                  <w:vAlign w:val="center"/>
                </w:tcPr>
                <w:p w14:paraId="4AA0378E">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高密度脂蛋白测定试剂盒</w:t>
                  </w:r>
                  <w:r>
                    <w:rPr>
                      <w:sz w:val="21"/>
                      <w:szCs w:val="21"/>
                      <w:u w:val="single"/>
                    </w:rPr>
                    <w:t xml:space="preserve"> 1*40+1*14</w:t>
                  </w:r>
                </w:p>
              </w:tc>
              <w:tc>
                <w:tcPr>
                  <w:tcW w:w="927" w:type="pct"/>
                  <w:tcBorders>
                    <w:tl2br w:val="nil"/>
                    <w:tr2bl w:val="nil"/>
                  </w:tcBorders>
                  <w:vAlign w:val="center"/>
                </w:tcPr>
                <w:p w14:paraId="6CF4E95E">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8</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2ED0B624">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1*40+1*14</w:t>
                  </w:r>
                </w:p>
              </w:tc>
              <w:tc>
                <w:tcPr>
                  <w:tcW w:w="572" w:type="pct"/>
                  <w:tcBorders>
                    <w:tl2br w:val="nil"/>
                    <w:tr2bl w:val="nil"/>
                  </w:tcBorders>
                  <w:vAlign w:val="center"/>
                </w:tcPr>
                <w:p w14:paraId="66A4A20F">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7C6F02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1D2A3AE6">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8</w:t>
                  </w:r>
                </w:p>
              </w:tc>
              <w:tc>
                <w:tcPr>
                  <w:tcW w:w="1501" w:type="pct"/>
                  <w:tcBorders>
                    <w:tl2br w:val="nil"/>
                    <w:tr2bl w:val="nil"/>
                  </w:tcBorders>
                  <w:vAlign w:val="center"/>
                </w:tcPr>
                <w:p w14:paraId="3E7FB7EB">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低密度脂蛋白测定试剂盒</w:t>
                  </w:r>
                  <w:r>
                    <w:rPr>
                      <w:sz w:val="21"/>
                      <w:szCs w:val="21"/>
                      <w:u w:val="single"/>
                    </w:rPr>
                    <w:t xml:space="preserve"> 1*40+1*14</w:t>
                  </w:r>
                </w:p>
              </w:tc>
              <w:tc>
                <w:tcPr>
                  <w:tcW w:w="927" w:type="pct"/>
                  <w:tcBorders>
                    <w:tl2br w:val="nil"/>
                    <w:tr2bl w:val="nil"/>
                  </w:tcBorders>
                  <w:vAlign w:val="center"/>
                </w:tcPr>
                <w:p w14:paraId="19EE465F">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8</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0A9EAD7C">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1*40+1*14</w:t>
                  </w:r>
                </w:p>
              </w:tc>
              <w:tc>
                <w:tcPr>
                  <w:tcW w:w="572" w:type="pct"/>
                  <w:tcBorders>
                    <w:tl2br w:val="nil"/>
                    <w:tr2bl w:val="nil"/>
                  </w:tcBorders>
                  <w:vAlign w:val="center"/>
                </w:tcPr>
                <w:p w14:paraId="01C49E95">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6BE10A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0435ABA3">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9</w:t>
                  </w:r>
                </w:p>
              </w:tc>
              <w:tc>
                <w:tcPr>
                  <w:tcW w:w="1501" w:type="pct"/>
                  <w:tcBorders>
                    <w:tl2br w:val="nil"/>
                    <w:tr2bl w:val="nil"/>
                  </w:tcBorders>
                  <w:vAlign w:val="center"/>
                </w:tcPr>
                <w:p w14:paraId="283AC8AC">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血细胞分析用稀释液</w:t>
                  </w:r>
                  <w:r>
                    <w:rPr>
                      <w:sz w:val="21"/>
                      <w:szCs w:val="21"/>
                      <w:u w:val="single"/>
                    </w:rPr>
                    <w:t>20L</w:t>
                  </w:r>
                </w:p>
              </w:tc>
              <w:tc>
                <w:tcPr>
                  <w:tcW w:w="927" w:type="pct"/>
                  <w:tcBorders>
                    <w:tl2br w:val="nil"/>
                    <w:tr2bl w:val="nil"/>
                  </w:tcBorders>
                  <w:vAlign w:val="center"/>
                </w:tcPr>
                <w:p w14:paraId="62A45538">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5</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49D11A10">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20L</w:t>
                  </w:r>
                </w:p>
              </w:tc>
              <w:tc>
                <w:tcPr>
                  <w:tcW w:w="572" w:type="pct"/>
                  <w:tcBorders>
                    <w:tl2br w:val="nil"/>
                    <w:tr2bl w:val="nil"/>
                  </w:tcBorders>
                  <w:vAlign w:val="center"/>
                </w:tcPr>
                <w:p w14:paraId="5B451BDC">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16E9B0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0AD1A09E">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10</w:t>
                  </w:r>
                </w:p>
              </w:tc>
              <w:tc>
                <w:tcPr>
                  <w:tcW w:w="1501" w:type="pct"/>
                  <w:tcBorders>
                    <w:tl2br w:val="nil"/>
                    <w:tr2bl w:val="nil"/>
                  </w:tcBorders>
                  <w:vAlign w:val="center"/>
                </w:tcPr>
                <w:p w14:paraId="1027E0C4">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血细胞分析用溶血剂</w:t>
                  </w:r>
                  <w:r>
                    <w:rPr>
                      <w:sz w:val="21"/>
                      <w:szCs w:val="21"/>
                      <w:u w:val="single"/>
                    </w:rPr>
                    <w:t xml:space="preserve"> M-52LH</w:t>
                  </w:r>
                  <w:r>
                    <w:rPr>
                      <w:rFonts w:hint="eastAsia"/>
                      <w:sz w:val="21"/>
                      <w:szCs w:val="21"/>
                      <w:u w:val="single"/>
                    </w:rPr>
                    <w:t>溶血剂</w:t>
                  </w:r>
                </w:p>
              </w:tc>
              <w:tc>
                <w:tcPr>
                  <w:tcW w:w="927" w:type="pct"/>
                  <w:tcBorders>
                    <w:tl2br w:val="nil"/>
                    <w:tr2bl w:val="nil"/>
                  </w:tcBorders>
                  <w:vAlign w:val="center"/>
                </w:tcPr>
                <w:p w14:paraId="709D5264">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10</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1A6DF552">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14:paraId="09035A2E">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0E493F4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1866F85F">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eastAsia="宋体"/>
                      <w:color w:val="auto"/>
                      <w:sz w:val="21"/>
                      <w:szCs w:val="21"/>
                      <w:u w:val="single"/>
                      <w:lang w:val="en-US" w:eastAsia="zh-CN"/>
                    </w:rPr>
                  </w:pPr>
                  <w:r>
                    <w:rPr>
                      <w:rFonts w:hint="eastAsia" w:ascii="Times New Roman"/>
                      <w:color w:val="auto"/>
                      <w:sz w:val="21"/>
                      <w:szCs w:val="21"/>
                      <w:u w:val="single"/>
                      <w:lang w:val="en-US" w:eastAsia="zh-CN"/>
                    </w:rPr>
                    <w:t>11</w:t>
                  </w:r>
                </w:p>
              </w:tc>
              <w:tc>
                <w:tcPr>
                  <w:tcW w:w="1501" w:type="pct"/>
                  <w:tcBorders>
                    <w:tl2br w:val="nil"/>
                    <w:tr2bl w:val="nil"/>
                  </w:tcBorders>
                  <w:shd w:val="clear" w:color="auto" w:fill="auto"/>
                  <w:vAlign w:val="center"/>
                </w:tcPr>
                <w:p w14:paraId="0540BED6">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ascii="Times New Roman" w:hAnsi="Times New Roman" w:eastAsia="宋体" w:cs="Times New Roman"/>
                      <w:kern w:val="2"/>
                      <w:sz w:val="21"/>
                      <w:szCs w:val="21"/>
                      <w:u w:val="single"/>
                      <w:lang w:val="en-US" w:eastAsia="zh-CN" w:bidi="ar-SA"/>
                    </w:rPr>
                  </w:pPr>
                  <w:r>
                    <w:rPr>
                      <w:rFonts w:hint="eastAsia"/>
                      <w:sz w:val="21"/>
                      <w:szCs w:val="21"/>
                      <w:u w:val="single"/>
                    </w:rPr>
                    <w:t>血细胞分析用溶血剂</w:t>
                  </w:r>
                  <w:r>
                    <w:rPr>
                      <w:sz w:val="21"/>
                      <w:szCs w:val="21"/>
                      <w:u w:val="single"/>
                    </w:rPr>
                    <w:t xml:space="preserve"> M-52</w:t>
                  </w:r>
                  <w:r>
                    <w:rPr>
                      <w:rFonts w:hint="eastAsia" w:eastAsia="宋体"/>
                      <w:sz w:val="21"/>
                      <w:szCs w:val="21"/>
                      <w:u w:val="single"/>
                      <w:lang w:val="en-US" w:eastAsia="zh-CN"/>
                    </w:rPr>
                    <w:t>DIFF</w:t>
                  </w:r>
                  <w:r>
                    <w:rPr>
                      <w:rFonts w:hint="eastAsia"/>
                      <w:sz w:val="21"/>
                      <w:szCs w:val="21"/>
                      <w:u w:val="single"/>
                    </w:rPr>
                    <w:t>溶血剂</w:t>
                  </w:r>
                </w:p>
              </w:tc>
              <w:tc>
                <w:tcPr>
                  <w:tcW w:w="927" w:type="pct"/>
                  <w:tcBorders>
                    <w:tl2br w:val="nil"/>
                    <w:tr2bl w:val="nil"/>
                  </w:tcBorders>
                  <w:shd w:val="clear" w:color="auto" w:fill="auto"/>
                  <w:vAlign w:val="center"/>
                </w:tcPr>
                <w:p w14:paraId="7B70A5F3">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s="宋体"/>
                      <w:color w:val="auto"/>
                      <w:kern w:val="2"/>
                      <w:sz w:val="21"/>
                      <w:szCs w:val="21"/>
                      <w:u w:val="single"/>
                      <w:lang w:val="en-US" w:eastAsia="zh-CN" w:bidi="ar-SA"/>
                    </w:rPr>
                  </w:pPr>
                  <w:r>
                    <w:rPr>
                      <w:rFonts w:hint="eastAsia" w:ascii="Times New Roman"/>
                      <w:color w:val="auto"/>
                      <w:sz w:val="21"/>
                      <w:szCs w:val="21"/>
                      <w:u w:val="single"/>
                      <w:lang w:val="en-US" w:eastAsia="zh-CN"/>
                    </w:rPr>
                    <w:t>5</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shd w:val="clear" w:color="auto" w:fill="auto"/>
                  <w:vAlign w:val="center"/>
                </w:tcPr>
                <w:p w14:paraId="06D1B36D">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eastAsia="宋体" w:cs="宋体"/>
                      <w:color w:val="auto"/>
                      <w:kern w:val="2"/>
                      <w:sz w:val="21"/>
                      <w:szCs w:val="21"/>
                      <w:u w:val="single"/>
                      <w:lang w:val="en-US" w:eastAsia="zh-CN" w:bidi="ar-SA"/>
                    </w:rPr>
                  </w:pPr>
                  <w:r>
                    <w:rPr>
                      <w:rFonts w:ascii="Times New Roman" w:hAnsi="Times New Roman"/>
                      <w:color w:val="auto"/>
                      <w:sz w:val="21"/>
                      <w:szCs w:val="21"/>
                      <w:u w:val="single"/>
                    </w:rPr>
                    <w:t>/</w:t>
                  </w:r>
                </w:p>
              </w:tc>
              <w:tc>
                <w:tcPr>
                  <w:tcW w:w="572" w:type="pct"/>
                  <w:tcBorders>
                    <w:tl2br w:val="nil"/>
                    <w:tr2bl w:val="nil"/>
                  </w:tcBorders>
                  <w:shd w:val="clear" w:color="auto" w:fill="auto"/>
                  <w:vAlign w:val="center"/>
                </w:tcPr>
                <w:p w14:paraId="42287FE2">
                  <w:pPr>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s="Times New Roman"/>
                      <w:color w:val="auto"/>
                      <w:kern w:val="2"/>
                      <w:sz w:val="21"/>
                      <w:szCs w:val="21"/>
                      <w:u w:val="single"/>
                      <w:lang w:val="en-US" w:eastAsia="zh-CN" w:bidi="ar-SA"/>
                    </w:rPr>
                  </w:pPr>
                  <w:r>
                    <w:rPr>
                      <w:rFonts w:hint="eastAsia" w:ascii="Times New Roman" w:cs="Times New Roman"/>
                      <w:color w:val="auto"/>
                      <w:kern w:val="2"/>
                      <w:sz w:val="21"/>
                      <w:szCs w:val="21"/>
                      <w:u w:val="single"/>
                      <w:lang w:val="en-US" w:eastAsia="zh-CN"/>
                    </w:rPr>
                    <w:t>外购</w:t>
                  </w:r>
                </w:p>
              </w:tc>
            </w:tr>
            <w:tr w14:paraId="3EC36B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77A7A56E">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eastAsia="zh-CN"/>
                    </w:rPr>
                  </w:pPr>
                  <w:r>
                    <w:rPr>
                      <w:rFonts w:ascii="Times New Roman" w:hAnsi="Times New Roman"/>
                      <w:color w:val="auto"/>
                      <w:sz w:val="21"/>
                      <w:szCs w:val="21"/>
                      <w:u w:val="single"/>
                    </w:rPr>
                    <w:t>1</w:t>
                  </w:r>
                  <w:r>
                    <w:rPr>
                      <w:rFonts w:hint="eastAsia" w:ascii="Times New Roman"/>
                      <w:color w:val="auto"/>
                      <w:sz w:val="21"/>
                      <w:szCs w:val="21"/>
                      <w:u w:val="single"/>
                      <w:lang w:val="en-US" w:eastAsia="zh-CN"/>
                    </w:rPr>
                    <w:t>2</w:t>
                  </w:r>
                </w:p>
              </w:tc>
              <w:tc>
                <w:tcPr>
                  <w:tcW w:w="1501" w:type="pct"/>
                  <w:tcBorders>
                    <w:tl2br w:val="nil"/>
                    <w:tr2bl w:val="nil"/>
                  </w:tcBorders>
                  <w:vAlign w:val="center"/>
                </w:tcPr>
                <w:p w14:paraId="7BB42E07">
                  <w:pPr>
                    <w:keepNext w:val="0"/>
                    <w:keepLines w:val="0"/>
                    <w:pageBreakBefore w:val="0"/>
                    <w:widowControl/>
                    <w:kinsoku/>
                    <w:wordWrap/>
                    <w:overflowPunct/>
                    <w:topLinePunct w:val="0"/>
                    <w:bidi w:val="0"/>
                    <w:snapToGrid/>
                    <w:spacing w:line="240" w:lineRule="auto"/>
                    <w:ind w:firstLine="0" w:firstLineChars="0"/>
                    <w:jc w:val="center"/>
                    <w:textAlignment w:val="center"/>
                    <w:rPr>
                      <w:rFonts w:hint="eastAsia" w:eastAsia="宋体"/>
                      <w:sz w:val="21"/>
                      <w:szCs w:val="21"/>
                      <w:u w:val="single"/>
                      <w:lang w:eastAsia="zh-CN"/>
                    </w:rPr>
                  </w:pPr>
                  <w:r>
                    <w:rPr>
                      <w:rFonts w:hint="eastAsia"/>
                      <w:sz w:val="21"/>
                      <w:szCs w:val="21"/>
                      <w:u w:val="single"/>
                    </w:rPr>
                    <w:t>甘油三酯测定试剂盒</w:t>
                  </w:r>
                  <w:r>
                    <w:rPr>
                      <w:sz w:val="21"/>
                      <w:szCs w:val="21"/>
                      <w:u w:val="single"/>
                    </w:rPr>
                    <w:t xml:space="preserve"> 4*40m</w:t>
                  </w:r>
                  <w:r>
                    <w:rPr>
                      <w:rFonts w:hint="eastAsia"/>
                      <w:sz w:val="21"/>
                      <w:szCs w:val="21"/>
                      <w:u w:val="single"/>
                      <w:lang w:val="en-US" w:eastAsia="zh-CN"/>
                    </w:rPr>
                    <w:t>L</w:t>
                  </w:r>
                </w:p>
              </w:tc>
              <w:tc>
                <w:tcPr>
                  <w:tcW w:w="927" w:type="pct"/>
                  <w:tcBorders>
                    <w:tl2br w:val="nil"/>
                    <w:tr2bl w:val="nil"/>
                  </w:tcBorders>
                  <w:vAlign w:val="center"/>
                </w:tcPr>
                <w:p w14:paraId="01B4ADBF">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3</w:t>
                  </w:r>
                  <w:r>
                    <w:rPr>
                      <w:rFonts w:hint="eastAsia" w:ascii="Times New Roman" w:hAnsi="Times New Roman"/>
                      <w:color w:val="auto"/>
                      <w:sz w:val="21"/>
                      <w:szCs w:val="21"/>
                      <w:u w:val="single"/>
                    </w:rPr>
                    <w:t>盒</w:t>
                  </w:r>
                  <w:r>
                    <w:rPr>
                      <w:rFonts w:ascii="Times New Roman" w:hAnsi="Times New Roman"/>
                      <w:color w:val="auto"/>
                      <w:sz w:val="21"/>
                      <w:szCs w:val="21"/>
                      <w:u w:val="single"/>
                    </w:rPr>
                    <w:t>/a</w:t>
                  </w:r>
                </w:p>
              </w:tc>
              <w:tc>
                <w:tcPr>
                  <w:tcW w:w="1710" w:type="pct"/>
                  <w:tcBorders>
                    <w:tl2br w:val="nil"/>
                    <w:tr2bl w:val="nil"/>
                  </w:tcBorders>
                  <w:vAlign w:val="center"/>
                </w:tcPr>
                <w:p w14:paraId="60DEA074">
                  <w:pPr>
                    <w:pStyle w:val="29"/>
                    <w:keepNext w:val="0"/>
                    <w:keepLines w:val="0"/>
                    <w:pageBreakBefore w:val="0"/>
                    <w:kinsoku/>
                    <w:wordWrap/>
                    <w:overflowPunct/>
                    <w:topLinePunct w:val="0"/>
                    <w:bidi w:val="0"/>
                    <w:snapToGrid/>
                    <w:spacing w:line="240" w:lineRule="auto"/>
                    <w:ind w:firstLine="0" w:firstLineChars="0"/>
                    <w:jc w:val="center"/>
                    <w:rPr>
                      <w:rFonts w:hint="eastAsia" w:ascii="Times New Roman" w:hAnsi="Times New Roman" w:eastAsia="宋体"/>
                      <w:color w:val="auto"/>
                      <w:sz w:val="21"/>
                      <w:szCs w:val="21"/>
                      <w:u w:val="single"/>
                      <w:lang w:eastAsia="zh-CN"/>
                    </w:rPr>
                  </w:pPr>
                  <w:r>
                    <w:rPr>
                      <w:rFonts w:ascii="Times New Roman" w:hAnsi="Times New Roman"/>
                      <w:color w:val="auto"/>
                      <w:sz w:val="21"/>
                      <w:szCs w:val="21"/>
                      <w:u w:val="single"/>
                    </w:rPr>
                    <w:t>4*40m</w:t>
                  </w:r>
                  <w:r>
                    <w:rPr>
                      <w:rFonts w:hint="eastAsia" w:ascii="Times New Roman"/>
                      <w:color w:val="auto"/>
                      <w:sz w:val="21"/>
                      <w:szCs w:val="21"/>
                      <w:u w:val="single"/>
                      <w:lang w:val="en-US" w:eastAsia="zh-CN"/>
                    </w:rPr>
                    <w:t>L</w:t>
                  </w:r>
                </w:p>
              </w:tc>
              <w:tc>
                <w:tcPr>
                  <w:tcW w:w="572" w:type="pct"/>
                  <w:tcBorders>
                    <w:tl2br w:val="nil"/>
                    <w:tr2bl w:val="nil"/>
                  </w:tcBorders>
                  <w:vAlign w:val="center"/>
                </w:tcPr>
                <w:p w14:paraId="540FA6B4">
                  <w:pPr>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226D49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14:paraId="6756641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废水处理药剂</w:t>
                  </w:r>
                </w:p>
              </w:tc>
            </w:tr>
            <w:tr w14:paraId="540417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1AAA17FC">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14:paraId="2D491A89">
                  <w:pPr>
                    <w:keepNext w:val="0"/>
                    <w:keepLines w:val="0"/>
                    <w:pageBreakBefore w:val="0"/>
                    <w:widowControl/>
                    <w:kinsoku/>
                    <w:wordWrap/>
                    <w:overflowPunct/>
                    <w:topLinePunct w:val="0"/>
                    <w:bidi w:val="0"/>
                    <w:snapToGrid/>
                    <w:spacing w:line="240" w:lineRule="auto"/>
                    <w:ind w:firstLine="0" w:firstLineChars="0"/>
                    <w:jc w:val="center"/>
                    <w:textAlignment w:val="center"/>
                    <w:rPr>
                      <w:rFonts w:hint="default" w:eastAsia="宋体"/>
                      <w:sz w:val="21"/>
                      <w:szCs w:val="21"/>
                      <w:u w:val="single"/>
                      <w:lang w:val="en-US" w:eastAsia="zh-CN"/>
                    </w:rPr>
                  </w:pPr>
                  <w:r>
                    <w:rPr>
                      <w:rFonts w:hint="eastAsia"/>
                      <w:color w:val="000000" w:themeColor="text1"/>
                      <w:sz w:val="21"/>
                      <w:szCs w:val="21"/>
                      <w:u w:val="single"/>
                      <w:lang w:val="en-US" w:eastAsia="zh-CN"/>
                      <w14:textFill>
                        <w14:solidFill>
                          <w14:schemeClr w14:val="tx1"/>
                        </w14:solidFill>
                      </w14:textFill>
                    </w:rPr>
                    <w:t>活性氧</w:t>
                  </w:r>
                </w:p>
              </w:tc>
              <w:tc>
                <w:tcPr>
                  <w:tcW w:w="927" w:type="pct"/>
                  <w:tcBorders>
                    <w:tl2br w:val="nil"/>
                    <w:tr2bl w:val="nil"/>
                  </w:tcBorders>
                  <w:vAlign w:val="center"/>
                </w:tcPr>
                <w:p w14:paraId="06D25B98">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olor w:val="auto"/>
                      <w:sz w:val="21"/>
                      <w:szCs w:val="21"/>
                      <w:u w:val="single"/>
                      <w:lang w:val="en-US" w:eastAsia="zh-CN"/>
                    </w:rPr>
                    <w:t>1.25t</w:t>
                  </w:r>
                  <w:r>
                    <w:rPr>
                      <w:rFonts w:ascii="Times New Roman" w:hAnsi="Times New Roman"/>
                      <w:color w:val="auto"/>
                      <w:sz w:val="21"/>
                      <w:szCs w:val="21"/>
                      <w:u w:val="single"/>
                    </w:rPr>
                    <w:t>/a</w:t>
                  </w:r>
                </w:p>
              </w:tc>
              <w:tc>
                <w:tcPr>
                  <w:tcW w:w="1710" w:type="pct"/>
                  <w:tcBorders>
                    <w:tl2br w:val="nil"/>
                    <w:tr2bl w:val="nil"/>
                  </w:tcBorders>
                  <w:vAlign w:val="center"/>
                </w:tcPr>
                <w:p w14:paraId="11A405C8">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14:paraId="094DFBCB">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cs="Times New Roman"/>
                      <w:color w:val="auto"/>
                      <w:kern w:val="2"/>
                      <w:sz w:val="21"/>
                      <w:szCs w:val="21"/>
                      <w:u w:val="single"/>
                      <w:lang w:val="en-US" w:eastAsia="zh-CN"/>
                    </w:rPr>
                    <w:t>外购</w:t>
                  </w:r>
                </w:p>
              </w:tc>
            </w:tr>
            <w:tr w14:paraId="68297A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gridSpan w:val="5"/>
                  <w:tcBorders>
                    <w:tl2br w:val="nil"/>
                    <w:tr2bl w:val="nil"/>
                  </w:tcBorders>
                  <w:vAlign w:val="center"/>
                </w:tcPr>
                <w:p w14:paraId="42AD9533">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hint="eastAsia" w:ascii="Times New Roman" w:hAnsi="Times New Roman"/>
                      <w:color w:val="auto"/>
                      <w:sz w:val="21"/>
                      <w:szCs w:val="21"/>
                      <w:u w:val="single"/>
                    </w:rPr>
                    <w:t>能源消耗</w:t>
                  </w:r>
                </w:p>
              </w:tc>
            </w:tr>
            <w:tr w14:paraId="619641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0A5B216F">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1</w:t>
                  </w:r>
                </w:p>
              </w:tc>
              <w:tc>
                <w:tcPr>
                  <w:tcW w:w="1501" w:type="pct"/>
                  <w:tcBorders>
                    <w:tl2br w:val="nil"/>
                    <w:tr2bl w:val="nil"/>
                  </w:tcBorders>
                  <w:vAlign w:val="center"/>
                </w:tcPr>
                <w:p w14:paraId="7622647C">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电</w:t>
                  </w:r>
                </w:p>
              </w:tc>
              <w:tc>
                <w:tcPr>
                  <w:tcW w:w="927" w:type="pct"/>
                  <w:tcBorders>
                    <w:tl2br w:val="nil"/>
                    <w:tr2bl w:val="nil"/>
                  </w:tcBorders>
                  <w:vAlign w:val="center"/>
                </w:tcPr>
                <w:p w14:paraId="53E09EDD">
                  <w:pPr>
                    <w:pStyle w:val="29"/>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color w:val="auto"/>
                      <w:sz w:val="21"/>
                      <w:szCs w:val="21"/>
                      <w:u w:val="single"/>
                    </w:rPr>
                  </w:pPr>
                  <w:r>
                    <w:rPr>
                      <w:rFonts w:hint="eastAsia" w:ascii="Times New Roman" w:cs="Times New Roman"/>
                      <w:i w:val="0"/>
                      <w:iCs w:val="0"/>
                      <w:color w:val="000000"/>
                      <w:kern w:val="0"/>
                      <w:sz w:val="22"/>
                      <w:szCs w:val="22"/>
                      <w:u w:val="single"/>
                      <w:lang w:val="en-US" w:eastAsia="zh-CN" w:bidi="ar"/>
                    </w:rPr>
                    <w:t>5</w:t>
                  </w:r>
                  <w:r>
                    <w:rPr>
                      <w:rFonts w:hint="eastAsia" w:ascii="Times New Roman" w:hAnsi="Times New Roman" w:eastAsia="宋体" w:cs="Times New Roman"/>
                      <w:i w:val="0"/>
                      <w:iCs w:val="0"/>
                      <w:color w:val="000000"/>
                      <w:kern w:val="0"/>
                      <w:sz w:val="22"/>
                      <w:szCs w:val="22"/>
                      <w:u w:val="single"/>
                      <w:lang w:val="en-US" w:eastAsia="zh-CN" w:bidi="ar"/>
                    </w:rPr>
                    <w:t>万</w:t>
                  </w:r>
                  <w:r>
                    <w:rPr>
                      <w:rFonts w:hint="default" w:ascii="Times New Roman" w:hAnsi="Times New Roman" w:cs="Times New Roman"/>
                      <w:bCs/>
                      <w:color w:val="auto"/>
                      <w:sz w:val="21"/>
                      <w:szCs w:val="21"/>
                      <w:u w:val="single"/>
                    </w:rPr>
                    <w:t>kWh/a</w:t>
                  </w:r>
                </w:p>
              </w:tc>
              <w:tc>
                <w:tcPr>
                  <w:tcW w:w="1710" w:type="pct"/>
                  <w:tcBorders>
                    <w:tl2br w:val="nil"/>
                    <w:tr2bl w:val="nil"/>
                  </w:tcBorders>
                  <w:vAlign w:val="center"/>
                </w:tcPr>
                <w:p w14:paraId="2C2A3FB8">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14:paraId="57F235FD">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r>
            <w:tr w14:paraId="54AD53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288" w:type="pct"/>
                  <w:tcBorders>
                    <w:tl2br w:val="nil"/>
                    <w:tr2bl w:val="nil"/>
                  </w:tcBorders>
                  <w:vAlign w:val="center"/>
                </w:tcPr>
                <w:p w14:paraId="5FC0FE3C">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2</w:t>
                  </w:r>
                </w:p>
              </w:tc>
              <w:tc>
                <w:tcPr>
                  <w:tcW w:w="1501" w:type="pct"/>
                  <w:tcBorders>
                    <w:tl2br w:val="nil"/>
                    <w:tr2bl w:val="nil"/>
                  </w:tcBorders>
                  <w:vAlign w:val="center"/>
                </w:tcPr>
                <w:p w14:paraId="54024884">
                  <w:pPr>
                    <w:keepNext w:val="0"/>
                    <w:keepLines w:val="0"/>
                    <w:pageBreakBefore w:val="0"/>
                    <w:widowControl/>
                    <w:kinsoku/>
                    <w:wordWrap/>
                    <w:overflowPunct/>
                    <w:topLinePunct w:val="0"/>
                    <w:bidi w:val="0"/>
                    <w:snapToGrid/>
                    <w:spacing w:line="240" w:lineRule="auto"/>
                    <w:ind w:firstLine="0" w:firstLineChars="0"/>
                    <w:jc w:val="center"/>
                    <w:textAlignment w:val="center"/>
                    <w:rPr>
                      <w:sz w:val="21"/>
                      <w:szCs w:val="21"/>
                      <w:u w:val="single"/>
                    </w:rPr>
                  </w:pPr>
                  <w:r>
                    <w:rPr>
                      <w:rFonts w:hint="eastAsia"/>
                      <w:sz w:val="21"/>
                      <w:szCs w:val="21"/>
                      <w:u w:val="single"/>
                    </w:rPr>
                    <w:t>水</w:t>
                  </w:r>
                </w:p>
              </w:tc>
              <w:tc>
                <w:tcPr>
                  <w:tcW w:w="927" w:type="pct"/>
                  <w:tcBorders>
                    <w:tl2br w:val="nil"/>
                    <w:tr2bl w:val="nil"/>
                  </w:tcBorders>
                  <w:vAlign w:val="center"/>
                </w:tcPr>
                <w:p w14:paraId="58351CB8">
                  <w:pPr>
                    <w:keepNext w:val="0"/>
                    <w:keepLines w:val="0"/>
                    <w:pageBreakBefore w:val="0"/>
                    <w:kinsoku/>
                    <w:wordWrap/>
                    <w:overflowPunct/>
                    <w:topLinePunct w:val="0"/>
                    <w:bidi w:val="0"/>
                    <w:snapToGrid/>
                    <w:spacing w:line="240" w:lineRule="auto"/>
                    <w:ind w:firstLine="0" w:firstLineChars="0"/>
                    <w:jc w:val="center"/>
                    <w:rPr>
                      <w:rFonts w:hint="default" w:ascii="Times New Roman" w:hAnsi="Times New Roman" w:cs="Times New Roman"/>
                      <w:sz w:val="21"/>
                      <w:szCs w:val="21"/>
                      <w:u w:val="single"/>
                    </w:rPr>
                  </w:pPr>
                  <w:r>
                    <w:rPr>
                      <w:rFonts w:hint="eastAsia" w:cs="Times New Roman"/>
                      <w:color w:val="auto"/>
                      <w:kern w:val="2"/>
                      <w:sz w:val="21"/>
                      <w:szCs w:val="21"/>
                      <w:u w:val="single"/>
                      <w:lang w:val="en-US" w:eastAsia="zh-CN"/>
                    </w:rPr>
                    <w:t>6646.65</w:t>
                  </w:r>
                  <w:r>
                    <w:rPr>
                      <w:rFonts w:hint="default" w:ascii="Times New Roman" w:hAnsi="Times New Roman" w:cs="Times New Roman"/>
                      <w:sz w:val="21"/>
                      <w:szCs w:val="21"/>
                      <w:u w:val="single"/>
                    </w:rPr>
                    <w:t>m</w:t>
                  </w:r>
                  <w:r>
                    <w:rPr>
                      <w:rFonts w:hint="default" w:ascii="Times New Roman" w:hAnsi="Times New Roman" w:cs="Times New Roman"/>
                      <w:sz w:val="21"/>
                      <w:szCs w:val="21"/>
                      <w:u w:val="single"/>
                      <w:vertAlign w:val="superscript"/>
                    </w:rPr>
                    <w:t>3</w:t>
                  </w:r>
                  <w:r>
                    <w:rPr>
                      <w:rFonts w:hint="default" w:ascii="Times New Roman" w:hAnsi="Times New Roman" w:cs="Times New Roman"/>
                      <w:sz w:val="21"/>
                      <w:szCs w:val="21"/>
                      <w:u w:val="single"/>
                    </w:rPr>
                    <w:t>/a</w:t>
                  </w:r>
                </w:p>
              </w:tc>
              <w:tc>
                <w:tcPr>
                  <w:tcW w:w="1710" w:type="pct"/>
                  <w:tcBorders>
                    <w:tl2br w:val="nil"/>
                    <w:tr2bl w:val="nil"/>
                  </w:tcBorders>
                  <w:vAlign w:val="center"/>
                </w:tcPr>
                <w:p w14:paraId="55892C88">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c>
                <w:tcPr>
                  <w:tcW w:w="572" w:type="pct"/>
                  <w:tcBorders>
                    <w:tl2br w:val="nil"/>
                    <w:tr2bl w:val="nil"/>
                  </w:tcBorders>
                  <w:vAlign w:val="center"/>
                </w:tcPr>
                <w:p w14:paraId="440AB55F">
                  <w:pPr>
                    <w:pStyle w:val="29"/>
                    <w:keepNext w:val="0"/>
                    <w:keepLines w:val="0"/>
                    <w:pageBreakBefore w:val="0"/>
                    <w:kinsoku/>
                    <w:wordWrap/>
                    <w:overflowPunct/>
                    <w:topLinePunct w:val="0"/>
                    <w:bidi w:val="0"/>
                    <w:snapToGrid/>
                    <w:spacing w:line="240" w:lineRule="auto"/>
                    <w:ind w:firstLine="0" w:firstLineChars="0"/>
                    <w:jc w:val="center"/>
                    <w:rPr>
                      <w:rFonts w:ascii="Times New Roman" w:hAnsi="Times New Roman"/>
                      <w:color w:val="auto"/>
                      <w:sz w:val="21"/>
                      <w:szCs w:val="21"/>
                      <w:u w:val="single"/>
                    </w:rPr>
                  </w:pPr>
                  <w:r>
                    <w:rPr>
                      <w:rFonts w:ascii="Times New Roman" w:hAnsi="Times New Roman"/>
                      <w:color w:val="auto"/>
                      <w:sz w:val="21"/>
                      <w:szCs w:val="21"/>
                      <w:u w:val="single"/>
                    </w:rPr>
                    <w:t>/</w:t>
                  </w:r>
                </w:p>
              </w:tc>
            </w:tr>
          </w:tbl>
          <w:p w14:paraId="32678E1F">
            <w:pPr>
              <w:keepNext w:val="0"/>
              <w:keepLines w:val="0"/>
              <w:pageBreakBefore w:val="0"/>
              <w:widowControl w:val="0"/>
              <w:kinsoku/>
              <w:wordWrap/>
              <w:overflowPunct/>
              <w:topLinePunct w:val="0"/>
              <w:autoSpaceDE/>
              <w:autoSpaceDN/>
              <w:bidi w:val="0"/>
              <w:adjustRightInd/>
              <w:snapToGrid/>
              <w:spacing w:line="360" w:lineRule="auto"/>
              <w:ind w:firstLine="438" w:firstLineChars="200"/>
              <w:textAlignment w:val="auto"/>
              <w:rPr>
                <w:rFonts w:hint="default" w:ascii="Times New Roman" w:hAnsi="Times New Roman" w:eastAsia="宋体" w:cs="Times New Roman"/>
                <w:color w:val="auto"/>
                <w:sz w:val="24"/>
                <w:u w:val="single"/>
                <w:lang w:val="en-US" w:eastAsia="zh-CN"/>
              </w:rPr>
            </w:pPr>
            <w:r>
              <w:rPr>
                <w:rFonts w:hint="eastAsia" w:cs="Times New Roman"/>
                <w:b/>
                <w:color w:val="auto"/>
                <w:spacing w:val="4"/>
                <w:sz w:val="21"/>
                <w:szCs w:val="21"/>
                <w:u w:val="single"/>
                <w:lang w:val="en-US" w:eastAsia="zh-CN"/>
              </w:rPr>
              <w:t xml:space="preserve"> </w:t>
            </w:r>
            <w:r>
              <w:rPr>
                <w:rFonts w:hint="eastAsia" w:ascii="Times New Roman" w:hAnsi="Times New Roman" w:cs="Times New Roman"/>
                <w:color w:val="auto"/>
                <w:sz w:val="24"/>
                <w:u w:val="single"/>
                <w:lang w:eastAsia="zh-CN"/>
              </w:rPr>
              <w:t>主要原辅材料理化性质详见下表</w:t>
            </w:r>
            <w:r>
              <w:rPr>
                <w:rFonts w:hint="eastAsia" w:ascii="Times New Roman" w:hAnsi="Times New Roman" w:cs="Times New Roman"/>
                <w:color w:val="auto"/>
                <w:sz w:val="24"/>
                <w:u w:val="single"/>
                <w:lang w:val="en-US" w:eastAsia="zh-CN"/>
              </w:rPr>
              <w:t>2-3。</w:t>
            </w:r>
          </w:p>
          <w:p w14:paraId="00C9EC1C">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eastAsia="宋体"/>
                <w:b/>
                <w:bCs/>
                <w:color w:val="auto"/>
                <w:sz w:val="21"/>
                <w:szCs w:val="21"/>
                <w:u w:val="single"/>
                <w:lang w:eastAsia="zh-CN"/>
              </w:rPr>
            </w:pPr>
            <w:r>
              <w:rPr>
                <w:b/>
                <w:bCs/>
                <w:color w:val="auto"/>
                <w:sz w:val="21"/>
                <w:szCs w:val="21"/>
                <w:u w:val="single"/>
              </w:rPr>
              <w:t>表</w:t>
            </w:r>
            <w:r>
              <w:rPr>
                <w:rFonts w:hint="eastAsia" w:ascii="Times New Roman" w:hAnsi="Times New Roman" w:cs="Times New Roman"/>
                <w:b/>
                <w:bCs/>
                <w:color w:val="auto"/>
                <w:sz w:val="21"/>
                <w:szCs w:val="21"/>
                <w:u w:val="single"/>
                <w:lang w:val="en-US" w:eastAsia="zh-CN"/>
              </w:rPr>
              <w:t>2</w:t>
            </w:r>
            <w:r>
              <w:rPr>
                <w:rFonts w:hint="default" w:ascii="Times New Roman" w:hAnsi="Times New Roman" w:cs="Times New Roman"/>
                <w:b/>
                <w:bCs/>
                <w:color w:val="auto"/>
                <w:sz w:val="21"/>
                <w:szCs w:val="21"/>
                <w:u w:val="single"/>
              </w:rPr>
              <w:t>-</w:t>
            </w:r>
            <w:r>
              <w:rPr>
                <w:rFonts w:hint="eastAsia" w:ascii="Times New Roman" w:hAnsi="Times New Roman" w:cs="Times New Roman"/>
                <w:b/>
                <w:bCs/>
                <w:color w:val="auto"/>
                <w:sz w:val="21"/>
                <w:szCs w:val="21"/>
                <w:u w:val="single"/>
                <w:lang w:val="en-US" w:eastAsia="zh-CN"/>
              </w:rPr>
              <w:t xml:space="preserve">3 </w:t>
            </w:r>
            <w:r>
              <w:rPr>
                <w:rFonts w:hint="eastAsia"/>
                <w:b/>
                <w:bCs/>
                <w:color w:val="auto"/>
                <w:sz w:val="21"/>
                <w:szCs w:val="21"/>
                <w:u w:val="single"/>
                <w:lang w:eastAsia="zh-CN"/>
              </w:rPr>
              <w:t>项目主要原辅材料理化性质一览表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0"/>
              <w:gridCol w:w="7077"/>
            </w:tblGrid>
            <w:tr w14:paraId="0CBD1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89" w:type="pct"/>
                  <w:tcBorders>
                    <w:tl2br w:val="nil"/>
                    <w:tr2bl w:val="nil"/>
                  </w:tcBorders>
                  <w:noWrap/>
                  <w:vAlign w:val="center"/>
                </w:tcPr>
                <w:p w14:paraId="5F47C347">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lang w:val="en-US" w:eastAsia="zh-CN"/>
                    </w:rPr>
                  </w:pPr>
                  <w:r>
                    <w:rPr>
                      <w:rFonts w:hint="default" w:ascii="Times New Roman" w:hAnsi="Times New Roman" w:eastAsia="宋体" w:cs="Times New Roman"/>
                      <w:b/>
                      <w:bCs/>
                      <w:color w:val="auto"/>
                      <w:kern w:val="0"/>
                      <w:sz w:val="21"/>
                      <w:szCs w:val="21"/>
                      <w:u w:val="single"/>
                      <w:lang w:val="en-US" w:eastAsia="zh-CN"/>
                    </w:rPr>
                    <w:t>物料</w:t>
                  </w:r>
                </w:p>
                <w:p w14:paraId="37A83753">
                  <w:pPr>
                    <w:keepNext w:val="0"/>
                    <w:keepLines w:val="0"/>
                    <w:pageBreakBefore w:val="0"/>
                    <w:widowControl/>
                    <w:kinsoku/>
                    <w:wordWrap/>
                    <w:overflowPunct/>
                    <w:topLinePunct w:val="0"/>
                    <w:autoSpaceDE/>
                    <w:autoSpaceDN/>
                    <w:bidi w:val="0"/>
                    <w:adjustRightInd w:val="0"/>
                    <w:snapToGrid w:val="0"/>
                    <w:spacing w:line="240" w:lineRule="auto"/>
                    <w:ind w:firstLineChars="0"/>
                    <w:jc w:val="center"/>
                    <w:textAlignment w:val="auto"/>
                    <w:rPr>
                      <w:rFonts w:hint="default" w:ascii="Times New Roman" w:hAnsi="Times New Roman" w:eastAsia="宋体" w:cs="Times New Roman"/>
                      <w:b/>
                      <w:bCs/>
                      <w:color w:val="auto"/>
                      <w:kern w:val="0"/>
                      <w:sz w:val="21"/>
                      <w:szCs w:val="21"/>
                      <w:u w:val="single"/>
                      <w:lang w:val="en-US" w:eastAsia="zh-CN"/>
                    </w:rPr>
                  </w:pPr>
                  <w:r>
                    <w:rPr>
                      <w:rFonts w:hint="default" w:ascii="Times New Roman" w:hAnsi="Times New Roman" w:eastAsia="宋体" w:cs="Times New Roman"/>
                      <w:b/>
                      <w:bCs/>
                      <w:color w:val="auto"/>
                      <w:kern w:val="0"/>
                      <w:sz w:val="21"/>
                      <w:szCs w:val="21"/>
                      <w:u w:val="single"/>
                      <w:lang w:val="en-US" w:eastAsia="zh-CN"/>
                    </w:rPr>
                    <w:t>名称</w:t>
                  </w:r>
                </w:p>
              </w:tc>
              <w:tc>
                <w:tcPr>
                  <w:tcW w:w="4510" w:type="pct"/>
                  <w:tcBorders>
                    <w:tl2br w:val="nil"/>
                    <w:tr2bl w:val="nil"/>
                  </w:tcBorders>
                  <w:noWrap/>
                  <w:vAlign w:val="center"/>
                </w:tcPr>
                <w:p w14:paraId="55F34BE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bCs/>
                      <w:color w:val="auto"/>
                      <w:kern w:val="0"/>
                      <w:sz w:val="21"/>
                      <w:szCs w:val="21"/>
                      <w:u w:val="single"/>
                      <w:lang w:eastAsia="zh-CN"/>
                    </w:rPr>
                  </w:pPr>
                  <w:r>
                    <w:rPr>
                      <w:rFonts w:hint="default" w:ascii="Times New Roman" w:hAnsi="Times New Roman" w:cs="Times New Roman"/>
                      <w:b/>
                      <w:bCs/>
                      <w:color w:val="auto"/>
                      <w:kern w:val="0"/>
                      <w:sz w:val="21"/>
                      <w:szCs w:val="21"/>
                      <w:u w:val="single"/>
                      <w:lang w:eastAsia="zh-CN"/>
                    </w:rPr>
                    <w:t>理化性质</w:t>
                  </w:r>
                </w:p>
              </w:tc>
            </w:tr>
            <w:tr w14:paraId="149B1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14:paraId="345220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lang w:eastAsia="zh-CN"/>
                    </w:rPr>
                  </w:pPr>
                  <w:r>
                    <w:rPr>
                      <w:rFonts w:hint="default" w:ascii="Times New Roman" w:hAnsi="Times New Roman" w:cs="Times New Roman"/>
                      <w:color w:val="auto"/>
                      <w:kern w:val="0"/>
                      <w:sz w:val="21"/>
                      <w:szCs w:val="21"/>
                      <w:u w:val="single"/>
                      <w:lang w:eastAsia="zh-CN"/>
                    </w:rPr>
                    <w:t>碘伏</w:t>
                  </w:r>
                </w:p>
              </w:tc>
              <w:tc>
                <w:tcPr>
                  <w:tcW w:w="4510" w:type="pct"/>
                  <w:tcBorders>
                    <w:tl2br w:val="nil"/>
                    <w:tr2bl w:val="nil"/>
                  </w:tcBorders>
                  <w:noWrap/>
                  <w:vAlign w:val="center"/>
                </w:tcPr>
                <w:p w14:paraId="31CE9080">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lang w:eastAsia="zh-CN"/>
                    </w:rPr>
                  </w:pPr>
                  <w:r>
                    <w:rPr>
                      <w:rFonts w:hint="default" w:ascii="Times New Roman" w:hAnsi="Times New Roman" w:cs="Times New Roman"/>
                      <w:color w:val="auto"/>
                      <w:kern w:val="0"/>
                      <w:sz w:val="21"/>
                      <w:szCs w:val="21"/>
                      <w:u w:val="single"/>
                      <w:lang w:val="en-US" w:eastAsia="zh-CN"/>
                    </w:rPr>
                    <w:t>碘伏是单质碘与聚乙烯吡咯烷酮的不定型结合物。聚乙烯吡咯烷酮可溶解分散9%~12%的碘，此时呈现紫黑色液体。医用碘伏通常浓度较低（1%或以下）。</w:t>
                  </w:r>
                </w:p>
              </w:tc>
            </w:tr>
            <w:tr w14:paraId="535F9D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89" w:type="pct"/>
                  <w:tcBorders>
                    <w:tl2br w:val="nil"/>
                    <w:tr2bl w:val="nil"/>
                  </w:tcBorders>
                  <w:noWrap/>
                  <w:vAlign w:val="center"/>
                </w:tcPr>
                <w:p w14:paraId="053F1CC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lang w:val="en-US" w:eastAsia="zh-CN"/>
                    </w:rPr>
                  </w:pPr>
                  <w:r>
                    <w:rPr>
                      <w:rFonts w:hint="default" w:ascii="Times New Roman" w:hAnsi="Times New Roman" w:cs="Times New Roman"/>
                      <w:color w:val="auto"/>
                      <w:kern w:val="0"/>
                      <w:sz w:val="21"/>
                      <w:szCs w:val="21"/>
                      <w:u w:val="single"/>
                      <w:lang w:val="en-US" w:eastAsia="zh-CN"/>
                    </w:rPr>
                    <w:t>医药酒精</w:t>
                  </w:r>
                </w:p>
              </w:tc>
              <w:tc>
                <w:tcPr>
                  <w:tcW w:w="4510" w:type="pct"/>
                  <w:tcBorders>
                    <w:tl2br w:val="nil"/>
                    <w:tr2bl w:val="nil"/>
                  </w:tcBorders>
                  <w:noWrap/>
                  <w:vAlign w:val="center"/>
                </w:tcPr>
                <w:p w14:paraId="78A8EBD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u w:val="single"/>
                      <w:lang w:eastAsia="zh-CN"/>
                    </w:rPr>
                  </w:pPr>
                  <w:r>
                    <w:rPr>
                      <w:rFonts w:hint="default" w:ascii="Times New Roman" w:hAnsi="Times New Roman" w:cs="Times New Roman"/>
                      <w:color w:val="auto"/>
                      <w:kern w:val="0"/>
                      <w:sz w:val="21"/>
                      <w:szCs w:val="21"/>
                      <w:u w:val="single"/>
                      <w:lang w:val="en-US" w:eastAsia="zh-CN"/>
                    </w:rPr>
                    <w:t>无色透明、易燃易挥发液体。有酒的气味和刺激性辛辣味。溶于水、甲醇、乙醚和氯仿。能溶解许多有机化合物和若干无机化合物，熔点-114℃，相对密度0.789，闪点12℃</w:t>
                  </w:r>
                </w:p>
              </w:tc>
            </w:tr>
            <w:tr w14:paraId="515B9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7" w:type="dxa"/>
                  <w:tcBorders>
                    <w:tl2br w:val="nil"/>
                    <w:tr2bl w:val="nil"/>
                  </w:tcBorders>
                  <w:noWrap/>
                  <w:vAlign w:val="center"/>
                </w:tcPr>
                <w:p w14:paraId="4381B3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lang w:eastAsia="zh-CN"/>
                    </w:rPr>
                  </w:pPr>
                  <w:r>
                    <w:rPr>
                      <w:rFonts w:hint="default" w:ascii="Times New Roman" w:hAnsi="Times New Roman" w:eastAsia="宋体" w:cs="Times New Roman"/>
                      <w:color w:val="auto"/>
                      <w:sz w:val="21"/>
                      <w:szCs w:val="21"/>
                      <w:u w:val="single"/>
                      <w:lang w:val="en-US" w:eastAsia="zh-CN"/>
                    </w:rPr>
                    <w:t>84消毒液</w:t>
                  </w:r>
                </w:p>
              </w:tc>
              <w:tc>
                <w:tcPr>
                  <w:tcW w:w="7080" w:type="dxa"/>
                  <w:tcBorders>
                    <w:tl2br w:val="nil"/>
                    <w:tr2bl w:val="nil"/>
                  </w:tcBorders>
                  <w:noWrap/>
                  <w:vAlign w:val="center"/>
                </w:tcPr>
                <w:p w14:paraId="2F12DD1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21"/>
                      <w:szCs w:val="21"/>
                      <w:highlight w:val="yellow"/>
                      <w:u w:val="single"/>
                      <w:lang w:eastAsia="zh-CN"/>
                    </w:rPr>
                  </w:pPr>
                  <w:r>
                    <w:rPr>
                      <w:rFonts w:hint="default" w:ascii="Times New Roman" w:hAnsi="Times New Roman" w:eastAsia="宋体" w:cs="Times New Roman"/>
                      <w:color w:val="auto"/>
                      <w:kern w:val="0"/>
                      <w:sz w:val="21"/>
                      <w:szCs w:val="21"/>
                      <w:u w:val="single"/>
                      <w:lang w:val="en-US" w:eastAsia="zh-CN"/>
                    </w:rPr>
                    <w:t>84消毒液（Ⅱ型）含氯量（5.0%）是主要用于环境和物体表面消毒的</w:t>
                  </w:r>
                  <w:r>
                    <w:rPr>
                      <w:rFonts w:hint="default" w:ascii="Times New Roman" w:hAnsi="Times New Roman" w:eastAsia="宋体" w:cs="Times New Roman"/>
                      <w:color w:val="auto"/>
                      <w:kern w:val="0"/>
                      <w:sz w:val="21"/>
                      <w:szCs w:val="21"/>
                      <w:u w:val="single"/>
                      <w:lang w:val="en-US" w:eastAsia="zh-CN"/>
                    </w:rPr>
                    <w:fldChar w:fldCharType="begin"/>
                  </w:r>
                  <w:r>
                    <w:rPr>
                      <w:rFonts w:hint="default" w:ascii="Times New Roman" w:hAnsi="Times New Roman" w:eastAsia="宋体" w:cs="Times New Roman"/>
                      <w:color w:val="auto"/>
                      <w:kern w:val="0"/>
                      <w:sz w:val="21"/>
                      <w:szCs w:val="21"/>
                      <w:u w:val="single"/>
                      <w:lang w:val="en-US" w:eastAsia="zh-CN"/>
                    </w:rPr>
                    <w:instrText xml:space="preserve"> HYPERLINK "https://baike.so.com/doc/1353441-1430869.html" \t "https://baike.so.com/doc/_blank" </w:instrText>
                  </w:r>
                  <w:r>
                    <w:rPr>
                      <w:rFonts w:hint="default" w:ascii="Times New Roman" w:hAnsi="Times New Roman" w:eastAsia="宋体" w:cs="Times New Roman"/>
                      <w:color w:val="auto"/>
                      <w:kern w:val="0"/>
                      <w:sz w:val="21"/>
                      <w:szCs w:val="21"/>
                      <w:u w:val="single"/>
                      <w:lang w:val="en-US" w:eastAsia="zh-CN"/>
                    </w:rPr>
                    <w:fldChar w:fldCharType="separate"/>
                  </w:r>
                  <w:r>
                    <w:rPr>
                      <w:rFonts w:hint="default" w:ascii="Times New Roman" w:hAnsi="Times New Roman" w:eastAsia="宋体" w:cs="Times New Roman"/>
                      <w:color w:val="auto"/>
                      <w:kern w:val="0"/>
                      <w:sz w:val="21"/>
                      <w:szCs w:val="21"/>
                      <w:u w:val="single"/>
                      <w:lang w:val="en-US" w:eastAsia="zh-CN"/>
                    </w:rPr>
                    <w:t>含氯消毒剂</w:t>
                  </w:r>
                  <w:r>
                    <w:rPr>
                      <w:rFonts w:hint="default" w:ascii="Times New Roman" w:hAnsi="Times New Roman" w:eastAsia="宋体" w:cs="Times New Roman"/>
                      <w:color w:val="auto"/>
                      <w:kern w:val="0"/>
                      <w:sz w:val="21"/>
                      <w:szCs w:val="21"/>
                      <w:u w:val="single"/>
                      <w:lang w:val="en-US" w:eastAsia="zh-CN"/>
                    </w:rPr>
                    <w:fldChar w:fldCharType="end"/>
                  </w:r>
                  <w:r>
                    <w:rPr>
                      <w:rFonts w:hint="default" w:ascii="Times New Roman" w:hAnsi="Times New Roman" w:eastAsia="宋体" w:cs="Times New Roman"/>
                      <w:color w:val="auto"/>
                      <w:kern w:val="0"/>
                      <w:sz w:val="21"/>
                      <w:szCs w:val="21"/>
                      <w:u w:val="single"/>
                      <w:lang w:val="en-US" w:eastAsia="zh-CN"/>
                    </w:rPr>
                    <w:t>，含有强力去污成分，可杀灭</w:t>
                  </w:r>
                  <w:r>
                    <w:rPr>
                      <w:rFonts w:hint="default" w:ascii="Times New Roman" w:hAnsi="Times New Roman" w:eastAsia="宋体" w:cs="Times New Roman"/>
                      <w:color w:val="auto"/>
                      <w:kern w:val="0"/>
                      <w:sz w:val="21"/>
                      <w:szCs w:val="21"/>
                      <w:u w:val="single"/>
                      <w:lang w:val="en-US" w:eastAsia="zh-CN"/>
                    </w:rPr>
                    <w:fldChar w:fldCharType="begin"/>
                  </w:r>
                  <w:r>
                    <w:rPr>
                      <w:rFonts w:hint="default" w:ascii="Times New Roman" w:hAnsi="Times New Roman" w:eastAsia="宋体" w:cs="Times New Roman"/>
                      <w:color w:val="auto"/>
                      <w:kern w:val="0"/>
                      <w:sz w:val="21"/>
                      <w:szCs w:val="21"/>
                      <w:u w:val="single"/>
                      <w:lang w:val="en-US" w:eastAsia="zh-CN"/>
                    </w:rPr>
                    <w:instrText xml:space="preserve"> HYPERLINK "https://baike.so.com/doc/2985839-3149270.html" \t "https://baike.so.com/doc/_blank" </w:instrText>
                  </w:r>
                  <w:r>
                    <w:rPr>
                      <w:rFonts w:hint="default" w:ascii="Times New Roman" w:hAnsi="Times New Roman" w:eastAsia="宋体" w:cs="Times New Roman"/>
                      <w:color w:val="auto"/>
                      <w:kern w:val="0"/>
                      <w:sz w:val="21"/>
                      <w:szCs w:val="21"/>
                      <w:u w:val="single"/>
                      <w:lang w:val="en-US" w:eastAsia="zh-CN"/>
                    </w:rPr>
                    <w:fldChar w:fldCharType="separate"/>
                  </w:r>
                  <w:r>
                    <w:rPr>
                      <w:rFonts w:hint="default" w:ascii="Times New Roman" w:hAnsi="Times New Roman" w:eastAsia="宋体" w:cs="Times New Roman"/>
                      <w:color w:val="auto"/>
                      <w:kern w:val="0"/>
                      <w:sz w:val="21"/>
                      <w:szCs w:val="21"/>
                      <w:u w:val="single"/>
                      <w:lang w:val="en-US" w:eastAsia="zh-CN"/>
                    </w:rPr>
                    <w:t>大肠杆菌</w:t>
                  </w:r>
                  <w:r>
                    <w:rPr>
                      <w:rFonts w:hint="default" w:ascii="Times New Roman" w:hAnsi="Times New Roman" w:eastAsia="宋体" w:cs="Times New Roman"/>
                      <w:color w:val="auto"/>
                      <w:kern w:val="0"/>
                      <w:sz w:val="21"/>
                      <w:szCs w:val="21"/>
                      <w:u w:val="single"/>
                      <w:lang w:val="en-US" w:eastAsia="zh-CN"/>
                    </w:rPr>
                    <w:fldChar w:fldCharType="end"/>
                  </w:r>
                  <w:r>
                    <w:rPr>
                      <w:rFonts w:hint="default" w:ascii="Times New Roman" w:hAnsi="Times New Roman" w:eastAsia="宋体" w:cs="Times New Roman"/>
                      <w:color w:val="auto"/>
                      <w:kern w:val="0"/>
                      <w:sz w:val="21"/>
                      <w:szCs w:val="21"/>
                      <w:u w:val="single"/>
                      <w:lang w:val="en-US" w:eastAsia="zh-CN"/>
                    </w:rPr>
                    <w:t>，</w:t>
                  </w:r>
                  <w:r>
                    <w:rPr>
                      <w:rFonts w:hint="default" w:ascii="Times New Roman" w:hAnsi="Times New Roman" w:eastAsia="宋体" w:cs="Times New Roman"/>
                      <w:color w:val="auto"/>
                      <w:sz w:val="21"/>
                      <w:szCs w:val="21"/>
                      <w:u w:val="single"/>
                      <w:lang w:val="en-US" w:eastAsia="zh-CN"/>
                    </w:rPr>
                    <w:t>适用于家庭，宾馆，医院，饭店及其他公共场所的物体表面消毒。</w:t>
                  </w:r>
                  <w:r>
                    <w:rPr>
                      <w:rFonts w:hint="default" w:ascii="Times New Roman" w:hAnsi="Times New Roman" w:eastAsia="宋体" w:cs="Times New Roman"/>
                      <w:color w:val="auto"/>
                      <w:sz w:val="21"/>
                      <w:szCs w:val="21"/>
                      <w:u w:val="single"/>
                      <w:lang w:eastAsia="zh-CN"/>
                    </w:rPr>
                    <w:t>8</w:t>
                  </w:r>
                  <w:r>
                    <w:rPr>
                      <w:rFonts w:hint="default" w:ascii="Times New Roman" w:hAnsi="Times New Roman" w:eastAsia="宋体" w:cs="Times New Roman"/>
                      <w:color w:val="auto"/>
                      <w:sz w:val="21"/>
                      <w:szCs w:val="21"/>
                      <w:u w:val="single"/>
                      <w:lang w:val="en-US" w:eastAsia="zh-CN"/>
                    </w:rPr>
                    <w:t>4</w:t>
                  </w:r>
                  <w:r>
                    <w:rPr>
                      <w:rFonts w:hint="default" w:ascii="Times New Roman" w:hAnsi="Times New Roman" w:eastAsia="宋体" w:cs="Times New Roman"/>
                      <w:color w:val="auto"/>
                      <w:sz w:val="21"/>
                      <w:szCs w:val="21"/>
                      <w:u w:val="single"/>
                      <w:lang w:eastAsia="zh-CN"/>
                    </w:rPr>
                    <w:t>消毒液有一定的健康危害，经常用手接触本品的工人，手掌大量出汗，指甲变薄，毛发脱落，有致敏作用。</w:t>
                  </w:r>
                </w:p>
              </w:tc>
            </w:tr>
            <w:tr w14:paraId="45BF39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9" w:type="pct"/>
                  <w:tcBorders>
                    <w:tl2br w:val="nil"/>
                    <w:tr2bl w:val="nil"/>
                  </w:tcBorders>
                  <w:noWrap/>
                  <w:vAlign w:val="center"/>
                </w:tcPr>
                <w:p w14:paraId="60E905E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u w:val="single"/>
                      <w:lang w:val="en-US" w:eastAsia="zh-CN"/>
                    </w:rPr>
                  </w:pPr>
                  <w:r>
                    <w:rPr>
                      <w:rFonts w:hint="eastAsia" w:cs="Times New Roman"/>
                      <w:color w:val="auto"/>
                      <w:sz w:val="21"/>
                      <w:szCs w:val="21"/>
                      <w:u w:val="single"/>
                      <w:lang w:val="en-US" w:eastAsia="zh-CN"/>
                    </w:rPr>
                    <w:t>活性氧</w:t>
                  </w:r>
                </w:p>
              </w:tc>
              <w:tc>
                <w:tcPr>
                  <w:tcW w:w="4510" w:type="pct"/>
                  <w:tcBorders>
                    <w:tl2br w:val="nil"/>
                    <w:tr2bl w:val="nil"/>
                  </w:tcBorders>
                  <w:noWrap/>
                  <w:vAlign w:val="center"/>
                </w:tcPr>
                <w:p w14:paraId="053753EB">
                  <w:pPr>
                    <w:bidi w:val="0"/>
                    <w:spacing w:line="240" w:lineRule="auto"/>
                    <w:jc w:val="center"/>
                    <w:rPr>
                      <w:rFonts w:hint="default" w:ascii="Times New Roman" w:hAnsi="Times New Roman" w:eastAsia="宋体" w:cs="Times New Roman"/>
                      <w:color w:val="auto"/>
                      <w:sz w:val="21"/>
                      <w:szCs w:val="21"/>
                      <w:u w:val="single"/>
                      <w:lang w:val="en-US" w:eastAsia="zh-CN"/>
                    </w:rPr>
                  </w:pPr>
                  <w:r>
                    <w:rPr>
                      <w:rFonts w:hint="eastAsia"/>
                      <w:color w:val="auto"/>
                      <w:sz w:val="21"/>
                      <w:szCs w:val="21"/>
                      <w:u w:val="single"/>
                      <w:lang w:eastAsia="zh-CN"/>
                    </w:rPr>
                    <w:t>瓶装固体。以单过硫酸氢钾复合盐、柠檬酸、氯化钠等为主要原料，单过硫酸氢钾复合盐含量为18%~25%，氯化钠含量为5%~6%，活性氧含量为13%</w:t>
                  </w:r>
                  <w:r>
                    <w:rPr>
                      <w:rFonts w:hint="default" w:ascii="Times New Roman" w:hAnsi="Times New Roman" w:eastAsia="微软雅黑" w:cs="Times New Roman"/>
                      <w:color w:val="auto"/>
                      <w:sz w:val="21"/>
                      <w:szCs w:val="21"/>
                      <w:u w:val="single"/>
                      <w:lang w:eastAsia="zh-CN"/>
                    </w:rPr>
                    <w:t>±</w:t>
                  </w:r>
                  <w:r>
                    <w:rPr>
                      <w:rFonts w:hint="eastAsia"/>
                      <w:color w:val="auto"/>
                      <w:sz w:val="21"/>
                      <w:szCs w:val="21"/>
                      <w:u w:val="single"/>
                      <w:lang w:eastAsia="zh-CN"/>
                    </w:rPr>
                    <w:t>1.3%。可杀灭金黄色葡萄球菌、大肠杆菌、致病性酵母菌等。适用于医院污水消毒。</w:t>
                  </w:r>
                </w:p>
              </w:tc>
            </w:tr>
          </w:tbl>
          <w:p w14:paraId="1B5D60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single"/>
              </w:rPr>
            </w:pPr>
            <w:r>
              <w:rPr>
                <w:rFonts w:hint="eastAsia" w:cs="Times New Roman"/>
                <w:b/>
                <w:color w:val="auto"/>
                <w:spacing w:val="4"/>
                <w:sz w:val="21"/>
                <w:szCs w:val="21"/>
                <w:u w:val="single"/>
                <w:lang w:val="en-US" w:eastAsia="zh-CN"/>
              </w:rPr>
              <w:t xml:space="preserve"> </w:t>
            </w:r>
            <w:r>
              <w:rPr>
                <w:rFonts w:hint="eastAsia" w:cs="Times New Roman"/>
                <w:b/>
                <w:bCs/>
                <w:color w:val="auto"/>
                <w:spacing w:val="2"/>
                <w:sz w:val="24"/>
                <w:szCs w:val="24"/>
                <w:u w:val="single"/>
                <w:lang w:val="en-US" w:eastAsia="zh-CN"/>
              </w:rPr>
              <w:t>5</w:t>
            </w:r>
            <w:r>
              <w:rPr>
                <w:rFonts w:hint="default" w:ascii="Times New Roman" w:hAnsi="Times New Roman" w:eastAsia="宋体" w:cs="Times New Roman"/>
                <w:b/>
                <w:bCs/>
                <w:color w:val="auto"/>
                <w:spacing w:val="2"/>
                <w:sz w:val="24"/>
                <w:szCs w:val="24"/>
                <w:u w:val="single"/>
              </w:rPr>
              <w:t>、</w:t>
            </w:r>
            <w:r>
              <w:rPr>
                <w:rFonts w:hint="eastAsia" w:cs="Times New Roman"/>
                <w:b/>
                <w:bCs/>
                <w:color w:val="auto"/>
                <w:spacing w:val="2"/>
                <w:sz w:val="24"/>
                <w:szCs w:val="24"/>
                <w:u w:val="single"/>
                <w:lang w:eastAsia="zh-CN"/>
              </w:rPr>
              <w:t>主要</w:t>
            </w:r>
            <w:r>
              <w:rPr>
                <w:rFonts w:hint="default" w:ascii="Times New Roman" w:hAnsi="Times New Roman" w:eastAsia="宋体" w:cs="Times New Roman"/>
                <w:b/>
                <w:bCs/>
                <w:color w:val="auto"/>
                <w:spacing w:val="1"/>
                <w:sz w:val="24"/>
                <w:szCs w:val="24"/>
                <w:u w:val="single"/>
              </w:rPr>
              <w:t>设备清单</w:t>
            </w:r>
          </w:p>
          <w:p w14:paraId="5ABA89BE">
            <w:pPr>
              <w:keepNext w:val="0"/>
              <w:keepLines w:val="0"/>
              <w:pageBreakBefore w:val="0"/>
              <w:widowControl w:val="0"/>
              <w:kinsoku/>
              <w:wordWrap/>
              <w:overflowPunct/>
              <w:topLinePunct w:val="0"/>
              <w:autoSpaceDE/>
              <w:autoSpaceDN/>
              <w:bidi w:val="0"/>
              <w:adjustRightInd/>
              <w:snapToGrid/>
              <w:spacing w:line="360" w:lineRule="auto"/>
              <w:ind w:firstLine="516" w:firstLineChars="200"/>
              <w:textAlignment w:val="auto"/>
              <w:rPr>
                <w:rFonts w:hint="default" w:ascii="Times New Roman" w:hAnsi="Times New Roman" w:eastAsia="宋体" w:cs="Times New Roman"/>
                <w:color w:val="auto"/>
                <w:spacing w:val="8"/>
                <w:sz w:val="24"/>
                <w:szCs w:val="24"/>
                <w:u w:val="single"/>
                <w:lang w:val="en-US" w:eastAsia="zh-CN"/>
              </w:rPr>
            </w:pPr>
            <w:r>
              <w:rPr>
                <w:rFonts w:hint="default" w:ascii="Times New Roman" w:hAnsi="Times New Roman" w:eastAsia="宋体" w:cs="Times New Roman"/>
                <w:color w:val="auto"/>
                <w:spacing w:val="9"/>
                <w:sz w:val="24"/>
                <w:szCs w:val="24"/>
                <w:u w:val="single"/>
              </w:rPr>
              <w:t>本</w:t>
            </w:r>
            <w:r>
              <w:rPr>
                <w:rFonts w:hint="default" w:ascii="Times New Roman" w:hAnsi="Times New Roman" w:eastAsia="宋体" w:cs="Times New Roman"/>
                <w:color w:val="auto"/>
                <w:spacing w:val="8"/>
                <w:sz w:val="24"/>
                <w:szCs w:val="24"/>
                <w:u w:val="single"/>
              </w:rPr>
              <w:t>项目主要设备见下表。</w:t>
            </w:r>
          </w:p>
          <w:p w14:paraId="1D7F2500">
            <w:pPr>
              <w:spacing w:line="240" w:lineRule="auto"/>
              <w:ind w:firstLine="454" w:firstLineChars="200"/>
              <w:jc w:val="center"/>
              <w:rPr>
                <w:rFonts w:hint="default" w:ascii="Times New Roman" w:hAnsi="Times New Roman" w:eastAsia="宋体" w:cs="Times New Roman"/>
                <w:b/>
                <w:color w:val="auto"/>
                <w:spacing w:val="8"/>
                <w:sz w:val="21"/>
                <w:szCs w:val="21"/>
                <w:u w:val="single"/>
              </w:rPr>
            </w:pPr>
            <w:r>
              <w:rPr>
                <w:rFonts w:hint="default" w:ascii="Times New Roman" w:hAnsi="Times New Roman" w:eastAsia="宋体" w:cs="Times New Roman"/>
                <w:b/>
                <w:color w:val="auto"/>
                <w:spacing w:val="8"/>
                <w:sz w:val="21"/>
                <w:szCs w:val="21"/>
                <w:u w:val="single"/>
              </w:rPr>
              <w:t>表2-</w:t>
            </w:r>
            <w:r>
              <w:rPr>
                <w:rFonts w:hint="eastAsia" w:cs="Times New Roman"/>
                <w:b/>
                <w:color w:val="auto"/>
                <w:spacing w:val="8"/>
                <w:sz w:val="21"/>
                <w:szCs w:val="21"/>
                <w:u w:val="single"/>
                <w:lang w:val="en-US" w:eastAsia="zh-CN"/>
              </w:rPr>
              <w:t>4</w:t>
            </w:r>
            <w:r>
              <w:rPr>
                <w:rFonts w:hint="default" w:ascii="Times New Roman" w:hAnsi="Times New Roman" w:eastAsia="宋体" w:cs="Times New Roman"/>
                <w:b/>
                <w:color w:val="auto"/>
                <w:spacing w:val="8"/>
                <w:sz w:val="21"/>
                <w:szCs w:val="21"/>
                <w:u w:val="single"/>
              </w:rPr>
              <w:t>项目主要设备一览表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02"/>
              <w:gridCol w:w="2427"/>
              <w:gridCol w:w="2022"/>
              <w:gridCol w:w="1368"/>
              <w:gridCol w:w="1013"/>
            </w:tblGrid>
            <w:tr w14:paraId="13C341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21AF57E1">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rPr>
                  </w:pPr>
                  <w:r>
                    <w:rPr>
                      <w:rFonts w:hint="default" w:ascii="Times New Roman" w:hAnsi="Times New Roman" w:eastAsia="宋体" w:cs="Times New Roman"/>
                      <w:b/>
                      <w:bCs/>
                      <w:color w:val="auto"/>
                      <w:kern w:val="2"/>
                      <w:sz w:val="21"/>
                      <w:szCs w:val="21"/>
                      <w:u w:val="single"/>
                    </w:rPr>
                    <w:t>序号</w:t>
                  </w:r>
                </w:p>
              </w:tc>
              <w:tc>
                <w:tcPr>
                  <w:tcW w:w="1569" w:type="pct"/>
                  <w:tcBorders>
                    <w:tl2br w:val="nil"/>
                    <w:tr2bl w:val="nil"/>
                  </w:tcBorders>
                  <w:noWrap w:val="0"/>
                  <w:vAlign w:val="center"/>
                </w:tcPr>
                <w:p w14:paraId="14571866">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rPr>
                  </w:pPr>
                  <w:r>
                    <w:rPr>
                      <w:rFonts w:hint="default" w:ascii="Times New Roman" w:hAnsi="Times New Roman" w:eastAsia="宋体" w:cs="Times New Roman"/>
                      <w:b/>
                      <w:bCs/>
                      <w:color w:val="auto"/>
                      <w:kern w:val="2"/>
                      <w:sz w:val="21"/>
                      <w:szCs w:val="21"/>
                      <w:u w:val="single"/>
                    </w:rPr>
                    <w:t>设备名称</w:t>
                  </w:r>
                </w:p>
              </w:tc>
              <w:tc>
                <w:tcPr>
                  <w:tcW w:w="1307" w:type="pct"/>
                  <w:tcBorders>
                    <w:tl2br w:val="nil"/>
                    <w:tr2bl w:val="nil"/>
                  </w:tcBorders>
                  <w:noWrap w:val="0"/>
                  <w:vAlign w:val="center"/>
                </w:tcPr>
                <w:p w14:paraId="6545932B">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rPr>
                  </w:pPr>
                  <w:r>
                    <w:rPr>
                      <w:rFonts w:hint="default" w:ascii="Times New Roman" w:hAnsi="Times New Roman" w:eastAsia="宋体" w:cs="Times New Roman"/>
                      <w:b/>
                      <w:bCs/>
                      <w:color w:val="auto"/>
                      <w:kern w:val="2"/>
                      <w:sz w:val="21"/>
                      <w:szCs w:val="21"/>
                      <w:u w:val="single"/>
                    </w:rPr>
                    <w:t>型号</w:t>
                  </w:r>
                </w:p>
              </w:tc>
              <w:tc>
                <w:tcPr>
                  <w:tcW w:w="884" w:type="pct"/>
                  <w:tcBorders>
                    <w:tl2br w:val="nil"/>
                    <w:tr2bl w:val="nil"/>
                  </w:tcBorders>
                  <w:noWrap w:val="0"/>
                  <w:vAlign w:val="center"/>
                </w:tcPr>
                <w:p w14:paraId="156317F2">
                  <w:pPr>
                    <w:pStyle w:val="29"/>
                    <w:keepNext w:val="0"/>
                    <w:keepLines w:val="0"/>
                    <w:pageBreakBefore w:val="0"/>
                    <w:kinsoku/>
                    <w:wordWrap/>
                    <w:overflowPunct/>
                    <w:topLinePunct w:val="0"/>
                    <w:bidi w:val="0"/>
                    <w:snapToGrid w:val="0"/>
                    <w:spacing w:line="240" w:lineRule="auto"/>
                    <w:ind w:left="0" w:leftChars="0" w:firstLine="0" w:firstLineChars="0"/>
                    <w:jc w:val="center"/>
                    <w:rPr>
                      <w:rFonts w:hint="default" w:ascii="Times New Roman" w:hAnsi="Times New Roman" w:eastAsia="宋体" w:cs="Times New Roman"/>
                      <w:b/>
                      <w:bCs/>
                      <w:color w:val="auto"/>
                      <w:kern w:val="2"/>
                      <w:sz w:val="21"/>
                      <w:szCs w:val="21"/>
                      <w:u w:val="single"/>
                    </w:rPr>
                  </w:pPr>
                  <w:r>
                    <w:rPr>
                      <w:rFonts w:hint="default" w:ascii="Times New Roman" w:hAnsi="Times New Roman" w:eastAsia="宋体" w:cs="Times New Roman"/>
                      <w:b/>
                      <w:bCs/>
                      <w:color w:val="auto"/>
                      <w:kern w:val="2"/>
                      <w:sz w:val="21"/>
                      <w:szCs w:val="21"/>
                      <w:u w:val="single"/>
                    </w:rPr>
                    <w:t>数量</w:t>
                  </w:r>
                </w:p>
              </w:tc>
              <w:tc>
                <w:tcPr>
                  <w:tcW w:w="655" w:type="pct"/>
                  <w:tcBorders>
                    <w:tl2br w:val="nil"/>
                    <w:tr2bl w:val="nil"/>
                  </w:tcBorders>
                  <w:noWrap w:val="0"/>
                  <w:vAlign w:val="center"/>
                </w:tcPr>
                <w:p w14:paraId="2F279964">
                  <w:pPr>
                    <w:pStyle w:val="29"/>
                    <w:keepNext w:val="0"/>
                    <w:keepLines w:val="0"/>
                    <w:pageBreakBefore w:val="0"/>
                    <w:kinsoku/>
                    <w:wordWrap/>
                    <w:overflowPunct/>
                    <w:topLinePunct w:val="0"/>
                    <w:bidi w:val="0"/>
                    <w:snapToGrid w:val="0"/>
                    <w:spacing w:line="240" w:lineRule="auto"/>
                    <w:ind w:left="0" w:leftChars="0" w:firstLine="0" w:firstLineChars="0"/>
                    <w:jc w:val="center"/>
                    <w:rPr>
                      <w:rFonts w:hint="eastAsia" w:ascii="Times New Roman" w:hAnsi="Times New Roman" w:eastAsia="宋体" w:cs="Times New Roman"/>
                      <w:b/>
                      <w:bCs/>
                      <w:color w:val="auto"/>
                      <w:kern w:val="2"/>
                      <w:sz w:val="21"/>
                      <w:szCs w:val="21"/>
                      <w:u w:val="single"/>
                      <w:lang w:eastAsia="zh-CN"/>
                    </w:rPr>
                  </w:pPr>
                  <w:r>
                    <w:rPr>
                      <w:rFonts w:hint="eastAsia" w:ascii="Times New Roman" w:hAnsi="Times New Roman" w:eastAsia="宋体" w:cs="Times New Roman"/>
                      <w:b/>
                      <w:bCs/>
                      <w:color w:val="auto"/>
                      <w:kern w:val="2"/>
                      <w:sz w:val="21"/>
                      <w:szCs w:val="21"/>
                      <w:u w:val="single"/>
                      <w:lang w:val="en-US" w:eastAsia="zh-CN"/>
                    </w:rPr>
                    <w:t>备注</w:t>
                  </w:r>
                </w:p>
              </w:tc>
            </w:tr>
            <w:tr w14:paraId="1512BD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34041AC4">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1</w:t>
                  </w:r>
                </w:p>
              </w:tc>
              <w:tc>
                <w:tcPr>
                  <w:tcW w:w="1569" w:type="pct"/>
                  <w:tcBorders>
                    <w:tl2br w:val="nil"/>
                    <w:tr2bl w:val="nil"/>
                  </w:tcBorders>
                  <w:noWrap w:val="0"/>
                  <w:vAlign w:val="center"/>
                </w:tcPr>
                <w:p w14:paraId="04C59E82">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心电图机</w:t>
                  </w:r>
                </w:p>
              </w:tc>
              <w:tc>
                <w:tcPr>
                  <w:tcW w:w="1307" w:type="pct"/>
                  <w:tcBorders>
                    <w:tl2br w:val="nil"/>
                    <w:tr2bl w:val="nil"/>
                  </w:tcBorders>
                  <w:noWrap w:val="0"/>
                  <w:vAlign w:val="center"/>
                </w:tcPr>
                <w:p w14:paraId="4B963228">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2"/>
                      <w:sz w:val="21"/>
                      <w:szCs w:val="21"/>
                      <w:u w:val="single"/>
                      <w:lang w:val="en-US" w:eastAsia="zh-CN" w:bidi="ar-SA"/>
                    </w:rPr>
                  </w:pPr>
                  <w:r>
                    <w:rPr>
                      <w:rFonts w:hint="eastAsia" w:ascii="Times New Roman" w:hAnsi="Times New Roman" w:eastAsia="宋体" w:cs="Times New Roman"/>
                      <w:b w:val="0"/>
                      <w:bCs w:val="0"/>
                      <w:color w:val="auto"/>
                      <w:kern w:val="2"/>
                      <w:sz w:val="21"/>
                      <w:szCs w:val="21"/>
                      <w:u w:val="single"/>
                      <w:lang w:val="en-US" w:eastAsia="zh-CN" w:bidi="ar-SA"/>
                    </w:rPr>
                    <w:t>HW-E100</w:t>
                  </w:r>
                </w:p>
              </w:tc>
              <w:tc>
                <w:tcPr>
                  <w:tcW w:w="884" w:type="pct"/>
                  <w:tcBorders>
                    <w:tl2br w:val="nil"/>
                    <w:tr2bl w:val="nil"/>
                  </w:tcBorders>
                  <w:noWrap w:val="0"/>
                  <w:vAlign w:val="center"/>
                </w:tcPr>
                <w:p w14:paraId="0F93B941">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6100816A">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kern w:val="2"/>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742203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4072B7BD">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2</w:t>
                  </w:r>
                </w:p>
              </w:tc>
              <w:tc>
                <w:tcPr>
                  <w:tcW w:w="1569" w:type="pct"/>
                  <w:tcBorders>
                    <w:tl2br w:val="nil"/>
                    <w:tr2bl w:val="nil"/>
                  </w:tcBorders>
                  <w:noWrap w:val="0"/>
                  <w:vAlign w:val="center"/>
                </w:tcPr>
                <w:p w14:paraId="173DB950">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心电监护仪</w:t>
                  </w:r>
                </w:p>
              </w:tc>
              <w:tc>
                <w:tcPr>
                  <w:tcW w:w="1307" w:type="pct"/>
                  <w:tcBorders>
                    <w:tl2br w:val="nil"/>
                    <w:tr2bl w:val="nil"/>
                  </w:tcBorders>
                  <w:noWrap w:val="0"/>
                  <w:vAlign w:val="center"/>
                </w:tcPr>
                <w:p w14:paraId="0FC0770E">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rPr>
                  </w:pPr>
                  <w:r>
                    <w:rPr>
                      <w:rFonts w:hint="eastAsia" w:ascii="Times New Roman" w:hAnsi="Times New Roman" w:eastAsia="宋体" w:cs="Times New Roman"/>
                      <w:b w:val="0"/>
                      <w:bCs w:val="0"/>
                      <w:i w:val="0"/>
                      <w:color w:val="000000" w:themeColor="text1"/>
                      <w:sz w:val="21"/>
                      <w:szCs w:val="21"/>
                      <w:u w:val="single"/>
                      <w:lang w:val="en-US" w:eastAsia="zh-CN" w:bidi="ar-SA"/>
                      <w14:textFill>
                        <w14:solidFill>
                          <w14:schemeClr w14:val="tx1"/>
                        </w14:solidFill>
                      </w14:textFill>
                    </w:rPr>
                    <w:t>COMEN</w:t>
                  </w:r>
                </w:p>
              </w:tc>
              <w:tc>
                <w:tcPr>
                  <w:tcW w:w="884" w:type="pct"/>
                  <w:tcBorders>
                    <w:tl2br w:val="nil"/>
                    <w:tr2bl w:val="nil"/>
                  </w:tcBorders>
                  <w:noWrap w:val="0"/>
                  <w:vAlign w:val="center"/>
                </w:tcPr>
                <w:p w14:paraId="18F0BFC3">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06FC9611">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3A9418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567E527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lang w:val="en-US" w:eastAsia="zh-CN"/>
                    </w:rPr>
                  </w:pPr>
                  <w:r>
                    <w:rPr>
                      <w:rFonts w:hint="default" w:ascii="Times New Roman" w:hAnsi="Times New Roman" w:eastAsia="宋体" w:cs="Times New Roman"/>
                      <w:b w:val="0"/>
                      <w:bCs w:val="0"/>
                      <w:i w:val="0"/>
                      <w:iCs w:val="0"/>
                      <w:color w:val="auto"/>
                      <w:kern w:val="0"/>
                      <w:sz w:val="21"/>
                      <w:szCs w:val="21"/>
                      <w:u w:val="single"/>
                      <w:lang w:val="en-US" w:eastAsia="zh-CN" w:bidi="ar"/>
                    </w:rPr>
                    <w:t>3</w:t>
                  </w:r>
                </w:p>
              </w:tc>
              <w:tc>
                <w:tcPr>
                  <w:tcW w:w="1569" w:type="pct"/>
                  <w:tcBorders>
                    <w:tl2br w:val="nil"/>
                    <w:tr2bl w:val="nil"/>
                  </w:tcBorders>
                  <w:noWrap w:val="0"/>
                  <w:vAlign w:val="center"/>
                </w:tcPr>
                <w:p w14:paraId="2808D0E4">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离心机</w:t>
                  </w:r>
                </w:p>
              </w:tc>
              <w:tc>
                <w:tcPr>
                  <w:tcW w:w="1307" w:type="pct"/>
                  <w:tcBorders>
                    <w:tl2br w:val="nil"/>
                    <w:tr2bl w:val="nil"/>
                  </w:tcBorders>
                  <w:noWrap w:val="0"/>
                  <w:vAlign w:val="center"/>
                </w:tcPr>
                <w:p w14:paraId="79AAEA4A">
                  <w:pPr>
                    <w:keepNext w:val="0"/>
                    <w:keepLines w:val="0"/>
                    <w:pageBreakBefore w:val="0"/>
                    <w:kinsoku/>
                    <w:wordWrap/>
                    <w:overflowPunct/>
                    <w:topLinePunct w:val="0"/>
                    <w:bidi w:val="0"/>
                    <w:snapToGrid w:val="0"/>
                    <w:spacing w:after="0" w:line="240" w:lineRule="auto"/>
                    <w:jc w:val="center"/>
                    <w:rPr>
                      <w:rFonts w:hint="default" w:ascii="Times New Roman" w:hAnsi="Times New Roman" w:eastAsia="宋体" w:cs="Times New Roman"/>
                      <w:b w:val="0"/>
                      <w:bCs w:val="0"/>
                      <w:color w:val="auto"/>
                      <w:kern w:val="2"/>
                      <w:sz w:val="21"/>
                      <w:szCs w:val="21"/>
                      <w:u w:val="single"/>
                      <w:lang w:val="en-US" w:eastAsia="zh-CN"/>
                    </w:rPr>
                  </w:pPr>
                  <w:r>
                    <w:rPr>
                      <w:rFonts w:hint="eastAsia" w:ascii="Times New Roman" w:hAnsi="Times New Roman" w:eastAsia="宋体" w:cs="Times New Roman"/>
                      <w:b w:val="0"/>
                      <w:bCs w:val="0"/>
                      <w:color w:val="000000" w:themeColor="text1"/>
                      <w:sz w:val="21"/>
                      <w:szCs w:val="21"/>
                      <w:u w:val="single"/>
                      <w:lang w:val="en-US" w:eastAsia="zh-CN" w:bidi="ar-SA"/>
                      <w14:textFill>
                        <w14:solidFill>
                          <w14:schemeClr w14:val="tx1"/>
                        </w14:solidFill>
                      </w14:textFill>
                    </w:rPr>
                    <w:t>80-4(15ml*24)</w:t>
                  </w:r>
                </w:p>
              </w:tc>
              <w:tc>
                <w:tcPr>
                  <w:tcW w:w="884" w:type="pct"/>
                  <w:tcBorders>
                    <w:tl2br w:val="nil"/>
                    <w:tr2bl w:val="nil"/>
                  </w:tcBorders>
                  <w:noWrap w:val="0"/>
                  <w:vAlign w:val="center"/>
                </w:tcPr>
                <w:p w14:paraId="36E218BC">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48F9129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eastAsia="zh-CN"/>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0EB27C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1ECD2745">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4</w:t>
                  </w:r>
                </w:p>
              </w:tc>
              <w:tc>
                <w:tcPr>
                  <w:tcW w:w="1569" w:type="pct"/>
                  <w:tcBorders>
                    <w:tl2br w:val="nil"/>
                    <w:tr2bl w:val="nil"/>
                  </w:tcBorders>
                  <w:noWrap w:val="0"/>
                  <w:vAlign w:val="center"/>
                </w:tcPr>
                <w:p w14:paraId="085AB26E">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B 超</w:t>
                  </w:r>
                </w:p>
              </w:tc>
              <w:tc>
                <w:tcPr>
                  <w:tcW w:w="1307" w:type="pct"/>
                  <w:tcBorders>
                    <w:tl2br w:val="nil"/>
                    <w:tr2bl w:val="nil"/>
                  </w:tcBorders>
                  <w:noWrap w:val="0"/>
                  <w:vAlign w:val="center"/>
                </w:tcPr>
                <w:p w14:paraId="552FC161">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val="0"/>
                      <w:bCs w:val="0"/>
                      <w:i w:val="0"/>
                      <w:color w:val="000000" w:themeColor="text1"/>
                      <w:sz w:val="21"/>
                      <w:szCs w:val="21"/>
                      <w:u w:val="single"/>
                      <w:lang w:val="en-US" w:eastAsia="zh-CN" w:bidi="ar-SA"/>
                      <w14:textFill>
                        <w14:solidFill>
                          <w14:schemeClr w14:val="tx1"/>
                        </w14:solidFill>
                      </w14:textFill>
                    </w:rPr>
                    <w:t>蓝韵影像</w:t>
                  </w:r>
                </w:p>
              </w:tc>
              <w:tc>
                <w:tcPr>
                  <w:tcW w:w="884" w:type="pct"/>
                  <w:tcBorders>
                    <w:tl2br w:val="nil"/>
                    <w:tr2bl w:val="nil"/>
                  </w:tcBorders>
                  <w:noWrap w:val="0"/>
                  <w:vAlign w:val="center"/>
                </w:tcPr>
                <w:p w14:paraId="124D4CAC">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7ECF0B4F">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eastAsia="zh-CN"/>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598F10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3F415F6B">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5</w:t>
                  </w:r>
                </w:p>
              </w:tc>
              <w:tc>
                <w:tcPr>
                  <w:tcW w:w="1569" w:type="pct"/>
                  <w:tcBorders>
                    <w:tl2br w:val="nil"/>
                    <w:tr2bl w:val="nil"/>
                  </w:tcBorders>
                  <w:noWrap w:val="0"/>
                  <w:vAlign w:val="center"/>
                </w:tcPr>
                <w:p w14:paraId="6AAFFEFD">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电视机</w:t>
                  </w:r>
                </w:p>
              </w:tc>
              <w:tc>
                <w:tcPr>
                  <w:tcW w:w="1307" w:type="pct"/>
                  <w:tcBorders>
                    <w:tl2br w:val="nil"/>
                    <w:tr2bl w:val="nil"/>
                  </w:tcBorders>
                  <w:noWrap w:val="0"/>
                  <w:vAlign w:val="center"/>
                </w:tcPr>
                <w:p w14:paraId="774D14D0">
                  <w:pPr>
                    <w:spacing w:before="43" w:line="240" w:lineRule="auto"/>
                    <w:jc w:val="cente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pPr>
                  <w:r>
                    <w:rPr>
                      <w:rFonts w:ascii="Times New Roman" w:hAnsi="Times New Roman" w:eastAsia="宋体" w:cs="Times New Roman"/>
                      <w:b w:val="0"/>
                      <w:bCs w:val="0"/>
                      <w:sz w:val="21"/>
                      <w:szCs w:val="21"/>
                      <w:u w:val="single"/>
                    </w:rPr>
                    <w:t>海信</w:t>
                  </w:r>
                </w:p>
              </w:tc>
              <w:tc>
                <w:tcPr>
                  <w:tcW w:w="884" w:type="pct"/>
                  <w:tcBorders>
                    <w:tl2br w:val="nil"/>
                    <w:tr2bl w:val="nil"/>
                  </w:tcBorders>
                  <w:noWrap w:val="0"/>
                  <w:vAlign w:val="center"/>
                </w:tcPr>
                <w:p w14:paraId="76566D92">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0270009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eastAsia="zh-CN"/>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48F7C5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2C707119">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rPr>
                  </w:pPr>
                  <w:r>
                    <w:rPr>
                      <w:rFonts w:hint="default" w:ascii="Times New Roman" w:hAnsi="Times New Roman" w:eastAsia="宋体" w:cs="Times New Roman"/>
                      <w:b w:val="0"/>
                      <w:bCs w:val="0"/>
                      <w:i w:val="0"/>
                      <w:iCs w:val="0"/>
                      <w:color w:val="auto"/>
                      <w:kern w:val="0"/>
                      <w:sz w:val="21"/>
                      <w:szCs w:val="21"/>
                      <w:u w:val="single"/>
                      <w:lang w:val="en-US" w:eastAsia="zh-CN" w:bidi="ar"/>
                    </w:rPr>
                    <w:t>6</w:t>
                  </w:r>
                </w:p>
              </w:tc>
              <w:tc>
                <w:tcPr>
                  <w:tcW w:w="1569" w:type="pct"/>
                  <w:tcBorders>
                    <w:tl2br w:val="nil"/>
                    <w:tr2bl w:val="nil"/>
                  </w:tcBorders>
                  <w:noWrap w:val="0"/>
                  <w:vAlign w:val="center"/>
                </w:tcPr>
                <w:p w14:paraId="7962D513">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扩音机</w:t>
                  </w:r>
                </w:p>
              </w:tc>
              <w:tc>
                <w:tcPr>
                  <w:tcW w:w="1307" w:type="pct"/>
                  <w:tcBorders>
                    <w:tl2br w:val="nil"/>
                    <w:tr2bl w:val="nil"/>
                  </w:tcBorders>
                  <w:noWrap w:val="0"/>
                  <w:vAlign w:val="center"/>
                </w:tcPr>
                <w:p w14:paraId="7B1A191F">
                  <w:pPr>
                    <w:spacing w:before="43" w:line="240" w:lineRule="auto"/>
                    <w:jc w:val="cente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t>/</w:t>
                  </w:r>
                </w:p>
              </w:tc>
              <w:tc>
                <w:tcPr>
                  <w:tcW w:w="884" w:type="pct"/>
                  <w:tcBorders>
                    <w:tl2br w:val="nil"/>
                    <w:tr2bl w:val="nil"/>
                  </w:tcBorders>
                  <w:noWrap w:val="0"/>
                  <w:vAlign w:val="center"/>
                </w:tcPr>
                <w:p w14:paraId="1C62C35C">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kern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2F727634">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eastAsia="zh-CN"/>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1E75C2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5E63A25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7</w:t>
                  </w:r>
                </w:p>
              </w:tc>
              <w:tc>
                <w:tcPr>
                  <w:tcW w:w="1569" w:type="pct"/>
                  <w:tcBorders>
                    <w:tl2br w:val="nil"/>
                    <w:tr2bl w:val="nil"/>
                  </w:tcBorders>
                  <w:noWrap w:val="0"/>
                  <w:vAlign w:val="center"/>
                </w:tcPr>
                <w:p w14:paraId="09C64CAB">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储存柜</w:t>
                  </w:r>
                </w:p>
              </w:tc>
              <w:tc>
                <w:tcPr>
                  <w:tcW w:w="1307" w:type="pct"/>
                  <w:tcBorders>
                    <w:tl2br w:val="nil"/>
                    <w:tr2bl w:val="nil"/>
                  </w:tcBorders>
                  <w:noWrap w:val="0"/>
                  <w:vAlign w:val="center"/>
                </w:tcPr>
                <w:p w14:paraId="3DD984F7">
                  <w:pPr>
                    <w:spacing w:before="43" w:line="240" w:lineRule="auto"/>
                    <w:jc w:val="center"/>
                    <w:rPr>
                      <w:rFonts w:hint="default" w:ascii="Times New Roman" w:hAnsi="Times New Roman" w:eastAsia="宋体" w:cs="Times New Roman"/>
                      <w:b w:val="0"/>
                      <w:bCs w:val="0"/>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t>/</w:t>
                  </w:r>
                </w:p>
              </w:tc>
              <w:tc>
                <w:tcPr>
                  <w:tcW w:w="884" w:type="pct"/>
                  <w:tcBorders>
                    <w:tl2br w:val="nil"/>
                    <w:tr2bl w:val="nil"/>
                  </w:tcBorders>
                  <w:noWrap w:val="0"/>
                  <w:vAlign w:val="center"/>
                </w:tcPr>
                <w:p w14:paraId="652EE5F7">
                  <w:pPr>
                    <w:pStyle w:val="33"/>
                    <w:tabs>
                      <w:tab w:val="left" w:pos="3541"/>
                    </w:tabs>
                    <w:spacing w:before="43" w:line="240" w:lineRule="auto"/>
                    <w:jc w:val="center"/>
                    <w:rPr>
                      <w:rFonts w:hint="eastAsia" w:ascii="Times New Roman" w:hAnsi="Times New Roman" w:eastAsia="宋体" w:cs="Times New Roman"/>
                      <w:b w:val="0"/>
                      <w:bCs w:val="0"/>
                      <w:color w:val="auto"/>
                      <w:kern w:val="0"/>
                      <w:sz w:val="21"/>
                      <w:szCs w:val="21"/>
                      <w:u w:val="single"/>
                      <w:lang w:val="en-US" w:eastAsia="zh-CN"/>
                    </w:rPr>
                  </w:pPr>
                  <w:r>
                    <w:rPr>
                      <w:rFonts w:ascii="Times New Roman" w:hAnsi="Times New Roman" w:eastAsia="宋体" w:cs="Times New Roman"/>
                      <w:b w:val="0"/>
                      <w:bCs w:val="0"/>
                      <w:kern w:val="0"/>
                      <w:sz w:val="21"/>
                      <w:szCs w:val="21"/>
                      <w:u w:val="single"/>
                    </w:rPr>
                    <w:t>1</w:t>
                  </w:r>
                  <w:r>
                    <w:rPr>
                      <w:rFonts w:hint="eastAsia" w:ascii="Times New Roman" w:hAnsi="Times New Roman" w:eastAsia="宋体" w:cs="Times New Roman"/>
                      <w:b w:val="0"/>
                      <w:bCs w:val="0"/>
                      <w:kern w:val="0"/>
                      <w:sz w:val="21"/>
                      <w:szCs w:val="21"/>
                      <w:u w:val="single"/>
                      <w:lang w:val="en-US" w:eastAsia="zh-CN"/>
                    </w:rPr>
                    <w:t>个</w:t>
                  </w:r>
                </w:p>
              </w:tc>
              <w:tc>
                <w:tcPr>
                  <w:tcW w:w="655" w:type="pct"/>
                  <w:tcBorders>
                    <w:tl2br w:val="nil"/>
                    <w:tr2bl w:val="nil"/>
                  </w:tcBorders>
                  <w:noWrap w:val="0"/>
                  <w:vAlign w:val="center"/>
                </w:tcPr>
                <w:p w14:paraId="3ABC710C">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03A8415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194D3922">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8</w:t>
                  </w:r>
                </w:p>
              </w:tc>
              <w:tc>
                <w:tcPr>
                  <w:tcW w:w="1569" w:type="pct"/>
                  <w:tcBorders>
                    <w:tl2br w:val="nil"/>
                    <w:tr2bl w:val="nil"/>
                  </w:tcBorders>
                  <w:noWrap w:val="0"/>
                  <w:vAlign w:val="center"/>
                </w:tcPr>
                <w:p w14:paraId="050D64C7">
                  <w:pPr>
                    <w:keepNext w:val="0"/>
                    <w:keepLines w:val="0"/>
                    <w:pageBreakBefore w:val="0"/>
                    <w:widowControl/>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rPr>
                  </w:pPr>
                  <w:r>
                    <w:rPr>
                      <w:rFonts w:hint="default" w:ascii="Times New Roman" w:hAnsi="Times New Roman" w:eastAsia="宋体" w:cs="Times New Roman"/>
                      <w:b w:val="0"/>
                      <w:bCs w:val="0"/>
                      <w:color w:val="auto"/>
                      <w:sz w:val="21"/>
                      <w:szCs w:val="21"/>
                      <w:u w:val="single"/>
                      <w:lang w:val="en-US" w:eastAsia="zh-CN"/>
                    </w:rPr>
                    <w:t>自动煎药机</w:t>
                  </w:r>
                </w:p>
              </w:tc>
              <w:tc>
                <w:tcPr>
                  <w:tcW w:w="1307" w:type="pct"/>
                  <w:tcBorders>
                    <w:tl2br w:val="nil"/>
                    <w:tr2bl w:val="nil"/>
                  </w:tcBorders>
                  <w:noWrap w:val="0"/>
                  <w:vAlign w:val="center"/>
                </w:tcPr>
                <w:p w14:paraId="7A0ACFA9">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t>/</w:t>
                  </w:r>
                </w:p>
              </w:tc>
              <w:tc>
                <w:tcPr>
                  <w:tcW w:w="884" w:type="pct"/>
                  <w:tcBorders>
                    <w:tl2br w:val="nil"/>
                    <w:tr2bl w:val="nil"/>
                  </w:tcBorders>
                  <w:noWrap w:val="0"/>
                  <w:vAlign w:val="center"/>
                </w:tcPr>
                <w:p w14:paraId="0245CED6">
                  <w:pPr>
                    <w:keepNext w:val="0"/>
                    <w:keepLines w:val="0"/>
                    <w:pageBreakBefore w:val="0"/>
                    <w:widowControl/>
                    <w:kinsoku/>
                    <w:wordWrap/>
                    <w:overflowPunct/>
                    <w:topLinePunct w:val="0"/>
                    <w:bidi w:val="0"/>
                    <w:snapToGrid w:val="0"/>
                    <w:spacing w:line="240" w:lineRule="auto"/>
                    <w:jc w:val="center"/>
                    <w:rPr>
                      <w:rFonts w:hint="eastAsia"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i w:val="0"/>
                      <w:iCs w:val="0"/>
                      <w:color w:val="auto"/>
                      <w:kern w:val="0"/>
                      <w:sz w:val="21"/>
                      <w:szCs w:val="21"/>
                      <w:u w:val="single"/>
                      <w:lang w:val="en-US" w:eastAsia="zh-CN" w:bidi="ar"/>
                    </w:rPr>
                    <w:t>1台</w:t>
                  </w:r>
                </w:p>
              </w:tc>
              <w:tc>
                <w:tcPr>
                  <w:tcW w:w="655" w:type="pct"/>
                  <w:tcBorders>
                    <w:tl2br w:val="nil"/>
                    <w:tr2bl w:val="nil"/>
                  </w:tcBorders>
                  <w:noWrap w:val="0"/>
                  <w:vAlign w:val="center"/>
                </w:tcPr>
                <w:p w14:paraId="33FB7300">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1F6A36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3919DA36">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9</w:t>
                  </w:r>
                </w:p>
              </w:tc>
              <w:tc>
                <w:tcPr>
                  <w:tcW w:w="1569" w:type="pct"/>
                  <w:tcBorders>
                    <w:tl2br w:val="nil"/>
                    <w:tr2bl w:val="nil"/>
                  </w:tcBorders>
                  <w:noWrap w:val="0"/>
                  <w:vAlign w:val="center"/>
                </w:tcPr>
                <w:p w14:paraId="7D62A67A">
                  <w:pPr>
                    <w:pStyle w:val="33"/>
                    <w:tabs>
                      <w:tab w:val="left" w:pos="3541"/>
                    </w:tabs>
                    <w:spacing w:before="43" w:line="240" w:lineRule="auto"/>
                    <w:jc w:val="center"/>
                    <w:rPr>
                      <w:rFonts w:hint="default" w:ascii="Times New Roman" w:hAnsi="Times New Roman" w:eastAsia="宋体" w:cs="Times New Roman"/>
                      <w:b w:val="0"/>
                      <w:bCs w:val="0"/>
                      <w:color w:val="auto"/>
                      <w:kern w:val="2"/>
                      <w:sz w:val="21"/>
                      <w:szCs w:val="21"/>
                      <w:u w:val="single"/>
                    </w:rPr>
                  </w:pPr>
                  <w:r>
                    <w:rPr>
                      <w:rFonts w:ascii="Times New Roman" w:hAnsi="Times New Roman" w:eastAsia="宋体" w:cs="Times New Roman"/>
                      <w:b w:val="0"/>
                      <w:bCs w:val="0"/>
                      <w:kern w:val="0"/>
                      <w:sz w:val="21"/>
                      <w:szCs w:val="21"/>
                      <w:u w:val="single"/>
                    </w:rPr>
                    <w:t>洗衣机</w:t>
                  </w:r>
                </w:p>
              </w:tc>
              <w:tc>
                <w:tcPr>
                  <w:tcW w:w="1307" w:type="pct"/>
                  <w:tcBorders>
                    <w:tl2br w:val="nil"/>
                    <w:tr2bl w:val="nil"/>
                  </w:tcBorders>
                  <w:noWrap w:val="0"/>
                  <w:vAlign w:val="center"/>
                </w:tcPr>
                <w:p w14:paraId="23CC05C3">
                  <w:pPr>
                    <w:spacing w:before="43" w:line="240" w:lineRule="auto"/>
                    <w:jc w:val="center"/>
                    <w:rPr>
                      <w:rFonts w:hint="default"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val="0"/>
                      <w:bCs w:val="0"/>
                      <w:kern w:val="0"/>
                      <w:sz w:val="21"/>
                      <w:szCs w:val="21"/>
                      <w:u w:val="single"/>
                      <w:lang w:val="en-US" w:eastAsia="zh-CN"/>
                    </w:rPr>
                    <w:t>海尔</w:t>
                  </w:r>
                </w:p>
              </w:tc>
              <w:tc>
                <w:tcPr>
                  <w:tcW w:w="884" w:type="pct"/>
                  <w:tcBorders>
                    <w:tl2br w:val="nil"/>
                    <w:tr2bl w:val="nil"/>
                  </w:tcBorders>
                  <w:noWrap w:val="0"/>
                  <w:vAlign w:val="center"/>
                </w:tcPr>
                <w:p w14:paraId="55353C0D">
                  <w:pPr>
                    <w:pStyle w:val="33"/>
                    <w:tabs>
                      <w:tab w:val="left" w:pos="3541"/>
                    </w:tabs>
                    <w:spacing w:before="43" w:line="240" w:lineRule="auto"/>
                    <w:jc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kern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6A0E760C">
                  <w:pPr>
                    <w:keepNext w:val="0"/>
                    <w:keepLines w:val="0"/>
                    <w:pageBreakBefore w:val="0"/>
                    <w:widowControl/>
                    <w:suppressLineNumbers w:val="0"/>
                    <w:kinsoku/>
                    <w:wordWrap/>
                    <w:overflowPunct/>
                    <w:topLinePunct w:val="0"/>
                    <w:bidi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7616A6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6D7367AD">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10</w:t>
                  </w:r>
                </w:p>
              </w:tc>
              <w:tc>
                <w:tcPr>
                  <w:tcW w:w="1569" w:type="pct"/>
                  <w:tcBorders>
                    <w:tl2br w:val="nil"/>
                    <w:tr2bl w:val="nil"/>
                  </w:tcBorders>
                  <w:noWrap w:val="0"/>
                  <w:vAlign w:val="center"/>
                </w:tcPr>
                <w:p w14:paraId="1ED3C05B">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rPr>
                      <w:rFonts w:hint="default" w:ascii="Times New Roman" w:hAnsi="Times New Roman" w:eastAsia="宋体" w:cs="Times New Roman"/>
                      <w:b w:val="0"/>
                      <w:bCs w:val="0"/>
                      <w:color w:val="auto"/>
                      <w:kern w:val="2"/>
                      <w:sz w:val="21"/>
                      <w:szCs w:val="21"/>
                      <w:u w:val="single"/>
                    </w:rPr>
                  </w:pPr>
                  <w:r>
                    <w:rPr>
                      <w:rFonts w:hint="eastAsia" w:ascii="Times New Roman" w:hAnsi="Times New Roman" w:eastAsia="宋体" w:cs="Times New Roman"/>
                      <w:b w:val="0"/>
                      <w:bCs w:val="0"/>
                      <w:spacing w:val="0"/>
                      <w:kern w:val="0"/>
                      <w:sz w:val="21"/>
                      <w:szCs w:val="21"/>
                      <w:u w:val="single"/>
                    </w:rPr>
                    <w:t>全自动生化分析仪</w:t>
                  </w:r>
                </w:p>
              </w:tc>
              <w:tc>
                <w:tcPr>
                  <w:tcW w:w="1307" w:type="pct"/>
                  <w:tcBorders>
                    <w:tl2br w:val="nil"/>
                    <w:tr2bl w:val="nil"/>
                  </w:tcBorders>
                  <w:noWrap w:val="0"/>
                  <w:vAlign w:val="center"/>
                </w:tcPr>
                <w:p w14:paraId="29C62258">
                  <w:pPr>
                    <w:keepNext w:val="0"/>
                    <w:keepLines w:val="0"/>
                    <w:pageBreakBefore w:val="0"/>
                    <w:kinsoku/>
                    <w:wordWrap/>
                    <w:overflowPunct/>
                    <w:topLinePunct w:val="0"/>
                    <w:bidi w:val="0"/>
                    <w:adjustRightInd/>
                    <w:snapToGrid/>
                    <w:spacing w:after="0"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BS-430</w:t>
                  </w:r>
                </w:p>
              </w:tc>
              <w:tc>
                <w:tcPr>
                  <w:tcW w:w="884" w:type="pct"/>
                  <w:tcBorders>
                    <w:tl2br w:val="nil"/>
                    <w:tr2bl w:val="nil"/>
                  </w:tcBorders>
                  <w:noWrap w:val="0"/>
                  <w:vAlign w:val="center"/>
                </w:tcPr>
                <w:p w14:paraId="7060E161">
                  <w:pPr>
                    <w:pStyle w:val="42"/>
                    <w:keepNext w:val="0"/>
                    <w:keepLines w:val="0"/>
                    <w:pageBreakBefore w:val="0"/>
                    <w:kinsoku/>
                    <w:wordWrap/>
                    <w:overflowPunct/>
                    <w:topLinePunct w:val="0"/>
                    <w:bidi w:val="0"/>
                    <w:adjustRightInd/>
                    <w:snapToGrid/>
                    <w:spacing w:after="0"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spacing w:val="0"/>
                      <w:sz w:val="21"/>
                      <w:szCs w:val="21"/>
                      <w:u w:val="single"/>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1D6610C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646B6B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2DFD2F0A">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rPr>
                  </w:pPr>
                  <w:r>
                    <w:rPr>
                      <w:rFonts w:hint="default" w:ascii="Times New Roman" w:hAnsi="Times New Roman" w:eastAsia="宋体" w:cs="Times New Roman"/>
                      <w:b w:val="0"/>
                      <w:bCs w:val="0"/>
                      <w:i w:val="0"/>
                      <w:iCs w:val="0"/>
                      <w:color w:val="auto"/>
                      <w:kern w:val="0"/>
                      <w:sz w:val="21"/>
                      <w:szCs w:val="21"/>
                      <w:u w:val="single"/>
                      <w:lang w:val="en-US" w:eastAsia="zh-CN" w:bidi="ar"/>
                    </w:rPr>
                    <w:t>11</w:t>
                  </w:r>
                </w:p>
              </w:tc>
              <w:tc>
                <w:tcPr>
                  <w:tcW w:w="1569" w:type="pct"/>
                  <w:tcBorders>
                    <w:tl2br w:val="nil"/>
                    <w:tr2bl w:val="nil"/>
                  </w:tcBorders>
                  <w:noWrap w:val="0"/>
                  <w:vAlign w:val="center"/>
                </w:tcPr>
                <w:p w14:paraId="637AEB14">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rPr>
                  </w:pPr>
                  <w:r>
                    <w:rPr>
                      <w:rFonts w:hint="eastAsia" w:ascii="Times New Roman" w:hAnsi="Times New Roman" w:eastAsia="宋体" w:cs="Times New Roman"/>
                      <w:b w:val="0"/>
                      <w:bCs w:val="0"/>
                      <w:kern w:val="0"/>
                      <w:sz w:val="21"/>
                      <w:szCs w:val="21"/>
                      <w:u w:val="single"/>
                      <w:lang w:eastAsia="zh-CN"/>
                    </w:rPr>
                    <w:t>血细胞分析仪</w:t>
                  </w:r>
                </w:p>
              </w:tc>
              <w:tc>
                <w:tcPr>
                  <w:tcW w:w="1307" w:type="pct"/>
                  <w:tcBorders>
                    <w:tl2br w:val="nil"/>
                    <w:tr2bl w:val="nil"/>
                  </w:tcBorders>
                  <w:noWrap w:val="0"/>
                  <w:vAlign w:val="center"/>
                </w:tcPr>
                <w:p w14:paraId="06076664">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BC-5130</w:t>
                  </w:r>
                </w:p>
              </w:tc>
              <w:tc>
                <w:tcPr>
                  <w:tcW w:w="884" w:type="pct"/>
                  <w:tcBorders>
                    <w:tl2br w:val="nil"/>
                    <w:tr2bl w:val="nil"/>
                  </w:tcBorders>
                  <w:noWrap w:val="0"/>
                  <w:vAlign w:val="center"/>
                </w:tcPr>
                <w:p w14:paraId="2E152813">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7DFE01CC">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000000" w:themeColor="text1"/>
                      <w:kern w:val="0"/>
                      <w:sz w:val="21"/>
                      <w:szCs w:val="21"/>
                      <w:u w:val="single"/>
                      <w14:textFill>
                        <w14:solidFill>
                          <w14:schemeClr w14:val="tx1"/>
                        </w14:solidFill>
                      </w14:textFill>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5A7A73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798D5907">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i w:val="0"/>
                      <w:iCs w:val="0"/>
                      <w:color w:val="auto"/>
                      <w:kern w:val="0"/>
                      <w:sz w:val="21"/>
                      <w:szCs w:val="21"/>
                      <w:u w:val="single"/>
                      <w:lang w:val="en-US" w:eastAsia="zh-CN" w:bidi="ar"/>
                    </w:rPr>
                    <w:t>12</w:t>
                  </w:r>
                </w:p>
              </w:tc>
              <w:tc>
                <w:tcPr>
                  <w:tcW w:w="1569" w:type="pct"/>
                  <w:tcBorders>
                    <w:tl2br w:val="nil"/>
                    <w:tr2bl w:val="nil"/>
                  </w:tcBorders>
                  <w:noWrap w:val="0"/>
                  <w:vAlign w:val="center"/>
                </w:tcPr>
                <w:p w14:paraId="32055076">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lang w:val="en-US" w:eastAsia="zh-CN"/>
                    </w:rPr>
                  </w:pPr>
                  <w:r>
                    <w:rPr>
                      <w:rFonts w:hint="eastAsia" w:ascii="Times New Roman" w:hAnsi="Times New Roman" w:eastAsia="宋体" w:cs="Times New Roman"/>
                      <w:b w:val="0"/>
                      <w:bCs w:val="0"/>
                      <w:kern w:val="0"/>
                      <w:sz w:val="21"/>
                      <w:szCs w:val="21"/>
                      <w:u w:val="single"/>
                      <w:lang w:val="en-US" w:eastAsia="zh-CN"/>
                    </w:rPr>
                    <w:t>DR机</w:t>
                  </w:r>
                </w:p>
              </w:tc>
              <w:tc>
                <w:tcPr>
                  <w:tcW w:w="1307" w:type="pct"/>
                  <w:tcBorders>
                    <w:tl2br w:val="nil"/>
                    <w:tr2bl w:val="nil"/>
                  </w:tcBorders>
                  <w:noWrap w:val="0"/>
                  <w:vAlign w:val="center"/>
                </w:tcPr>
                <w:p w14:paraId="09D7E467">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万东</w:t>
                  </w:r>
                </w:p>
              </w:tc>
              <w:tc>
                <w:tcPr>
                  <w:tcW w:w="884" w:type="pct"/>
                  <w:tcBorders>
                    <w:tl2br w:val="nil"/>
                    <w:tr2bl w:val="nil"/>
                  </w:tcBorders>
                  <w:noWrap w:val="0"/>
                  <w:vAlign w:val="center"/>
                </w:tcPr>
                <w:p w14:paraId="1155E0F4">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22AC3717">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2C933E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4F35D8CA">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val="0"/>
                      <w:bCs w:val="0"/>
                      <w:color w:val="auto"/>
                      <w:kern w:val="0"/>
                      <w:sz w:val="21"/>
                      <w:szCs w:val="21"/>
                      <w:u w:val="single"/>
                      <w:lang w:val="en-US" w:eastAsia="zh-CN"/>
                    </w:rPr>
                  </w:pPr>
                  <w:r>
                    <w:rPr>
                      <w:rFonts w:hint="eastAsia" w:ascii="Times New Roman" w:hAnsi="Times New Roman" w:eastAsia="宋体" w:cs="Times New Roman"/>
                      <w:b w:val="0"/>
                      <w:bCs w:val="0"/>
                      <w:color w:val="auto"/>
                      <w:kern w:val="0"/>
                      <w:sz w:val="21"/>
                      <w:szCs w:val="21"/>
                      <w:u w:val="single"/>
                      <w:lang w:val="en-US" w:eastAsia="zh-CN"/>
                    </w:rPr>
                    <w:t>13</w:t>
                  </w:r>
                </w:p>
              </w:tc>
              <w:tc>
                <w:tcPr>
                  <w:tcW w:w="1569" w:type="pct"/>
                  <w:tcBorders>
                    <w:tl2br w:val="nil"/>
                    <w:tr2bl w:val="nil"/>
                  </w:tcBorders>
                  <w:noWrap w:val="0"/>
                  <w:vAlign w:val="center"/>
                </w:tcPr>
                <w:p w14:paraId="0939DF75">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lang w:val="en-US" w:eastAsia="zh-CN"/>
                    </w:rPr>
                  </w:pPr>
                  <w:r>
                    <w:rPr>
                      <w:rFonts w:hint="eastAsia" w:ascii="Times New Roman" w:hAnsi="Times New Roman" w:eastAsia="宋体" w:cs="Times New Roman"/>
                      <w:b w:val="0"/>
                      <w:bCs w:val="0"/>
                      <w:kern w:val="0"/>
                      <w:sz w:val="21"/>
                      <w:szCs w:val="21"/>
                      <w:u w:val="single"/>
                      <w:lang w:eastAsia="zh-CN"/>
                    </w:rPr>
                    <w:t>彩超机</w:t>
                  </w:r>
                </w:p>
              </w:tc>
              <w:tc>
                <w:tcPr>
                  <w:tcW w:w="1307" w:type="pct"/>
                  <w:tcBorders>
                    <w:tl2br w:val="nil"/>
                    <w:tr2bl w:val="nil"/>
                  </w:tcBorders>
                  <w:noWrap w:val="0"/>
                  <w:vAlign w:val="center"/>
                </w:tcPr>
                <w:p w14:paraId="316D6B40">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i w:val="0"/>
                      <w:iCs w:val="0"/>
                      <w:color w:val="000000"/>
                      <w:kern w:val="2"/>
                      <w:sz w:val="21"/>
                      <w:szCs w:val="21"/>
                      <w:u w:val="single"/>
                      <w:lang w:val="en-US" w:eastAsia="zh-CN" w:bidi="ar-SA"/>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Lanmage</w:t>
                  </w:r>
                </w:p>
              </w:tc>
              <w:tc>
                <w:tcPr>
                  <w:tcW w:w="884" w:type="pct"/>
                  <w:tcBorders>
                    <w:tl2br w:val="nil"/>
                    <w:tr2bl w:val="nil"/>
                  </w:tcBorders>
                  <w:noWrap w:val="0"/>
                  <w:vAlign w:val="center"/>
                </w:tcPr>
                <w:p w14:paraId="457FA3B1">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33C3AB3F">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55C0DD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453AEBAB">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val="0"/>
                      <w:bCs w:val="0"/>
                      <w:color w:val="auto"/>
                      <w:sz w:val="21"/>
                      <w:szCs w:val="21"/>
                      <w:u w:val="single"/>
                      <w:lang w:val="en-US" w:eastAsia="zh-CN"/>
                    </w:rPr>
                  </w:pPr>
                  <w:r>
                    <w:rPr>
                      <w:rFonts w:hint="eastAsia" w:ascii="Times New Roman" w:hAnsi="Times New Roman" w:eastAsia="宋体" w:cs="Times New Roman"/>
                      <w:b w:val="0"/>
                      <w:bCs w:val="0"/>
                      <w:color w:val="auto"/>
                      <w:kern w:val="0"/>
                      <w:sz w:val="21"/>
                      <w:szCs w:val="21"/>
                      <w:u w:val="single"/>
                      <w:lang w:val="en-US" w:eastAsia="zh-CN"/>
                    </w:rPr>
                    <w:t>14</w:t>
                  </w:r>
                </w:p>
              </w:tc>
              <w:tc>
                <w:tcPr>
                  <w:tcW w:w="1569" w:type="pct"/>
                  <w:tcBorders>
                    <w:tl2br w:val="nil"/>
                    <w:tr2bl w:val="nil"/>
                  </w:tcBorders>
                  <w:noWrap w:val="0"/>
                  <w:vAlign w:val="center"/>
                </w:tcPr>
                <w:p w14:paraId="5F8A34EA">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lang w:val="en-US" w:eastAsia="zh-CN"/>
                    </w:rPr>
                  </w:pPr>
                  <w:r>
                    <w:rPr>
                      <w:rFonts w:hint="eastAsia" w:ascii="Times New Roman" w:hAnsi="Times New Roman" w:eastAsia="宋体" w:cs="Times New Roman"/>
                      <w:b w:val="0"/>
                      <w:bCs w:val="0"/>
                      <w:kern w:val="0"/>
                      <w:sz w:val="21"/>
                      <w:szCs w:val="21"/>
                      <w:u w:val="single"/>
                      <w:lang w:eastAsia="zh-CN"/>
                    </w:rPr>
                    <w:t>干式荧光免疫分析仪</w:t>
                  </w:r>
                </w:p>
              </w:tc>
              <w:tc>
                <w:tcPr>
                  <w:tcW w:w="1307" w:type="pct"/>
                  <w:tcBorders>
                    <w:tl2br w:val="nil"/>
                    <w:tr2bl w:val="nil"/>
                  </w:tcBorders>
                  <w:noWrap w:val="0"/>
                  <w:vAlign w:val="center"/>
                </w:tcPr>
                <w:p w14:paraId="64AB3E2B">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NepQD-lnfinity-M1</w:t>
                  </w:r>
                </w:p>
              </w:tc>
              <w:tc>
                <w:tcPr>
                  <w:tcW w:w="884" w:type="pct"/>
                  <w:tcBorders>
                    <w:tl2br w:val="nil"/>
                    <w:tr2bl w:val="nil"/>
                  </w:tcBorders>
                  <w:noWrap w:val="0"/>
                  <w:vAlign w:val="center"/>
                </w:tcPr>
                <w:p w14:paraId="149F634A">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4DC6C59B">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530B82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2842BF2A">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15</w:t>
                  </w:r>
                </w:p>
              </w:tc>
              <w:tc>
                <w:tcPr>
                  <w:tcW w:w="1569" w:type="pct"/>
                  <w:tcBorders>
                    <w:tl2br w:val="nil"/>
                    <w:tr2bl w:val="nil"/>
                  </w:tcBorders>
                  <w:noWrap w:val="0"/>
                  <w:vAlign w:val="center"/>
                </w:tcPr>
                <w:p w14:paraId="37402139">
                  <w:pPr>
                    <w:pStyle w:val="33"/>
                    <w:tabs>
                      <w:tab w:val="left" w:pos="3541"/>
                    </w:tabs>
                    <w:spacing w:before="43" w:line="240" w:lineRule="auto"/>
                    <w:jc w:val="center"/>
                    <w:rPr>
                      <w:rFonts w:hint="default" w:ascii="Times New Roman" w:hAnsi="Times New Roman" w:eastAsia="宋体" w:cs="Times New Roman"/>
                      <w:b w:val="0"/>
                      <w:bCs w:val="0"/>
                      <w:kern w:val="0"/>
                      <w:sz w:val="21"/>
                      <w:szCs w:val="21"/>
                      <w:u w:val="single"/>
                      <w:lang w:val="en-US" w:eastAsia="zh-CN"/>
                    </w:rPr>
                  </w:pPr>
                  <w:r>
                    <w:rPr>
                      <w:rFonts w:hint="eastAsia" w:ascii="Times New Roman" w:hAnsi="Times New Roman" w:eastAsia="宋体" w:cs="Times New Roman"/>
                      <w:b w:val="0"/>
                      <w:bCs w:val="0"/>
                      <w:kern w:val="0"/>
                      <w:sz w:val="21"/>
                      <w:szCs w:val="21"/>
                      <w:u w:val="single"/>
                      <w:lang w:eastAsia="zh-CN"/>
                    </w:rPr>
                    <w:t>尿液分析仪</w:t>
                  </w:r>
                </w:p>
              </w:tc>
              <w:tc>
                <w:tcPr>
                  <w:tcW w:w="1307" w:type="pct"/>
                  <w:tcBorders>
                    <w:tl2br w:val="nil"/>
                    <w:tr2bl w:val="nil"/>
                  </w:tcBorders>
                  <w:noWrap w:val="0"/>
                  <w:vAlign w:val="center"/>
                </w:tcPr>
                <w:p w14:paraId="04CAA1DD">
                  <w:pPr>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000000"/>
                      <w:spacing w:val="0"/>
                      <w:sz w:val="21"/>
                      <w:szCs w:val="21"/>
                      <w:u w:val="single"/>
                      <w:vertAlign w:val="baseline"/>
                      <w:lang w:val="en-US" w:eastAsia="zh-CN" w:bidi="ar-SA"/>
                    </w:rPr>
                    <w:t>URiT-180</w:t>
                  </w:r>
                </w:p>
              </w:tc>
              <w:tc>
                <w:tcPr>
                  <w:tcW w:w="884" w:type="pct"/>
                  <w:tcBorders>
                    <w:tl2br w:val="nil"/>
                    <w:tr2bl w:val="nil"/>
                  </w:tcBorders>
                  <w:noWrap w:val="0"/>
                  <w:vAlign w:val="center"/>
                </w:tcPr>
                <w:p w14:paraId="0F46BE37">
                  <w:pPr>
                    <w:pStyle w:val="29"/>
                    <w:keepNext w:val="0"/>
                    <w:keepLines w:val="0"/>
                    <w:pageBreakBefore w:val="0"/>
                    <w:kinsoku/>
                    <w:wordWrap/>
                    <w:overflowPunct/>
                    <w:topLinePunct w:val="0"/>
                    <w:bidi w:val="0"/>
                    <w:adjustRightInd/>
                    <w:snapToGrid/>
                    <w:spacing w:line="240" w:lineRule="auto"/>
                    <w:ind w:left="0" w:leftChars="0" w:right="0" w:rightChars="0" w:firstLine="0" w:firstLineChars="0"/>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spacing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0CDAC6D6">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652639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31F2E476">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16</w:t>
                  </w:r>
                </w:p>
              </w:tc>
              <w:tc>
                <w:tcPr>
                  <w:tcW w:w="1569" w:type="pct"/>
                  <w:tcBorders>
                    <w:tl2br w:val="nil"/>
                    <w:tr2bl w:val="nil"/>
                  </w:tcBorders>
                  <w:noWrap w:val="0"/>
                  <w:vAlign w:val="center"/>
                </w:tcPr>
                <w:p w14:paraId="463FFE4A">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听诊器</w:t>
                  </w:r>
                </w:p>
              </w:tc>
              <w:tc>
                <w:tcPr>
                  <w:tcW w:w="1307" w:type="pct"/>
                  <w:tcBorders>
                    <w:tl2br w:val="nil"/>
                    <w:tr2bl w:val="nil"/>
                  </w:tcBorders>
                  <w:noWrap w:val="0"/>
                  <w:vAlign w:val="center"/>
                </w:tcPr>
                <w:p w14:paraId="36D95D1C">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auto"/>
                      <w:kern w:val="2"/>
                      <w:sz w:val="21"/>
                      <w:szCs w:val="21"/>
                      <w:u w:val="single"/>
                      <w:lang w:val="en-US" w:eastAsia="zh-CN" w:bidi="ar-SA"/>
                    </w:rPr>
                    <w:t>鱼跃</w:t>
                  </w:r>
                </w:p>
              </w:tc>
              <w:tc>
                <w:tcPr>
                  <w:tcW w:w="884" w:type="pct"/>
                  <w:tcBorders>
                    <w:tl2br w:val="nil"/>
                    <w:tr2bl w:val="nil"/>
                  </w:tcBorders>
                  <w:noWrap w:val="0"/>
                  <w:vAlign w:val="center"/>
                </w:tcPr>
                <w:p w14:paraId="0E0C335A">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20</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14:paraId="15E08F8C">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64360E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5912E946">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17</w:t>
                  </w:r>
                </w:p>
              </w:tc>
              <w:tc>
                <w:tcPr>
                  <w:tcW w:w="1569" w:type="pct"/>
                  <w:tcBorders>
                    <w:tl2br w:val="nil"/>
                    <w:tr2bl w:val="nil"/>
                  </w:tcBorders>
                  <w:noWrap w:val="0"/>
                  <w:vAlign w:val="center"/>
                </w:tcPr>
                <w:p w14:paraId="60288162">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拔罐器</w:t>
                  </w:r>
                </w:p>
              </w:tc>
              <w:tc>
                <w:tcPr>
                  <w:tcW w:w="1307" w:type="pct"/>
                  <w:tcBorders>
                    <w:tl2br w:val="nil"/>
                    <w:tr2bl w:val="nil"/>
                  </w:tcBorders>
                  <w:noWrap w:val="0"/>
                  <w:vAlign w:val="center"/>
                </w:tcPr>
                <w:p w14:paraId="075C31A6">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000000" w:themeColor="text1"/>
                      <w:kern w:val="2"/>
                      <w:sz w:val="21"/>
                      <w:szCs w:val="21"/>
                      <w:u w:val="single"/>
                      <w:lang w:val="en-US" w:eastAsia="zh-CN" w:bidi="ar-SA"/>
                      <w14:textFill>
                        <w14:solidFill>
                          <w14:schemeClr w14:val="tx1"/>
                        </w14:solidFill>
                      </w14:textFill>
                    </w:rPr>
                    <w:t>木制罐</w:t>
                  </w:r>
                </w:p>
              </w:tc>
              <w:tc>
                <w:tcPr>
                  <w:tcW w:w="884" w:type="pct"/>
                  <w:tcBorders>
                    <w:tl2br w:val="nil"/>
                    <w:tr2bl w:val="nil"/>
                  </w:tcBorders>
                  <w:noWrap w:val="0"/>
                  <w:vAlign w:val="center"/>
                </w:tcPr>
                <w:p w14:paraId="40953280">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10</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14:paraId="0CDBFB97">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59B688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14380151">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18</w:t>
                  </w:r>
                </w:p>
              </w:tc>
              <w:tc>
                <w:tcPr>
                  <w:tcW w:w="1569" w:type="pct"/>
                  <w:tcBorders>
                    <w:tl2br w:val="nil"/>
                    <w:tr2bl w:val="nil"/>
                  </w:tcBorders>
                  <w:noWrap w:val="0"/>
                  <w:vAlign w:val="center"/>
                </w:tcPr>
                <w:p w14:paraId="4726A2CC">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轮椅</w:t>
                  </w:r>
                </w:p>
              </w:tc>
              <w:tc>
                <w:tcPr>
                  <w:tcW w:w="1307" w:type="pct"/>
                  <w:tcBorders>
                    <w:tl2br w:val="nil"/>
                    <w:tr2bl w:val="nil"/>
                  </w:tcBorders>
                  <w:noWrap w:val="0"/>
                  <w:vAlign w:val="center"/>
                </w:tcPr>
                <w:p w14:paraId="073EF928">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default" w:ascii="Times New Roman" w:hAnsi="Times New Roman" w:eastAsia="宋体" w:cs="Times New Roman"/>
                      <w:b w:val="0"/>
                      <w:bCs w:val="0"/>
                      <w:color w:val="000000" w:themeColor="text1"/>
                      <w:kern w:val="2"/>
                      <w:sz w:val="21"/>
                      <w:szCs w:val="21"/>
                      <w:u w:val="single"/>
                      <w:lang w:val="en-US" w:eastAsia="zh-CN"/>
                      <w14:textFill>
                        <w14:solidFill>
                          <w14:schemeClr w14:val="tx1"/>
                        </w14:solidFill>
                      </w14:textFill>
                    </w:rPr>
                    <w:t>/</w:t>
                  </w:r>
                </w:p>
              </w:tc>
              <w:tc>
                <w:tcPr>
                  <w:tcW w:w="884" w:type="pct"/>
                  <w:tcBorders>
                    <w:tl2br w:val="nil"/>
                    <w:tr2bl w:val="nil"/>
                  </w:tcBorders>
                  <w:noWrap w:val="0"/>
                  <w:vAlign w:val="center"/>
                </w:tcPr>
                <w:p w14:paraId="671D6FCE">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color w:val="auto"/>
                      <w:kern w:val="0"/>
                      <w:sz w:val="21"/>
                      <w:szCs w:val="21"/>
                      <w:u w:val="single"/>
                      <w:lang w:val="en-US" w:eastAsia="zh-CN"/>
                    </w:rPr>
                    <w:t>2台</w:t>
                  </w:r>
                </w:p>
              </w:tc>
              <w:tc>
                <w:tcPr>
                  <w:tcW w:w="655" w:type="pct"/>
                  <w:tcBorders>
                    <w:tl2br w:val="nil"/>
                    <w:tr2bl w:val="nil"/>
                  </w:tcBorders>
                  <w:noWrap w:val="0"/>
                  <w:vAlign w:val="center"/>
                </w:tcPr>
                <w:p w14:paraId="4EA5A059">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49A0E5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6E1B590B">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19</w:t>
                  </w:r>
                </w:p>
              </w:tc>
              <w:tc>
                <w:tcPr>
                  <w:tcW w:w="1569" w:type="pct"/>
                  <w:tcBorders>
                    <w:tl2br w:val="nil"/>
                    <w:tr2bl w:val="nil"/>
                  </w:tcBorders>
                  <w:noWrap w:val="0"/>
                  <w:vAlign w:val="center"/>
                </w:tcPr>
                <w:p w14:paraId="014E64BE">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救护车</w:t>
                  </w:r>
                </w:p>
              </w:tc>
              <w:tc>
                <w:tcPr>
                  <w:tcW w:w="1307" w:type="pct"/>
                  <w:tcBorders>
                    <w:tl2br w:val="nil"/>
                    <w:tr2bl w:val="nil"/>
                  </w:tcBorders>
                  <w:noWrap w:val="0"/>
                  <w:vAlign w:val="center"/>
                </w:tcPr>
                <w:p w14:paraId="33244D1C">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i w:val="0"/>
                      <w:iCs w:val="0"/>
                      <w:color w:val="000000" w:themeColor="text1"/>
                      <w:kern w:val="2"/>
                      <w:sz w:val="21"/>
                      <w:szCs w:val="21"/>
                      <w:u w:val="single"/>
                      <w:lang w:val="en-US" w:eastAsia="zh-CN" w:bidi="ar-SA"/>
                      <w14:textFill>
                        <w14:solidFill>
                          <w14:schemeClr w14:val="tx1"/>
                        </w14:solidFill>
                      </w14:textFill>
                    </w:rPr>
                    <w:t>上汽大通SH6522A2DB</w:t>
                  </w:r>
                </w:p>
              </w:tc>
              <w:tc>
                <w:tcPr>
                  <w:tcW w:w="884" w:type="pct"/>
                  <w:tcBorders>
                    <w:tl2br w:val="nil"/>
                    <w:tr2bl w:val="nil"/>
                  </w:tcBorders>
                  <w:noWrap w:val="0"/>
                  <w:vAlign w:val="center"/>
                </w:tcPr>
                <w:p w14:paraId="0422284A">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台</w:t>
                  </w:r>
                </w:p>
              </w:tc>
              <w:tc>
                <w:tcPr>
                  <w:tcW w:w="655" w:type="pct"/>
                  <w:tcBorders>
                    <w:tl2br w:val="nil"/>
                    <w:tr2bl w:val="nil"/>
                  </w:tcBorders>
                  <w:noWrap w:val="0"/>
                  <w:vAlign w:val="center"/>
                </w:tcPr>
                <w:p w14:paraId="26029930">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44BF8D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4FF5F707">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20</w:t>
                  </w:r>
                </w:p>
              </w:tc>
              <w:tc>
                <w:tcPr>
                  <w:tcW w:w="1569" w:type="pct"/>
                  <w:tcBorders>
                    <w:tl2br w:val="nil"/>
                    <w:tr2bl w:val="nil"/>
                  </w:tcBorders>
                  <w:noWrap w:val="0"/>
                  <w:vAlign w:val="center"/>
                </w:tcPr>
                <w:p w14:paraId="19FDFBED">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AED</w:t>
                  </w:r>
                </w:p>
              </w:tc>
              <w:tc>
                <w:tcPr>
                  <w:tcW w:w="1307" w:type="pct"/>
                  <w:tcBorders>
                    <w:tl2br w:val="nil"/>
                    <w:tr2bl w:val="nil"/>
                  </w:tcBorders>
                  <w:noWrap w:val="0"/>
                  <w:vAlign w:val="center"/>
                </w:tcPr>
                <w:p w14:paraId="23F01CD0">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auto"/>
                      <w:sz w:val="21"/>
                      <w:szCs w:val="21"/>
                      <w:u w:val="single"/>
                      <w:lang w:val="en-US" w:eastAsia="zh-CN" w:bidi="ar-SA"/>
                    </w:rPr>
                    <w:t>无</w:t>
                  </w:r>
                </w:p>
              </w:tc>
              <w:tc>
                <w:tcPr>
                  <w:tcW w:w="884" w:type="pct"/>
                  <w:tcBorders>
                    <w:tl2br w:val="nil"/>
                    <w:tr2bl w:val="nil"/>
                  </w:tcBorders>
                  <w:noWrap w:val="0"/>
                  <w:vAlign w:val="center"/>
                </w:tcPr>
                <w:p w14:paraId="0AD39545">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1</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14:paraId="3107E621">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616B19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6062E7C5">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21</w:t>
                  </w:r>
                </w:p>
              </w:tc>
              <w:tc>
                <w:tcPr>
                  <w:tcW w:w="1569" w:type="pct"/>
                  <w:tcBorders>
                    <w:tl2br w:val="nil"/>
                    <w:tr2bl w:val="nil"/>
                  </w:tcBorders>
                  <w:noWrap w:val="0"/>
                  <w:vAlign w:val="center"/>
                </w:tcPr>
                <w:p w14:paraId="6E50C155">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简易呼吸球囊</w:t>
                  </w:r>
                </w:p>
              </w:tc>
              <w:tc>
                <w:tcPr>
                  <w:tcW w:w="1307" w:type="pct"/>
                  <w:tcBorders>
                    <w:tl2br w:val="nil"/>
                    <w:tr2bl w:val="nil"/>
                  </w:tcBorders>
                  <w:noWrap w:val="0"/>
                  <w:vAlign w:val="center"/>
                </w:tcPr>
                <w:p w14:paraId="335C99C7">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eastAsia" w:ascii="Times New Roman" w:hAnsi="Times New Roman" w:eastAsia="宋体" w:cs="Times New Roman"/>
                      <w:b w:val="0"/>
                      <w:bCs w:val="0"/>
                      <w:color w:val="auto"/>
                      <w:sz w:val="21"/>
                      <w:szCs w:val="21"/>
                      <w:u w:val="single"/>
                      <w:lang w:val="en-US" w:eastAsia="zh-CN" w:bidi="ar-SA"/>
                    </w:rPr>
                    <w:t>无</w:t>
                  </w:r>
                </w:p>
              </w:tc>
              <w:tc>
                <w:tcPr>
                  <w:tcW w:w="884" w:type="pct"/>
                  <w:tcBorders>
                    <w:tl2br w:val="nil"/>
                    <w:tr2bl w:val="nil"/>
                  </w:tcBorders>
                  <w:noWrap w:val="0"/>
                  <w:vAlign w:val="center"/>
                </w:tcPr>
                <w:p w14:paraId="3960741B">
                  <w:pPr>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rPr>
                    <w:t>2</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14:paraId="532FD30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246378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023B0307">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22</w:t>
                  </w:r>
                </w:p>
              </w:tc>
              <w:tc>
                <w:tcPr>
                  <w:tcW w:w="1569" w:type="pct"/>
                  <w:tcBorders>
                    <w:tl2br w:val="nil"/>
                    <w:tr2bl w:val="nil"/>
                  </w:tcBorders>
                  <w:noWrap w:val="0"/>
                  <w:vAlign w:val="center"/>
                </w:tcPr>
                <w:p w14:paraId="52BF7E45">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移动边柜</w:t>
                  </w:r>
                </w:p>
              </w:tc>
              <w:tc>
                <w:tcPr>
                  <w:tcW w:w="1307" w:type="pct"/>
                  <w:tcBorders>
                    <w:tl2br w:val="nil"/>
                    <w:tr2bl w:val="nil"/>
                  </w:tcBorders>
                  <w:noWrap w:val="0"/>
                  <w:vAlign w:val="center"/>
                </w:tcPr>
                <w:p w14:paraId="55F581EE">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2"/>
                      <w:sz w:val="21"/>
                      <w:szCs w:val="21"/>
                      <w:u w:val="single"/>
                      <w:lang w:val="en-US" w:eastAsia="zh-CN" w:bidi="ar-SA"/>
                    </w:rPr>
                  </w:pPr>
                  <w:r>
                    <w:rPr>
                      <w:rFonts w:hint="default" w:ascii="Times New Roman" w:hAnsi="Times New Roman" w:eastAsia="宋体" w:cs="Times New Roman"/>
                      <w:b w:val="0"/>
                      <w:bCs w:val="0"/>
                      <w:color w:val="auto"/>
                      <w:kern w:val="2"/>
                      <w:sz w:val="21"/>
                      <w:szCs w:val="21"/>
                      <w:u w:val="single"/>
                      <w:lang w:val="en-US" w:eastAsia="zh-CN" w:bidi="ar-SA"/>
                    </w:rPr>
                    <w:t>/</w:t>
                  </w:r>
                </w:p>
              </w:tc>
              <w:tc>
                <w:tcPr>
                  <w:tcW w:w="884" w:type="pct"/>
                  <w:tcBorders>
                    <w:tl2br w:val="nil"/>
                    <w:tr2bl w:val="nil"/>
                  </w:tcBorders>
                  <w:noWrap w:val="0"/>
                  <w:vAlign w:val="center"/>
                </w:tcPr>
                <w:p w14:paraId="4A34AD59">
                  <w:pPr>
                    <w:keepNext w:val="0"/>
                    <w:keepLines w:val="0"/>
                    <w:pageBreakBefore w:val="0"/>
                    <w:widowControl/>
                    <w:suppressLineNumbers w:val="0"/>
                    <w:kinsoku/>
                    <w:wordWrap/>
                    <w:overflowPunct/>
                    <w:topLinePunct w:val="0"/>
                    <w:bidi w:val="0"/>
                    <w:snapToGrid w:val="0"/>
                    <w:spacing w:line="240" w:lineRule="auto"/>
                    <w:jc w:val="center"/>
                    <w:rPr>
                      <w:rFonts w:hint="default" w:ascii="Times New Roman" w:hAnsi="Times New Roman" w:eastAsia="宋体" w:cs="Times New Roman"/>
                      <w:b w:val="0"/>
                      <w:bCs w:val="0"/>
                      <w:color w:val="auto"/>
                      <w:kern w:val="0"/>
                      <w:sz w:val="21"/>
                      <w:szCs w:val="21"/>
                      <w:u w:val="single"/>
                      <w:lang w:val="en-US" w:eastAsia="zh-CN" w:bidi="ar-SA"/>
                    </w:rPr>
                  </w:pPr>
                  <w:r>
                    <w:rPr>
                      <w:rFonts w:hint="default" w:ascii="Times New Roman" w:hAnsi="Times New Roman" w:eastAsia="宋体" w:cs="Times New Roman"/>
                      <w:b w:val="0"/>
                      <w:bCs w:val="0"/>
                      <w:color w:val="auto"/>
                      <w:kern w:val="0"/>
                      <w:sz w:val="21"/>
                      <w:szCs w:val="21"/>
                      <w:u w:val="single"/>
                      <w:lang w:val="en-US" w:eastAsia="zh-CN" w:bidi="ar-SA"/>
                    </w:rPr>
                    <w:t>1</w:t>
                  </w:r>
                  <w:r>
                    <w:rPr>
                      <w:rFonts w:hint="eastAsia" w:ascii="Times New Roman" w:hAnsi="Times New Roman" w:eastAsia="宋体" w:cs="Times New Roman"/>
                      <w:b w:val="0"/>
                      <w:bCs w:val="0"/>
                      <w:color w:val="auto"/>
                      <w:kern w:val="0"/>
                      <w:sz w:val="21"/>
                      <w:szCs w:val="21"/>
                      <w:u w:val="single"/>
                      <w:lang w:val="en-US" w:eastAsia="zh-CN" w:bidi="ar-SA"/>
                    </w:rPr>
                    <w:t>5</w:t>
                  </w:r>
                  <w:r>
                    <w:rPr>
                      <w:rFonts w:hint="eastAsia" w:ascii="Times New Roman" w:hAnsi="Times New Roman" w:eastAsia="宋体" w:cs="Times New Roman"/>
                      <w:b w:val="0"/>
                      <w:bCs w:val="0"/>
                      <w:color w:val="auto"/>
                      <w:kern w:val="0"/>
                      <w:sz w:val="21"/>
                      <w:szCs w:val="21"/>
                      <w:u w:val="single"/>
                      <w:lang w:val="en-US" w:eastAsia="zh-CN"/>
                    </w:rPr>
                    <w:t>个</w:t>
                  </w:r>
                </w:p>
              </w:tc>
              <w:tc>
                <w:tcPr>
                  <w:tcW w:w="655" w:type="pct"/>
                  <w:tcBorders>
                    <w:tl2br w:val="nil"/>
                    <w:tr2bl w:val="nil"/>
                  </w:tcBorders>
                  <w:noWrap w:val="0"/>
                  <w:vAlign w:val="center"/>
                </w:tcPr>
                <w:p w14:paraId="5238FA5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color w:val="auto"/>
                      <w:kern w:val="0"/>
                      <w:sz w:val="21"/>
                      <w:szCs w:val="21"/>
                      <w:u w:val="single"/>
                      <w:lang w:val="en-US" w:eastAsia="zh-CN" w:bidi="ar-SA"/>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2E9E146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3" w:type="pct"/>
                  <w:tcBorders>
                    <w:tl2br w:val="nil"/>
                    <w:tr2bl w:val="nil"/>
                  </w:tcBorders>
                  <w:noWrap w:val="0"/>
                  <w:vAlign w:val="center"/>
                </w:tcPr>
                <w:p w14:paraId="4C726800">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23</w:t>
                  </w:r>
                </w:p>
              </w:tc>
              <w:tc>
                <w:tcPr>
                  <w:tcW w:w="1569" w:type="pct"/>
                  <w:tcBorders>
                    <w:tl2br w:val="nil"/>
                    <w:tr2bl w:val="nil"/>
                  </w:tcBorders>
                  <w:shd w:val="clear" w:color="auto" w:fill="auto"/>
                  <w:noWrap w:val="0"/>
                  <w:vAlign w:val="center"/>
                </w:tcPr>
                <w:p w14:paraId="5CD87061">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color w:val="auto"/>
                      <w:kern w:val="2"/>
                      <w:sz w:val="21"/>
                      <w:szCs w:val="21"/>
                      <w:u w:val="single"/>
                    </w:rPr>
                    <w:t>环境污染处理剂投加装置（医用污水处理设备）</w:t>
                  </w:r>
                </w:p>
              </w:tc>
              <w:tc>
                <w:tcPr>
                  <w:tcW w:w="1307" w:type="pct"/>
                  <w:tcBorders>
                    <w:tl2br w:val="nil"/>
                    <w:tr2bl w:val="nil"/>
                  </w:tcBorders>
                  <w:shd w:val="clear" w:color="auto" w:fill="auto"/>
                  <w:noWrap w:val="0"/>
                  <w:vAlign w:val="center"/>
                </w:tcPr>
                <w:p w14:paraId="3966134C">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default" w:ascii="Times New Roman" w:hAnsi="Times New Roman" w:eastAsia="宋体" w:cs="Times New Roman"/>
                      <w:b w:val="0"/>
                      <w:bCs w:val="0"/>
                      <w:i w:val="0"/>
                      <w:iCs w:val="0"/>
                      <w:color w:val="auto"/>
                      <w:kern w:val="0"/>
                      <w:sz w:val="21"/>
                      <w:szCs w:val="21"/>
                      <w:u w:val="single"/>
                      <w:lang w:val="en-US" w:eastAsia="zh-CN" w:bidi="ar"/>
                    </w:rPr>
                    <w:t>/</w:t>
                  </w:r>
                </w:p>
              </w:tc>
              <w:tc>
                <w:tcPr>
                  <w:tcW w:w="884" w:type="pct"/>
                  <w:tcBorders>
                    <w:tl2br w:val="nil"/>
                    <w:tr2bl w:val="nil"/>
                  </w:tcBorders>
                  <w:shd w:val="clear" w:color="auto" w:fill="auto"/>
                  <w:noWrap w:val="0"/>
                  <w:vAlign w:val="center"/>
                </w:tcPr>
                <w:p w14:paraId="189CBC9F">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auto"/>
                      <w:kern w:val="0"/>
                      <w:sz w:val="21"/>
                      <w:szCs w:val="21"/>
                      <w:u w:val="single"/>
                      <w:lang w:val="en-US" w:eastAsia="zh-CN" w:bidi="ar"/>
                    </w:rPr>
                    <w:t>1台</w:t>
                  </w:r>
                </w:p>
              </w:tc>
              <w:tc>
                <w:tcPr>
                  <w:tcW w:w="655" w:type="pct"/>
                  <w:tcBorders>
                    <w:tl2br w:val="nil"/>
                    <w:tr2bl w:val="nil"/>
                  </w:tcBorders>
                  <w:shd w:val="clear" w:color="auto" w:fill="auto"/>
                  <w:noWrap w:val="0"/>
                  <w:vAlign w:val="center"/>
                </w:tcPr>
                <w:p w14:paraId="28CD6248">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Times New Roman" w:hAnsi="Times New Roman" w:eastAsia="宋体" w:cs="Times New Roman"/>
                      <w:b w:val="0"/>
                      <w:bCs w:val="0"/>
                      <w:i w:val="0"/>
                      <w:iCs w:val="0"/>
                      <w:color w:val="auto"/>
                      <w:kern w:val="0"/>
                      <w:sz w:val="21"/>
                      <w:szCs w:val="21"/>
                      <w:u w:val="single"/>
                      <w:lang w:val="en-US" w:eastAsia="zh-CN" w:bidi="ar"/>
                    </w:rPr>
                  </w:pPr>
                  <w:r>
                    <w:rPr>
                      <w:rFonts w:hint="eastAsia" w:ascii="Times New Roman" w:hAnsi="Times New Roman" w:eastAsia="宋体" w:cs="Times New Roman"/>
                      <w:b w:val="0"/>
                      <w:bCs w:val="0"/>
                      <w:i w:val="0"/>
                      <w:iCs w:val="0"/>
                      <w:color w:val="000000"/>
                      <w:kern w:val="2"/>
                      <w:sz w:val="21"/>
                      <w:szCs w:val="21"/>
                      <w:u w:val="single"/>
                      <w:lang w:val="en-US" w:eastAsia="zh-CN" w:bidi="ar-SA"/>
                    </w:rPr>
                    <w:t>已有</w:t>
                  </w:r>
                </w:p>
              </w:tc>
            </w:tr>
            <w:tr w14:paraId="58F339E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5000" w:type="pct"/>
                  <w:gridSpan w:val="5"/>
                  <w:tcBorders>
                    <w:tl2br w:val="nil"/>
                    <w:tr2bl w:val="nil"/>
                  </w:tcBorders>
                  <w:noWrap w:val="0"/>
                  <w:vAlign w:val="center"/>
                </w:tcPr>
                <w:p w14:paraId="106037DE">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b w:val="0"/>
                      <w:bCs w:val="0"/>
                      <w:i w:val="0"/>
                      <w:iCs w:val="0"/>
                      <w:color w:val="000000"/>
                      <w:kern w:val="2"/>
                      <w:sz w:val="21"/>
                      <w:szCs w:val="21"/>
                      <w:u w:val="single"/>
                      <w:lang w:val="en-US" w:eastAsia="zh-CN" w:bidi="ar-SA"/>
                    </w:rPr>
                  </w:pPr>
                  <w:r>
                    <w:rPr>
                      <w:rFonts w:hint="eastAsia" w:cs="Times New Roman"/>
                      <w:b w:val="0"/>
                      <w:bCs w:val="0"/>
                      <w:i w:val="0"/>
                      <w:iCs w:val="0"/>
                      <w:color w:val="000000"/>
                      <w:kern w:val="2"/>
                      <w:sz w:val="21"/>
                      <w:szCs w:val="21"/>
                      <w:u w:val="single"/>
                      <w:lang w:val="en-US" w:eastAsia="zh-CN" w:bidi="ar-SA"/>
                    </w:rPr>
                    <w:t>注：本项目无国家所列淘汰设备。</w:t>
                  </w:r>
                </w:p>
              </w:tc>
            </w:tr>
          </w:tbl>
          <w:p w14:paraId="5BD036C1">
            <w:pPr>
              <w:numPr>
                <w:ilvl w:val="0"/>
                <w:numId w:val="0"/>
              </w:numPr>
              <w:spacing w:line="360" w:lineRule="auto"/>
              <w:ind w:leftChars="0"/>
              <w:rPr>
                <w:rFonts w:hint="default" w:ascii="Times New Roman" w:hAnsi="Times New Roman" w:eastAsia="宋体" w:cs="Times New Roman"/>
                <w:b/>
                <w:color w:val="auto"/>
                <w:sz w:val="24"/>
                <w:highlight w:val="none"/>
                <w:u w:val="none" w:color="auto"/>
              </w:rPr>
            </w:pPr>
            <w:r>
              <w:rPr>
                <w:rFonts w:hint="eastAsia" w:cs="Times New Roman"/>
                <w:b/>
                <w:color w:val="auto"/>
                <w:sz w:val="24"/>
                <w:highlight w:val="none"/>
                <w:u w:val="none" w:color="auto"/>
                <w:lang w:val="en-US" w:eastAsia="zh-CN"/>
              </w:rPr>
              <w:t>6</w:t>
            </w:r>
            <w:r>
              <w:rPr>
                <w:rFonts w:hint="default" w:ascii="Times New Roman" w:hAnsi="Times New Roman" w:eastAsia="宋体" w:cs="Times New Roman"/>
                <w:b/>
                <w:color w:val="auto"/>
                <w:sz w:val="24"/>
                <w:highlight w:val="none"/>
                <w:u w:val="none" w:color="auto"/>
              </w:rPr>
              <w:t>、公用工程</w:t>
            </w:r>
          </w:p>
          <w:p w14:paraId="6907A6F8">
            <w:pPr>
              <w:spacing w:line="360" w:lineRule="auto"/>
              <w:ind w:firstLine="480" w:firstLineChars="200"/>
              <w:rPr>
                <w:rFonts w:ascii="Times New Roman" w:hAnsi="Times New Roman"/>
                <w:sz w:val="24"/>
                <w:szCs w:val="24"/>
                <w:highlight w:val="none"/>
                <w:u w:val="none" w:color="auto"/>
              </w:rPr>
            </w:pPr>
            <w:r>
              <w:rPr>
                <w:rFonts w:hint="eastAsia"/>
                <w:sz w:val="24"/>
                <w:szCs w:val="24"/>
                <w:highlight w:val="none"/>
                <w:u w:val="none" w:color="auto"/>
                <w:lang w:val="en-US" w:eastAsia="zh-CN"/>
              </w:rPr>
              <w:t>（1）</w:t>
            </w:r>
            <w:r>
              <w:rPr>
                <w:rFonts w:ascii="Times New Roman" w:hAnsi="Times New Roman"/>
                <w:sz w:val="24"/>
                <w:szCs w:val="24"/>
                <w:highlight w:val="none"/>
                <w:u w:val="none" w:color="auto"/>
              </w:rPr>
              <w:t>给水工程</w:t>
            </w:r>
          </w:p>
          <w:p w14:paraId="5FFE16E5">
            <w:pPr>
              <w:spacing w:line="360" w:lineRule="auto"/>
              <w:ind w:firstLine="480" w:firstLineChars="200"/>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rPr>
              <w:t>本项目</w:t>
            </w:r>
            <w:r>
              <w:rPr>
                <w:rFonts w:hint="eastAsia" w:ascii="Times New Roman" w:hAnsi="Times New Roman" w:eastAsia="宋体" w:cs="Times New Roman"/>
                <w:sz w:val="24"/>
                <w:szCs w:val="24"/>
                <w:highlight w:val="none"/>
                <w:u w:val="none" w:color="auto"/>
                <w:lang w:eastAsia="zh-CN"/>
              </w:rPr>
              <w:t>由</w:t>
            </w:r>
            <w:r>
              <w:rPr>
                <w:rFonts w:hint="eastAsia" w:cs="Times New Roman"/>
                <w:sz w:val="24"/>
                <w:szCs w:val="24"/>
                <w:highlight w:val="none"/>
                <w:u w:val="none" w:color="auto"/>
                <w:lang w:val="en-US" w:eastAsia="zh-CN"/>
              </w:rPr>
              <w:t>城镇</w:t>
            </w:r>
            <w:r>
              <w:rPr>
                <w:rFonts w:hint="eastAsia" w:ascii="Times New Roman" w:hAnsi="Times New Roman" w:eastAsia="宋体" w:cs="Times New Roman"/>
                <w:sz w:val="24"/>
                <w:szCs w:val="24"/>
                <w:highlight w:val="none"/>
                <w:u w:val="none" w:color="auto"/>
                <w:lang w:val="en-US" w:eastAsia="zh-CN"/>
              </w:rPr>
              <w:t>自来水管网供水。</w:t>
            </w:r>
          </w:p>
          <w:p w14:paraId="2E4C98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auto"/>
                <w:sz w:val="24"/>
                <w:szCs w:val="24"/>
                <w:highlight w:val="none"/>
                <w:u w:val="none" w:color="auto"/>
                <w:lang w:val="en-US" w:eastAsia="zh-CN"/>
              </w:rPr>
            </w:pPr>
            <w:r>
              <w:rPr>
                <w:rFonts w:hint="eastAsia" w:cs="Times New Roman"/>
                <w:color w:val="auto"/>
                <w:sz w:val="24"/>
                <w:u w:val="none" w:color="auto"/>
                <w:lang w:val="en-US" w:eastAsia="zh-CN"/>
              </w:rPr>
              <w:t>本项目放射科采用数码打印成像，不涉及洗印用水。同时，本项目不设置传染科、手术室及锅炉房。</w:t>
            </w:r>
            <w:r>
              <w:rPr>
                <w:rFonts w:hint="eastAsia" w:ascii="Times New Roman" w:hAnsi="Times New Roman" w:eastAsia="宋体" w:cs="Times New Roman"/>
                <w:color w:val="auto"/>
                <w:sz w:val="24"/>
                <w:u w:val="none"/>
                <w:lang w:val="en-US" w:eastAsia="zh-CN"/>
              </w:rPr>
              <w:t>根据《医院污水处理工程技术规范》（</w:t>
            </w:r>
            <w:r>
              <w:rPr>
                <w:rFonts w:hint="default" w:ascii="Times New Roman" w:hAnsi="Times New Roman" w:eastAsia="宋体" w:cs="Times New Roman"/>
                <w:color w:val="auto"/>
                <w:sz w:val="24"/>
                <w:u w:val="none"/>
                <w:lang w:val="en-US" w:eastAsia="zh-CN"/>
              </w:rPr>
              <w:t>HJ/2029-2013</w:t>
            </w:r>
            <w:r>
              <w:rPr>
                <w:rFonts w:hint="eastAsia" w:ascii="Times New Roman" w:hAnsi="Times New Roman" w:eastAsia="宋体" w:cs="Times New Roman"/>
                <w:color w:val="auto"/>
                <w:sz w:val="24"/>
                <w:u w:val="none"/>
                <w:lang w:val="en-US" w:eastAsia="zh-CN"/>
              </w:rPr>
              <w:t>），本项目为普通镇卫生院，非传染性专科医院及医院内无传染性病房，因此本项目废水属于非传染性医院废水，</w:t>
            </w:r>
            <w:r>
              <w:rPr>
                <w:rFonts w:hint="eastAsia"/>
                <w:color w:val="auto"/>
                <w:sz w:val="24"/>
                <w:szCs w:val="24"/>
                <w:u w:val="none"/>
                <w:lang w:val="en-US" w:eastAsia="zh-CN"/>
              </w:rPr>
              <w:t>检验化验室使用成品试剂，不使用含氰、含铬等重金属检验试剂，无含氰废水、含铬等重金属以及特殊废水产生</w:t>
            </w:r>
            <w:r>
              <w:rPr>
                <w:rFonts w:hint="eastAsia" w:ascii="Times New Roman" w:hAnsi="Times New Roman" w:eastAsia="宋体" w:cs="Times New Roman"/>
                <w:color w:val="auto"/>
                <w:sz w:val="24"/>
                <w:u w:val="none"/>
                <w:lang w:val="en-US" w:eastAsia="zh-CN"/>
              </w:rPr>
              <w:t>。</w:t>
            </w:r>
          </w:p>
          <w:p w14:paraId="767A2005">
            <w:pPr>
              <w:pStyle w:val="46"/>
              <w:keepNext w:val="0"/>
              <w:keepLines w:val="0"/>
              <w:pageBreakBefore w:val="0"/>
              <w:kinsoku/>
              <w:wordWrap/>
              <w:overflowPunct/>
              <w:topLinePunct w:val="0"/>
              <w:bidi w:val="0"/>
              <w:adjustRightInd w:val="0"/>
              <w:snapToGrid w:val="0"/>
              <w:spacing w:line="360" w:lineRule="auto"/>
              <w:ind w:firstLine="480"/>
              <w:rPr>
                <w:rFonts w:hint="default" w:ascii="Times New Roman" w:hAnsi="Times New Roman" w:eastAsia="宋体" w:cs="宋体"/>
                <w:color w:val="auto"/>
                <w:sz w:val="24"/>
                <w:szCs w:val="24"/>
                <w:u w:val="none"/>
                <w:lang w:val="en-US"/>
              </w:rPr>
            </w:pPr>
            <w:r>
              <w:rPr>
                <w:rFonts w:hint="eastAsia" w:cs="Times New Roman"/>
                <w:color w:val="000000" w:themeColor="text1"/>
                <w:sz w:val="24"/>
                <w:szCs w:val="24"/>
                <w:highlight w:val="none"/>
                <w:u w:val="none" w:color="auto"/>
                <w:lang w:val="en-US" w:eastAsia="zh-CN"/>
                <w14:textFill>
                  <w14:solidFill>
                    <w14:schemeClr w14:val="tx1"/>
                  </w14:solidFill>
                </w14:textFill>
              </w:rPr>
              <w:t>因此，</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本项目用水主要为</w:t>
            </w:r>
            <w:r>
              <w:rPr>
                <w:rFonts w:hint="eastAsia"/>
                <w:color w:val="000000" w:themeColor="text1"/>
                <w:sz w:val="24"/>
                <w:szCs w:val="24"/>
                <w:u w:val="none" w:color="auto"/>
                <w:lang w:val="en-US" w:eastAsia="zh-CN"/>
                <w14:textFill>
                  <w14:solidFill>
                    <w14:schemeClr w14:val="tx1"/>
                  </w14:solidFill>
                </w14:textFill>
              </w:rPr>
              <w:t>医院职工人员生活用水、门诊用水、检验科用水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w:t>
            </w:r>
            <w:r>
              <w:rPr>
                <w:rFonts w:hint="eastAsia" w:ascii="Times New Roman" w:hAnsi="Times New Roman" w:eastAsia="宋体" w:cs="宋体"/>
                <w:color w:val="auto"/>
                <w:sz w:val="24"/>
                <w:szCs w:val="24"/>
                <w:u w:val="none"/>
                <w:lang w:val="en-US" w:eastAsia="zh-CN"/>
              </w:rPr>
              <w:t>结合《湖南省用水定额》（</w:t>
            </w:r>
            <w:r>
              <w:rPr>
                <w:rFonts w:hint="default" w:ascii="Times New Roman" w:hAnsi="Times New Roman" w:eastAsia="宋体" w:cs="宋体"/>
                <w:color w:val="auto"/>
                <w:sz w:val="24"/>
                <w:szCs w:val="24"/>
                <w:u w:val="none"/>
                <w:lang w:val="en-US" w:eastAsia="zh-CN"/>
              </w:rPr>
              <w:t>DB43/T388-2020</w:t>
            </w:r>
            <w:r>
              <w:rPr>
                <w:rFonts w:hint="eastAsia" w:ascii="Times New Roman" w:hAnsi="Times New Roman" w:eastAsia="宋体" w:cs="宋体"/>
                <w:color w:val="auto"/>
                <w:sz w:val="24"/>
                <w:szCs w:val="24"/>
                <w:u w:val="none"/>
                <w:lang w:val="en-US" w:eastAsia="zh-CN"/>
              </w:rPr>
              <w:t>）、《建筑给水排水设计规范）》（</w:t>
            </w:r>
            <w:r>
              <w:rPr>
                <w:rFonts w:hint="default" w:ascii="Times New Roman" w:hAnsi="Times New Roman" w:eastAsia="宋体" w:cs="宋体"/>
                <w:color w:val="auto"/>
                <w:sz w:val="24"/>
                <w:szCs w:val="24"/>
                <w:u w:val="none"/>
                <w:lang w:val="en-US" w:eastAsia="zh-CN"/>
              </w:rPr>
              <w:t>GB50015-</w:t>
            </w:r>
            <w:r>
              <w:rPr>
                <w:rFonts w:hint="eastAsia" w:ascii="Times New Roman" w:hAnsi="Times New Roman" w:eastAsia="宋体" w:cs="宋体"/>
                <w:color w:val="auto"/>
                <w:sz w:val="24"/>
                <w:szCs w:val="24"/>
                <w:u w:val="none"/>
                <w:lang w:val="en-US" w:eastAsia="zh-CN"/>
              </w:rPr>
              <w:t>2019）和</w:t>
            </w:r>
            <w:r>
              <w:rPr>
                <w:rFonts w:ascii="Times New Roman" w:cs="Times New Roman"/>
                <w:color w:val="auto"/>
                <w:u w:val="none"/>
              </w:rPr>
              <w:t>《医疗污水处理技术指南</w:t>
            </w:r>
            <w:r>
              <w:rPr>
                <w:rFonts w:hint="eastAsia" w:ascii="Times New Roman" w:cs="Times New Roman"/>
                <w:color w:val="auto"/>
                <w:u w:val="none"/>
              </w:rPr>
              <w:t>（2017年版）</w:t>
            </w:r>
            <w:r>
              <w:rPr>
                <w:rFonts w:ascii="Times New Roman" w:cs="Times New Roman"/>
                <w:color w:val="auto"/>
                <w:u w:val="none"/>
              </w:rPr>
              <w:t>》</w:t>
            </w:r>
            <w:r>
              <w:rPr>
                <w:rFonts w:hint="eastAsia" w:ascii="Times New Roman" w:hAnsi="Times New Roman" w:eastAsia="宋体" w:cs="宋体"/>
                <w:color w:val="auto"/>
                <w:sz w:val="24"/>
                <w:szCs w:val="24"/>
                <w:u w:val="none"/>
                <w:lang w:val="en-US" w:eastAsia="zh-CN"/>
              </w:rPr>
              <w:t>，门诊就医人员用水量为</w:t>
            </w:r>
            <w:r>
              <w:rPr>
                <w:rFonts w:hint="default" w:ascii="Times New Roman" w:hAnsi="Times New Roman" w:eastAsia="宋体" w:cs="宋体"/>
                <w:color w:val="auto"/>
                <w:sz w:val="24"/>
                <w:szCs w:val="24"/>
                <w:u w:val="none"/>
                <w:lang w:val="en-US" w:eastAsia="zh-CN"/>
              </w:rPr>
              <w:t>15L/</w:t>
            </w:r>
            <w:r>
              <w:rPr>
                <w:rFonts w:hint="eastAsia" w:ascii="Times New Roman" w:hAnsi="Times New Roman" w:eastAsia="宋体" w:cs="宋体"/>
                <w:color w:val="auto"/>
                <w:sz w:val="24"/>
                <w:szCs w:val="24"/>
                <w:u w:val="none"/>
                <w:lang w:val="en-US" w:eastAsia="zh-CN"/>
              </w:rPr>
              <w:t>人次，住院病人用水</w:t>
            </w:r>
            <w:r>
              <w:rPr>
                <w:rFonts w:hint="default" w:ascii="Times New Roman" w:hAnsi="Times New Roman" w:eastAsia="宋体" w:cs="宋体"/>
                <w:color w:val="auto"/>
                <w:sz w:val="24"/>
                <w:szCs w:val="24"/>
                <w:u w:val="none"/>
                <w:lang w:val="en-US" w:eastAsia="zh-CN"/>
              </w:rPr>
              <w:t>300L/</w:t>
            </w:r>
            <w:r>
              <w:rPr>
                <w:rFonts w:hint="eastAsia" w:ascii="Times New Roman" w:hAnsi="Times New Roman" w:eastAsia="宋体" w:cs="宋体"/>
                <w:color w:val="auto"/>
                <w:sz w:val="24"/>
                <w:szCs w:val="24"/>
                <w:u w:val="none"/>
                <w:lang w:val="en-US" w:eastAsia="zh-CN"/>
              </w:rPr>
              <w:t>床</w:t>
            </w:r>
            <w:r>
              <w:rPr>
                <w:rFonts w:hint="default" w:ascii="Times New Roman" w:hAnsi="Times New Roman" w:eastAsia="宋体" w:cs="宋体"/>
                <w:color w:val="auto"/>
                <w:sz w:val="24"/>
                <w:szCs w:val="24"/>
                <w:u w:val="none"/>
                <w:lang w:val="en-US" w:eastAsia="zh-CN"/>
              </w:rPr>
              <w:t>•d</w:t>
            </w:r>
            <w:r>
              <w:rPr>
                <w:rFonts w:hint="eastAsia" w:ascii="Times New Roman" w:hAnsi="Times New Roman" w:eastAsia="宋体" w:cs="宋体"/>
                <w:color w:val="auto"/>
                <w:sz w:val="24"/>
                <w:szCs w:val="24"/>
                <w:u w:val="none"/>
                <w:lang w:val="en-US" w:eastAsia="zh-CN"/>
              </w:rPr>
              <w:t>，医务人员用水1</w:t>
            </w:r>
            <w:r>
              <w:rPr>
                <w:rFonts w:hint="default" w:ascii="Times New Roman" w:hAnsi="Times New Roman" w:eastAsia="宋体" w:cs="宋体"/>
                <w:color w:val="auto"/>
                <w:sz w:val="24"/>
                <w:szCs w:val="24"/>
                <w:u w:val="none"/>
                <w:lang w:val="en-US" w:eastAsia="zh-CN"/>
              </w:rPr>
              <w:t>45L/</w:t>
            </w:r>
            <w:r>
              <w:rPr>
                <w:rFonts w:hint="eastAsia" w:ascii="Times New Roman" w:hAnsi="Times New Roman" w:eastAsia="宋体" w:cs="宋体"/>
                <w:color w:val="auto"/>
                <w:sz w:val="24"/>
                <w:szCs w:val="24"/>
                <w:u w:val="none"/>
                <w:lang w:val="en-US" w:eastAsia="zh-CN"/>
              </w:rPr>
              <w:t>人</w:t>
            </w:r>
            <w:r>
              <w:rPr>
                <w:rFonts w:hint="default" w:ascii="Times New Roman" w:hAnsi="Times New Roman" w:eastAsia="宋体" w:cs="宋体"/>
                <w:color w:val="auto"/>
                <w:sz w:val="24"/>
                <w:szCs w:val="24"/>
                <w:u w:val="none"/>
                <w:lang w:val="en-US" w:eastAsia="zh-CN"/>
              </w:rPr>
              <w:t>•d</w:t>
            </w:r>
            <w:r>
              <w:rPr>
                <w:rFonts w:hint="eastAsia" w:ascii="Times New Roman" w:hAnsi="Times New Roman" w:eastAsia="宋体" w:cs="宋体"/>
                <w:color w:val="auto"/>
                <w:sz w:val="24"/>
                <w:szCs w:val="24"/>
                <w:u w:val="none"/>
                <w:lang w:val="en-US" w:eastAsia="zh-CN"/>
              </w:rPr>
              <w:t>，食堂用水量为</w:t>
            </w:r>
            <w:r>
              <w:rPr>
                <w:rFonts w:hint="default" w:ascii="Times New Roman" w:hAnsi="Times New Roman" w:eastAsia="宋体" w:cs="宋体"/>
                <w:color w:val="auto"/>
                <w:sz w:val="24"/>
                <w:szCs w:val="24"/>
                <w:u w:val="none"/>
                <w:lang w:val="en-US" w:eastAsia="zh-CN"/>
              </w:rPr>
              <w:t>20L/</w:t>
            </w:r>
            <w:r>
              <w:rPr>
                <w:rFonts w:hint="eastAsia" w:ascii="Times New Roman" w:hAnsi="Times New Roman" w:eastAsia="宋体" w:cs="宋体"/>
                <w:color w:val="auto"/>
                <w:sz w:val="24"/>
                <w:szCs w:val="24"/>
                <w:u w:val="none"/>
                <w:lang w:val="en-US" w:eastAsia="zh-CN"/>
              </w:rPr>
              <w:t>人次，食堂就餐按4</w:t>
            </w:r>
            <w:r>
              <w:rPr>
                <w:rFonts w:hint="eastAsia" w:cs="宋体"/>
                <w:color w:val="auto"/>
                <w:sz w:val="24"/>
                <w:szCs w:val="24"/>
                <w:u w:val="none"/>
                <w:lang w:val="en-US" w:eastAsia="zh-CN"/>
              </w:rPr>
              <w:t>8</w:t>
            </w:r>
            <w:r>
              <w:rPr>
                <w:rFonts w:hint="eastAsia" w:ascii="Times New Roman" w:hAnsi="Times New Roman" w:eastAsia="宋体" w:cs="宋体"/>
                <w:color w:val="auto"/>
                <w:sz w:val="24"/>
                <w:szCs w:val="24"/>
                <w:u w:val="none"/>
                <w:lang w:val="en-US" w:eastAsia="zh-CN"/>
              </w:rPr>
              <w:t>人次</w:t>
            </w:r>
            <w:r>
              <w:rPr>
                <w:rFonts w:hint="default" w:ascii="Times New Roman" w:hAnsi="Times New Roman" w:eastAsia="宋体" w:cs="宋体"/>
                <w:color w:val="auto"/>
                <w:sz w:val="24"/>
                <w:szCs w:val="24"/>
                <w:u w:val="none"/>
                <w:lang w:val="en-US" w:eastAsia="zh-CN"/>
              </w:rPr>
              <w:t>/</w:t>
            </w:r>
            <w:r>
              <w:rPr>
                <w:rFonts w:hint="eastAsia" w:ascii="Times New Roman" w:hAnsi="Times New Roman" w:eastAsia="宋体" w:cs="宋体"/>
                <w:color w:val="auto"/>
                <w:sz w:val="24"/>
                <w:szCs w:val="24"/>
                <w:u w:val="none"/>
                <w:lang w:val="en-US" w:eastAsia="zh-CN"/>
              </w:rPr>
              <w:t>天，每天3次；检验科用水按每天接待</w:t>
            </w:r>
            <w:r>
              <w:rPr>
                <w:rFonts w:hint="eastAsia" w:cs="宋体"/>
                <w:color w:val="auto"/>
                <w:sz w:val="24"/>
                <w:szCs w:val="24"/>
                <w:u w:val="none"/>
                <w:lang w:val="en-US" w:eastAsia="zh-CN"/>
              </w:rPr>
              <w:t>30</w:t>
            </w:r>
            <w:r>
              <w:rPr>
                <w:rFonts w:hint="eastAsia" w:ascii="Times New Roman" w:hAnsi="Times New Roman" w:eastAsia="宋体" w:cs="宋体"/>
                <w:color w:val="auto"/>
                <w:sz w:val="24"/>
                <w:szCs w:val="24"/>
                <w:u w:val="none"/>
                <w:lang w:val="en-US" w:eastAsia="zh-CN"/>
              </w:rPr>
              <w:t>人，用水量按</w:t>
            </w:r>
            <w:r>
              <w:rPr>
                <w:rFonts w:hint="default" w:ascii="Times New Roman" w:hAnsi="Times New Roman" w:eastAsia="宋体" w:cs="宋体"/>
                <w:color w:val="auto"/>
                <w:sz w:val="24"/>
                <w:szCs w:val="24"/>
                <w:u w:val="none"/>
                <w:lang w:val="en-US" w:eastAsia="zh-CN"/>
              </w:rPr>
              <w:t>3L/</w:t>
            </w:r>
            <w:r>
              <w:rPr>
                <w:rFonts w:hint="eastAsia" w:ascii="Times New Roman" w:hAnsi="Times New Roman" w:eastAsia="宋体" w:cs="宋体"/>
                <w:color w:val="auto"/>
                <w:sz w:val="24"/>
                <w:szCs w:val="24"/>
                <w:u w:val="none"/>
                <w:lang w:val="en-US" w:eastAsia="zh-CN"/>
              </w:rPr>
              <w:t>人·次</w:t>
            </w:r>
            <w:r>
              <w:rPr>
                <w:rFonts w:hint="default" w:ascii="Times New Roman" w:hAnsi="Times New Roman" w:cs="Times New Roman"/>
                <w:sz w:val="24"/>
                <w:szCs w:val="24"/>
              </w:rPr>
              <w:t>进行</w:t>
            </w:r>
            <w:r>
              <w:rPr>
                <w:rFonts w:hint="default" w:ascii="Times New Roman" w:hAnsi="Times New Roman" w:cs="Times New Roman"/>
                <w:color w:val="auto"/>
                <w:sz w:val="24"/>
                <w:szCs w:val="24"/>
              </w:rPr>
              <w:t>计算</w:t>
            </w:r>
            <w:r>
              <w:rPr>
                <w:rFonts w:hint="eastAsia" w:ascii="Times New Roman" w:hAnsi="Times New Roman" w:eastAsia="宋体" w:cs="宋体"/>
                <w:color w:val="auto"/>
                <w:sz w:val="24"/>
                <w:szCs w:val="24"/>
                <w:u w:val="none"/>
                <w:lang w:val="en-US" w:eastAsia="zh-CN"/>
              </w:rPr>
              <w:t>。各用水量统计结果见下表2-5。</w:t>
            </w:r>
          </w:p>
          <w:p w14:paraId="5D87AE67">
            <w:pPr>
              <w:pStyle w:val="46"/>
              <w:keepNext w:val="0"/>
              <w:keepLines w:val="0"/>
              <w:pageBreakBefore w:val="0"/>
              <w:kinsoku/>
              <w:wordWrap/>
              <w:overflowPunct/>
              <w:topLinePunct w:val="0"/>
              <w:bidi w:val="0"/>
              <w:adjustRightInd w:val="0"/>
              <w:snapToGrid w:val="0"/>
              <w:spacing w:line="360" w:lineRule="auto"/>
              <w:ind w:firstLine="480"/>
              <w:jc w:val="center"/>
              <w:rPr>
                <w:rFonts w:hint="default" w:ascii="Times New Roman" w:hAnsi="Times New Roman" w:eastAsia="宋体" w:cs="宋体"/>
                <w:b/>
                <w:bCs/>
                <w:color w:val="auto"/>
                <w:sz w:val="21"/>
                <w:szCs w:val="21"/>
                <w:u w:val="none"/>
                <w:lang w:val="en-US" w:eastAsia="zh-CN"/>
              </w:rPr>
            </w:pPr>
            <w:r>
              <w:rPr>
                <w:rFonts w:hint="eastAsia" w:ascii="Times New Roman" w:hAnsi="Times New Roman" w:eastAsia="宋体" w:cs="宋体"/>
                <w:b/>
                <w:bCs/>
                <w:color w:val="auto"/>
                <w:sz w:val="21"/>
                <w:szCs w:val="21"/>
                <w:u w:val="none"/>
                <w:lang w:eastAsia="zh-CN"/>
              </w:rPr>
              <w:t>表</w:t>
            </w:r>
            <w:r>
              <w:rPr>
                <w:rFonts w:hint="eastAsia" w:ascii="Times New Roman" w:hAnsi="Times New Roman" w:eastAsia="宋体" w:cs="宋体"/>
                <w:b/>
                <w:bCs/>
                <w:color w:val="auto"/>
                <w:sz w:val="21"/>
                <w:szCs w:val="21"/>
                <w:u w:val="none"/>
                <w:lang w:val="en-US" w:eastAsia="zh-CN"/>
              </w:rPr>
              <w:t>2-5项目用水情况一览表</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443"/>
              <w:gridCol w:w="1592"/>
              <w:gridCol w:w="1211"/>
              <w:gridCol w:w="1431"/>
              <w:gridCol w:w="1480"/>
            </w:tblGrid>
            <w:tr w14:paraId="052F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82" w:type="pct"/>
                  <w:noWrap w:val="0"/>
                  <w:vAlign w:val="center"/>
                </w:tcPr>
                <w:p w14:paraId="1D72127F">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序号</w:t>
                  </w:r>
                </w:p>
              </w:tc>
              <w:tc>
                <w:tcPr>
                  <w:tcW w:w="931" w:type="pct"/>
                  <w:noWrap w:val="0"/>
                  <w:vAlign w:val="center"/>
                </w:tcPr>
                <w:p w14:paraId="15592B8A">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用水项目</w:t>
                  </w:r>
                </w:p>
              </w:tc>
              <w:tc>
                <w:tcPr>
                  <w:tcW w:w="1027" w:type="pct"/>
                  <w:noWrap w:val="0"/>
                  <w:vAlign w:val="center"/>
                </w:tcPr>
                <w:p w14:paraId="2A10BE8B">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单位数量</w:t>
                  </w:r>
                </w:p>
              </w:tc>
              <w:tc>
                <w:tcPr>
                  <w:tcW w:w="780" w:type="pct"/>
                  <w:noWrap w:val="0"/>
                  <w:vAlign w:val="center"/>
                </w:tcPr>
                <w:p w14:paraId="0574EC95">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用水标准</w:t>
                  </w:r>
                </w:p>
              </w:tc>
              <w:tc>
                <w:tcPr>
                  <w:tcW w:w="923" w:type="pct"/>
                  <w:noWrap w:val="0"/>
                  <w:vAlign w:val="center"/>
                </w:tcPr>
                <w:p w14:paraId="65D43968">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kern w:val="2"/>
                      <w:sz w:val="21"/>
                      <w:szCs w:val="21"/>
                      <w:u w:val="none"/>
                      <w:vertAlign w:val="baseline"/>
                      <w:lang w:val="en-US" w:eastAsia="zh-CN" w:bidi="ar-SA"/>
                    </w:rPr>
                    <w:t>日用水量</w:t>
                  </w:r>
                  <w:r>
                    <w:rPr>
                      <w:rFonts w:hint="default" w:ascii="Times New Roman" w:hAnsi="Times New Roman" w:eastAsia="宋体" w:cs="宋体"/>
                      <w:color w:val="auto"/>
                      <w:kern w:val="2"/>
                      <w:sz w:val="21"/>
                      <w:szCs w:val="21"/>
                      <w:u w:val="none"/>
                      <w:vertAlign w:val="baseline"/>
                      <w:lang w:val="en-US" w:eastAsia="zh-CN" w:bidi="ar-SA"/>
                    </w:rPr>
                    <w:t>m</w:t>
                  </w:r>
                  <w:r>
                    <w:rPr>
                      <w:rFonts w:hint="default" w:ascii="Times New Roman" w:hAnsi="Times New Roman" w:eastAsia="宋体" w:cs="宋体"/>
                      <w:color w:val="auto"/>
                      <w:kern w:val="2"/>
                      <w:sz w:val="21"/>
                      <w:szCs w:val="21"/>
                      <w:u w:val="none"/>
                      <w:vertAlign w:val="superscript"/>
                      <w:lang w:val="en-US" w:eastAsia="zh-CN" w:bidi="ar-SA"/>
                    </w:rPr>
                    <w:t>3</w:t>
                  </w:r>
                  <w:r>
                    <w:rPr>
                      <w:rFonts w:hint="default" w:ascii="Times New Roman" w:hAnsi="Times New Roman" w:eastAsia="宋体" w:cs="宋体"/>
                      <w:color w:val="auto"/>
                      <w:kern w:val="2"/>
                      <w:sz w:val="21"/>
                      <w:szCs w:val="21"/>
                      <w:u w:val="none"/>
                      <w:vertAlign w:val="baseline"/>
                      <w:lang w:val="en-US" w:eastAsia="zh-CN" w:bidi="ar-SA"/>
                    </w:rPr>
                    <w:t xml:space="preserve"> /d</w:t>
                  </w:r>
                </w:p>
              </w:tc>
              <w:tc>
                <w:tcPr>
                  <w:tcW w:w="954" w:type="pct"/>
                  <w:noWrap w:val="0"/>
                  <w:vAlign w:val="center"/>
                </w:tcPr>
                <w:p w14:paraId="468FDC32">
                  <w:pPr>
                    <w:keepNext w:val="0"/>
                    <w:keepLines w:val="0"/>
                    <w:pageBreakBefore w:val="0"/>
                    <w:widowControl/>
                    <w:suppressLineNumbers w:val="0"/>
                    <w:kinsoku/>
                    <w:wordWrap/>
                    <w:overflowPunct/>
                    <w:topLinePunct w:val="0"/>
                    <w:bidi w:val="0"/>
                    <w:adjustRightInd w:val="0"/>
                    <w:snapToGrid w:val="0"/>
                    <w:spacing w:line="240" w:lineRule="auto"/>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kern w:val="2"/>
                      <w:sz w:val="21"/>
                      <w:szCs w:val="21"/>
                      <w:u w:val="none"/>
                      <w:vertAlign w:val="baseline"/>
                      <w:lang w:val="en-US" w:eastAsia="zh-CN" w:bidi="ar-SA"/>
                    </w:rPr>
                    <w:t>年用水量</w:t>
                  </w:r>
                  <w:r>
                    <w:rPr>
                      <w:rFonts w:hint="default" w:ascii="Times New Roman" w:hAnsi="Times New Roman" w:eastAsia="宋体" w:cs="宋体"/>
                      <w:color w:val="auto"/>
                      <w:kern w:val="2"/>
                      <w:sz w:val="21"/>
                      <w:szCs w:val="21"/>
                      <w:u w:val="none"/>
                      <w:vertAlign w:val="baseline"/>
                      <w:lang w:val="en-US" w:eastAsia="zh-CN" w:bidi="ar-SA"/>
                    </w:rPr>
                    <w:t>m</w:t>
                  </w:r>
                  <w:r>
                    <w:rPr>
                      <w:rFonts w:hint="default" w:ascii="Times New Roman" w:hAnsi="Times New Roman" w:eastAsia="宋体" w:cs="宋体"/>
                      <w:color w:val="auto"/>
                      <w:kern w:val="2"/>
                      <w:sz w:val="21"/>
                      <w:szCs w:val="21"/>
                      <w:u w:val="none"/>
                      <w:vertAlign w:val="superscript"/>
                      <w:lang w:val="en-US" w:eastAsia="zh-CN" w:bidi="ar-SA"/>
                    </w:rPr>
                    <w:t>3</w:t>
                  </w:r>
                  <w:r>
                    <w:rPr>
                      <w:rFonts w:hint="default" w:ascii="Times New Roman" w:hAnsi="Times New Roman" w:eastAsia="宋体" w:cs="宋体"/>
                      <w:color w:val="auto"/>
                      <w:kern w:val="2"/>
                      <w:sz w:val="21"/>
                      <w:szCs w:val="21"/>
                      <w:u w:val="none"/>
                      <w:vertAlign w:val="baseline"/>
                      <w:lang w:val="en-US" w:eastAsia="zh-CN" w:bidi="ar-SA"/>
                    </w:rPr>
                    <w:t xml:space="preserve"> /a</w:t>
                  </w:r>
                </w:p>
              </w:tc>
            </w:tr>
            <w:tr w14:paraId="3C71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69A65195">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1</w:t>
                  </w:r>
                </w:p>
              </w:tc>
              <w:tc>
                <w:tcPr>
                  <w:tcW w:w="931" w:type="pct"/>
                  <w:noWrap w:val="0"/>
                  <w:vAlign w:val="center"/>
                </w:tcPr>
                <w:p w14:paraId="4E34CC39">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rPr>
                    <w:t>门诊就医人员</w:t>
                  </w:r>
                </w:p>
              </w:tc>
              <w:tc>
                <w:tcPr>
                  <w:tcW w:w="1027" w:type="pct"/>
                  <w:noWrap w:val="0"/>
                  <w:vAlign w:val="center"/>
                </w:tcPr>
                <w:p w14:paraId="6548BBFE">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cs="宋体"/>
                      <w:color w:val="auto"/>
                      <w:sz w:val="21"/>
                      <w:szCs w:val="21"/>
                      <w:u w:val="none"/>
                      <w:lang w:val="en-US" w:eastAsia="zh-CN"/>
                    </w:rPr>
                    <w:t>8</w:t>
                  </w:r>
                  <w:r>
                    <w:rPr>
                      <w:rFonts w:hint="eastAsia" w:ascii="Times New Roman" w:hAnsi="Times New Roman" w:eastAsia="宋体" w:cs="宋体"/>
                      <w:color w:val="auto"/>
                      <w:sz w:val="21"/>
                      <w:szCs w:val="21"/>
                      <w:u w:val="none"/>
                      <w:lang w:val="en-US" w:eastAsia="zh-CN"/>
                    </w:rPr>
                    <w:t>0人次</w:t>
                  </w:r>
                  <w:r>
                    <w:rPr>
                      <w:rFonts w:hint="default" w:ascii="Times New Roman" w:hAnsi="Times New Roman" w:eastAsia="宋体" w:cs="宋体"/>
                      <w:color w:val="auto"/>
                      <w:sz w:val="21"/>
                      <w:szCs w:val="21"/>
                      <w:u w:val="none"/>
                      <w:lang w:val="en-US" w:eastAsia="zh-CN"/>
                    </w:rPr>
                    <w:t>/d</w:t>
                  </w:r>
                </w:p>
              </w:tc>
              <w:tc>
                <w:tcPr>
                  <w:tcW w:w="780" w:type="pct"/>
                  <w:noWrap w:val="0"/>
                  <w:vAlign w:val="center"/>
                </w:tcPr>
                <w:p w14:paraId="4E4F0FFD">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15L/</w:t>
                  </w:r>
                  <w:r>
                    <w:rPr>
                      <w:rFonts w:hint="eastAsia" w:ascii="Times New Roman" w:hAnsi="Times New Roman" w:eastAsia="宋体" w:cs="宋体"/>
                      <w:color w:val="auto"/>
                      <w:sz w:val="21"/>
                      <w:szCs w:val="21"/>
                      <w:u w:val="none"/>
                      <w:lang w:val="en-US" w:eastAsia="zh-CN"/>
                    </w:rPr>
                    <w:t>人次</w:t>
                  </w:r>
                </w:p>
              </w:tc>
              <w:tc>
                <w:tcPr>
                  <w:tcW w:w="1476" w:type="dxa"/>
                  <w:noWrap w:val="0"/>
                  <w:vAlign w:val="center"/>
                </w:tcPr>
                <w:p w14:paraId="770BE2A7">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525" w:type="dxa"/>
                  <w:noWrap w:val="0"/>
                  <w:vAlign w:val="center"/>
                </w:tcPr>
                <w:p w14:paraId="67CC1BFD">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438</w:t>
                  </w:r>
                </w:p>
              </w:tc>
            </w:tr>
            <w:tr w14:paraId="5F05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2CD6069C">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2</w:t>
                  </w:r>
                </w:p>
              </w:tc>
              <w:tc>
                <w:tcPr>
                  <w:tcW w:w="931" w:type="pct"/>
                  <w:noWrap w:val="0"/>
                  <w:vAlign w:val="center"/>
                </w:tcPr>
                <w:p w14:paraId="54D59152">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rPr>
                  </w:pPr>
                  <w:r>
                    <w:rPr>
                      <w:rFonts w:hint="default" w:ascii="Times New Roman" w:hAnsi="Times New Roman" w:eastAsia="宋体" w:cs="宋体"/>
                      <w:color w:val="auto"/>
                      <w:sz w:val="21"/>
                      <w:szCs w:val="21"/>
                      <w:u w:val="none"/>
                    </w:rPr>
                    <w:t>住院病人</w:t>
                  </w:r>
                </w:p>
              </w:tc>
              <w:tc>
                <w:tcPr>
                  <w:tcW w:w="1027" w:type="pct"/>
                  <w:noWrap w:val="0"/>
                  <w:vAlign w:val="center"/>
                </w:tcPr>
                <w:p w14:paraId="1B5F5306">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30床</w:t>
                  </w:r>
                </w:p>
              </w:tc>
              <w:tc>
                <w:tcPr>
                  <w:tcW w:w="780" w:type="pct"/>
                  <w:noWrap w:val="0"/>
                  <w:vAlign w:val="center"/>
                </w:tcPr>
                <w:p w14:paraId="212580D9">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300L/</w:t>
                  </w:r>
                  <w:r>
                    <w:rPr>
                      <w:rFonts w:hint="eastAsia" w:ascii="Times New Roman" w:hAnsi="Times New Roman" w:eastAsia="宋体" w:cs="宋体"/>
                      <w:color w:val="auto"/>
                      <w:sz w:val="21"/>
                      <w:szCs w:val="21"/>
                      <w:u w:val="none"/>
                      <w:lang w:val="en-US" w:eastAsia="zh-CN"/>
                    </w:rPr>
                    <w:t>床</w:t>
                  </w:r>
                  <w:r>
                    <w:rPr>
                      <w:rFonts w:hint="default" w:ascii="Times New Roman" w:hAnsi="Times New Roman" w:eastAsia="宋体" w:cs="宋体"/>
                      <w:color w:val="auto"/>
                      <w:sz w:val="21"/>
                      <w:szCs w:val="21"/>
                      <w:u w:val="none"/>
                      <w:lang w:val="en-US" w:eastAsia="zh-CN"/>
                    </w:rPr>
                    <w:t>•d</w:t>
                  </w:r>
                </w:p>
              </w:tc>
              <w:tc>
                <w:tcPr>
                  <w:tcW w:w="1476" w:type="dxa"/>
                  <w:noWrap w:val="0"/>
                  <w:vAlign w:val="center"/>
                </w:tcPr>
                <w:p w14:paraId="2CE742E6">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525" w:type="dxa"/>
                  <w:noWrap w:val="0"/>
                  <w:vAlign w:val="center"/>
                </w:tcPr>
                <w:p w14:paraId="3A75918C">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3285</w:t>
                  </w:r>
                </w:p>
              </w:tc>
            </w:tr>
            <w:tr w14:paraId="5218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3DBA5660">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3</w:t>
                  </w:r>
                </w:p>
              </w:tc>
              <w:tc>
                <w:tcPr>
                  <w:tcW w:w="931" w:type="pct"/>
                  <w:noWrap w:val="0"/>
                  <w:vAlign w:val="center"/>
                </w:tcPr>
                <w:p w14:paraId="70070C22">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rPr>
                  </w:pPr>
                  <w:r>
                    <w:rPr>
                      <w:rFonts w:hint="default" w:ascii="Times New Roman" w:hAnsi="Times New Roman" w:eastAsia="宋体" w:cs="宋体"/>
                      <w:color w:val="auto"/>
                      <w:sz w:val="21"/>
                      <w:szCs w:val="21"/>
                      <w:u w:val="none"/>
                    </w:rPr>
                    <w:t>医务人员</w:t>
                  </w:r>
                </w:p>
              </w:tc>
              <w:tc>
                <w:tcPr>
                  <w:tcW w:w="1027" w:type="pct"/>
                  <w:noWrap w:val="0"/>
                  <w:vAlign w:val="center"/>
                </w:tcPr>
                <w:p w14:paraId="3E00AFA9">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4</w:t>
                  </w:r>
                  <w:r>
                    <w:rPr>
                      <w:rFonts w:hint="eastAsia" w:cs="宋体"/>
                      <w:color w:val="auto"/>
                      <w:sz w:val="21"/>
                      <w:szCs w:val="21"/>
                      <w:u w:val="none"/>
                      <w:vertAlign w:val="baseline"/>
                      <w:lang w:val="en-US" w:eastAsia="zh-CN"/>
                    </w:rPr>
                    <w:t>8</w:t>
                  </w:r>
                  <w:r>
                    <w:rPr>
                      <w:rFonts w:hint="eastAsia" w:ascii="Times New Roman" w:hAnsi="Times New Roman" w:eastAsia="宋体" w:cs="宋体"/>
                      <w:color w:val="auto"/>
                      <w:sz w:val="21"/>
                      <w:szCs w:val="21"/>
                      <w:u w:val="none"/>
                      <w:vertAlign w:val="baseline"/>
                      <w:lang w:val="en-US" w:eastAsia="zh-CN"/>
                    </w:rPr>
                    <w:t>人</w:t>
                  </w:r>
                </w:p>
              </w:tc>
              <w:tc>
                <w:tcPr>
                  <w:tcW w:w="780" w:type="pct"/>
                  <w:noWrap w:val="0"/>
                  <w:vAlign w:val="center"/>
                </w:tcPr>
                <w:p w14:paraId="5A0224B6">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lang w:val="en-US" w:eastAsia="zh-CN"/>
                    </w:rPr>
                    <w:t>1</w:t>
                  </w:r>
                  <w:r>
                    <w:rPr>
                      <w:rFonts w:hint="default" w:ascii="Times New Roman" w:hAnsi="Times New Roman" w:eastAsia="宋体" w:cs="宋体"/>
                      <w:color w:val="auto"/>
                      <w:sz w:val="21"/>
                      <w:szCs w:val="21"/>
                      <w:u w:val="none"/>
                      <w:lang w:val="en-US" w:eastAsia="zh-CN"/>
                    </w:rPr>
                    <w:t>45L/</w:t>
                  </w:r>
                  <w:r>
                    <w:rPr>
                      <w:rFonts w:hint="eastAsia" w:ascii="Times New Roman" w:hAnsi="Times New Roman" w:eastAsia="宋体" w:cs="宋体"/>
                      <w:color w:val="auto"/>
                      <w:sz w:val="21"/>
                      <w:szCs w:val="21"/>
                      <w:u w:val="none"/>
                      <w:lang w:val="en-US" w:eastAsia="zh-CN"/>
                    </w:rPr>
                    <w:t>人</w:t>
                  </w:r>
                  <w:r>
                    <w:rPr>
                      <w:rFonts w:hint="default" w:ascii="Times New Roman" w:hAnsi="Times New Roman" w:eastAsia="宋体" w:cs="宋体"/>
                      <w:color w:val="auto"/>
                      <w:sz w:val="21"/>
                      <w:szCs w:val="21"/>
                      <w:u w:val="none"/>
                      <w:lang w:val="en-US" w:eastAsia="zh-CN"/>
                    </w:rPr>
                    <w:t>•d</w:t>
                  </w:r>
                </w:p>
              </w:tc>
              <w:tc>
                <w:tcPr>
                  <w:tcW w:w="1476" w:type="dxa"/>
                  <w:noWrap w:val="0"/>
                  <w:vAlign w:val="center"/>
                </w:tcPr>
                <w:p w14:paraId="5A99FCA8">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6.96</w:t>
                  </w:r>
                </w:p>
              </w:tc>
              <w:tc>
                <w:tcPr>
                  <w:tcW w:w="1525" w:type="dxa"/>
                  <w:noWrap w:val="0"/>
                  <w:vAlign w:val="center"/>
                </w:tcPr>
                <w:p w14:paraId="522BFBE6">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2540.4</w:t>
                  </w:r>
                </w:p>
              </w:tc>
            </w:tr>
            <w:tr w14:paraId="4297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242718EF">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4</w:t>
                  </w:r>
                </w:p>
              </w:tc>
              <w:tc>
                <w:tcPr>
                  <w:tcW w:w="931" w:type="pct"/>
                  <w:noWrap w:val="0"/>
                  <w:vAlign w:val="center"/>
                </w:tcPr>
                <w:p w14:paraId="72D98E46">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rPr>
                  </w:pPr>
                  <w:r>
                    <w:rPr>
                      <w:rFonts w:hint="eastAsia" w:ascii="Times New Roman" w:hAnsi="Times New Roman" w:eastAsia="宋体" w:cs="宋体"/>
                      <w:color w:val="auto"/>
                      <w:sz w:val="21"/>
                      <w:szCs w:val="21"/>
                      <w:u w:val="none"/>
                      <w:lang w:val="en-US" w:eastAsia="zh-CN"/>
                    </w:rPr>
                    <w:t>检</w:t>
                  </w:r>
                  <w:r>
                    <w:rPr>
                      <w:rFonts w:hint="eastAsia" w:ascii="Times New Roman" w:hAnsi="Times New Roman" w:eastAsia="宋体" w:cs="宋体"/>
                      <w:color w:val="auto"/>
                      <w:sz w:val="21"/>
                      <w:szCs w:val="21"/>
                      <w:u w:val="none"/>
                      <w:lang w:eastAsia="zh-CN"/>
                    </w:rPr>
                    <w:t>验室</w:t>
                  </w:r>
                </w:p>
              </w:tc>
              <w:tc>
                <w:tcPr>
                  <w:tcW w:w="1027" w:type="pct"/>
                  <w:noWrap w:val="0"/>
                  <w:vAlign w:val="center"/>
                </w:tcPr>
                <w:p w14:paraId="7C9331C9">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eastAsia" w:cs="宋体"/>
                      <w:color w:val="auto"/>
                      <w:sz w:val="21"/>
                      <w:szCs w:val="21"/>
                      <w:u w:val="none"/>
                      <w:lang w:val="en-US" w:eastAsia="zh-CN"/>
                    </w:rPr>
                    <w:t>30</w:t>
                  </w:r>
                  <w:r>
                    <w:rPr>
                      <w:rFonts w:hint="eastAsia" w:ascii="Times New Roman" w:hAnsi="Times New Roman" w:eastAsia="宋体" w:cs="宋体"/>
                      <w:color w:val="auto"/>
                      <w:sz w:val="21"/>
                      <w:szCs w:val="21"/>
                      <w:u w:val="none"/>
                      <w:lang w:val="en-US" w:eastAsia="zh-CN"/>
                    </w:rPr>
                    <w:t>人</w:t>
                  </w:r>
                </w:p>
              </w:tc>
              <w:tc>
                <w:tcPr>
                  <w:tcW w:w="780" w:type="pct"/>
                  <w:noWrap w:val="0"/>
                  <w:vAlign w:val="center"/>
                </w:tcPr>
                <w:p w14:paraId="292BE5F6">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3L/</w:t>
                  </w:r>
                  <w:r>
                    <w:rPr>
                      <w:rFonts w:hint="eastAsia" w:ascii="Times New Roman" w:hAnsi="Times New Roman" w:eastAsia="宋体" w:cs="宋体"/>
                      <w:color w:val="auto"/>
                      <w:sz w:val="21"/>
                      <w:szCs w:val="21"/>
                      <w:u w:val="none"/>
                      <w:lang w:val="en-US" w:eastAsia="zh-CN"/>
                    </w:rPr>
                    <w:t>人·次</w:t>
                  </w:r>
                </w:p>
              </w:tc>
              <w:tc>
                <w:tcPr>
                  <w:tcW w:w="1476" w:type="dxa"/>
                  <w:noWrap w:val="0"/>
                  <w:vAlign w:val="center"/>
                </w:tcPr>
                <w:p w14:paraId="45D5C028">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0.09</w:t>
                  </w:r>
                </w:p>
              </w:tc>
              <w:tc>
                <w:tcPr>
                  <w:tcW w:w="1525" w:type="dxa"/>
                  <w:noWrap w:val="0"/>
                  <w:vAlign w:val="center"/>
                </w:tcPr>
                <w:p w14:paraId="49A98320">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32.85</w:t>
                  </w:r>
                </w:p>
              </w:tc>
            </w:tr>
            <w:tr w14:paraId="4BA1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82" w:type="pct"/>
                  <w:noWrap w:val="0"/>
                  <w:vAlign w:val="center"/>
                </w:tcPr>
                <w:p w14:paraId="05A3C787">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vertAlign w:val="baseline"/>
                      <w:lang w:val="en-US" w:eastAsia="zh-CN"/>
                    </w:rPr>
                    <w:t>5</w:t>
                  </w:r>
                </w:p>
              </w:tc>
              <w:tc>
                <w:tcPr>
                  <w:tcW w:w="931" w:type="pct"/>
                  <w:noWrap w:val="0"/>
                  <w:vAlign w:val="center"/>
                </w:tcPr>
                <w:p w14:paraId="660C2C16">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lang w:eastAsia="zh-CN"/>
                    </w:rPr>
                  </w:pPr>
                  <w:r>
                    <w:rPr>
                      <w:rFonts w:hint="eastAsia" w:ascii="Times New Roman" w:hAnsi="Times New Roman" w:eastAsia="宋体" w:cs="宋体"/>
                      <w:color w:val="auto"/>
                      <w:sz w:val="21"/>
                      <w:szCs w:val="21"/>
                      <w:u w:val="none"/>
                      <w:lang w:eastAsia="zh-CN"/>
                    </w:rPr>
                    <w:t>食堂</w:t>
                  </w:r>
                </w:p>
              </w:tc>
              <w:tc>
                <w:tcPr>
                  <w:tcW w:w="1027" w:type="pct"/>
                  <w:noWrap w:val="0"/>
                  <w:vAlign w:val="center"/>
                </w:tcPr>
                <w:p w14:paraId="1846EB62">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vertAlign w:val="baseline"/>
                      <w:lang w:val="en-US" w:eastAsia="zh-CN"/>
                    </w:rPr>
                  </w:pPr>
                  <w:r>
                    <w:rPr>
                      <w:rFonts w:hint="eastAsia" w:ascii="Times New Roman" w:hAnsi="Times New Roman" w:eastAsia="宋体" w:cs="宋体"/>
                      <w:color w:val="auto"/>
                      <w:sz w:val="21"/>
                      <w:szCs w:val="21"/>
                      <w:u w:val="none"/>
                      <w:lang w:val="en-US" w:eastAsia="zh-CN"/>
                    </w:rPr>
                    <w:t>4</w:t>
                  </w:r>
                  <w:r>
                    <w:rPr>
                      <w:rFonts w:hint="eastAsia" w:cs="宋体"/>
                      <w:color w:val="auto"/>
                      <w:sz w:val="21"/>
                      <w:szCs w:val="21"/>
                      <w:u w:val="none"/>
                      <w:lang w:val="en-US" w:eastAsia="zh-CN"/>
                    </w:rPr>
                    <w:t>8</w:t>
                  </w:r>
                  <w:r>
                    <w:rPr>
                      <w:rFonts w:hint="eastAsia" w:ascii="Times New Roman" w:hAnsi="Times New Roman" w:eastAsia="宋体" w:cs="宋体"/>
                      <w:color w:val="auto"/>
                      <w:sz w:val="21"/>
                      <w:szCs w:val="21"/>
                      <w:u w:val="none"/>
                      <w:lang w:val="en-US" w:eastAsia="zh-CN"/>
                    </w:rPr>
                    <w:t>人次</w:t>
                  </w:r>
                  <w:r>
                    <w:rPr>
                      <w:rFonts w:hint="default" w:ascii="Times New Roman" w:hAnsi="Times New Roman" w:eastAsia="宋体" w:cs="宋体"/>
                      <w:color w:val="auto"/>
                      <w:sz w:val="21"/>
                      <w:szCs w:val="21"/>
                      <w:u w:val="none"/>
                      <w:lang w:val="en-US" w:eastAsia="zh-CN"/>
                    </w:rPr>
                    <w:t>/</w:t>
                  </w:r>
                  <w:r>
                    <w:rPr>
                      <w:rFonts w:hint="eastAsia" w:ascii="Times New Roman" w:hAnsi="Times New Roman" w:eastAsia="宋体" w:cs="宋体"/>
                      <w:color w:val="auto"/>
                      <w:sz w:val="21"/>
                      <w:szCs w:val="21"/>
                      <w:u w:val="none"/>
                      <w:lang w:val="en-US" w:eastAsia="zh-CN"/>
                    </w:rPr>
                    <w:t>天，每天3次</w:t>
                  </w:r>
                </w:p>
              </w:tc>
              <w:tc>
                <w:tcPr>
                  <w:tcW w:w="780" w:type="pct"/>
                  <w:noWrap w:val="0"/>
                  <w:vAlign w:val="center"/>
                </w:tcPr>
                <w:p w14:paraId="6DA8375E">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eastAsia" w:ascii="Times New Roman" w:hAnsi="Times New Roman" w:eastAsia="宋体" w:cs="宋体"/>
                      <w:color w:val="auto"/>
                      <w:sz w:val="21"/>
                      <w:szCs w:val="21"/>
                      <w:u w:val="none"/>
                      <w:vertAlign w:val="baseline"/>
                      <w:lang w:val="en-US" w:eastAsia="zh-CN"/>
                    </w:rPr>
                  </w:pPr>
                  <w:r>
                    <w:rPr>
                      <w:rFonts w:hint="default" w:ascii="Times New Roman" w:hAnsi="Times New Roman" w:eastAsia="宋体" w:cs="宋体"/>
                      <w:color w:val="auto"/>
                      <w:sz w:val="21"/>
                      <w:szCs w:val="21"/>
                      <w:u w:val="none"/>
                      <w:lang w:val="en-US" w:eastAsia="zh-CN"/>
                    </w:rPr>
                    <w:t>20L/</w:t>
                  </w:r>
                  <w:r>
                    <w:rPr>
                      <w:rFonts w:hint="eastAsia" w:ascii="Times New Roman" w:hAnsi="Times New Roman" w:eastAsia="宋体" w:cs="宋体"/>
                      <w:color w:val="auto"/>
                      <w:sz w:val="21"/>
                      <w:szCs w:val="21"/>
                      <w:u w:val="none"/>
                      <w:lang w:val="en-US" w:eastAsia="zh-CN"/>
                    </w:rPr>
                    <w:t>人次</w:t>
                  </w:r>
                </w:p>
              </w:tc>
              <w:tc>
                <w:tcPr>
                  <w:tcW w:w="1476" w:type="dxa"/>
                  <w:noWrap w:val="0"/>
                  <w:vAlign w:val="center"/>
                </w:tcPr>
                <w:p w14:paraId="289D5B4C">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0.96</w:t>
                  </w:r>
                </w:p>
              </w:tc>
              <w:tc>
                <w:tcPr>
                  <w:tcW w:w="1525" w:type="dxa"/>
                  <w:noWrap w:val="0"/>
                  <w:vAlign w:val="center"/>
                </w:tcPr>
                <w:p w14:paraId="50D84BF1">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350.4</w:t>
                  </w:r>
                </w:p>
              </w:tc>
            </w:tr>
            <w:tr w14:paraId="1C08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21" w:type="pct"/>
                  <w:gridSpan w:val="4"/>
                  <w:noWrap w:val="0"/>
                  <w:vAlign w:val="center"/>
                </w:tcPr>
                <w:p w14:paraId="33BACBD4">
                  <w:pPr>
                    <w:pStyle w:val="46"/>
                    <w:keepNext w:val="0"/>
                    <w:keepLines w:val="0"/>
                    <w:pageBreakBefore w:val="0"/>
                    <w:kinsoku/>
                    <w:wordWrap/>
                    <w:overflowPunct/>
                    <w:topLinePunct w:val="0"/>
                    <w:bidi w:val="0"/>
                    <w:adjustRightInd w:val="0"/>
                    <w:snapToGrid w:val="0"/>
                    <w:spacing w:line="240" w:lineRule="auto"/>
                    <w:ind w:left="0" w:leftChars="0" w:firstLine="0" w:firstLineChars="0"/>
                    <w:jc w:val="center"/>
                    <w:rPr>
                      <w:rFonts w:hint="default" w:ascii="Times New Roman" w:hAnsi="Times New Roman" w:eastAsia="宋体" w:cs="宋体"/>
                      <w:color w:val="auto"/>
                      <w:sz w:val="21"/>
                      <w:szCs w:val="21"/>
                      <w:u w:val="none"/>
                      <w:lang w:val="en-US" w:eastAsia="zh-CN"/>
                    </w:rPr>
                  </w:pPr>
                  <w:r>
                    <w:rPr>
                      <w:rFonts w:hint="eastAsia" w:ascii="Times New Roman" w:hAnsi="Times New Roman" w:eastAsia="宋体" w:cs="宋体"/>
                      <w:color w:val="auto"/>
                      <w:sz w:val="21"/>
                      <w:szCs w:val="21"/>
                      <w:u w:val="none"/>
                      <w:lang w:val="en-US" w:eastAsia="zh-CN"/>
                    </w:rPr>
                    <w:t>总计</w:t>
                  </w:r>
                </w:p>
              </w:tc>
              <w:tc>
                <w:tcPr>
                  <w:tcW w:w="1476" w:type="dxa"/>
                  <w:noWrap w:val="0"/>
                  <w:vAlign w:val="center"/>
                </w:tcPr>
                <w:p w14:paraId="7D12FF5A">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18.21</w:t>
                  </w:r>
                </w:p>
              </w:tc>
              <w:tc>
                <w:tcPr>
                  <w:tcW w:w="1525" w:type="dxa"/>
                  <w:noWrap w:val="0"/>
                  <w:vAlign w:val="center"/>
                </w:tcPr>
                <w:p w14:paraId="4241D4C8">
                  <w:pPr>
                    <w:keepNext w:val="0"/>
                    <w:keepLines w:val="0"/>
                    <w:widowControl/>
                    <w:suppressLineNumbers w:val="0"/>
                    <w:jc w:val="center"/>
                    <w:textAlignment w:val="center"/>
                    <w:rPr>
                      <w:rFonts w:hint="default" w:ascii="Times New Roman" w:hAnsi="Times New Roman" w:eastAsia="宋体" w:cs="宋体"/>
                      <w:color w:val="auto"/>
                      <w:kern w:val="2"/>
                      <w:sz w:val="21"/>
                      <w:szCs w:val="21"/>
                      <w:u w:val="none"/>
                      <w:vertAlign w:val="baseli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6646.65</w:t>
                  </w:r>
                </w:p>
              </w:tc>
            </w:tr>
          </w:tbl>
          <w:p w14:paraId="687288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u w:val="none" w:color="auto"/>
                <w:lang w:val="en-US" w:eastAsia="zh-CN"/>
              </w:rPr>
            </w:pPr>
            <w:r>
              <w:rPr>
                <w:rFonts w:hint="eastAsia"/>
                <w:sz w:val="24"/>
                <w:szCs w:val="24"/>
                <w:u w:val="none" w:color="auto"/>
                <w:lang w:val="en-US" w:eastAsia="zh-CN"/>
              </w:rPr>
              <w:t>（2）</w:t>
            </w:r>
            <w:r>
              <w:rPr>
                <w:rFonts w:hint="default" w:ascii="Times New Roman" w:hAnsi="Times New Roman" w:eastAsia="宋体" w:cs="Times New Roman"/>
                <w:color w:val="auto"/>
                <w:sz w:val="24"/>
                <w:szCs w:val="24"/>
                <w:highlight w:val="none"/>
                <w:u w:val="none" w:color="auto"/>
                <w:lang w:val="en-US" w:eastAsia="zh-CN"/>
              </w:rPr>
              <w:t>排水工程</w:t>
            </w:r>
          </w:p>
          <w:p w14:paraId="0EC88F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排水体制：院区排水实行雨污分流制，雨水排入</w:t>
            </w:r>
            <w:r>
              <w:rPr>
                <w:rFonts w:hint="eastAsia" w:cs="Times New Roman"/>
                <w:sz w:val="24"/>
                <w:szCs w:val="24"/>
                <w:highlight w:val="none"/>
                <w:u w:val="none" w:color="auto"/>
                <w:lang w:val="en-US" w:eastAsia="zh-CN"/>
              </w:rPr>
              <w:t>城镇</w:t>
            </w:r>
            <w:r>
              <w:rPr>
                <w:rFonts w:hint="eastAsia" w:ascii="Times New Roman" w:hAnsi="Times New Roman" w:eastAsia="宋体" w:cs="Times New Roman"/>
                <w:sz w:val="24"/>
                <w:szCs w:val="24"/>
                <w:highlight w:val="none"/>
                <w:u w:val="none" w:color="auto"/>
                <w:lang w:val="en-US" w:eastAsia="zh-CN"/>
              </w:rPr>
              <w:t>雨水</w:t>
            </w:r>
            <w:r>
              <w:rPr>
                <w:rFonts w:hint="eastAsia" w:cs="Times New Roman"/>
                <w:sz w:val="24"/>
                <w:szCs w:val="24"/>
                <w:highlight w:val="none"/>
                <w:u w:val="none" w:color="auto"/>
                <w:lang w:val="en-US" w:eastAsia="zh-CN"/>
              </w:rPr>
              <w:t>沟</w:t>
            </w:r>
            <w:r>
              <w:rPr>
                <w:rFonts w:hint="eastAsia" w:ascii="Times New Roman" w:hAnsi="Times New Roman" w:eastAsia="宋体" w:cs="Times New Roman"/>
                <w:sz w:val="24"/>
                <w:szCs w:val="24"/>
                <w:highlight w:val="none"/>
                <w:u w:val="none" w:color="auto"/>
                <w:lang w:val="en-US" w:eastAsia="zh-CN"/>
              </w:rPr>
              <w:t>。</w:t>
            </w:r>
          </w:p>
          <w:p w14:paraId="2013C9C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sz w:val="24"/>
                <w:szCs w:val="24"/>
                <w:highlight w:val="none"/>
                <w:u w:val="none" w:color="auto"/>
                <w:lang w:val="en-US" w:eastAsia="zh-CN"/>
              </w:rPr>
            </w:pPr>
            <w:r>
              <w:rPr>
                <w:rFonts w:hint="eastAsia" w:ascii="Times New Roman" w:hAnsi="Times New Roman" w:eastAsia="宋体" w:cs="Times New Roman"/>
                <w:sz w:val="24"/>
                <w:szCs w:val="24"/>
                <w:highlight w:val="none"/>
                <w:u w:val="none" w:color="auto"/>
                <w:lang w:val="en-US" w:eastAsia="zh-CN"/>
              </w:rPr>
              <w:t>本项目放射科洗片采用电脑打印，不涉及洗印废水</w:t>
            </w:r>
            <w:r>
              <w:rPr>
                <w:rFonts w:hint="eastAsia" w:cs="Times New Roman"/>
                <w:sz w:val="24"/>
                <w:szCs w:val="24"/>
                <w:highlight w:val="none"/>
                <w:u w:val="none" w:color="auto"/>
                <w:lang w:val="en-US" w:eastAsia="zh-CN"/>
              </w:rPr>
              <w:t>；本项目不开展同位素诊断的医疗项目，故项目不产生同位素诊疗、诊断放射性废水；同时，本项目不</w:t>
            </w:r>
            <w:r>
              <w:rPr>
                <w:rFonts w:hint="eastAsia" w:cs="Times New Roman"/>
                <w:color w:val="auto"/>
                <w:sz w:val="24"/>
                <w:u w:val="none" w:color="auto"/>
                <w:lang w:val="en-US" w:eastAsia="zh-CN"/>
              </w:rPr>
              <w:t>设置传染科、锅炉房，无相关废水产生。</w:t>
            </w:r>
          </w:p>
          <w:p w14:paraId="58B0C21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highlight w:val="none"/>
                <w:u w:val="none" w:color="auto"/>
                <w:lang w:val="en-US" w:eastAsia="zh-CN"/>
              </w:rPr>
            </w:pPr>
            <w:r>
              <w:rPr>
                <w:rFonts w:hint="default" w:ascii="Times New Roman" w:hAnsi="Times New Roman" w:eastAsia="宋体" w:cs="Times New Roman"/>
                <w:color w:val="auto"/>
                <w:sz w:val="24"/>
                <w:szCs w:val="24"/>
                <w:u w:val="none" w:color="auto"/>
                <w:lang w:eastAsia="zh-CN"/>
              </w:rPr>
              <w:t>本项目的</w:t>
            </w:r>
            <w:r>
              <w:rPr>
                <w:sz w:val="24"/>
                <w:u w:val="none" w:color="auto"/>
              </w:rPr>
              <w:t>生活污水</w:t>
            </w:r>
            <w:r>
              <w:rPr>
                <w:rFonts w:hint="default" w:ascii="Times New Roman" w:hAnsi="Times New Roman" w:eastAsia="宋体" w:cs="Times New Roman"/>
                <w:color w:val="auto"/>
                <w:sz w:val="24"/>
                <w:szCs w:val="24"/>
                <w:u w:val="none" w:color="auto"/>
                <w:lang w:eastAsia="zh-CN"/>
              </w:rPr>
              <w:t>与</w:t>
            </w:r>
            <w:r>
              <w:rPr>
                <w:rFonts w:hint="default" w:ascii="Times New Roman" w:hAnsi="Times New Roman" w:eastAsia="宋体" w:cs="Times New Roman"/>
                <w:color w:val="auto"/>
                <w:sz w:val="24"/>
                <w:szCs w:val="24"/>
                <w:u w:val="none" w:color="auto"/>
                <w:lang w:val="en-US" w:eastAsia="zh-CN"/>
              </w:rPr>
              <w:t>医疗废水一并进入化粪池处理</w:t>
            </w:r>
            <w:r>
              <w:rPr>
                <w:rFonts w:hint="eastAsia" w:ascii="Times New Roman" w:hAnsi="Times New Roman" w:eastAsia="宋体" w:cs="Times New Roman"/>
                <w:color w:val="auto"/>
                <w:sz w:val="24"/>
                <w:szCs w:val="24"/>
                <w:u w:val="none" w:color="auto"/>
                <w:lang w:val="en-US" w:eastAsia="zh-CN"/>
              </w:rPr>
              <w:t>后排入</w:t>
            </w:r>
            <w:r>
              <w:rPr>
                <w:rFonts w:hint="default" w:ascii="Times New Roman" w:hAnsi="Times New Roman" w:eastAsia="宋体" w:cs="Times New Roman"/>
                <w:color w:val="auto"/>
                <w:sz w:val="24"/>
                <w:szCs w:val="24"/>
                <w:u w:val="none" w:color="auto"/>
                <w:lang w:val="en-US" w:eastAsia="zh-CN"/>
              </w:rPr>
              <w:t>污水处理</w:t>
            </w:r>
            <w:r>
              <w:rPr>
                <w:rFonts w:hint="eastAsia" w:ascii="Times New Roman" w:hAnsi="Times New Roman" w:eastAsia="宋体" w:cs="Times New Roman"/>
                <w:color w:val="auto"/>
                <w:sz w:val="24"/>
                <w:szCs w:val="24"/>
                <w:u w:val="none" w:color="auto"/>
                <w:lang w:val="en-US" w:eastAsia="zh-CN"/>
              </w:rPr>
              <w:t>站</w:t>
            </w:r>
            <w:r>
              <w:rPr>
                <w:rFonts w:hint="default" w:ascii="Times New Roman" w:hAnsi="Times New Roman" w:eastAsia="宋体" w:cs="Times New Roman"/>
                <w:color w:val="auto"/>
                <w:sz w:val="24"/>
                <w:szCs w:val="24"/>
                <w:u w:val="none" w:color="auto"/>
              </w:rPr>
              <w:t>处理达到《医疗机构水污染物排放标准</w:t>
            </w:r>
            <w:r>
              <w:rPr>
                <w:rFonts w:hint="default" w:ascii="Times New Roman" w:hAnsi="Times New Roman" w:eastAsia="宋体" w:cs="Times New Roman"/>
                <w:sz w:val="24"/>
                <w:szCs w:val="24"/>
                <w:highlight w:val="none"/>
                <w:u w:val="none" w:color="auto"/>
                <w:lang w:val="en-US" w:eastAsia="zh-CN"/>
              </w:rPr>
              <w:t>》GB18466-2005）中表2</w:t>
            </w:r>
            <w:r>
              <w:rPr>
                <w:rFonts w:hint="eastAsia" w:ascii="Times New Roman" w:hAnsi="Times New Roman" w:eastAsia="宋体" w:cs="Times New Roman"/>
                <w:sz w:val="24"/>
                <w:szCs w:val="24"/>
                <w:highlight w:val="none"/>
                <w:u w:val="none" w:color="auto"/>
                <w:lang w:val="en-US" w:eastAsia="zh-CN"/>
              </w:rPr>
              <w:t>预处理排放</w:t>
            </w:r>
            <w:r>
              <w:rPr>
                <w:rFonts w:hint="default" w:ascii="Times New Roman" w:hAnsi="Times New Roman" w:eastAsia="宋体" w:cs="Times New Roman"/>
                <w:sz w:val="24"/>
                <w:szCs w:val="24"/>
                <w:highlight w:val="none"/>
                <w:u w:val="none" w:color="auto"/>
                <w:lang w:val="en-US" w:eastAsia="zh-CN"/>
              </w:rPr>
              <w:t>标准后</w:t>
            </w:r>
            <w:r>
              <w:rPr>
                <w:rFonts w:hint="eastAsia" w:ascii="Times New Roman" w:hAnsi="Times New Roman" w:eastAsia="宋体" w:cs="Times New Roman"/>
                <w:sz w:val="24"/>
                <w:szCs w:val="24"/>
                <w:highlight w:val="none"/>
                <w:u w:val="none" w:color="auto"/>
                <w:lang w:val="en-US" w:eastAsia="zh-CN"/>
              </w:rPr>
              <w:t>，排入新田县三井镇污水处理厂深度处理，最终</w:t>
            </w:r>
            <w:r>
              <w:rPr>
                <w:rFonts w:hint="eastAsia" w:cs="Times New Roman"/>
                <w:sz w:val="24"/>
                <w:szCs w:val="24"/>
                <w:highlight w:val="none"/>
                <w:u w:val="none" w:color="auto"/>
                <w:lang w:val="en-US" w:eastAsia="zh-CN"/>
              </w:rPr>
              <w:t>流</w:t>
            </w:r>
            <w:r>
              <w:rPr>
                <w:rFonts w:hint="default" w:ascii="Times New Roman" w:hAnsi="Times New Roman" w:eastAsia="宋体" w:cs="Times New Roman"/>
                <w:sz w:val="24"/>
                <w:szCs w:val="24"/>
                <w:highlight w:val="none"/>
                <w:u w:val="none" w:color="auto"/>
                <w:lang w:val="en-US" w:eastAsia="zh-CN"/>
              </w:rPr>
              <w:t>入</w:t>
            </w:r>
            <w:r>
              <w:rPr>
                <w:rFonts w:hint="eastAsia" w:cs="Times New Roman"/>
                <w:color w:val="000000" w:themeColor="text1"/>
                <w:kern w:val="0"/>
                <w:sz w:val="24"/>
                <w:szCs w:val="24"/>
                <w:highlight w:val="none"/>
                <w:u w:val="none" w:color="auto"/>
                <w:lang w:val="en-US" w:eastAsia="zh-CN"/>
                <w14:textFill>
                  <w14:solidFill>
                    <w14:schemeClr w14:val="tx1"/>
                  </w14:solidFill>
                </w14:textFill>
              </w:rPr>
              <w:t>新田河支流油麻岭河</w:t>
            </w:r>
            <w:r>
              <w:rPr>
                <w:rFonts w:hint="default" w:ascii="Times New Roman" w:hAnsi="Times New Roman" w:eastAsia="宋体" w:cs="Times New Roman"/>
                <w:sz w:val="24"/>
                <w:szCs w:val="24"/>
                <w:highlight w:val="none"/>
                <w:u w:val="none" w:color="auto"/>
                <w:lang w:val="en-US" w:eastAsia="zh-CN"/>
              </w:rPr>
              <w:t>。</w:t>
            </w:r>
          </w:p>
          <w:p w14:paraId="16FA8C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FF0000"/>
                <w:sz w:val="24"/>
                <w:szCs w:val="24"/>
                <w:u w:val="none" w:color="auto"/>
                <w:lang w:val="en-US" w:eastAsia="zh-CN"/>
              </w:rPr>
            </w:pPr>
            <w:r>
              <w:rPr>
                <w:rFonts w:hint="eastAsia" w:ascii="Times New Roman" w:hAnsi="Times New Roman" w:eastAsia="宋体" w:cs="Times New Roman"/>
                <w:sz w:val="24"/>
                <w:szCs w:val="24"/>
                <w:highlight w:val="none"/>
                <w:u w:val="none" w:color="auto"/>
                <w:lang w:val="en-US" w:eastAsia="zh-CN"/>
              </w:rPr>
              <w:t>根据上文可知，项目总用水量为6646.65m</w:t>
            </w:r>
            <w:r>
              <w:rPr>
                <w:rFonts w:hint="eastAsia" w:ascii="Times New Roman" w:hAnsi="Times New Roman" w:eastAsia="宋体" w:cs="Times New Roman"/>
                <w:sz w:val="24"/>
                <w:szCs w:val="24"/>
                <w:highlight w:val="none"/>
                <w:u w:val="none" w:color="auto"/>
                <w:vertAlign w:val="superscript"/>
                <w:lang w:val="en-US" w:eastAsia="zh-CN"/>
              </w:rPr>
              <w:t>3</w:t>
            </w:r>
            <w:r>
              <w:rPr>
                <w:rFonts w:hint="eastAsia" w:ascii="Times New Roman" w:hAnsi="Times New Roman" w:eastAsia="宋体" w:cs="Times New Roman"/>
                <w:sz w:val="24"/>
                <w:szCs w:val="24"/>
                <w:highlight w:val="none"/>
                <w:u w:val="none" w:color="auto"/>
                <w:lang w:val="en-US" w:eastAsia="zh-CN"/>
              </w:rPr>
              <w:t>/a，根据《城镇生活源产排污系数手册》，项目排水系数按</w:t>
            </w:r>
            <w:r>
              <w:rPr>
                <w:rFonts w:hint="default" w:ascii="Times New Roman" w:hAnsi="Times New Roman" w:eastAsia="宋体" w:cs="Times New Roman"/>
                <w:sz w:val="24"/>
                <w:szCs w:val="24"/>
                <w:highlight w:val="none"/>
                <w:u w:val="none" w:color="auto"/>
                <w:lang w:val="en-US" w:eastAsia="zh-CN"/>
              </w:rPr>
              <w:t>0.8</w:t>
            </w:r>
            <w:r>
              <w:rPr>
                <w:rFonts w:hint="eastAsia" w:ascii="Times New Roman" w:hAnsi="Times New Roman" w:eastAsia="宋体" w:cs="Times New Roman"/>
                <w:sz w:val="24"/>
                <w:szCs w:val="24"/>
                <w:highlight w:val="none"/>
                <w:u w:val="none" w:color="auto"/>
                <w:lang w:val="en-US" w:eastAsia="zh-CN"/>
              </w:rPr>
              <w:t>计，共计排水量约</w:t>
            </w:r>
            <w:r>
              <w:rPr>
                <w:rFonts w:ascii="Times New Roman" w:hAnsi="Times New Roman" w:eastAsia="宋体" w:cs="Times New Roman"/>
                <w:color w:val="auto"/>
                <w:sz w:val="24"/>
                <w:szCs w:val="24"/>
                <w:u w:val="none" w:color="auto"/>
              </w:rPr>
              <w:t>为</w:t>
            </w:r>
            <w:r>
              <w:rPr>
                <w:rFonts w:hint="eastAsia" w:cs="Times New Roman"/>
                <w:color w:val="auto"/>
                <w:sz w:val="24"/>
                <w:szCs w:val="24"/>
                <w:u w:val="none" w:color="auto"/>
                <w:lang w:val="en-US" w:eastAsia="zh-CN"/>
              </w:rPr>
              <w:t>14.568</w:t>
            </w:r>
            <w:r>
              <w:rPr>
                <w:rFonts w:hint="eastAsia" w:ascii="Times New Roman" w:hAnsi="Times New Roman" w:eastAsia="宋体" w:cs="Times New Roman"/>
                <w:color w:val="auto"/>
                <w:sz w:val="24"/>
                <w:szCs w:val="24"/>
                <w:u w:val="none" w:color="auto"/>
                <w:lang w:val="en-US" w:eastAsia="zh-CN"/>
              </w:rPr>
              <w:t>m</w:t>
            </w:r>
            <w:r>
              <w:rPr>
                <w:rFonts w:hint="eastAsia" w:ascii="Times New Roman" w:hAnsi="Times New Roman" w:eastAsia="宋体" w:cs="Times New Roman"/>
                <w:color w:val="auto"/>
                <w:sz w:val="24"/>
                <w:szCs w:val="24"/>
                <w:u w:val="none" w:color="auto"/>
                <w:vertAlign w:val="superscript"/>
                <w:lang w:val="en-US" w:eastAsia="zh-CN"/>
              </w:rPr>
              <w:t>3</w:t>
            </w:r>
            <w:r>
              <w:rPr>
                <w:rFonts w:ascii="Times New Roman" w:hAnsi="Times New Roman" w:eastAsia="宋体" w:cs="Times New Roman"/>
                <w:color w:val="auto"/>
                <w:sz w:val="24"/>
                <w:szCs w:val="24"/>
                <w:u w:val="none" w:color="auto"/>
              </w:rPr>
              <w:t>/</w:t>
            </w:r>
            <w:r>
              <w:rPr>
                <w:rFonts w:hint="eastAsia" w:ascii="Times New Roman" w:hAnsi="Times New Roman" w:eastAsia="宋体" w:cs="Times New Roman"/>
                <w:color w:val="auto"/>
                <w:sz w:val="24"/>
                <w:szCs w:val="24"/>
                <w:u w:val="none" w:color="auto"/>
                <w:lang w:val="en-US" w:eastAsia="zh-CN"/>
              </w:rPr>
              <w:t>d</w:t>
            </w:r>
            <w:r>
              <w:rPr>
                <w:rFonts w:ascii="Times New Roman" w:hAnsi="Times New Roman" w:eastAsia="宋体" w:cs="Times New Roman"/>
                <w:color w:val="auto"/>
                <w:sz w:val="24"/>
                <w:szCs w:val="24"/>
                <w:u w:val="none" w:color="auto"/>
              </w:rPr>
              <w:t>，</w:t>
            </w:r>
            <w:r>
              <w:rPr>
                <w:rFonts w:hint="eastAsia" w:cs="Times New Roman"/>
                <w:color w:val="auto"/>
                <w:sz w:val="24"/>
                <w:szCs w:val="24"/>
                <w:u w:val="none" w:color="auto"/>
                <w:lang w:val="en-US" w:eastAsia="zh-CN"/>
              </w:rPr>
              <w:t>5317.32</w:t>
            </w:r>
            <w:r>
              <w:rPr>
                <w:rFonts w:hint="eastAsia" w:ascii="Times New Roman" w:hAnsi="Times New Roman" w:eastAsia="宋体" w:cs="Times New Roman"/>
                <w:color w:val="auto"/>
                <w:sz w:val="24"/>
                <w:szCs w:val="24"/>
                <w:u w:val="none" w:color="auto"/>
                <w:lang w:val="en-US" w:eastAsia="zh-CN"/>
              </w:rPr>
              <w:t>m</w:t>
            </w:r>
            <w:r>
              <w:rPr>
                <w:rFonts w:hint="eastAsia" w:ascii="Times New Roman" w:hAnsi="Times New Roman" w:eastAsia="宋体" w:cs="Times New Roman"/>
                <w:color w:val="auto"/>
                <w:sz w:val="24"/>
                <w:szCs w:val="24"/>
                <w:u w:val="none" w:color="auto"/>
                <w:vertAlign w:val="superscript"/>
                <w:lang w:val="en-US" w:eastAsia="zh-CN"/>
              </w:rPr>
              <w:t>3</w:t>
            </w:r>
            <w:r>
              <w:rPr>
                <w:rFonts w:ascii="Times New Roman" w:hAnsi="Times New Roman" w:eastAsia="宋体" w:cs="Times New Roman"/>
                <w:color w:val="auto"/>
                <w:sz w:val="24"/>
                <w:szCs w:val="24"/>
                <w:u w:val="none" w:color="auto"/>
              </w:rPr>
              <w:t>/a</w:t>
            </w:r>
            <w:r>
              <w:rPr>
                <w:rFonts w:hint="eastAsia" w:ascii="Times New Roman" w:hAnsi="Times New Roman" w:eastAsia="宋体" w:cs="Times New Roman"/>
                <w:color w:val="auto"/>
                <w:sz w:val="24"/>
                <w:szCs w:val="24"/>
                <w:u w:val="none" w:color="auto"/>
                <w:lang w:eastAsia="zh-CN"/>
              </w:rPr>
              <w:t>。</w:t>
            </w:r>
            <w:r>
              <w:rPr>
                <w:rFonts w:hint="eastAsia" w:cs="Times New Roman"/>
                <w:color w:val="auto"/>
                <w:sz w:val="24"/>
                <w:szCs w:val="24"/>
                <w:u w:val="none" w:color="auto"/>
                <w:vertAlign w:val="baseline"/>
                <w:lang w:val="en-US" w:eastAsia="zh-CN"/>
              </w:rPr>
              <w:t>因此，本项目</w:t>
            </w:r>
            <w:r>
              <w:rPr>
                <w:rFonts w:hint="eastAsia"/>
                <w:sz w:val="24"/>
                <w:szCs w:val="24"/>
                <w:u w:val="none" w:color="auto"/>
                <w:lang w:val="en-US" w:eastAsia="zh-CN"/>
              </w:rPr>
              <w:t>综合医疗废水</w:t>
            </w:r>
            <w:r>
              <w:rPr>
                <w:rFonts w:hint="eastAsia" w:cs="Times New Roman"/>
                <w:color w:val="auto"/>
                <w:sz w:val="24"/>
                <w:szCs w:val="24"/>
                <w:u w:val="none" w:color="auto"/>
                <w:vertAlign w:val="baseline"/>
                <w:lang w:val="en-US" w:eastAsia="zh-CN"/>
              </w:rPr>
              <w:t>产生量为14.568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（5317.32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w:t>
            </w:r>
          </w:p>
          <w:p w14:paraId="27C583D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Times New Roman"/>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non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处理措施及去向为：</w:t>
            </w:r>
            <w:r>
              <w:rPr>
                <w:rFonts w:hint="eastAsia"/>
                <w:color w:val="000000" w:themeColor="text1"/>
                <w:sz w:val="24"/>
                <w:szCs w:val="24"/>
                <w:u w:val="none" w:color="auto"/>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none" w:color="auto"/>
                <w:lang w:val="en-US" w:eastAsia="zh-CN"/>
                <w14:textFill>
                  <w14:solidFill>
                    <w14:schemeClr w14:val="tx1"/>
                  </w14:solidFill>
                </w14:textFill>
              </w:rPr>
              <w:t>经化粪池+自建污水处理站（调节池+沉淀池+消毒池（活性氧））处理后由城镇污水管网接入污水处理厂深度处理，尾水排入新田河支流油麻岭河。</w:t>
            </w:r>
          </w:p>
          <w:p w14:paraId="1AEB605E">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default"/>
                <w:color w:val="auto"/>
                <w:u w:val="single" w:color="auto"/>
                <w:lang w:val="en-US" w:eastAsia="zh-CN"/>
              </w:rPr>
            </w:pPr>
            <w:r>
              <w:rPr>
                <w:rFonts w:hint="eastAsia"/>
                <w:color w:val="auto"/>
                <w:sz w:val="24"/>
                <w:szCs w:val="24"/>
                <w:u w:val="single" w:color="auto"/>
                <w:lang w:val="en-US" w:eastAsia="zh-CN"/>
              </w:rPr>
              <w:t>本项目水平衡详见下图。</w:t>
            </w:r>
          </w:p>
          <w:p w14:paraId="31024419">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eastAsia" w:cs="Times New Roman"/>
                <w:color w:val="000000" w:themeColor="text1"/>
                <w:sz w:val="24"/>
                <w:szCs w:val="24"/>
                <w:highlight w:val="none"/>
                <w:u w:val="single" w:color="auto"/>
                <w:lang w:val="en-US" w:eastAsia="zh-CN"/>
                <w14:textFill>
                  <w14:solidFill>
                    <w14:schemeClr w14:val="tx1"/>
                  </w14:solidFill>
                </w14:textFill>
              </w:rPr>
            </w:pPr>
            <w:r>
              <w:rPr>
                <w:u w:val="single"/>
              </w:rPr>
              <w:drawing>
                <wp:inline distT="0" distB="0" distL="114300" distR="114300">
                  <wp:extent cx="4918710" cy="298577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9"/>
                          <a:stretch>
                            <a:fillRect/>
                          </a:stretch>
                        </pic:blipFill>
                        <pic:spPr>
                          <a:xfrm>
                            <a:off x="0" y="0"/>
                            <a:ext cx="4918710" cy="2985770"/>
                          </a:xfrm>
                          <a:prstGeom prst="rect">
                            <a:avLst/>
                          </a:prstGeom>
                          <a:noFill/>
                          <a:ln>
                            <a:noFill/>
                          </a:ln>
                        </pic:spPr>
                      </pic:pic>
                    </a:graphicData>
                  </a:graphic>
                </wp:inline>
              </w:drawing>
            </w:r>
          </w:p>
          <w:p w14:paraId="7AABA196">
            <w:pPr>
              <w:pStyle w:val="29"/>
              <w:spacing w:line="360" w:lineRule="auto"/>
              <w:jc w:val="center"/>
              <w:rPr>
                <w:rFonts w:hint="eastAsia" w:cs="Times New Roman"/>
                <w:color w:val="000000" w:themeColor="text1"/>
                <w:sz w:val="24"/>
                <w:szCs w:val="24"/>
                <w:highlight w:val="none"/>
                <w:u w:val="single" w:color="auto"/>
                <w:lang w:val="en-US" w:eastAsia="zh-CN"/>
                <w14:textFill>
                  <w14:solidFill>
                    <w14:schemeClr w14:val="tx1"/>
                  </w14:solidFill>
                </w14:textFill>
              </w:rPr>
            </w:pPr>
            <w:r>
              <w:rPr>
                <w:rFonts w:hint="eastAsia" w:cs="Times New Roman"/>
                <w:b/>
                <w:bCs/>
                <w:color w:val="000000" w:themeColor="text1"/>
                <w:sz w:val="21"/>
                <w:szCs w:val="21"/>
                <w:highlight w:val="none"/>
                <w:u w:val="single" w:color="auto"/>
                <w:lang w:val="en-US" w:eastAsia="zh-CN"/>
                <w14:textFill>
                  <w14:solidFill>
                    <w14:schemeClr w14:val="tx1"/>
                  </w14:solidFill>
                </w14:textFill>
              </w:rPr>
              <w:t xml:space="preserve">图2-1  </w:t>
            </w:r>
            <w:r>
              <w:rPr>
                <w:rFonts w:hint="eastAsia" w:ascii="Times New Roman" w:hAnsi="Times New Roman" w:cs="Times New Roman"/>
                <w:b/>
                <w:bCs/>
                <w:color w:val="000000" w:themeColor="text1"/>
                <w:sz w:val="21"/>
                <w:szCs w:val="21"/>
                <w:highlight w:val="none"/>
                <w:u w:val="single" w:color="auto"/>
                <w:lang w:val="en-US" w:eastAsia="zh-CN"/>
                <w14:textFill>
                  <w14:solidFill>
                    <w14:schemeClr w14:val="tx1"/>
                  </w14:solidFill>
                </w14:textFill>
              </w:rPr>
              <w:t>项目水平衡图（单位：m</w:t>
            </w:r>
            <w:r>
              <w:rPr>
                <w:rFonts w:hint="eastAsia" w:ascii="Times New Roman" w:hAnsi="Times New Roman" w:cs="Times New Roman"/>
                <w:b/>
                <w:bCs/>
                <w:color w:val="000000" w:themeColor="text1"/>
                <w:sz w:val="21"/>
                <w:szCs w:val="21"/>
                <w:highlight w:val="none"/>
                <w:u w:val="single" w:color="auto"/>
                <w:vertAlign w:val="superscript"/>
                <w:lang w:val="en-US" w:eastAsia="zh-CN"/>
                <w14:textFill>
                  <w14:solidFill>
                    <w14:schemeClr w14:val="tx1"/>
                  </w14:solidFill>
                </w14:textFill>
              </w:rPr>
              <w:t>3</w:t>
            </w:r>
            <w:r>
              <w:rPr>
                <w:rFonts w:hint="eastAsia" w:ascii="Times New Roman" w:hAnsi="Times New Roman" w:cs="Times New Roman"/>
                <w:b/>
                <w:bCs/>
                <w:color w:val="000000" w:themeColor="text1"/>
                <w:sz w:val="21"/>
                <w:szCs w:val="21"/>
                <w:highlight w:val="none"/>
                <w:u w:val="single" w:color="auto"/>
                <w:lang w:val="en-US" w:eastAsia="zh-CN"/>
                <w14:textFill>
                  <w14:solidFill>
                    <w14:schemeClr w14:val="tx1"/>
                  </w14:solidFill>
                </w14:textFill>
              </w:rPr>
              <w:t>/</w:t>
            </w:r>
            <w:r>
              <w:rPr>
                <w:rFonts w:hint="eastAsia" w:cs="Times New Roman"/>
                <w:b/>
                <w:bCs/>
                <w:color w:val="000000" w:themeColor="text1"/>
                <w:sz w:val="21"/>
                <w:szCs w:val="21"/>
                <w:highlight w:val="none"/>
                <w:u w:val="single" w:color="auto"/>
                <w:lang w:val="en-US" w:eastAsia="zh-CN"/>
                <w14:textFill>
                  <w14:solidFill>
                    <w14:schemeClr w14:val="tx1"/>
                  </w14:solidFill>
                </w14:textFill>
              </w:rPr>
              <w:t>a</w:t>
            </w:r>
            <w:r>
              <w:rPr>
                <w:rFonts w:hint="eastAsia" w:ascii="Times New Roman" w:hAnsi="Times New Roman" w:cs="Times New Roman"/>
                <w:b/>
                <w:bCs/>
                <w:color w:val="000000" w:themeColor="text1"/>
                <w:sz w:val="21"/>
                <w:szCs w:val="21"/>
                <w:highlight w:val="none"/>
                <w:u w:val="single" w:color="auto"/>
                <w:lang w:val="en-US" w:eastAsia="zh-CN"/>
                <w14:textFill>
                  <w14:solidFill>
                    <w14:schemeClr w14:val="tx1"/>
                  </w14:solidFill>
                </w14:textFill>
              </w:rPr>
              <w:t>）</w:t>
            </w:r>
          </w:p>
          <w:p w14:paraId="1BC5CD3C">
            <w:pPr>
              <w:pStyle w:val="29"/>
              <w:spacing w:line="360" w:lineRule="auto"/>
              <w:ind w:firstLine="480" w:firstLineChars="200"/>
              <w:rPr>
                <w:rFonts w:hint="default" w:ascii="Times New Roman" w:hAnsi="Times New Roman" w:cs="Times New Roman"/>
                <w:color w:val="auto"/>
              </w:rPr>
            </w:pP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highlight w:val="none"/>
                <w:u w:val="none" w:color="auto"/>
                <w:lang w:val="en-US" w:eastAsia="zh-CN"/>
                <w14:textFill>
                  <w14:solidFill>
                    <w14:schemeClr w14:val="tx1"/>
                  </w14:solidFill>
                </w14:textFill>
              </w:rPr>
              <w:t>3</w:t>
            </w:r>
            <w:r>
              <w:rPr>
                <w:rFonts w:hint="eastAsia" w:cs="Times New Roman"/>
                <w:color w:val="000000" w:themeColor="text1"/>
                <w:sz w:val="24"/>
                <w:szCs w:val="24"/>
                <w:highlight w:val="none"/>
                <w:u w:val="none" w:color="auto"/>
                <w:lang w:val="en-US" w:eastAsia="zh-CN"/>
                <w14:textFill>
                  <w14:solidFill>
                    <w14:schemeClr w14:val="tx1"/>
                  </w14:solidFill>
                </w14:textFill>
              </w:rPr>
              <w:t>）</w:t>
            </w:r>
            <w:r>
              <w:rPr>
                <w:rFonts w:hint="default" w:ascii="Times New Roman" w:hAnsi="Times New Roman" w:cs="Times New Roman"/>
                <w:color w:val="auto"/>
              </w:rPr>
              <w:t>供电</w:t>
            </w:r>
          </w:p>
          <w:p w14:paraId="527E93E6">
            <w:pPr>
              <w:pStyle w:val="29"/>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项目</w:t>
            </w:r>
            <w:r>
              <w:rPr>
                <w:rFonts w:hint="eastAsia" w:ascii="Times New Roman" w:hAnsi="Times New Roman" w:cs="Times New Roman"/>
                <w:color w:val="auto"/>
                <w:lang w:eastAsia="zh-CN"/>
              </w:rPr>
              <w:t>年</w:t>
            </w:r>
            <w:r>
              <w:rPr>
                <w:rFonts w:hint="default" w:ascii="Times New Roman" w:hAnsi="Times New Roman" w:cs="Times New Roman"/>
                <w:color w:val="auto"/>
              </w:rPr>
              <w:t>用电</w:t>
            </w:r>
            <w:r>
              <w:rPr>
                <w:rFonts w:hint="eastAsia" w:ascii="Times New Roman" w:hAnsi="Times New Roman" w:cs="Times New Roman"/>
                <w:color w:val="auto"/>
                <w:lang w:eastAsia="zh-CN"/>
              </w:rPr>
              <w:t>量为</w:t>
            </w:r>
            <w:r>
              <w:rPr>
                <w:rFonts w:hint="eastAsia" w:ascii="Times New Roman" w:cs="Times New Roman"/>
                <w:color w:val="auto"/>
                <w:lang w:val="en-US" w:eastAsia="zh-CN"/>
              </w:rPr>
              <w:t>5</w:t>
            </w:r>
            <w:r>
              <w:rPr>
                <w:rFonts w:hint="eastAsia" w:ascii="Times New Roman" w:hAnsi="Times New Roman" w:cs="Times New Roman"/>
                <w:color w:val="auto"/>
                <w:lang w:val="en-US" w:eastAsia="zh-CN"/>
              </w:rPr>
              <w:t>万kW</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h，</w:t>
            </w:r>
            <w:r>
              <w:rPr>
                <w:rFonts w:hint="default" w:ascii="Times New Roman" w:hAnsi="Times New Roman" w:cs="Times New Roman"/>
                <w:color w:val="auto"/>
              </w:rPr>
              <w:t>由</w:t>
            </w:r>
            <w:r>
              <w:rPr>
                <w:rFonts w:hint="eastAsia" w:ascii="Times New Roman" w:cs="Times New Roman"/>
                <w:color w:val="auto"/>
                <w:lang w:eastAsia="zh-CN"/>
              </w:rPr>
              <w:t>城镇</w:t>
            </w:r>
            <w:r>
              <w:rPr>
                <w:rFonts w:hint="eastAsia" w:ascii="Times New Roman" w:hAnsi="Times New Roman" w:cs="Times New Roman"/>
                <w:color w:val="auto"/>
                <w:lang w:eastAsia="zh-CN"/>
              </w:rPr>
              <w:t>电网</w:t>
            </w:r>
            <w:r>
              <w:rPr>
                <w:rFonts w:hint="default" w:ascii="Times New Roman" w:hAnsi="Times New Roman" w:cs="Times New Roman"/>
                <w:color w:val="auto"/>
              </w:rPr>
              <w:t>供电。</w:t>
            </w:r>
          </w:p>
          <w:p w14:paraId="29765EFE">
            <w:pPr>
              <w:pStyle w:val="29"/>
              <w:spacing w:line="360" w:lineRule="auto"/>
              <w:ind w:left="480" w:leftChars="200"/>
              <w:rPr>
                <w:rFonts w:hint="default" w:ascii="Times New Roman" w:hAnsi="Times New Roman" w:cs="Times New Roman"/>
                <w:color w:val="auto"/>
              </w:rPr>
            </w:pPr>
            <w:r>
              <w:rPr>
                <w:rFonts w:hint="eastAsia" w:ascii="Times New Roman" w:cs="Times New Roman"/>
                <w:color w:val="auto"/>
                <w:lang w:val="en-US" w:eastAsia="zh-CN"/>
              </w:rPr>
              <w:t>（4）</w:t>
            </w:r>
            <w:r>
              <w:rPr>
                <w:rFonts w:hint="default" w:ascii="Times New Roman" w:hAnsi="Times New Roman" w:cs="Times New Roman"/>
                <w:color w:val="auto"/>
              </w:rPr>
              <w:t>供热</w:t>
            </w:r>
          </w:p>
          <w:p w14:paraId="1B3438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pacing w:val="-2"/>
                <w:sz w:val="24"/>
                <w:szCs w:val="24"/>
                <w:highlight w:val="none"/>
                <w:lang w:val="en-US" w:eastAsia="zh-CN"/>
              </w:rPr>
            </w:pPr>
            <w:r>
              <w:rPr>
                <w:rFonts w:hint="eastAsia" w:cs="Times New Roman"/>
                <w:color w:val="auto"/>
                <w:sz w:val="24"/>
                <w:lang w:val="en-US" w:eastAsia="zh-CN"/>
              </w:rPr>
              <w:t>项目</w:t>
            </w:r>
            <w:r>
              <w:rPr>
                <w:rFonts w:hint="default" w:ascii="Times New Roman" w:hAnsi="Times New Roman" w:cs="Times New Roman"/>
                <w:color w:val="auto"/>
                <w:sz w:val="24"/>
              </w:rPr>
              <w:t>未设置锅炉</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zh-CN" w:bidi="zh-CN"/>
              </w:rPr>
              <w:t>采用电加热器供应热水</w:t>
            </w:r>
            <w:r>
              <w:rPr>
                <w:rFonts w:hint="default" w:ascii="Times New Roman" w:hAnsi="Times New Roman" w:cs="Times New Roman"/>
                <w:color w:val="auto"/>
                <w:sz w:val="24"/>
                <w:szCs w:val="24"/>
              </w:rPr>
              <w:t>。</w:t>
            </w:r>
          </w:p>
        </w:tc>
      </w:tr>
      <w:tr w14:paraId="70245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2FA27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7981" w:type="dxa"/>
            <w:vAlign w:val="center"/>
          </w:tcPr>
          <w:p w14:paraId="5A39BD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kern w:val="2"/>
                <w:sz w:val="24"/>
                <w:szCs w:val="24"/>
                <w:lang w:val="en-US" w:eastAsia="zh-CN" w:bidi="ar-SA"/>
              </w:rPr>
              <w:t>1、</w:t>
            </w:r>
            <w:r>
              <w:rPr>
                <w:rFonts w:hint="default" w:ascii="Times New Roman" w:hAnsi="Times New Roman" w:eastAsia="宋体" w:cs="Times New Roman"/>
                <w:b/>
                <w:bCs/>
                <w:color w:val="auto"/>
                <w:sz w:val="24"/>
                <w:szCs w:val="24"/>
                <w:lang w:val="en-US" w:eastAsia="zh-CN"/>
              </w:rPr>
              <w:t>施工期工艺流程</w:t>
            </w:r>
          </w:p>
          <w:p w14:paraId="6EC563E7">
            <w:pPr>
              <w:spacing w:line="343"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本项目已建设完成并运营</w:t>
            </w:r>
            <w:r>
              <w:rPr>
                <w:rFonts w:hint="eastAsia" w:cs="Times New Roman"/>
                <w:color w:val="auto"/>
                <w:sz w:val="24"/>
                <w:lang w:eastAsia="zh-CN"/>
              </w:rPr>
              <w:t>，本次评价</w:t>
            </w:r>
            <w:r>
              <w:rPr>
                <w:rFonts w:hint="default" w:ascii="Times New Roman" w:hAnsi="Times New Roman" w:cs="Times New Roman"/>
                <w:color w:val="auto"/>
                <w:sz w:val="24"/>
              </w:rPr>
              <w:t>为</w:t>
            </w:r>
            <w:r>
              <w:rPr>
                <w:rFonts w:hint="eastAsia" w:cs="Times New Roman"/>
                <w:color w:val="auto"/>
                <w:sz w:val="24"/>
                <w:lang w:eastAsia="zh-CN"/>
              </w:rPr>
              <w:t>完善环评手续。为此，本项目无施工期。</w:t>
            </w:r>
          </w:p>
          <w:p w14:paraId="42F6493D">
            <w:pPr>
              <w:numPr>
                <w:ilvl w:val="0"/>
                <w:numId w:val="0"/>
              </w:numPr>
              <w:spacing w:line="360" w:lineRule="auto"/>
              <w:ind w:left="0" w:leftChars="0" w:firstLine="0" w:firstLineChars="0"/>
              <w:rPr>
                <w:rFonts w:hint="default" w:ascii="Times New Roman" w:hAnsi="Times New Roman" w:eastAsia="宋体" w:cs="Times New Roman"/>
                <w:b/>
                <w:color w:val="auto"/>
                <w:sz w:val="24"/>
                <w:highlight w:val="none"/>
                <w:u w:val="none" w:color="auto"/>
                <w:lang w:val="en-US" w:eastAsia="zh-CN"/>
              </w:rPr>
            </w:pPr>
            <w:r>
              <w:rPr>
                <w:rFonts w:hint="default" w:ascii="Times New Roman" w:hAnsi="Times New Roman" w:eastAsia="宋体" w:cs="Times New Roman"/>
                <w:b/>
                <w:color w:val="auto"/>
                <w:kern w:val="2"/>
                <w:sz w:val="24"/>
                <w:szCs w:val="24"/>
                <w:u w:color="auto"/>
                <w:lang w:val="en-US" w:eastAsia="zh-CN" w:bidi="ar-SA"/>
              </w:rPr>
              <w:t>2、</w:t>
            </w:r>
            <w:r>
              <w:rPr>
                <w:rFonts w:hint="default" w:ascii="Times New Roman" w:hAnsi="Times New Roman" w:eastAsia="宋体" w:cs="Times New Roman"/>
                <w:b/>
                <w:color w:val="auto"/>
                <w:sz w:val="24"/>
                <w:highlight w:val="none"/>
                <w:u w:val="none" w:color="auto"/>
                <w:lang w:val="en-US" w:eastAsia="zh-CN"/>
              </w:rPr>
              <w:t>营运期工艺流程</w:t>
            </w:r>
          </w:p>
          <w:p w14:paraId="1D5DD7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项目营运期主要工艺流程及产污节点如图2-2。</w:t>
            </w:r>
          </w:p>
          <w:p w14:paraId="19265A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39.4pt;width:326.6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262D8E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1"/>
                <w:szCs w:val="21"/>
              </w:rPr>
              <w:t>图2-</w:t>
            </w:r>
            <w:r>
              <w:rPr>
                <w:rFonts w:hint="default" w:ascii="Times New Roman" w:hAnsi="Times New Roman" w:eastAsia="宋体" w:cs="Times New Roman"/>
                <w:b/>
                <w:color w:val="auto"/>
                <w:sz w:val="21"/>
                <w:szCs w:val="21"/>
                <w:lang w:val="en-US" w:eastAsia="zh-CN"/>
              </w:rPr>
              <w:t xml:space="preserve">2  </w:t>
            </w:r>
            <w:r>
              <w:rPr>
                <w:rFonts w:hint="eastAsia"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eastAsia="zh-CN"/>
              </w:rPr>
              <w:t>医疗</w:t>
            </w:r>
            <w:r>
              <w:rPr>
                <w:rFonts w:hint="default" w:ascii="Times New Roman" w:hAnsi="Times New Roman" w:eastAsia="宋体" w:cs="Times New Roman"/>
                <w:b/>
                <w:color w:val="auto"/>
                <w:sz w:val="21"/>
                <w:szCs w:val="21"/>
              </w:rPr>
              <w:t>工艺流程及产污节点图</w:t>
            </w:r>
          </w:p>
          <w:p w14:paraId="31C8CBA8">
            <w:pPr>
              <w:spacing w:before="157" w:beforeLines="50" w:line="360" w:lineRule="auto"/>
              <w:ind w:firstLine="480" w:firstLineChars="200"/>
              <w:rPr>
                <w:rFonts w:hint="default" w:ascii="Times New Roman" w:hAnsi="Times New Roman" w:cs="Times New Roman"/>
                <w:b w:val="0"/>
                <w:bCs/>
                <w:snapToGrid w:val="0"/>
                <w:color w:val="auto"/>
                <w:sz w:val="24"/>
              </w:rPr>
            </w:pPr>
            <w:r>
              <w:rPr>
                <w:rFonts w:hint="eastAsia" w:cs="Times New Roman"/>
                <w:b w:val="0"/>
                <w:bCs/>
                <w:snapToGrid w:val="0"/>
                <w:color w:val="auto"/>
                <w:sz w:val="24"/>
                <w:lang w:eastAsia="zh-CN"/>
              </w:rPr>
              <w:t>本</w:t>
            </w:r>
            <w:r>
              <w:rPr>
                <w:rFonts w:hint="default" w:ascii="Times New Roman" w:hAnsi="Times New Roman" w:cs="Times New Roman"/>
                <w:b w:val="0"/>
                <w:bCs/>
                <w:snapToGrid w:val="0"/>
                <w:color w:val="auto"/>
                <w:sz w:val="24"/>
              </w:rPr>
              <w:t>项目主要是为病人提供预防、保健及医疗保障服务，无生产过程。项目主要</w:t>
            </w:r>
            <w:r>
              <w:rPr>
                <w:rFonts w:hint="eastAsia" w:ascii="Times New Roman" w:hAnsi="Times New Roman"/>
                <w:color w:val="auto"/>
                <w:kern w:val="0"/>
                <w:sz w:val="24"/>
                <w:szCs w:val="24"/>
                <w:u w:val="none"/>
                <w:lang w:val="en-US" w:eastAsia="zh-CN"/>
              </w:rPr>
              <w:t>设有</w:t>
            </w:r>
            <w:r>
              <w:rPr>
                <w:rFonts w:hint="eastAsia"/>
                <w:color w:val="auto"/>
                <w:kern w:val="0"/>
                <w:sz w:val="24"/>
                <w:szCs w:val="24"/>
                <w:u w:val="none"/>
                <w:lang w:val="en-US" w:eastAsia="zh-CN"/>
              </w:rPr>
              <w:t>预防保健科、全科医疗科、内科、妇产科、儿科、</w:t>
            </w:r>
            <w:r>
              <w:rPr>
                <w:rFonts w:hint="eastAsia"/>
                <w:u w:val="none"/>
                <w:lang w:val="en-US" w:eastAsia="zh-CN"/>
              </w:rPr>
              <w:t>中医科、</w:t>
            </w:r>
            <w:r>
              <w:rPr>
                <w:rFonts w:hint="eastAsia"/>
                <w:color w:val="auto"/>
                <w:kern w:val="0"/>
                <w:sz w:val="24"/>
                <w:szCs w:val="24"/>
                <w:u w:val="none"/>
                <w:lang w:val="en-US" w:eastAsia="zh-CN"/>
              </w:rPr>
              <w:t>医学检验科、医学影像科</w:t>
            </w:r>
            <w:r>
              <w:rPr>
                <w:rFonts w:hint="eastAsia" w:ascii="Times New Roman" w:hAnsi="Times New Roman"/>
                <w:color w:val="auto"/>
                <w:kern w:val="0"/>
                <w:sz w:val="24"/>
                <w:szCs w:val="24"/>
                <w:u w:val="none"/>
                <w:lang w:val="en-US" w:eastAsia="zh-CN"/>
              </w:rPr>
              <w:t>等</w:t>
            </w:r>
            <w:r>
              <w:rPr>
                <w:rFonts w:hint="default" w:ascii="Times New Roman" w:hAnsi="Times New Roman" w:cs="Times New Roman"/>
                <w:b w:val="0"/>
                <w:bCs/>
                <w:snapToGrid w:val="0"/>
                <w:color w:val="auto"/>
                <w:sz w:val="24"/>
              </w:rPr>
              <w:t>，</w:t>
            </w:r>
            <w:r>
              <w:rPr>
                <w:rFonts w:hint="eastAsia"/>
                <w:color w:val="auto"/>
                <w:kern w:val="0"/>
                <w:sz w:val="24"/>
                <w:lang w:val="en-US" w:eastAsia="zh-CN"/>
              </w:rPr>
              <w:t>不设传染科</w:t>
            </w:r>
            <w:r>
              <w:rPr>
                <w:rFonts w:hint="default" w:ascii="Times New Roman" w:hAnsi="Times New Roman" w:cs="Times New Roman"/>
                <w:b w:val="0"/>
                <w:bCs/>
                <w:snapToGrid w:val="0"/>
                <w:color w:val="auto"/>
                <w:sz w:val="24"/>
              </w:rPr>
              <w:t>。本项目</w:t>
            </w:r>
            <w:r>
              <w:rPr>
                <w:rFonts w:hint="eastAsia"/>
                <w:color w:val="auto"/>
                <w:kern w:val="0"/>
                <w:sz w:val="24"/>
                <w:szCs w:val="24"/>
                <w:u w:val="none"/>
                <w:lang w:val="en-US" w:eastAsia="zh-CN"/>
              </w:rPr>
              <w:t>医学影像科</w:t>
            </w:r>
            <w:r>
              <w:rPr>
                <w:rFonts w:hint="default" w:ascii="Times New Roman" w:hAnsi="Times New Roman" w:cs="Times New Roman"/>
                <w:b w:val="0"/>
                <w:bCs/>
                <w:snapToGrid w:val="0"/>
                <w:color w:val="auto"/>
                <w:sz w:val="24"/>
              </w:rPr>
              <w:t>采用数码打印成像，不涉及洗印用水。本项目</w:t>
            </w:r>
            <w:r>
              <w:rPr>
                <w:rFonts w:hint="eastAsia" w:cs="Times New Roman"/>
                <w:b w:val="0"/>
                <w:bCs/>
                <w:snapToGrid w:val="0"/>
                <w:color w:val="auto"/>
                <w:sz w:val="24"/>
                <w:lang w:val="en-US" w:eastAsia="zh-CN"/>
              </w:rPr>
              <w:t>不设</w:t>
            </w:r>
            <w:r>
              <w:rPr>
                <w:rFonts w:hint="default" w:ascii="Times New Roman" w:hAnsi="Times New Roman" w:cs="Times New Roman"/>
                <w:b w:val="0"/>
                <w:bCs/>
                <w:snapToGrid w:val="0"/>
                <w:color w:val="auto"/>
                <w:sz w:val="24"/>
              </w:rPr>
              <w:t>锅炉房</w:t>
            </w:r>
            <w:r>
              <w:rPr>
                <w:rFonts w:hint="eastAsia" w:cs="Times New Roman"/>
                <w:b w:val="0"/>
                <w:bCs/>
                <w:snapToGrid w:val="0"/>
                <w:color w:val="auto"/>
                <w:sz w:val="24"/>
                <w:lang w:eastAsia="zh-CN"/>
              </w:rPr>
              <w:t>。同时，本项目检验化验室均为常规简单化验，主要承担临床血、尿和便的检验，以及常见液体分泌物常规分析，所用检验试剂为常规试剂，不使用含氰、含铬等重金属药剂</w:t>
            </w:r>
            <w:r>
              <w:rPr>
                <w:rFonts w:hint="default" w:ascii="Times New Roman" w:hAnsi="Times New Roman" w:cs="Times New Roman"/>
                <w:b w:val="0"/>
                <w:bCs/>
                <w:snapToGrid w:val="0"/>
                <w:color w:val="auto"/>
                <w:sz w:val="24"/>
              </w:rPr>
              <w:t>，</w:t>
            </w:r>
            <w:r>
              <w:rPr>
                <w:rFonts w:hint="eastAsia" w:cs="Times New Roman"/>
                <w:b w:val="0"/>
                <w:bCs/>
                <w:snapToGrid w:val="0"/>
                <w:color w:val="auto"/>
                <w:sz w:val="24"/>
                <w:lang w:eastAsia="zh-CN"/>
              </w:rPr>
              <w:t>仅</w:t>
            </w:r>
            <w:r>
              <w:rPr>
                <w:rFonts w:hint="default" w:ascii="Times New Roman" w:hAnsi="Times New Roman" w:cs="Times New Roman"/>
                <w:b w:val="0"/>
                <w:bCs/>
                <w:snapToGrid w:val="0"/>
                <w:color w:val="auto"/>
                <w:sz w:val="24"/>
              </w:rPr>
              <w:t>产生少量生化性检验废水（不含重金属）。本项目不开展同位素诊断的医疗项目，故项目不产生同位素诊疗、诊断放射性废水。</w:t>
            </w:r>
          </w:p>
          <w:p w14:paraId="2AB4D681">
            <w:pPr>
              <w:spacing w:line="360" w:lineRule="auto"/>
              <w:ind w:firstLine="480" w:firstLineChars="200"/>
              <w:rPr>
                <w:rFonts w:hint="eastAsia" w:ascii="Times New Roman" w:hAnsi="Times New Roman" w:cs="Times New Roman"/>
                <w:b w:val="0"/>
                <w:bCs/>
                <w:snapToGrid w:val="0"/>
                <w:color w:val="auto"/>
                <w:sz w:val="24"/>
              </w:rPr>
            </w:pPr>
            <w:r>
              <w:rPr>
                <w:rFonts w:hint="eastAsia" w:cs="Times New Roman"/>
                <w:b w:val="0"/>
                <w:bCs/>
                <w:snapToGrid w:val="0"/>
                <w:color w:val="auto"/>
                <w:sz w:val="24"/>
                <w:lang w:eastAsia="zh-CN"/>
              </w:rPr>
              <w:t>本项目产污情况详见下表。</w:t>
            </w:r>
          </w:p>
          <w:p w14:paraId="7209AC78">
            <w:pPr>
              <w:widowControl/>
              <w:spacing w:line="240" w:lineRule="auto"/>
              <w:jc w:val="center"/>
              <w:rPr>
                <w:rFonts w:ascii="Times New Roman" w:hAnsi="Times New Roman" w:eastAsia="宋体"/>
                <w:color w:val="000000"/>
                <w:kern w:val="0"/>
                <w:sz w:val="24"/>
                <w:szCs w:val="24"/>
                <w:highlight w:val="none"/>
                <w:lang w:bidi="ar"/>
              </w:rPr>
            </w:pPr>
            <w:r>
              <w:rPr>
                <w:rFonts w:hint="default" w:ascii="Times New Roman" w:hAnsi="Times New Roman" w:cs="Times New Roman"/>
                <w:b/>
                <w:sz w:val="21"/>
                <w:szCs w:val="21"/>
                <w:highlight w:val="none"/>
                <w:u w:val="none"/>
              </w:rPr>
              <w:t>表</w:t>
            </w:r>
            <w:r>
              <w:rPr>
                <w:rFonts w:hint="eastAsia" w:ascii="Times New Roman" w:hAnsi="Times New Roman" w:cs="Times New Roman"/>
                <w:b/>
                <w:sz w:val="21"/>
                <w:szCs w:val="21"/>
                <w:highlight w:val="none"/>
                <w:u w:val="none"/>
                <w:lang w:val="en-US" w:eastAsia="zh-CN"/>
              </w:rPr>
              <w:t>2</w:t>
            </w:r>
            <w:r>
              <w:rPr>
                <w:rFonts w:hint="default" w:ascii="Times New Roman" w:hAnsi="Times New Roman" w:cs="Times New Roman"/>
                <w:b/>
                <w:sz w:val="21"/>
                <w:szCs w:val="21"/>
                <w:highlight w:val="none"/>
                <w:u w:val="none"/>
              </w:rPr>
              <w:t>-</w:t>
            </w:r>
            <w:r>
              <w:rPr>
                <w:rFonts w:hint="eastAsia" w:cs="Times New Roman"/>
                <w:b/>
                <w:sz w:val="21"/>
                <w:szCs w:val="21"/>
                <w:highlight w:val="none"/>
                <w:u w:val="none"/>
                <w:lang w:val="en-US" w:eastAsia="zh-CN"/>
              </w:rPr>
              <w:t>6</w:t>
            </w:r>
            <w:r>
              <w:rPr>
                <w:rFonts w:hint="default" w:ascii="Times New Roman" w:hAnsi="Times New Roman" w:cs="Times New Roman"/>
                <w:b/>
                <w:sz w:val="21"/>
                <w:szCs w:val="21"/>
                <w:highlight w:val="none"/>
                <w:u w:val="none"/>
              </w:rPr>
              <w:t>主要污染</w:t>
            </w:r>
            <w:r>
              <w:rPr>
                <w:rFonts w:hint="eastAsia" w:ascii="Times New Roman" w:hAnsi="Times New Roman" w:cs="Times New Roman"/>
                <w:b/>
                <w:sz w:val="21"/>
                <w:szCs w:val="21"/>
                <w:highlight w:val="none"/>
                <w:u w:val="none"/>
                <w:lang w:eastAsia="zh-CN"/>
              </w:rPr>
              <w:t>因素</w:t>
            </w:r>
            <w:r>
              <w:rPr>
                <w:rFonts w:hint="default" w:ascii="Times New Roman" w:hAnsi="Times New Roman" w:cs="Times New Roman"/>
                <w:b/>
                <w:sz w:val="21"/>
                <w:szCs w:val="21"/>
                <w:highlight w:val="none"/>
                <w:u w:val="none"/>
              </w:rPr>
              <w:t>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946"/>
              <w:gridCol w:w="1984"/>
              <w:gridCol w:w="2321"/>
              <w:gridCol w:w="2484"/>
            </w:tblGrid>
            <w:tr w14:paraId="15E170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1893" w:type="pct"/>
                  <w:gridSpan w:val="2"/>
                  <w:tcBorders>
                    <w:tl2br w:val="nil"/>
                    <w:tr2bl w:val="nil"/>
                  </w:tcBorders>
                  <w:noWrap w:val="0"/>
                  <w:vAlign w:val="center"/>
                </w:tcPr>
                <w:p w14:paraId="1E10D6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类 别</w:t>
                  </w:r>
                </w:p>
              </w:tc>
              <w:tc>
                <w:tcPr>
                  <w:tcW w:w="1500" w:type="pct"/>
                  <w:tcBorders>
                    <w:tl2br w:val="nil"/>
                    <w:tr2bl w:val="nil"/>
                  </w:tcBorders>
                  <w:noWrap w:val="0"/>
                  <w:vAlign w:val="center"/>
                </w:tcPr>
                <w:p w14:paraId="1A66FB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污染源</w:t>
                  </w:r>
                </w:p>
              </w:tc>
              <w:tc>
                <w:tcPr>
                  <w:tcW w:w="1605" w:type="pct"/>
                  <w:tcBorders>
                    <w:tl2br w:val="nil"/>
                    <w:tr2bl w:val="nil"/>
                  </w:tcBorders>
                  <w:noWrap w:val="0"/>
                  <w:vAlign w:val="center"/>
                </w:tcPr>
                <w:p w14:paraId="2B0529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污染物</w:t>
                  </w:r>
                </w:p>
              </w:tc>
            </w:tr>
            <w:tr w14:paraId="152699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14:paraId="51F03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废气</w:t>
                  </w:r>
                </w:p>
              </w:tc>
              <w:tc>
                <w:tcPr>
                  <w:tcW w:w="1282" w:type="pct"/>
                  <w:tcBorders>
                    <w:tl2br w:val="nil"/>
                    <w:tr2bl w:val="nil"/>
                  </w:tcBorders>
                  <w:noWrap w:val="0"/>
                  <w:vAlign w:val="center"/>
                </w:tcPr>
                <w:p w14:paraId="0D8BAC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医废暂存间异味</w:t>
                  </w:r>
                </w:p>
              </w:tc>
              <w:tc>
                <w:tcPr>
                  <w:tcW w:w="1500" w:type="pct"/>
                  <w:tcBorders>
                    <w:tl2br w:val="nil"/>
                    <w:tr2bl w:val="nil"/>
                  </w:tcBorders>
                  <w:noWrap w:val="0"/>
                  <w:vAlign w:val="center"/>
                </w:tcPr>
                <w:p w14:paraId="2B4741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医废暂存间</w:t>
                  </w:r>
                </w:p>
              </w:tc>
              <w:tc>
                <w:tcPr>
                  <w:tcW w:w="1605" w:type="pct"/>
                  <w:tcBorders>
                    <w:tl2br w:val="nil"/>
                    <w:tr2bl w:val="nil"/>
                  </w:tcBorders>
                  <w:noWrap w:val="0"/>
                  <w:vAlign w:val="center"/>
                </w:tcPr>
                <w:p w14:paraId="34D6F0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臭气浓度</w:t>
                  </w:r>
                </w:p>
              </w:tc>
            </w:tr>
            <w:tr w14:paraId="1CE60A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446B8B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F5682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医疗废气</w:t>
                  </w:r>
                </w:p>
              </w:tc>
              <w:tc>
                <w:tcPr>
                  <w:tcW w:w="1500" w:type="pct"/>
                  <w:tcBorders>
                    <w:tl2br w:val="nil"/>
                    <w:tr2bl w:val="nil"/>
                  </w:tcBorders>
                  <w:noWrap w:val="0"/>
                  <w:vAlign w:val="center"/>
                </w:tcPr>
                <w:p w14:paraId="34855C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院内各楼层</w:t>
                  </w:r>
                </w:p>
              </w:tc>
              <w:tc>
                <w:tcPr>
                  <w:tcW w:w="1605" w:type="pct"/>
                  <w:tcBorders>
                    <w:tl2br w:val="nil"/>
                    <w:tr2bl w:val="nil"/>
                  </w:tcBorders>
                  <w:noWrap w:val="0"/>
                  <w:vAlign w:val="center"/>
                </w:tcPr>
                <w:p w14:paraId="20FD89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14:paraId="060677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212B8F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0D5F9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污水处理站废气</w:t>
                  </w:r>
                </w:p>
              </w:tc>
              <w:tc>
                <w:tcPr>
                  <w:tcW w:w="1500" w:type="pct"/>
                  <w:tcBorders>
                    <w:tl2br w:val="nil"/>
                    <w:tr2bl w:val="nil"/>
                  </w:tcBorders>
                  <w:noWrap w:val="0"/>
                  <w:vAlign w:val="center"/>
                </w:tcPr>
                <w:p w14:paraId="512D4F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14:paraId="2EE913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氨、硫化氢、臭气浓度</w:t>
                  </w:r>
                </w:p>
              </w:tc>
            </w:tr>
            <w:tr w14:paraId="55A383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6542D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2A885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食堂废气</w:t>
                  </w:r>
                </w:p>
              </w:tc>
              <w:tc>
                <w:tcPr>
                  <w:tcW w:w="1500" w:type="pct"/>
                  <w:tcBorders>
                    <w:tl2br w:val="nil"/>
                    <w:tr2bl w:val="nil"/>
                  </w:tcBorders>
                  <w:noWrap w:val="0"/>
                  <w:vAlign w:val="center"/>
                </w:tcPr>
                <w:p w14:paraId="2F333F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食堂</w:t>
                  </w:r>
                </w:p>
              </w:tc>
              <w:tc>
                <w:tcPr>
                  <w:tcW w:w="1605" w:type="pct"/>
                  <w:tcBorders>
                    <w:tl2br w:val="nil"/>
                    <w:tr2bl w:val="nil"/>
                  </w:tcBorders>
                  <w:noWrap w:val="0"/>
                  <w:vAlign w:val="center"/>
                </w:tcPr>
                <w:p w14:paraId="731B59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油烟</w:t>
                  </w:r>
                </w:p>
              </w:tc>
            </w:tr>
            <w:tr w14:paraId="21A452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1FBE17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1008F0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煎药废气</w:t>
                  </w:r>
                </w:p>
              </w:tc>
              <w:tc>
                <w:tcPr>
                  <w:tcW w:w="1500" w:type="pct"/>
                  <w:tcBorders>
                    <w:tl2br w:val="nil"/>
                    <w:tr2bl w:val="nil"/>
                  </w:tcBorders>
                  <w:noWrap w:val="0"/>
                  <w:vAlign w:val="center"/>
                </w:tcPr>
                <w:p w14:paraId="4C07F9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煎药室</w:t>
                  </w:r>
                </w:p>
              </w:tc>
              <w:tc>
                <w:tcPr>
                  <w:tcW w:w="1605" w:type="pct"/>
                  <w:tcBorders>
                    <w:tl2br w:val="nil"/>
                    <w:tr2bl w:val="nil"/>
                  </w:tcBorders>
                  <w:noWrap w:val="0"/>
                  <w:vAlign w:val="center"/>
                </w:tcPr>
                <w:p w14:paraId="6CCCC7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异味</w:t>
                  </w:r>
                </w:p>
              </w:tc>
            </w:tr>
            <w:tr w14:paraId="7B86B0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1" w:hRule="atLeast"/>
                <w:jc w:val="center"/>
              </w:trPr>
              <w:tc>
                <w:tcPr>
                  <w:tcW w:w="611" w:type="pct"/>
                  <w:vMerge w:val="restart"/>
                  <w:tcBorders>
                    <w:tl2br w:val="nil"/>
                    <w:tr2bl w:val="nil"/>
                  </w:tcBorders>
                  <w:noWrap w:val="0"/>
                  <w:vAlign w:val="center"/>
                </w:tcPr>
                <w:p w14:paraId="4CB63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废水</w:t>
                  </w:r>
                </w:p>
              </w:tc>
              <w:tc>
                <w:tcPr>
                  <w:tcW w:w="1282" w:type="pct"/>
                  <w:vMerge w:val="restart"/>
                  <w:tcBorders>
                    <w:tl2br w:val="nil"/>
                    <w:tr2bl w:val="nil"/>
                  </w:tcBorders>
                  <w:noWrap w:val="0"/>
                  <w:vAlign w:val="center"/>
                </w:tcPr>
                <w:p w14:paraId="06C930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综合医疗废水</w:t>
                  </w:r>
                </w:p>
              </w:tc>
              <w:tc>
                <w:tcPr>
                  <w:tcW w:w="1500" w:type="pct"/>
                  <w:tcBorders>
                    <w:tl2br w:val="nil"/>
                    <w:tr2bl w:val="nil"/>
                  </w:tcBorders>
                  <w:noWrap w:val="0"/>
                  <w:vAlign w:val="center"/>
                </w:tcPr>
                <w:p w14:paraId="6356F8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门诊室、住院病人及陪护人、检验科</w:t>
                  </w:r>
                </w:p>
              </w:tc>
              <w:tc>
                <w:tcPr>
                  <w:tcW w:w="1605" w:type="pct"/>
                  <w:vMerge w:val="restart"/>
                  <w:tcBorders>
                    <w:tl2br w:val="nil"/>
                    <w:tr2bl w:val="nil"/>
                  </w:tcBorders>
                  <w:noWrap w:val="0"/>
                  <w:vAlign w:val="center"/>
                </w:tcPr>
                <w:p w14:paraId="752D51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default" w:ascii="Times New Roman" w:hAnsi="Times New Roman" w:eastAsia="宋体"/>
                      <w:sz w:val="21"/>
                      <w:szCs w:val="21"/>
                      <w:lang w:val="en-US" w:eastAsia="zh-CN"/>
                    </w:rPr>
                    <w:t>pH</w:t>
                  </w:r>
                  <w:r>
                    <w:rPr>
                      <w:rFonts w:hint="eastAsia" w:ascii="Times New Roman" w:hAnsi="Times New Roman" w:eastAsia="宋体"/>
                      <w:sz w:val="21"/>
                      <w:szCs w:val="21"/>
                      <w:lang w:val="en-US" w:eastAsia="zh-CN"/>
                    </w:rPr>
                    <w:t>、SS、COD、BOD</w:t>
                  </w:r>
                  <w:r>
                    <w:rPr>
                      <w:rFonts w:hint="eastAsia" w:ascii="Times New Roman" w:hAnsi="Times New Roman" w:eastAsia="宋体"/>
                      <w:sz w:val="21"/>
                      <w:szCs w:val="21"/>
                      <w:vertAlign w:val="subscript"/>
                      <w:lang w:val="en-US" w:eastAsia="zh-CN"/>
                    </w:rPr>
                    <w:t>5</w:t>
                  </w:r>
                  <w:r>
                    <w:rPr>
                      <w:rFonts w:hint="eastAsia" w:ascii="Times New Roman" w:hAnsi="Times New Roman" w:eastAsia="宋体"/>
                      <w:sz w:val="21"/>
                      <w:szCs w:val="21"/>
                      <w:lang w:val="en-US" w:eastAsia="zh-CN"/>
                    </w:rPr>
                    <w:t>、NH</w:t>
                  </w:r>
                  <w:r>
                    <w:rPr>
                      <w:rFonts w:hint="eastAsia" w:ascii="Times New Roman" w:hAnsi="Times New Roman" w:eastAsia="宋体"/>
                      <w:sz w:val="21"/>
                      <w:szCs w:val="21"/>
                      <w:vertAlign w:val="subscript"/>
                      <w:lang w:val="en-US" w:eastAsia="zh-CN"/>
                    </w:rPr>
                    <w:t>3</w:t>
                  </w:r>
                  <w:r>
                    <w:rPr>
                      <w:rFonts w:hint="eastAsia" w:ascii="Times New Roman" w:hAnsi="Times New Roman" w:eastAsia="宋体"/>
                      <w:sz w:val="21"/>
                      <w:szCs w:val="21"/>
                      <w:lang w:val="en-US" w:eastAsia="zh-CN"/>
                    </w:rPr>
                    <w:t>-N、动植物油</w:t>
                  </w:r>
                  <w:r>
                    <w:rPr>
                      <w:rFonts w:hint="eastAsia"/>
                      <w:sz w:val="21"/>
                      <w:szCs w:val="21"/>
                      <w:lang w:val="en-US" w:eastAsia="zh-CN"/>
                    </w:rPr>
                    <w:t>、</w:t>
                  </w:r>
                  <w:r>
                    <w:rPr>
                      <w:rFonts w:hint="eastAsia" w:ascii="Times New Roman" w:hAnsi="Times New Roman" w:eastAsia="宋体"/>
                      <w:sz w:val="21"/>
                      <w:szCs w:val="21"/>
                      <w:lang w:val="en-US" w:eastAsia="zh-CN"/>
                    </w:rPr>
                    <w:t>粪大肠菌群数、</w:t>
                  </w:r>
                  <w:r>
                    <w:rPr>
                      <w:rFonts w:hint="eastAsia" w:ascii="Times New Roman" w:hAnsi="Times New Roman" w:eastAsia="宋体"/>
                      <w:sz w:val="21"/>
                      <w:szCs w:val="21"/>
                      <w:lang w:eastAsia="zh-CN"/>
                    </w:rPr>
                    <w:t>阴离子表面活性剂</w:t>
                  </w:r>
                </w:p>
              </w:tc>
            </w:tr>
            <w:tr w14:paraId="7D7A68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611" w:type="pct"/>
                  <w:vMerge w:val="continue"/>
                  <w:tcBorders>
                    <w:tl2br w:val="nil"/>
                    <w:tr2bl w:val="nil"/>
                  </w:tcBorders>
                  <w:noWrap w:val="0"/>
                  <w:vAlign w:val="center"/>
                </w:tcPr>
                <w:p w14:paraId="5FAC9B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14:paraId="551E09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000000" w:themeColor="text1"/>
                      <w:sz w:val="21"/>
                      <w:szCs w:val="21"/>
                      <w:lang w:val="en-US" w:eastAsia="zh-CN"/>
                      <w14:textFill>
                        <w14:solidFill>
                          <w14:schemeClr w14:val="tx1"/>
                        </w14:solidFill>
                      </w14:textFill>
                    </w:rPr>
                  </w:pPr>
                </w:p>
              </w:tc>
              <w:tc>
                <w:tcPr>
                  <w:tcW w:w="1500" w:type="pct"/>
                  <w:tcBorders>
                    <w:tl2br w:val="nil"/>
                    <w:tr2bl w:val="nil"/>
                  </w:tcBorders>
                  <w:noWrap w:val="0"/>
                  <w:vAlign w:val="center"/>
                </w:tcPr>
                <w:p w14:paraId="6A0F12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食堂</w:t>
                  </w:r>
                  <w:r>
                    <w:rPr>
                      <w:rFonts w:hint="eastAsia" w:ascii="Times New Roman" w:hAnsi="Times New Roman" w:eastAsia="宋体" w:cs="Times New Roman"/>
                      <w:color w:val="000000" w:themeColor="text1"/>
                      <w:sz w:val="21"/>
                      <w:szCs w:val="21"/>
                      <w:highlight w:val="none"/>
                      <w:u w:val="none" w:color="auto"/>
                      <w:lang w:val="en-US" w:eastAsia="zh-CN"/>
                      <w14:textFill>
                        <w14:solidFill>
                          <w14:schemeClr w14:val="tx1"/>
                        </w14:solidFill>
                      </w14:textFill>
                    </w:rPr>
                    <w:t>、医护人员</w:t>
                  </w:r>
                </w:p>
              </w:tc>
              <w:tc>
                <w:tcPr>
                  <w:tcW w:w="1605" w:type="pct"/>
                  <w:vMerge w:val="continue"/>
                  <w:tcBorders>
                    <w:tl2br w:val="nil"/>
                    <w:tr2bl w:val="nil"/>
                  </w:tcBorders>
                  <w:noWrap w:val="0"/>
                  <w:vAlign w:val="center"/>
                </w:tcPr>
                <w:p w14:paraId="66C66D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p>
              </w:tc>
            </w:tr>
            <w:tr w14:paraId="518619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restart"/>
                  <w:tcBorders>
                    <w:tl2br w:val="nil"/>
                    <w:tr2bl w:val="nil"/>
                  </w:tcBorders>
                  <w:noWrap w:val="0"/>
                  <w:vAlign w:val="center"/>
                </w:tcPr>
                <w:p w14:paraId="01D7A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固体</w:t>
                  </w:r>
                </w:p>
                <w:p w14:paraId="56385F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废物</w:t>
                  </w:r>
                </w:p>
              </w:tc>
              <w:tc>
                <w:tcPr>
                  <w:tcW w:w="1282" w:type="pct"/>
                  <w:vMerge w:val="restart"/>
                  <w:tcBorders>
                    <w:tl2br w:val="nil"/>
                    <w:tr2bl w:val="nil"/>
                  </w:tcBorders>
                  <w:noWrap w:val="0"/>
                  <w:vAlign w:val="center"/>
                </w:tcPr>
                <w:p w14:paraId="0737DF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危险废物</w:t>
                  </w:r>
                </w:p>
              </w:tc>
              <w:tc>
                <w:tcPr>
                  <w:tcW w:w="1500" w:type="pct"/>
                  <w:tcBorders>
                    <w:tl2br w:val="nil"/>
                    <w:tr2bl w:val="nil"/>
                  </w:tcBorders>
                  <w:noWrap w:val="0"/>
                  <w:vAlign w:val="center"/>
                </w:tcPr>
                <w:p w14:paraId="752E0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w:t>
                  </w:r>
                </w:p>
              </w:tc>
              <w:tc>
                <w:tcPr>
                  <w:tcW w:w="1605" w:type="pct"/>
                  <w:tcBorders>
                    <w:tl2br w:val="nil"/>
                    <w:tr2bl w:val="nil"/>
                  </w:tcBorders>
                  <w:noWrap w:val="0"/>
                  <w:vAlign w:val="center"/>
                </w:tcPr>
                <w:p w14:paraId="43A0DE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污水处理站污泥</w:t>
                  </w:r>
                </w:p>
              </w:tc>
            </w:tr>
            <w:tr w14:paraId="40DD04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64D75C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14:paraId="4D21C6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14:paraId="394A27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诊疗过程</w:t>
                  </w:r>
                </w:p>
              </w:tc>
              <w:tc>
                <w:tcPr>
                  <w:tcW w:w="1605" w:type="pct"/>
                  <w:tcBorders>
                    <w:tl2br w:val="nil"/>
                    <w:tr2bl w:val="nil"/>
                  </w:tcBorders>
                  <w:noWrap w:val="0"/>
                  <w:vAlign w:val="center"/>
                </w:tcPr>
                <w:p w14:paraId="21B818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医疗废物</w:t>
                  </w:r>
                </w:p>
              </w:tc>
            </w:tr>
            <w:tr w14:paraId="572CB6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537B6E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vMerge w:val="continue"/>
                  <w:tcBorders>
                    <w:tl2br w:val="nil"/>
                    <w:tr2bl w:val="nil"/>
                  </w:tcBorders>
                  <w:noWrap w:val="0"/>
                  <w:vAlign w:val="center"/>
                </w:tcPr>
                <w:p w14:paraId="44BDB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500" w:type="pct"/>
                  <w:tcBorders>
                    <w:tl2br w:val="nil"/>
                    <w:tr2bl w:val="nil"/>
                  </w:tcBorders>
                  <w:noWrap w:val="0"/>
                  <w:vAlign w:val="center"/>
                </w:tcPr>
                <w:p w14:paraId="03F5FD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检验过程</w:t>
                  </w:r>
                </w:p>
              </w:tc>
              <w:tc>
                <w:tcPr>
                  <w:tcW w:w="1605" w:type="pct"/>
                  <w:tcBorders>
                    <w:tl2br w:val="nil"/>
                    <w:tr2bl w:val="nil"/>
                  </w:tcBorders>
                  <w:noWrap w:val="0"/>
                  <w:vAlign w:val="center"/>
                </w:tcPr>
                <w:p w14:paraId="0D344A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检验废液</w:t>
                  </w:r>
                </w:p>
              </w:tc>
            </w:tr>
            <w:tr w14:paraId="731276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11" w:type="pct"/>
                  <w:vMerge w:val="continue"/>
                  <w:tcBorders>
                    <w:tl2br w:val="nil"/>
                    <w:tr2bl w:val="nil"/>
                  </w:tcBorders>
                  <w:noWrap w:val="0"/>
                  <w:vAlign w:val="center"/>
                </w:tcPr>
                <w:p w14:paraId="34732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23CAEA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一般固废</w:t>
                  </w:r>
                </w:p>
              </w:tc>
              <w:tc>
                <w:tcPr>
                  <w:tcW w:w="1500" w:type="pct"/>
                  <w:tcBorders>
                    <w:tl2br w:val="nil"/>
                    <w:tr2bl w:val="nil"/>
                  </w:tcBorders>
                  <w:noWrap w:val="0"/>
                  <w:vAlign w:val="center"/>
                </w:tcPr>
                <w:p w14:paraId="4CD84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输液区、煎药室</w:t>
                  </w:r>
                </w:p>
              </w:tc>
              <w:tc>
                <w:tcPr>
                  <w:tcW w:w="1605" w:type="pct"/>
                  <w:tcBorders>
                    <w:tl2br w:val="nil"/>
                    <w:tr2bl w:val="nil"/>
                  </w:tcBorders>
                  <w:noWrap w:val="0"/>
                  <w:vAlign w:val="center"/>
                </w:tcPr>
                <w:p w14:paraId="070941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cs="Times New Roman"/>
                      <w:color w:val="000000" w:themeColor="text1"/>
                      <w:kern w:val="0"/>
                      <w:sz w:val="21"/>
                      <w:szCs w:val="21"/>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cs="宋体"/>
                      <w:color w:val="000000" w:themeColor="text1"/>
                      <w:kern w:val="0"/>
                      <w:sz w:val="21"/>
                      <w:szCs w:val="21"/>
                      <w:lang w:val="en-US" w:eastAsia="zh-CN"/>
                      <w14:textFill>
                        <w14:solidFill>
                          <w14:schemeClr w14:val="tx1"/>
                        </w14:solidFill>
                      </w14:textFill>
                    </w:rPr>
                    <w:t>、药渣</w:t>
                  </w:r>
                </w:p>
              </w:tc>
            </w:tr>
            <w:tr w14:paraId="7EF329A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0" w:hRule="atLeast"/>
                <w:jc w:val="center"/>
              </w:trPr>
              <w:tc>
                <w:tcPr>
                  <w:tcW w:w="611" w:type="pct"/>
                  <w:vMerge w:val="continue"/>
                  <w:tcBorders>
                    <w:tl2br w:val="nil"/>
                    <w:tr2bl w:val="nil"/>
                  </w:tcBorders>
                  <w:noWrap w:val="0"/>
                  <w:vAlign w:val="center"/>
                </w:tcPr>
                <w:p w14:paraId="39F94E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p>
              </w:tc>
              <w:tc>
                <w:tcPr>
                  <w:tcW w:w="1282" w:type="pct"/>
                  <w:tcBorders>
                    <w:tl2br w:val="nil"/>
                    <w:tr2bl w:val="nil"/>
                  </w:tcBorders>
                  <w:noWrap w:val="0"/>
                  <w:vAlign w:val="center"/>
                </w:tcPr>
                <w:p w14:paraId="450223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c>
                <w:tcPr>
                  <w:tcW w:w="1500" w:type="pct"/>
                  <w:tcBorders>
                    <w:tl2br w:val="nil"/>
                    <w:tr2bl w:val="nil"/>
                  </w:tcBorders>
                  <w:noWrap w:val="0"/>
                  <w:vAlign w:val="center"/>
                </w:tcPr>
                <w:p w14:paraId="27EE68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住院、门诊、宿舍、办公室</w:t>
                  </w:r>
                </w:p>
              </w:tc>
              <w:tc>
                <w:tcPr>
                  <w:tcW w:w="1605" w:type="pct"/>
                  <w:tcBorders>
                    <w:tl2br w:val="nil"/>
                    <w:tr2bl w:val="nil"/>
                  </w:tcBorders>
                  <w:noWrap w:val="0"/>
                  <w:vAlign w:val="center"/>
                </w:tcPr>
                <w:p w14:paraId="308753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生活垃圾</w:t>
                  </w:r>
                </w:p>
              </w:tc>
            </w:tr>
            <w:tr w14:paraId="13DC1BA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893" w:type="pct"/>
                  <w:gridSpan w:val="2"/>
                  <w:tcBorders>
                    <w:tl2br w:val="nil"/>
                    <w:tr2bl w:val="nil"/>
                  </w:tcBorders>
                  <w:noWrap w:val="0"/>
                  <w:vAlign w:val="center"/>
                </w:tcPr>
                <w:p w14:paraId="1D0970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噪声</w:t>
                  </w:r>
                </w:p>
              </w:tc>
              <w:tc>
                <w:tcPr>
                  <w:tcW w:w="1500" w:type="pct"/>
                  <w:tcBorders>
                    <w:tl2br w:val="nil"/>
                    <w:tr2bl w:val="nil"/>
                  </w:tcBorders>
                  <w:noWrap w:val="0"/>
                  <w:vAlign w:val="center"/>
                </w:tcPr>
                <w:p w14:paraId="303BF2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sz w:val="21"/>
                      <w:szCs w:val="21"/>
                      <w:lang w:val="en-US" w:eastAsia="zh-CN"/>
                    </w:rPr>
                  </w:pPr>
                  <w:r>
                    <w:rPr>
                      <w:rFonts w:hint="eastAsia"/>
                      <w:sz w:val="21"/>
                      <w:szCs w:val="21"/>
                      <w:lang w:val="en-US" w:eastAsia="zh-CN"/>
                    </w:rPr>
                    <w:t>机械设备</w:t>
                  </w:r>
                </w:p>
              </w:tc>
              <w:tc>
                <w:tcPr>
                  <w:tcW w:w="1605" w:type="pct"/>
                  <w:tcBorders>
                    <w:tl2br w:val="nil"/>
                    <w:tr2bl w:val="nil"/>
                  </w:tcBorders>
                  <w:noWrap w:val="0"/>
                  <w:vAlign w:val="center"/>
                </w:tcPr>
                <w:p w14:paraId="7B9020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宋体"/>
                      <w:sz w:val="21"/>
                      <w:szCs w:val="21"/>
                    </w:rPr>
                  </w:pPr>
                  <w:r>
                    <w:rPr>
                      <w:rFonts w:ascii="Times New Roman" w:hAnsi="Times New Roman" w:eastAsia="宋体"/>
                      <w:sz w:val="21"/>
                      <w:szCs w:val="21"/>
                    </w:rPr>
                    <w:t>等效</w:t>
                  </w:r>
                  <w:r>
                    <w:rPr>
                      <w:rFonts w:hint="eastAsia" w:ascii="Times New Roman" w:hAnsi="Times New Roman" w:eastAsia="宋体"/>
                      <w:sz w:val="21"/>
                      <w:szCs w:val="21"/>
                      <w:lang w:eastAsia="zh-CN"/>
                    </w:rPr>
                    <w:t>连续</w:t>
                  </w:r>
                  <w:r>
                    <w:rPr>
                      <w:rFonts w:ascii="Times New Roman" w:hAnsi="Times New Roman" w:eastAsia="宋体"/>
                      <w:sz w:val="21"/>
                      <w:szCs w:val="21"/>
                    </w:rPr>
                    <w:t>A声级</w:t>
                  </w:r>
                </w:p>
              </w:tc>
            </w:tr>
          </w:tbl>
          <w:p w14:paraId="143B0C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lang w:val="en-US" w:eastAsia="zh-CN"/>
              </w:rPr>
            </w:pPr>
          </w:p>
        </w:tc>
      </w:tr>
      <w:tr w14:paraId="6E1E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vAlign w:val="center"/>
          </w:tcPr>
          <w:p w14:paraId="14D9BD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kern w:val="2"/>
                <w:sz w:val="24"/>
                <w:szCs w:val="24"/>
              </w:rPr>
              <w:t>与项目有关的原有环境污染问题</w:t>
            </w:r>
          </w:p>
        </w:tc>
        <w:tc>
          <w:tcPr>
            <w:tcW w:w="7981" w:type="dxa"/>
            <w:vAlign w:val="center"/>
          </w:tcPr>
          <w:p w14:paraId="7098FDA2">
            <w:pPr>
              <w:spacing w:line="360" w:lineRule="auto"/>
              <w:jc w:val="left"/>
              <w:rPr>
                <w:rFonts w:hint="eastAsia" w:ascii="Times New Roman" w:hAnsi="Times New Roman" w:eastAsia="宋体" w:cs="Times New Roman"/>
                <w:b w:val="0"/>
                <w:bCs/>
                <w:color w:val="auto"/>
                <w:sz w:val="24"/>
                <w:lang w:eastAsia="zh-CN"/>
              </w:rPr>
            </w:pPr>
            <w:r>
              <w:rPr>
                <w:rFonts w:hint="default" w:ascii="Times New Roman" w:hAnsi="Times New Roman" w:cs="Times New Roman"/>
                <w:b/>
                <w:bCs w:val="0"/>
                <w:color w:val="auto"/>
                <w:sz w:val="24"/>
              </w:rPr>
              <w:t>1、与项目有关的原有环境污染</w:t>
            </w:r>
            <w:r>
              <w:rPr>
                <w:rFonts w:hint="eastAsia" w:cs="Times New Roman"/>
                <w:b/>
                <w:bCs w:val="0"/>
                <w:color w:val="auto"/>
                <w:sz w:val="24"/>
                <w:lang w:eastAsia="zh-CN"/>
              </w:rPr>
              <w:t>情况</w:t>
            </w:r>
          </w:p>
          <w:p w14:paraId="4D47BCE5">
            <w:pPr>
              <w:spacing w:line="360" w:lineRule="auto"/>
              <w:ind w:firstLine="480" w:firstLineChars="200"/>
              <w:jc w:val="left"/>
              <w:rPr>
                <w:rFonts w:hint="default" w:ascii="Times New Roman" w:hAnsi="Times New Roman" w:cs="Times New Roman"/>
                <w:b w:val="0"/>
                <w:bCs/>
                <w:color w:val="auto"/>
                <w:sz w:val="24"/>
              </w:rPr>
            </w:pPr>
            <w:r>
              <w:rPr>
                <w:rFonts w:hint="default" w:ascii="Times New Roman" w:hAnsi="Times New Roman" w:cs="Times New Roman"/>
                <w:b w:val="0"/>
                <w:bCs/>
                <w:color w:val="auto"/>
                <w:sz w:val="24"/>
              </w:rPr>
              <w:t>本项目位于</w:t>
            </w:r>
            <w:r>
              <w:rPr>
                <w:rFonts w:hint="eastAsia" w:cs="Arial"/>
                <w:i w:val="0"/>
                <w:iCs w:val="0"/>
                <w:caps w:val="0"/>
                <w:color w:val="auto"/>
                <w:spacing w:val="0"/>
                <w:sz w:val="24"/>
                <w:szCs w:val="24"/>
                <w:u w:val="none"/>
                <w:shd w:val="clear" w:fill="FFFFFF"/>
                <w:lang w:eastAsia="zh-CN"/>
              </w:rPr>
              <w:t>永州市新田县三井镇三井村</w:t>
            </w:r>
            <w:r>
              <w:rPr>
                <w:rFonts w:hint="default" w:ascii="Times New Roman" w:hAnsi="Times New Roman" w:cs="Times New Roman"/>
                <w:b w:val="0"/>
                <w:bCs/>
                <w:color w:val="auto"/>
                <w:sz w:val="24"/>
              </w:rPr>
              <w:t>，现涉及的</w:t>
            </w:r>
            <w:r>
              <w:rPr>
                <w:rFonts w:hint="eastAsia" w:cs="Times New Roman"/>
                <w:b w:val="0"/>
                <w:bCs/>
                <w:color w:val="auto"/>
                <w:sz w:val="24"/>
                <w:lang w:eastAsia="zh-CN"/>
              </w:rPr>
              <w:t>原有污染物及处理措施情况如下所述：</w:t>
            </w:r>
          </w:p>
          <w:p w14:paraId="2819EEDB">
            <w:pPr>
              <w:spacing w:line="360" w:lineRule="auto"/>
              <w:ind w:firstLine="480" w:firstLineChars="200"/>
              <w:jc w:val="both"/>
              <w:rPr>
                <w:rFonts w:hint="eastAsia" w:ascii="Times New Roman" w:hAnsi="Times New Roman" w:eastAsia="宋体" w:cs="Times New Roman"/>
                <w:b w:val="0"/>
                <w:bCs/>
                <w:color w:val="auto"/>
                <w:sz w:val="24"/>
                <w:u w:val="single" w:color="auto"/>
                <w:lang w:eastAsia="zh-CN"/>
              </w:rPr>
            </w:pPr>
            <w:r>
              <w:rPr>
                <w:rFonts w:hint="eastAsia" w:cs="Times New Roman"/>
                <w:b w:val="0"/>
                <w:bCs/>
                <w:color w:val="auto"/>
                <w:sz w:val="24"/>
                <w:u w:val="single" w:color="auto"/>
                <w:lang w:eastAsia="zh-CN"/>
              </w:rPr>
              <w:t>（</w:t>
            </w:r>
            <w:r>
              <w:rPr>
                <w:rFonts w:hint="eastAsia" w:cs="Times New Roman"/>
                <w:b w:val="0"/>
                <w:bCs/>
                <w:color w:val="auto"/>
                <w:sz w:val="24"/>
                <w:u w:val="single" w:color="auto"/>
                <w:lang w:val="en-US" w:eastAsia="zh-CN"/>
              </w:rPr>
              <w:t>1</w:t>
            </w:r>
            <w:r>
              <w:rPr>
                <w:rFonts w:hint="eastAsia" w:cs="Times New Roman"/>
                <w:b w:val="0"/>
                <w:bCs/>
                <w:color w:val="auto"/>
                <w:sz w:val="24"/>
                <w:u w:val="single" w:color="auto"/>
                <w:lang w:eastAsia="zh-CN"/>
              </w:rPr>
              <w:t>）废水及处理措施</w:t>
            </w:r>
          </w:p>
          <w:p w14:paraId="73C462F3">
            <w:pPr>
              <w:bidi w:val="0"/>
              <w:ind w:firstLine="480" w:firstLineChars="200"/>
              <w:rPr>
                <w:rFonts w:hint="default" w:ascii="Times New Roman" w:hAnsi="Times New Roman" w:cs="Times New Roman"/>
                <w:b w:val="0"/>
                <w:color w:val="auto"/>
                <w:kern w:val="2"/>
                <w:sz w:val="24"/>
                <w:szCs w:val="24"/>
                <w:u w:val="single" w:color="auto"/>
              </w:rPr>
            </w:pPr>
            <w:r>
              <w:rPr>
                <w:rFonts w:hint="default" w:ascii="Times New Roman" w:hAnsi="Times New Roman" w:cs="Times New Roman"/>
                <w:b w:val="0"/>
                <w:color w:val="auto"/>
                <w:kern w:val="2"/>
                <w:sz w:val="24"/>
                <w:szCs w:val="24"/>
                <w:u w:val="single" w:color="auto"/>
              </w:rPr>
              <w:t>本项</w:t>
            </w:r>
            <w:r>
              <w:rPr>
                <w:rFonts w:hint="default" w:ascii="Times New Roman" w:hAnsi="Times New Roman" w:cs="Times New Roman"/>
                <w:b w:val="0"/>
                <w:bCs/>
                <w:color w:val="auto"/>
                <w:kern w:val="2"/>
                <w:sz w:val="24"/>
                <w:szCs w:val="24"/>
                <w:u w:val="single" w:color="auto"/>
              </w:rPr>
              <w:t>目</w:t>
            </w:r>
            <w:r>
              <w:rPr>
                <w:rFonts w:hint="eastAsia"/>
                <w:b w:val="0"/>
                <w:bCs/>
                <w:color w:val="auto"/>
                <w:kern w:val="0"/>
                <w:sz w:val="24"/>
                <w:szCs w:val="24"/>
                <w:u w:val="single" w:color="auto"/>
                <w:lang w:val="en-US" w:eastAsia="zh-CN"/>
              </w:rPr>
              <w:t>医学影像科</w:t>
            </w:r>
            <w:r>
              <w:rPr>
                <w:rFonts w:hint="default" w:ascii="Times New Roman" w:hAnsi="Times New Roman" w:cs="Times New Roman"/>
                <w:b w:val="0"/>
                <w:color w:val="auto"/>
                <w:kern w:val="2"/>
                <w:sz w:val="24"/>
                <w:szCs w:val="24"/>
                <w:u w:val="single" w:color="auto"/>
              </w:rPr>
              <w:t>采用数码打印成像，不涉及洗印废水。本项目不设锅炉房，则无锅炉排水。</w:t>
            </w:r>
            <w:r>
              <w:rPr>
                <w:rFonts w:hint="eastAsia" w:cs="Times New Roman"/>
                <w:b w:val="0"/>
                <w:color w:val="auto"/>
                <w:kern w:val="2"/>
                <w:sz w:val="24"/>
                <w:szCs w:val="24"/>
                <w:u w:val="single" w:color="auto"/>
                <w:lang w:eastAsia="zh-CN"/>
              </w:rPr>
              <w:t>同时，</w:t>
            </w:r>
            <w:r>
              <w:rPr>
                <w:rFonts w:hint="default" w:ascii="Times New Roman" w:hAnsi="Times New Roman" w:cs="Times New Roman"/>
                <w:b w:val="0"/>
                <w:color w:val="auto"/>
                <w:kern w:val="2"/>
                <w:sz w:val="24"/>
                <w:szCs w:val="24"/>
                <w:u w:val="single" w:color="auto"/>
              </w:rPr>
              <w:t>本项目不开展同位素诊断的医疗项目，故项目不产生同位素诊疗、诊断放射性废水。</w:t>
            </w:r>
          </w:p>
          <w:p w14:paraId="10DF06C9">
            <w:pPr>
              <w:bidi w:val="0"/>
              <w:ind w:firstLine="480" w:firstLineChars="200"/>
              <w:rPr>
                <w:rFonts w:hint="default" w:ascii="Times New Roman" w:hAnsi="Times New Roman" w:cs="Times New Roman"/>
                <w:b w:val="0"/>
                <w:color w:val="auto"/>
                <w:kern w:val="2"/>
                <w:sz w:val="24"/>
                <w:szCs w:val="24"/>
                <w:u w:val="single" w:color="auto"/>
              </w:rPr>
            </w:pPr>
            <w:r>
              <w:rPr>
                <w:rFonts w:hint="eastAsia" w:cs="Times New Roman"/>
                <w:b w:val="0"/>
                <w:color w:val="auto"/>
                <w:kern w:val="2"/>
                <w:sz w:val="24"/>
                <w:szCs w:val="24"/>
                <w:u w:val="single" w:color="auto"/>
                <w:lang w:eastAsia="zh-CN"/>
              </w:rPr>
              <w:t>目前，</w:t>
            </w:r>
            <w:r>
              <w:rPr>
                <w:rFonts w:hint="default" w:ascii="Times New Roman" w:hAnsi="Times New Roman" w:cs="Times New Roman"/>
                <w:b w:val="0"/>
                <w:color w:val="auto"/>
                <w:kern w:val="2"/>
                <w:sz w:val="24"/>
                <w:szCs w:val="24"/>
                <w:u w:val="single" w:color="auto"/>
              </w:rPr>
              <w:t>本项目主要产生</w:t>
            </w:r>
            <w:r>
              <w:rPr>
                <w:rFonts w:hint="eastAsia" w:cs="Times New Roman"/>
                <w:b w:val="0"/>
                <w:color w:val="auto"/>
                <w:kern w:val="2"/>
                <w:sz w:val="24"/>
                <w:szCs w:val="24"/>
                <w:u w:val="single" w:color="auto"/>
                <w:lang w:eastAsia="zh-CN"/>
              </w:rPr>
              <w:t>的废水为医疗综合废水，</w:t>
            </w:r>
            <w:r>
              <w:rPr>
                <w:rFonts w:hint="eastAsia" w:cs="Times New Roman"/>
                <w:b w:val="0"/>
                <w:color w:val="auto"/>
                <w:kern w:val="2"/>
                <w:sz w:val="24"/>
                <w:szCs w:val="24"/>
                <w:u w:val="single" w:color="auto"/>
                <w:lang w:val="en-US" w:eastAsia="zh-CN"/>
              </w:rPr>
              <w:t>包括</w:t>
            </w:r>
            <w:r>
              <w:rPr>
                <w:rFonts w:hint="eastAsia" w:cs="Times New Roman"/>
                <w:b w:val="0"/>
                <w:color w:val="auto"/>
                <w:kern w:val="2"/>
                <w:sz w:val="24"/>
                <w:szCs w:val="24"/>
                <w:u w:val="single" w:color="auto"/>
                <w:lang w:eastAsia="zh-CN"/>
              </w:rPr>
              <w:t>食堂废水、医院职工废水</w:t>
            </w:r>
            <w:r>
              <w:rPr>
                <w:rFonts w:hint="eastAsia" w:cs="Times New Roman"/>
                <w:b w:val="0"/>
                <w:color w:val="auto"/>
                <w:kern w:val="2"/>
                <w:sz w:val="24"/>
                <w:szCs w:val="24"/>
                <w:u w:val="single" w:color="auto"/>
                <w:lang w:val="en-US" w:eastAsia="zh-CN"/>
              </w:rPr>
              <w:t>、</w:t>
            </w:r>
            <w:r>
              <w:rPr>
                <w:rFonts w:hint="eastAsia" w:cs="Times New Roman"/>
                <w:b w:val="0"/>
                <w:color w:val="auto"/>
                <w:kern w:val="2"/>
                <w:sz w:val="24"/>
                <w:szCs w:val="24"/>
                <w:u w:val="single" w:color="auto"/>
                <w:lang w:eastAsia="zh-CN"/>
              </w:rPr>
              <w:t>门诊废水、检验科废水。</w:t>
            </w:r>
          </w:p>
          <w:p w14:paraId="5745FBC8">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eastAsia="zh-CN"/>
              </w:rPr>
              <w:t>废水达标情况，</w:t>
            </w:r>
            <w:r>
              <w:rPr>
                <w:rFonts w:hint="eastAsia" w:cs="Times New Roman"/>
                <w:color w:val="000000" w:themeColor="text1"/>
                <w:sz w:val="24"/>
                <w:highlight w:val="none"/>
                <w:u w:val="single" w:color="auto"/>
                <w:lang w:eastAsia="zh-CN"/>
                <w14:textFill>
                  <w14:solidFill>
                    <w14:schemeClr w14:val="tx1"/>
                  </w14:solidFill>
                </w14:textFill>
              </w:rPr>
              <w:t>建设单</w:t>
            </w:r>
            <w:r>
              <w:rPr>
                <w:rFonts w:hint="eastAsia" w:ascii="Times New Roman" w:hAnsi="Times New Roman" w:cs="Times New Roman"/>
                <w:bCs/>
                <w:color w:val="auto"/>
                <w:sz w:val="24"/>
                <w:u w:val="single" w:color="auto"/>
                <w:lang w:eastAsia="zh-CN"/>
              </w:rPr>
              <w:t>位</w:t>
            </w:r>
            <w:r>
              <w:rPr>
                <w:rFonts w:hint="default" w:ascii="Times New Roman" w:hAnsi="Times New Roman" w:cs="Times New Roman"/>
                <w:bCs/>
                <w:color w:val="auto"/>
                <w:sz w:val="24"/>
                <w:u w:val="single" w:color="auto"/>
              </w:rPr>
              <w:t>委托</w:t>
            </w:r>
            <w:r>
              <w:rPr>
                <w:rFonts w:hint="eastAsia" w:ascii="Times New Roman" w:hAnsi="Times New Roman" w:cs="Times New Roman"/>
                <w:bCs/>
                <w:color w:val="auto"/>
                <w:sz w:val="24"/>
                <w:u w:val="single" w:color="auto"/>
                <w:lang w:val="en-US" w:eastAsia="zh-CN"/>
              </w:rPr>
              <w:t>湖南西南检验检测有限公司</w:t>
            </w:r>
            <w:r>
              <w:rPr>
                <w:rFonts w:hint="default" w:ascii="Times New Roman" w:hAnsi="Times New Roman" w:cs="Times New Roman"/>
                <w:bCs/>
                <w:color w:val="auto"/>
                <w:sz w:val="24"/>
                <w:u w:val="single" w:color="auto"/>
              </w:rPr>
              <w:t>于202</w:t>
            </w:r>
            <w:r>
              <w:rPr>
                <w:rFonts w:hint="eastAsia" w:ascii="Times New Roman" w:hAnsi="Times New Roman" w:cs="Times New Roman"/>
                <w:bCs/>
                <w:color w:val="auto"/>
                <w:sz w:val="24"/>
                <w:u w:val="single" w:color="auto"/>
                <w:lang w:val="en-US" w:eastAsia="zh-CN"/>
              </w:rPr>
              <w:t>5</w:t>
            </w:r>
            <w:r>
              <w:rPr>
                <w:rFonts w:hint="default" w:ascii="Times New Roman" w:hAnsi="Times New Roman" w:cs="Times New Roman"/>
                <w:bCs/>
                <w:color w:val="auto"/>
                <w:sz w:val="24"/>
                <w:u w:val="single" w:color="auto"/>
              </w:rPr>
              <w:t>年</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rPr>
              <w:t>月</w:t>
            </w:r>
            <w:r>
              <w:rPr>
                <w:rFonts w:hint="eastAsia" w:ascii="Times New Roman" w:hAnsi="Times New Roman" w:cs="Times New Roman"/>
                <w:bCs/>
                <w:color w:val="auto"/>
                <w:sz w:val="24"/>
                <w:u w:val="single" w:color="auto"/>
                <w:lang w:val="en-US" w:eastAsia="zh-CN"/>
              </w:rPr>
              <w:t>1</w:t>
            </w:r>
            <w:r>
              <w:rPr>
                <w:rFonts w:hint="default" w:ascii="Times New Roman" w:hAnsi="Times New Roman" w:cs="Times New Roman"/>
                <w:bCs/>
                <w:color w:val="auto"/>
                <w:sz w:val="24"/>
                <w:u w:val="single" w:color="auto"/>
              </w:rPr>
              <w:t>日对项目废水总排口进行监测，废水监测结果见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14:paraId="4A455F7D">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7</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废水检测结果</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64"/>
              <w:gridCol w:w="1398"/>
              <w:gridCol w:w="1223"/>
              <w:gridCol w:w="1405"/>
              <w:gridCol w:w="1790"/>
            </w:tblGrid>
            <w:tr w14:paraId="577ED0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tcBorders>
                    <w:tl2br w:val="nil"/>
                    <w:tr2bl w:val="nil"/>
                  </w:tcBorders>
                  <w:vAlign w:val="center"/>
                </w:tcPr>
                <w:p w14:paraId="71E018D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采样时间</w:t>
                  </w:r>
                </w:p>
              </w:tc>
              <w:tc>
                <w:tcPr>
                  <w:tcW w:w="964" w:type="dxa"/>
                  <w:tcBorders>
                    <w:tl2br w:val="nil"/>
                    <w:tr2bl w:val="nil"/>
                  </w:tcBorders>
                  <w:vAlign w:val="center"/>
                </w:tcPr>
                <w:p w14:paraId="71BE3CB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点位名称</w:t>
                  </w:r>
                </w:p>
              </w:tc>
              <w:tc>
                <w:tcPr>
                  <w:tcW w:w="1398" w:type="dxa"/>
                  <w:tcBorders>
                    <w:tl2br w:val="nil"/>
                    <w:tr2bl w:val="nil"/>
                  </w:tcBorders>
                  <w:vAlign w:val="center"/>
                </w:tcPr>
                <w:p w14:paraId="2877CF19">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检测项目</w:t>
                  </w:r>
                </w:p>
              </w:tc>
              <w:tc>
                <w:tcPr>
                  <w:tcW w:w="1223" w:type="dxa"/>
                  <w:tcBorders>
                    <w:tl2br w:val="nil"/>
                    <w:tr2bl w:val="nil"/>
                  </w:tcBorders>
                  <w:vAlign w:val="center"/>
                </w:tcPr>
                <w:p w14:paraId="590D0BA6">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单位</w:t>
                  </w:r>
                </w:p>
              </w:tc>
              <w:tc>
                <w:tcPr>
                  <w:tcW w:w="1405" w:type="dxa"/>
                  <w:tcBorders>
                    <w:tl2br w:val="nil"/>
                    <w:tr2bl w:val="nil"/>
                  </w:tcBorders>
                  <w:vAlign w:val="center"/>
                </w:tcPr>
                <w:p w14:paraId="5444DD57">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检测结果</w:t>
                  </w:r>
                </w:p>
              </w:tc>
              <w:tc>
                <w:tcPr>
                  <w:tcW w:w="1790" w:type="dxa"/>
                  <w:tcBorders>
                    <w:tl2br w:val="nil"/>
                    <w:tr2bl w:val="nil"/>
                  </w:tcBorders>
                  <w:vAlign w:val="center"/>
                </w:tcPr>
                <w:p w14:paraId="2AB23E39">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参考限制</w:t>
                  </w:r>
                </w:p>
              </w:tc>
            </w:tr>
            <w:tr w14:paraId="10E8C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restart"/>
                  <w:tcBorders>
                    <w:tl2br w:val="nil"/>
                    <w:tr2bl w:val="nil"/>
                  </w:tcBorders>
                  <w:vAlign w:val="center"/>
                </w:tcPr>
                <w:p w14:paraId="0CB8210E">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2025.1.1</w:t>
                  </w:r>
                </w:p>
              </w:tc>
              <w:tc>
                <w:tcPr>
                  <w:tcW w:w="964" w:type="dxa"/>
                  <w:vMerge w:val="restart"/>
                  <w:tcBorders>
                    <w:tl2br w:val="nil"/>
                    <w:tr2bl w:val="nil"/>
                  </w:tcBorders>
                  <w:vAlign w:val="center"/>
                </w:tcPr>
                <w:p w14:paraId="6DAF2757">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废水总排口W1</w:t>
                  </w:r>
                </w:p>
              </w:tc>
              <w:tc>
                <w:tcPr>
                  <w:tcW w:w="1398" w:type="dxa"/>
                  <w:tcBorders>
                    <w:tl2br w:val="nil"/>
                    <w:tr2bl w:val="nil"/>
                  </w:tcBorders>
                  <w:vAlign w:val="center"/>
                </w:tcPr>
                <w:p w14:paraId="5922A6E3">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pH</w:t>
                  </w:r>
                </w:p>
              </w:tc>
              <w:tc>
                <w:tcPr>
                  <w:tcW w:w="1223" w:type="dxa"/>
                  <w:tcBorders>
                    <w:tl2br w:val="nil"/>
                    <w:tr2bl w:val="nil"/>
                  </w:tcBorders>
                  <w:vAlign w:val="center"/>
                </w:tcPr>
                <w:p w14:paraId="3534E08C">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无量纲</w:t>
                  </w:r>
                </w:p>
              </w:tc>
              <w:tc>
                <w:tcPr>
                  <w:tcW w:w="1405" w:type="dxa"/>
                  <w:tcBorders>
                    <w:tl2br w:val="nil"/>
                    <w:tr2bl w:val="nil"/>
                  </w:tcBorders>
                  <w:vAlign w:val="center"/>
                </w:tcPr>
                <w:p w14:paraId="650B6BA8">
                  <w:pPr>
                    <w:bidi w:val="0"/>
                    <w:spacing w:line="240" w:lineRule="auto"/>
                    <w:jc w:val="center"/>
                    <w:rPr>
                      <w:rFonts w:hint="default"/>
                      <w:sz w:val="21"/>
                      <w:szCs w:val="21"/>
                      <w:u w:val="single" w:color="auto"/>
                      <w:lang w:val="en-US" w:eastAsia="zh-CN"/>
                    </w:rPr>
                  </w:pPr>
                  <w:r>
                    <w:rPr>
                      <w:rFonts w:hint="default" w:ascii="Times New Roman" w:hAnsi="Times New Roman" w:cs="Times New Roman"/>
                      <w:sz w:val="21"/>
                      <w:szCs w:val="21"/>
                      <w:u w:val="single" w:color="auto"/>
                      <w:lang w:val="en-US" w:eastAsia="zh-CN"/>
                    </w:rPr>
                    <w:t>7.</w:t>
                  </w:r>
                  <w:r>
                    <w:rPr>
                      <w:rFonts w:hint="eastAsia" w:cs="Times New Roman"/>
                      <w:sz w:val="21"/>
                      <w:szCs w:val="21"/>
                      <w:u w:val="single" w:color="auto"/>
                      <w:lang w:val="en-US" w:eastAsia="zh-CN"/>
                    </w:rPr>
                    <w:t>7~7.8</w:t>
                  </w:r>
                </w:p>
              </w:tc>
              <w:tc>
                <w:tcPr>
                  <w:tcW w:w="1790" w:type="dxa"/>
                  <w:tcBorders>
                    <w:tl2br w:val="nil"/>
                    <w:tr2bl w:val="nil"/>
                  </w:tcBorders>
                  <w:vAlign w:val="center"/>
                </w:tcPr>
                <w:p w14:paraId="5D48A825">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6-9</w:t>
                  </w:r>
                </w:p>
              </w:tc>
            </w:tr>
            <w:tr w14:paraId="5DEC1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14:paraId="3BC4C4D9">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06B343EB">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49F2ACFD">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悬浮物</w:t>
                  </w:r>
                </w:p>
              </w:tc>
              <w:tc>
                <w:tcPr>
                  <w:tcW w:w="1223" w:type="dxa"/>
                  <w:tcBorders>
                    <w:tl2br w:val="nil"/>
                    <w:tr2bl w:val="nil"/>
                  </w:tcBorders>
                  <w:vAlign w:val="center"/>
                </w:tcPr>
                <w:p w14:paraId="0CBBFCC7">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249937F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11~14</w:t>
                  </w:r>
                </w:p>
              </w:tc>
              <w:tc>
                <w:tcPr>
                  <w:tcW w:w="1790" w:type="dxa"/>
                  <w:tcBorders>
                    <w:tl2br w:val="nil"/>
                    <w:tr2bl w:val="nil"/>
                  </w:tcBorders>
                  <w:vAlign w:val="center"/>
                </w:tcPr>
                <w:p w14:paraId="4141F88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60</w:t>
                  </w:r>
                </w:p>
              </w:tc>
            </w:tr>
            <w:tr w14:paraId="02ECAB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14:paraId="096CFC69">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6A53CF8A">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4ED1E756">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BOD</w:t>
                  </w:r>
                  <w:r>
                    <w:rPr>
                      <w:rFonts w:hint="eastAsia"/>
                      <w:sz w:val="21"/>
                      <w:szCs w:val="21"/>
                      <w:u w:val="single" w:color="auto"/>
                      <w:vertAlign w:val="subscript"/>
                      <w:lang w:val="en-US" w:eastAsia="zh-CN"/>
                    </w:rPr>
                    <w:t>5</w:t>
                  </w:r>
                </w:p>
              </w:tc>
              <w:tc>
                <w:tcPr>
                  <w:tcW w:w="1223" w:type="dxa"/>
                  <w:tcBorders>
                    <w:tl2br w:val="nil"/>
                    <w:tr2bl w:val="nil"/>
                  </w:tcBorders>
                  <w:vAlign w:val="center"/>
                </w:tcPr>
                <w:p w14:paraId="01C420ED">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1462303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14~16</w:t>
                  </w:r>
                </w:p>
              </w:tc>
              <w:tc>
                <w:tcPr>
                  <w:tcW w:w="1790" w:type="dxa"/>
                  <w:tcBorders>
                    <w:tl2br w:val="nil"/>
                    <w:tr2bl w:val="nil"/>
                  </w:tcBorders>
                  <w:vAlign w:val="center"/>
                </w:tcPr>
                <w:p w14:paraId="388F3B8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100</w:t>
                  </w:r>
                </w:p>
              </w:tc>
            </w:tr>
            <w:tr w14:paraId="60DDC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14:paraId="08EEAC94">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39EE029A">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18E1152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CODcr</w:t>
                  </w:r>
                </w:p>
              </w:tc>
              <w:tc>
                <w:tcPr>
                  <w:tcW w:w="1223" w:type="dxa"/>
                  <w:tcBorders>
                    <w:tl2br w:val="nil"/>
                    <w:tr2bl w:val="nil"/>
                  </w:tcBorders>
                  <w:vAlign w:val="center"/>
                </w:tcPr>
                <w:p w14:paraId="1867A799">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677E49EC">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70~80</w:t>
                  </w:r>
                </w:p>
              </w:tc>
              <w:tc>
                <w:tcPr>
                  <w:tcW w:w="1790" w:type="dxa"/>
                  <w:tcBorders>
                    <w:tl2br w:val="nil"/>
                    <w:tr2bl w:val="nil"/>
                  </w:tcBorders>
                  <w:vAlign w:val="center"/>
                </w:tcPr>
                <w:p w14:paraId="10CEAF4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250</w:t>
                  </w:r>
                </w:p>
              </w:tc>
            </w:tr>
            <w:tr w14:paraId="20849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14:paraId="67588A3C">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1EF7CDB7">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73BE68A2">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LAS</w:t>
                  </w:r>
                </w:p>
              </w:tc>
              <w:tc>
                <w:tcPr>
                  <w:tcW w:w="1223" w:type="dxa"/>
                  <w:tcBorders>
                    <w:tl2br w:val="nil"/>
                    <w:tr2bl w:val="nil"/>
                  </w:tcBorders>
                  <w:vAlign w:val="center"/>
                </w:tcPr>
                <w:p w14:paraId="57FE63CE">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64CC5631">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0.32~0.39</w:t>
                  </w:r>
                </w:p>
              </w:tc>
              <w:tc>
                <w:tcPr>
                  <w:tcW w:w="1790" w:type="dxa"/>
                  <w:tcBorders>
                    <w:tl2br w:val="nil"/>
                    <w:tr2bl w:val="nil"/>
                  </w:tcBorders>
                  <w:vAlign w:val="center"/>
                </w:tcPr>
                <w:p w14:paraId="21A62F8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10</w:t>
                  </w:r>
                </w:p>
              </w:tc>
            </w:tr>
            <w:tr w14:paraId="4AB24E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14:paraId="1ECF6CC9">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3B589091">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2B71F711">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氨氮</w:t>
                  </w:r>
                </w:p>
              </w:tc>
              <w:tc>
                <w:tcPr>
                  <w:tcW w:w="1223" w:type="dxa"/>
                  <w:tcBorders>
                    <w:tl2br w:val="nil"/>
                    <w:tr2bl w:val="nil"/>
                  </w:tcBorders>
                  <w:vAlign w:val="center"/>
                </w:tcPr>
                <w:p w14:paraId="2CFEED3D">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210A9FFE">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4.17~4.66</w:t>
                  </w:r>
                </w:p>
              </w:tc>
              <w:tc>
                <w:tcPr>
                  <w:tcW w:w="1790" w:type="dxa"/>
                  <w:tcBorders>
                    <w:tl2br w:val="nil"/>
                    <w:tr2bl w:val="nil"/>
                  </w:tcBorders>
                  <w:vAlign w:val="center"/>
                </w:tcPr>
                <w:p w14:paraId="77E06DD0">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w:t>
                  </w:r>
                </w:p>
              </w:tc>
            </w:tr>
            <w:tr w14:paraId="1B54D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14:paraId="74998E06">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002B7719">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2AB2601D">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石油类</w:t>
                  </w:r>
                </w:p>
              </w:tc>
              <w:tc>
                <w:tcPr>
                  <w:tcW w:w="1223" w:type="dxa"/>
                  <w:tcBorders>
                    <w:tl2br w:val="nil"/>
                    <w:tr2bl w:val="nil"/>
                  </w:tcBorders>
                  <w:vAlign w:val="center"/>
                </w:tcPr>
                <w:p w14:paraId="0D7CA766">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4454617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0.15~0.18</w:t>
                  </w:r>
                </w:p>
              </w:tc>
              <w:tc>
                <w:tcPr>
                  <w:tcW w:w="1790" w:type="dxa"/>
                  <w:tcBorders>
                    <w:tl2br w:val="nil"/>
                    <w:tr2bl w:val="nil"/>
                  </w:tcBorders>
                  <w:vAlign w:val="center"/>
                </w:tcPr>
                <w:p w14:paraId="74DC365D">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14:paraId="3CA04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14:paraId="33ADD871">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0F44B819">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71A8B4CB">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动植物油</w:t>
                  </w:r>
                </w:p>
              </w:tc>
              <w:tc>
                <w:tcPr>
                  <w:tcW w:w="1223" w:type="dxa"/>
                  <w:tcBorders>
                    <w:tl2br w:val="nil"/>
                    <w:tr2bl w:val="nil"/>
                  </w:tcBorders>
                  <w:vAlign w:val="center"/>
                </w:tcPr>
                <w:p w14:paraId="57CE7A07">
                  <w:pPr>
                    <w:bidi w:val="0"/>
                    <w:spacing w:line="240" w:lineRule="auto"/>
                    <w:jc w:val="center"/>
                    <w:rPr>
                      <w:rFonts w:hint="eastAsia"/>
                      <w:sz w:val="21"/>
                      <w:szCs w:val="21"/>
                      <w:u w:val="single" w:color="auto"/>
                      <w:lang w:val="en-US" w:eastAsia="zh-CN"/>
                    </w:rPr>
                  </w:pPr>
                  <w:r>
                    <w:rPr>
                      <w:rFonts w:hint="eastAsia"/>
                      <w:sz w:val="21"/>
                      <w:szCs w:val="21"/>
                      <w:u w:val="single" w:color="auto"/>
                      <w:lang w:val="en-US" w:eastAsia="zh-CN"/>
                    </w:rPr>
                    <w:t>mg/L</w:t>
                  </w:r>
                </w:p>
              </w:tc>
              <w:tc>
                <w:tcPr>
                  <w:tcW w:w="1405" w:type="dxa"/>
                  <w:tcBorders>
                    <w:tl2br w:val="nil"/>
                    <w:tr2bl w:val="nil"/>
                  </w:tcBorders>
                  <w:vAlign w:val="center"/>
                </w:tcPr>
                <w:p w14:paraId="28BB79FC">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0.61~0.67</w:t>
                  </w:r>
                </w:p>
              </w:tc>
              <w:tc>
                <w:tcPr>
                  <w:tcW w:w="1790" w:type="dxa"/>
                  <w:tcBorders>
                    <w:tl2br w:val="nil"/>
                    <w:tr2bl w:val="nil"/>
                  </w:tcBorders>
                  <w:vAlign w:val="center"/>
                </w:tcPr>
                <w:p w14:paraId="72C350D2">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20</w:t>
                  </w:r>
                </w:p>
              </w:tc>
            </w:tr>
            <w:tr w14:paraId="5B94A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5" w:type="dxa"/>
                  <w:vMerge w:val="continue"/>
                  <w:tcBorders>
                    <w:tl2br w:val="nil"/>
                    <w:tr2bl w:val="nil"/>
                  </w:tcBorders>
                  <w:vAlign w:val="center"/>
                </w:tcPr>
                <w:p w14:paraId="7EFDD767">
                  <w:pPr>
                    <w:bidi w:val="0"/>
                    <w:spacing w:line="240" w:lineRule="auto"/>
                    <w:jc w:val="center"/>
                    <w:rPr>
                      <w:rFonts w:hint="default"/>
                      <w:sz w:val="21"/>
                      <w:szCs w:val="21"/>
                      <w:u w:val="single" w:color="auto"/>
                      <w:lang w:val="en-US" w:eastAsia="zh-CN"/>
                    </w:rPr>
                  </w:pPr>
                </w:p>
              </w:tc>
              <w:tc>
                <w:tcPr>
                  <w:tcW w:w="964" w:type="dxa"/>
                  <w:vMerge w:val="continue"/>
                  <w:tcBorders>
                    <w:tl2br w:val="nil"/>
                    <w:tr2bl w:val="nil"/>
                  </w:tcBorders>
                  <w:vAlign w:val="center"/>
                </w:tcPr>
                <w:p w14:paraId="5623BFB4">
                  <w:pPr>
                    <w:bidi w:val="0"/>
                    <w:spacing w:line="240" w:lineRule="auto"/>
                    <w:jc w:val="center"/>
                    <w:rPr>
                      <w:rFonts w:hint="default"/>
                      <w:sz w:val="21"/>
                      <w:szCs w:val="21"/>
                      <w:u w:val="single" w:color="auto"/>
                      <w:lang w:val="en-US" w:eastAsia="zh-CN"/>
                    </w:rPr>
                  </w:pPr>
                </w:p>
              </w:tc>
              <w:tc>
                <w:tcPr>
                  <w:tcW w:w="1398" w:type="dxa"/>
                  <w:tcBorders>
                    <w:tl2br w:val="nil"/>
                    <w:tr2bl w:val="nil"/>
                  </w:tcBorders>
                  <w:vAlign w:val="center"/>
                </w:tcPr>
                <w:p w14:paraId="329C7690">
                  <w:pPr>
                    <w:bidi w:val="0"/>
                    <w:spacing w:line="240" w:lineRule="auto"/>
                    <w:jc w:val="center"/>
                    <w:rPr>
                      <w:rFonts w:hint="default"/>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粪大肠菌群</w:t>
                  </w:r>
                </w:p>
              </w:tc>
              <w:tc>
                <w:tcPr>
                  <w:tcW w:w="1223" w:type="dxa"/>
                  <w:tcBorders>
                    <w:tl2br w:val="nil"/>
                    <w:tr2bl w:val="nil"/>
                  </w:tcBorders>
                  <w:vAlign w:val="center"/>
                </w:tcPr>
                <w:p w14:paraId="3B566779">
                  <w:pPr>
                    <w:bidi w:val="0"/>
                    <w:spacing w:line="240" w:lineRule="auto"/>
                    <w:jc w:val="center"/>
                    <w:rPr>
                      <w:rFonts w:hint="eastAsia"/>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MPN/L</w:t>
                  </w:r>
                </w:p>
              </w:tc>
              <w:tc>
                <w:tcPr>
                  <w:tcW w:w="1405" w:type="dxa"/>
                  <w:tcBorders>
                    <w:tl2br w:val="nil"/>
                    <w:tr2bl w:val="nil"/>
                  </w:tcBorders>
                  <w:vAlign w:val="center"/>
                </w:tcPr>
                <w:p w14:paraId="0325ED24">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320~490</w:t>
                  </w:r>
                </w:p>
              </w:tc>
              <w:tc>
                <w:tcPr>
                  <w:tcW w:w="1790" w:type="dxa"/>
                  <w:tcBorders>
                    <w:tl2br w:val="nil"/>
                    <w:tr2bl w:val="nil"/>
                  </w:tcBorders>
                  <w:vAlign w:val="center"/>
                </w:tcPr>
                <w:p w14:paraId="6B8C702C">
                  <w:pPr>
                    <w:bidi w:val="0"/>
                    <w:spacing w:line="240" w:lineRule="auto"/>
                    <w:jc w:val="center"/>
                    <w:rPr>
                      <w:rFonts w:hint="default"/>
                      <w:sz w:val="21"/>
                      <w:szCs w:val="21"/>
                      <w:u w:val="single" w:color="auto"/>
                      <w:lang w:val="en-US" w:eastAsia="zh-CN"/>
                    </w:rPr>
                  </w:pPr>
                  <w:r>
                    <w:rPr>
                      <w:rFonts w:hint="eastAsia"/>
                      <w:sz w:val="21"/>
                      <w:szCs w:val="21"/>
                      <w:u w:val="single" w:color="auto"/>
                      <w:lang w:val="en-US" w:eastAsia="zh-CN"/>
                    </w:rPr>
                    <w:t>5000</w:t>
                  </w:r>
                </w:p>
              </w:tc>
            </w:tr>
            <w:tr w14:paraId="303F3F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5" w:type="dxa"/>
                  <w:gridSpan w:val="6"/>
                  <w:tcBorders>
                    <w:tl2br w:val="nil"/>
                    <w:tr2bl w:val="nil"/>
                  </w:tcBorders>
                  <w:vAlign w:val="center"/>
                </w:tcPr>
                <w:p w14:paraId="464CAD5D">
                  <w:pPr>
                    <w:bidi w:val="0"/>
                    <w:spacing w:line="240" w:lineRule="auto"/>
                    <w:jc w:val="center"/>
                    <w:rPr>
                      <w:rFonts w:hint="eastAsia"/>
                      <w:sz w:val="21"/>
                      <w:szCs w:val="21"/>
                      <w:u w:val="single" w:color="auto"/>
                      <w:lang w:val="en-US" w:eastAsia="zh-CN"/>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《医疗机构水污染物排放标准》（GB18466-2005）表2</w:t>
                  </w:r>
                  <w:r>
                    <w:rPr>
                      <w:rFonts w:hint="eastAsia" w:cs="Times New Roman"/>
                      <w:color w:val="000000" w:themeColor="text1"/>
                      <w:sz w:val="21"/>
                      <w:szCs w:val="21"/>
                      <w:u w:val="single" w:color="auto"/>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1"/>
                      <w:szCs w:val="21"/>
                      <w:u w:val="single" w:color="auto"/>
                      <w14:textFill>
                        <w14:solidFill>
                          <w14:schemeClr w14:val="tx1"/>
                        </w14:solidFill>
                      </w14:textFill>
                    </w:rPr>
                    <w:t>的预处理标准</w:t>
                  </w:r>
                </w:p>
              </w:tc>
            </w:tr>
          </w:tbl>
          <w:p w14:paraId="6D827B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u w:val="single" w:color="auto"/>
              </w:rPr>
            </w:pPr>
            <w:r>
              <w:rPr>
                <w:rFonts w:hint="eastAsia"/>
                <w:i w:val="0"/>
                <w:iCs w:val="0"/>
                <w:color w:val="auto"/>
                <w:sz w:val="24"/>
                <w:szCs w:val="24"/>
                <w:u w:val="single" w:color="auto"/>
                <w:lang w:val="en-US" w:eastAsia="zh-CN"/>
              </w:rPr>
              <w:t>上表中监测结果可知：污水处理站出口处出水水质各监测指标均达到《医疗机构水污染排放标准》（GB18466-2005）表2中综合医疗机构和其他医疗机构水污染排放限值中预处理标准，可达标排放。</w:t>
            </w:r>
          </w:p>
          <w:p w14:paraId="7D33CB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eastAsia="zh-CN"/>
              </w:rPr>
              <w:t>（</w:t>
            </w:r>
            <w:r>
              <w:rPr>
                <w:rFonts w:hint="eastAsia"/>
                <w:sz w:val="24"/>
                <w:szCs w:val="24"/>
                <w:u w:val="single" w:color="auto"/>
                <w:lang w:val="en-US" w:eastAsia="zh-CN"/>
              </w:rPr>
              <w:t>2</w:t>
            </w:r>
            <w:r>
              <w:rPr>
                <w:rFonts w:hint="eastAsia"/>
                <w:sz w:val="24"/>
                <w:szCs w:val="24"/>
                <w:u w:val="single" w:color="auto"/>
                <w:lang w:eastAsia="zh-CN"/>
              </w:rPr>
              <w:t>）</w:t>
            </w:r>
            <w:r>
              <w:rPr>
                <w:sz w:val="24"/>
                <w:szCs w:val="24"/>
                <w:u w:val="single" w:color="auto"/>
              </w:rPr>
              <w:t>废气</w:t>
            </w:r>
            <w:r>
              <w:rPr>
                <w:rFonts w:hint="eastAsia"/>
                <w:sz w:val="24"/>
                <w:szCs w:val="24"/>
                <w:u w:val="single" w:color="auto"/>
                <w:lang w:eastAsia="zh-CN"/>
              </w:rPr>
              <w:t>及处理措施</w:t>
            </w:r>
          </w:p>
          <w:p w14:paraId="2DE91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highlight w:val="none"/>
                <w:u w:val="single" w:color="auto"/>
                <w14:textFill>
                  <w14:solidFill>
                    <w14:schemeClr w14:val="tx1"/>
                  </w14:solidFill>
                </w14:textFill>
              </w:rPr>
            </w:pPr>
            <w:r>
              <w:rPr>
                <w:rFonts w:hint="default" w:ascii="Times New Roman" w:hAnsi="Times New Roman" w:cs="Times New Roman"/>
                <w:color w:val="000000" w:themeColor="text1"/>
                <w:sz w:val="24"/>
                <w:highlight w:val="none"/>
                <w:u w:val="single" w:color="auto"/>
                <w14:textFill>
                  <w14:solidFill>
                    <w14:schemeClr w14:val="tx1"/>
                  </w14:solidFill>
                </w14:textFill>
              </w:rPr>
              <w:t>现有</w:t>
            </w:r>
            <w:r>
              <w:rPr>
                <w:rFonts w:hint="eastAsia" w:cs="Times New Roman"/>
                <w:color w:val="000000" w:themeColor="text1"/>
                <w:sz w:val="24"/>
                <w:highlight w:val="none"/>
                <w:u w:val="single" w:color="auto"/>
                <w:lang w:eastAsia="zh-CN"/>
                <w14:textFill>
                  <w14:solidFill>
                    <w14:schemeClr w14:val="tx1"/>
                  </w14:solidFill>
                </w14:textFill>
              </w:rPr>
              <w:t>医院</w:t>
            </w:r>
            <w:r>
              <w:rPr>
                <w:rFonts w:hint="default" w:ascii="Times New Roman" w:hAnsi="Times New Roman" w:cs="Times New Roman"/>
                <w:color w:val="000000" w:themeColor="text1"/>
                <w:sz w:val="24"/>
                <w:highlight w:val="none"/>
                <w:u w:val="single" w:color="auto"/>
                <w14:textFill>
                  <w14:solidFill>
                    <w14:schemeClr w14:val="tx1"/>
                  </w14:solidFill>
                </w14:textFill>
              </w:rPr>
              <w:t>废气主要</w:t>
            </w:r>
            <w:r>
              <w:rPr>
                <w:rFonts w:hint="eastAsia" w:cs="Times New Roman"/>
                <w:color w:val="000000" w:themeColor="text1"/>
                <w:sz w:val="24"/>
                <w:highlight w:val="none"/>
                <w:u w:val="single" w:color="auto"/>
                <w:lang w:eastAsia="zh-CN"/>
                <w14:textFill>
                  <w14:solidFill>
                    <w14:schemeClr w14:val="tx1"/>
                  </w14:solidFill>
                </w14:textFill>
              </w:rPr>
              <w:t>为</w:t>
            </w:r>
            <w:r>
              <w:rPr>
                <w:rFonts w:hint="eastAsia" w:ascii="宋体" w:hAnsi="宋体" w:eastAsia="宋体" w:cs="宋体"/>
                <w:color w:val="000000"/>
                <w:kern w:val="0"/>
                <w:sz w:val="24"/>
                <w:szCs w:val="24"/>
                <w:highlight w:val="none"/>
                <w:u w:val="single" w:color="auto"/>
                <w:lang w:val="en-US" w:eastAsia="zh-CN" w:bidi="ar"/>
              </w:rPr>
              <w:t>污水处理站废气</w:t>
            </w:r>
            <w:r>
              <w:rPr>
                <w:rFonts w:hint="eastAsia" w:cs="Times New Roman"/>
                <w:color w:val="000000" w:themeColor="text1"/>
                <w:sz w:val="24"/>
                <w:highlight w:val="none"/>
                <w:u w:val="single" w:color="auto"/>
                <w:lang w:eastAsia="zh-CN"/>
                <w14:textFill>
                  <w14:solidFill>
                    <w14:schemeClr w14:val="tx1"/>
                  </w14:solidFill>
                </w14:textFill>
              </w:rPr>
              <w:t>、</w:t>
            </w:r>
            <w:r>
              <w:rPr>
                <w:rFonts w:hint="eastAsia" w:ascii="宋体" w:hAnsi="宋体" w:eastAsia="宋体" w:cs="宋体"/>
                <w:color w:val="000000"/>
                <w:kern w:val="0"/>
                <w:sz w:val="24"/>
                <w:szCs w:val="24"/>
                <w:highlight w:val="none"/>
                <w:u w:val="single" w:color="auto"/>
                <w:lang w:val="en-US" w:eastAsia="zh-CN" w:bidi="ar"/>
              </w:rPr>
              <w:t>煎药废气、医废暂存间异味、医疗废气</w:t>
            </w:r>
            <w:r>
              <w:rPr>
                <w:rFonts w:hint="default" w:ascii="Times New Roman" w:hAnsi="Times New Roman" w:cs="Times New Roman"/>
                <w:color w:val="000000" w:themeColor="text1"/>
                <w:sz w:val="24"/>
                <w:highlight w:val="none"/>
                <w:u w:val="single" w:color="auto"/>
                <w14:textFill>
                  <w14:solidFill>
                    <w14:schemeClr w14:val="tx1"/>
                  </w14:solidFill>
                </w14:textFill>
              </w:rPr>
              <w:t>。</w:t>
            </w:r>
          </w:p>
          <w:p w14:paraId="491F3C8D">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①污水处理站废气</w:t>
            </w:r>
          </w:p>
          <w:p w14:paraId="7A2B4D65">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default" w:ascii="Times New Roman" w:hAnsi="Times New Roman" w:eastAsia="宋体" w:cs="Times New Roman"/>
                <w:b w:val="0"/>
                <w:bCs w:val="0"/>
                <w:color w:val="auto"/>
                <w:sz w:val="24"/>
                <w:szCs w:val="24"/>
                <w:highlight w:val="none"/>
                <w:u w:val="single" w:color="auto"/>
                <w:lang w:val="en-US" w:eastAsia="zh-CN"/>
              </w:rPr>
              <w:t>污水处理站为</w:t>
            </w:r>
            <w:r>
              <w:rPr>
                <w:rFonts w:hint="eastAsia" w:cs="Times New Roman"/>
                <w:color w:val="000000" w:themeColor="text1"/>
                <w:sz w:val="24"/>
                <w:szCs w:val="24"/>
                <w:u w:val="single" w:color="auto"/>
                <w:lang w:eastAsia="zh-CN"/>
                <w14:textFill>
                  <w14:solidFill>
                    <w14:schemeClr w14:val="tx1"/>
                  </w14:solidFill>
                </w14:textFill>
              </w:rPr>
              <w:t>地埋式</w:t>
            </w:r>
            <w:r>
              <w:rPr>
                <w:rFonts w:hint="default" w:ascii="Times New Roman" w:hAnsi="Times New Roman" w:cs="Times New Roman"/>
                <w:color w:val="000000" w:themeColor="text1"/>
                <w:sz w:val="24"/>
                <w:szCs w:val="24"/>
                <w:u w:val="single" w:color="auto"/>
                <w14:textFill>
                  <w14:solidFill>
                    <w14:schemeClr w14:val="tx1"/>
                  </w14:solidFill>
                </w14:textFill>
              </w:rPr>
              <w:t>密闭</w:t>
            </w:r>
            <w:r>
              <w:rPr>
                <w:rFonts w:hint="eastAsia" w:cs="Times New Roman"/>
                <w:color w:val="000000" w:themeColor="text1"/>
                <w:sz w:val="24"/>
                <w:szCs w:val="24"/>
                <w:u w:val="single" w:color="auto"/>
                <w:lang w:eastAsia="zh-CN"/>
                <w14:textFill>
                  <w14:solidFill>
                    <w14:schemeClr w14:val="tx1"/>
                  </w14:solidFill>
                </w14:textFill>
              </w:rPr>
              <w:t>加盖</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eastAsia="宋体" w:cs="Times New Roman"/>
                <w:b w:val="0"/>
                <w:bCs w:val="0"/>
                <w:color w:val="auto"/>
                <w:sz w:val="24"/>
                <w:szCs w:val="24"/>
                <w:highlight w:val="none"/>
                <w:u w:val="single" w:color="auto"/>
                <w:lang w:val="en-US" w:eastAsia="zh-CN"/>
              </w:rPr>
              <w:t>加强污水处理站周边绿化</w:t>
            </w:r>
            <w:r>
              <w:rPr>
                <w:rFonts w:hint="eastAsia" w:cs="Times New Roman"/>
                <w:b w:val="0"/>
                <w:bCs w:val="0"/>
                <w:color w:val="auto"/>
                <w:sz w:val="24"/>
                <w:szCs w:val="24"/>
                <w:highlight w:val="none"/>
                <w:u w:val="single" w:color="auto"/>
                <w:lang w:val="en-US" w:eastAsia="zh-CN"/>
              </w:rPr>
              <w:t>等措施</w:t>
            </w:r>
            <w:r>
              <w:rPr>
                <w:rFonts w:hint="default" w:ascii="Times New Roman" w:hAnsi="Times New Roman" w:eastAsia="宋体" w:cs="Times New Roman"/>
                <w:color w:val="000000"/>
                <w:kern w:val="0"/>
                <w:sz w:val="24"/>
                <w:szCs w:val="24"/>
                <w:highlight w:val="none"/>
                <w:u w:val="single" w:color="auto"/>
                <w:lang w:val="en-US" w:eastAsia="zh-CN" w:bidi="ar"/>
              </w:rPr>
              <w:t>，恶臭气体（氨、硫化氢、臭气浓度）对周边环境的影响较小。</w:t>
            </w:r>
          </w:p>
          <w:p w14:paraId="5D4ACDC7">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②煎药废气</w:t>
            </w:r>
          </w:p>
          <w:p w14:paraId="4A3EAB89">
            <w:pPr>
              <w:spacing w:line="360" w:lineRule="auto"/>
              <w:ind w:firstLine="480" w:firstLineChars="200"/>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现有项目设置电加热自动煎药机，煎药废气通过加强房间通风处理后呈无组织排放，对周边环境影响较小。</w:t>
            </w:r>
          </w:p>
          <w:p w14:paraId="2DBDD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③医废暂存间异味</w:t>
            </w:r>
          </w:p>
          <w:p w14:paraId="3281F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现有项目通过设置封闭式医疗废物暂存间，加强医疗废物暂存间清洁及消毒后呈无组织排放，对周边环境影响较小。</w:t>
            </w:r>
          </w:p>
          <w:p w14:paraId="5860C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u w:val="single" w:color="auto"/>
                <w:lang w:val="en-US" w:eastAsia="zh-CN" w:bidi="ar"/>
              </w:rPr>
            </w:pPr>
            <w:r>
              <w:rPr>
                <w:rFonts w:hint="eastAsia" w:ascii="宋体" w:hAnsi="宋体" w:eastAsia="宋体" w:cs="宋体"/>
                <w:color w:val="000000"/>
                <w:kern w:val="0"/>
                <w:sz w:val="24"/>
                <w:szCs w:val="24"/>
                <w:highlight w:val="none"/>
                <w:u w:val="single" w:color="auto"/>
                <w:lang w:val="en-US" w:eastAsia="zh-CN" w:bidi="ar"/>
              </w:rPr>
              <w:t>④医疗废气</w:t>
            </w:r>
          </w:p>
          <w:p w14:paraId="786E58F5">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u w:val="single" w:color="auto"/>
                <w:lang w:val="en-US" w:eastAsia="zh-CN"/>
              </w:rPr>
            </w:pPr>
            <w:r>
              <w:rPr>
                <w:rFonts w:hint="eastAsia" w:ascii="Times New Roman" w:hAnsi="Times New Roman" w:eastAsia="宋体" w:cs="Times New Roman"/>
                <w:sz w:val="24"/>
                <w:szCs w:val="24"/>
                <w:highlight w:val="none"/>
                <w:u w:val="single" w:color="auto"/>
                <w:vertAlign w:val="baseline"/>
                <w:lang w:val="en-US" w:eastAsia="zh-CN"/>
              </w:rPr>
              <w:t>医疗废气</w:t>
            </w:r>
            <w:r>
              <w:rPr>
                <w:rFonts w:hint="eastAsia"/>
                <w:sz w:val="24"/>
                <w:szCs w:val="24"/>
                <w:u w:val="single" w:color="auto"/>
                <w:lang w:val="en-US" w:eastAsia="zh-CN"/>
              </w:rPr>
              <w:t>经院内各楼层常开窗通风换气，呈无组织排放，对周边环境影响较小。</w:t>
            </w:r>
          </w:p>
          <w:p w14:paraId="56CE3189">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olor w:val="auto"/>
                <w:sz w:val="24"/>
                <w:szCs w:val="24"/>
                <w:u w:val="single" w:color="auto"/>
                <w:lang w:val="en-US" w:eastAsia="zh-CN"/>
              </w:rPr>
            </w:pPr>
            <w:r>
              <w:rPr>
                <w:rFonts w:hint="eastAsia" w:ascii="宋体" w:hAnsi="宋体" w:eastAsia="宋体" w:cs="宋体"/>
                <w:color w:val="auto"/>
                <w:kern w:val="0"/>
                <w:sz w:val="24"/>
                <w:szCs w:val="24"/>
                <w:highlight w:val="none"/>
                <w:u w:val="single" w:color="auto"/>
                <w:lang w:val="en-US" w:eastAsia="zh-CN" w:bidi="ar"/>
              </w:rPr>
              <w:t>⑤</w:t>
            </w:r>
            <w:r>
              <w:rPr>
                <w:rFonts w:hint="eastAsia" w:ascii="Times New Roman" w:hAnsi="Times New Roman" w:eastAsia="宋体"/>
                <w:color w:val="auto"/>
                <w:sz w:val="24"/>
                <w:szCs w:val="24"/>
                <w:u w:val="single" w:color="auto"/>
                <w:lang w:val="en-US" w:eastAsia="zh-CN"/>
              </w:rPr>
              <w:t>食堂油烟</w:t>
            </w:r>
          </w:p>
          <w:p w14:paraId="4B99A779">
            <w:pPr>
              <w:spacing w:line="360" w:lineRule="auto"/>
              <w:ind w:firstLine="480" w:firstLineChars="200"/>
              <w:rPr>
                <w:rFonts w:hint="eastAsia" w:ascii="Times New Roman" w:hAnsi="Times New Roman" w:eastAsia="宋体"/>
                <w:color w:val="auto"/>
                <w:sz w:val="24"/>
                <w:szCs w:val="24"/>
                <w:u w:val="single" w:color="auto"/>
                <w:lang w:val="en-US" w:eastAsia="zh-CN"/>
              </w:rPr>
            </w:pPr>
            <w:r>
              <w:rPr>
                <w:rFonts w:hint="default" w:ascii="Times New Roman" w:hAnsi="Times New Roman" w:eastAsia="宋体"/>
                <w:color w:val="auto"/>
                <w:sz w:val="24"/>
                <w:szCs w:val="24"/>
                <w:u w:val="single" w:color="auto"/>
                <w:lang w:val="en-US" w:eastAsia="zh-CN"/>
              </w:rPr>
              <w:t>本项目设置一个小型食堂，食堂共1个灶头，</w:t>
            </w:r>
            <w:r>
              <w:rPr>
                <w:rFonts w:hint="eastAsia" w:ascii="Times New Roman" w:hAnsi="Times New Roman" w:eastAsia="宋体"/>
                <w:color w:val="auto"/>
                <w:sz w:val="24"/>
                <w:szCs w:val="24"/>
                <w:u w:val="single" w:color="auto"/>
                <w:lang w:val="en-US" w:eastAsia="zh-CN"/>
              </w:rPr>
              <w:t>该食堂油烟废气采用高效静电油烟净化器处理，经处理后高于屋顶排放。</w:t>
            </w:r>
          </w:p>
          <w:p w14:paraId="3747175F">
            <w:pPr>
              <w:pStyle w:val="15"/>
              <w:keepNext w:val="0"/>
              <w:keepLines w:val="0"/>
              <w:pageBreakBefore w:val="0"/>
              <w:widowControl w:val="0"/>
              <w:kinsoku/>
              <w:wordWrap/>
              <w:overflowPunct/>
              <w:topLinePunct w:val="0"/>
              <w:bidi w:val="0"/>
              <w:spacing w:after="0" w:line="360" w:lineRule="auto"/>
              <w:ind w:firstLine="480" w:firstLineChars="200"/>
              <w:textAlignment w:val="auto"/>
              <w:rPr>
                <w:rFonts w:hint="default" w:ascii="Times New Roman" w:hAnsi="Times New Roman" w:cs="Times New Roman"/>
                <w:bCs/>
                <w:color w:val="auto"/>
                <w:sz w:val="24"/>
                <w:u w:val="single" w:color="auto"/>
              </w:rPr>
            </w:pPr>
            <w:r>
              <w:rPr>
                <w:rFonts w:hint="default" w:ascii="Times New Roman" w:hAnsi="Times New Roman" w:cs="Times New Roman"/>
                <w:bCs/>
                <w:color w:val="auto"/>
                <w:sz w:val="24"/>
                <w:u w:val="single" w:color="auto"/>
              </w:rPr>
              <w:t>为了解</w:t>
            </w:r>
            <w:r>
              <w:rPr>
                <w:rFonts w:hint="eastAsia" w:cs="Times New Roman"/>
                <w:bCs/>
                <w:color w:val="auto"/>
                <w:sz w:val="24"/>
                <w:u w:val="single" w:color="auto"/>
                <w:lang w:val="en-US" w:eastAsia="zh-CN"/>
              </w:rPr>
              <w:t>废气</w:t>
            </w:r>
            <w:r>
              <w:rPr>
                <w:rFonts w:hint="eastAsia" w:cs="Times New Roman"/>
                <w:bCs/>
                <w:color w:val="auto"/>
                <w:sz w:val="24"/>
                <w:u w:val="single" w:color="auto"/>
                <w:lang w:eastAsia="zh-CN"/>
              </w:rPr>
              <w:t>达标情况，</w:t>
            </w:r>
            <w:r>
              <w:rPr>
                <w:rFonts w:hint="eastAsia" w:ascii="Times New Roman" w:hAnsi="Times New Roman" w:eastAsia="宋体" w:cs="Times New Roman"/>
                <w:bCs/>
                <w:color w:val="auto"/>
                <w:sz w:val="24"/>
                <w:u w:val="single" w:color="auto"/>
                <w:lang w:eastAsia="zh-CN"/>
              </w:rPr>
              <w:t>建设单位</w:t>
            </w:r>
            <w:r>
              <w:rPr>
                <w:rFonts w:hint="default" w:ascii="Times New Roman" w:hAnsi="Times New Roman" w:eastAsia="宋体" w:cs="Times New Roman"/>
                <w:bCs/>
                <w:color w:val="auto"/>
                <w:sz w:val="24"/>
                <w:u w:val="single" w:color="auto"/>
              </w:rPr>
              <w:t>委托</w:t>
            </w:r>
            <w:r>
              <w:rPr>
                <w:rFonts w:hint="eastAsia" w:ascii="Times New Roman" w:hAnsi="Times New Roman" w:eastAsia="宋体" w:cs="Times New Roman"/>
                <w:bCs/>
                <w:color w:val="auto"/>
                <w:sz w:val="24"/>
                <w:u w:val="single" w:color="auto"/>
                <w:lang w:val="en-US" w:eastAsia="zh-CN"/>
              </w:rPr>
              <w:t>湖南西南检验检测有限公司</w:t>
            </w:r>
            <w:r>
              <w:rPr>
                <w:rFonts w:hint="default" w:ascii="Times New Roman" w:hAnsi="Times New Roman" w:eastAsia="宋体" w:cs="Times New Roman"/>
                <w:bCs/>
                <w:color w:val="auto"/>
                <w:sz w:val="24"/>
                <w:u w:val="single" w:color="auto"/>
              </w:rPr>
              <w:t>于202</w:t>
            </w:r>
            <w:r>
              <w:rPr>
                <w:rFonts w:hint="eastAsia" w:ascii="Times New Roman" w:hAnsi="Times New Roman" w:eastAsia="宋体" w:cs="Times New Roman"/>
                <w:bCs/>
                <w:color w:val="auto"/>
                <w:sz w:val="24"/>
                <w:u w:val="single" w:color="auto"/>
                <w:lang w:val="en-US" w:eastAsia="zh-CN"/>
              </w:rPr>
              <w:t>5</w:t>
            </w:r>
            <w:r>
              <w:rPr>
                <w:rFonts w:hint="default" w:ascii="Times New Roman" w:hAnsi="Times New Roman" w:eastAsia="宋体" w:cs="Times New Roman"/>
                <w:bCs/>
                <w:color w:val="auto"/>
                <w:sz w:val="24"/>
                <w:u w:val="single" w:color="auto"/>
              </w:rPr>
              <w:t>年</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eastAsia="宋体" w:cs="Times New Roman"/>
                <w:bCs/>
                <w:color w:val="auto"/>
                <w:sz w:val="24"/>
                <w:u w:val="single" w:color="auto"/>
              </w:rPr>
              <w:t>月</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eastAsia="宋体" w:cs="Times New Roman"/>
                <w:bCs/>
                <w:color w:val="auto"/>
                <w:sz w:val="24"/>
                <w:u w:val="single" w:color="auto"/>
              </w:rPr>
              <w:t>日对项目</w:t>
            </w:r>
            <w:r>
              <w:rPr>
                <w:rFonts w:hint="eastAsia" w:ascii="Times New Roman" w:hAnsi="Times New Roman" w:eastAsia="宋体" w:cs="Times New Roman"/>
                <w:bCs/>
                <w:color w:val="auto"/>
                <w:sz w:val="24"/>
                <w:u w:val="single" w:color="auto"/>
                <w:lang w:val="en-US" w:eastAsia="zh-CN"/>
              </w:rPr>
              <w:t>厂</w:t>
            </w:r>
            <w:r>
              <w:rPr>
                <w:rFonts w:hint="eastAsia" w:cs="Times New Roman"/>
                <w:bCs/>
                <w:color w:val="auto"/>
                <w:sz w:val="24"/>
                <w:u w:val="single" w:color="auto"/>
                <w:lang w:val="en-US" w:eastAsia="zh-CN"/>
              </w:rPr>
              <w:t>界无组织废气</w:t>
            </w:r>
            <w:r>
              <w:rPr>
                <w:rFonts w:hint="default" w:ascii="Times New Roman" w:hAnsi="Times New Roman" w:cs="Times New Roman"/>
                <w:bCs/>
                <w:color w:val="auto"/>
                <w:sz w:val="24"/>
                <w:u w:val="single" w:color="auto"/>
              </w:rPr>
              <w:t>进行监测，监测结果见</w:t>
            </w:r>
            <w:r>
              <w:rPr>
                <w:rFonts w:hint="eastAsia" w:cs="Times New Roman"/>
                <w:bCs/>
                <w:color w:val="auto"/>
                <w:sz w:val="24"/>
                <w:u w:val="single" w:color="auto"/>
                <w:lang w:val="en-US" w:eastAsia="zh-CN"/>
              </w:rPr>
              <w:t>下表</w:t>
            </w:r>
            <w:r>
              <w:rPr>
                <w:rFonts w:hint="default" w:ascii="Times New Roman" w:hAnsi="Times New Roman" w:cs="Times New Roman"/>
                <w:bCs/>
                <w:color w:val="auto"/>
                <w:sz w:val="24"/>
                <w:u w:val="single" w:color="auto"/>
              </w:rPr>
              <w:t>。</w:t>
            </w:r>
          </w:p>
          <w:p w14:paraId="7CC6E35A">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w:t>
            </w:r>
            <w:r>
              <w:rPr>
                <w:rFonts w:hint="default" w:ascii="Times New Roman" w:hAnsi="Times New Roman" w:eastAsia="宋体" w:cs="Times New Roman"/>
                <w:b/>
                <w:color w:val="auto"/>
                <w:sz w:val="21"/>
                <w:szCs w:val="21"/>
                <w:u w:val="single" w:color="auto"/>
                <w:lang w:val="en-US" w:eastAsia="zh-CN"/>
              </w:rPr>
              <w:t>2-</w:t>
            </w:r>
            <w:r>
              <w:rPr>
                <w:rFonts w:hint="eastAsia" w:cs="Times New Roman"/>
                <w:b/>
                <w:color w:val="auto"/>
                <w:sz w:val="21"/>
                <w:szCs w:val="21"/>
                <w:u w:val="single" w:color="auto"/>
                <w:lang w:val="en-US" w:eastAsia="zh-CN"/>
              </w:rPr>
              <w:t>8</w:t>
            </w:r>
            <w:r>
              <w:rPr>
                <w:rFonts w:hint="default" w:ascii="Times New Roman" w:hAnsi="Times New Roman" w:eastAsia="宋体" w:cs="Times New Roman"/>
                <w:b/>
                <w:color w:val="auto"/>
                <w:sz w:val="21"/>
                <w:szCs w:val="21"/>
                <w:u w:val="single" w:color="auto"/>
                <w:lang w:val="en-US" w:eastAsia="zh-CN"/>
              </w:rPr>
              <w:t xml:space="preserve"> </w:t>
            </w:r>
            <w:r>
              <w:rPr>
                <w:rFonts w:hint="eastAsia" w:ascii="Times New Roman" w:hAnsi="Times New Roman" w:eastAsia="宋体" w:cs="Times New Roman"/>
                <w:b/>
                <w:color w:val="auto"/>
                <w:sz w:val="21"/>
                <w:szCs w:val="21"/>
                <w:u w:val="single" w:color="auto"/>
                <w:lang w:val="en-US" w:eastAsia="zh-CN"/>
              </w:rPr>
              <w:t>废气</w:t>
            </w:r>
            <w:r>
              <w:rPr>
                <w:rFonts w:hint="default" w:ascii="Times New Roman" w:hAnsi="Times New Roman" w:eastAsia="宋体" w:cs="Times New Roman"/>
                <w:b/>
                <w:color w:val="auto"/>
                <w:sz w:val="21"/>
                <w:szCs w:val="21"/>
                <w:u w:val="single" w:color="auto"/>
              </w:rPr>
              <w:t>检测结果</w:t>
            </w:r>
          </w:p>
          <w:tbl>
            <w:tblPr>
              <w:tblStyle w:val="25"/>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372"/>
              <w:gridCol w:w="748"/>
              <w:gridCol w:w="750"/>
              <w:gridCol w:w="750"/>
              <w:gridCol w:w="759"/>
              <w:gridCol w:w="1951"/>
            </w:tblGrid>
            <w:tr w14:paraId="11E3F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267EC3DB">
                  <w:pPr>
                    <w:spacing w:line="240" w:lineRule="auto"/>
                    <w:jc w:val="center"/>
                    <w:rPr>
                      <w:rFonts w:hint="eastAsia"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检测项目</w:t>
                  </w:r>
                </w:p>
              </w:tc>
              <w:tc>
                <w:tcPr>
                  <w:tcW w:w="887" w:type="pct"/>
                  <w:vMerge w:val="restart"/>
                  <w:tcBorders>
                    <w:tl2br w:val="nil"/>
                    <w:tr2bl w:val="nil"/>
                  </w:tcBorders>
                  <w:vAlign w:val="center"/>
                </w:tcPr>
                <w:p w14:paraId="20568A17">
                  <w:pPr>
                    <w:spacing w:line="240" w:lineRule="auto"/>
                    <w:jc w:val="center"/>
                    <w:rPr>
                      <w:rFonts w:hint="default" w:ascii="Times New Roman" w:hAnsi="Times New Roman" w:eastAsia="宋体" w:cs="Times New Roman"/>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vertAlign w:val="baseline"/>
                      <w:lang w:eastAsia="zh-CN"/>
                    </w:rPr>
                    <w:t>采样点位</w:t>
                  </w:r>
                </w:p>
              </w:tc>
              <w:tc>
                <w:tcPr>
                  <w:tcW w:w="1945" w:type="pct"/>
                  <w:gridSpan w:val="4"/>
                  <w:tcBorders>
                    <w:tl2br w:val="nil"/>
                    <w:tr2bl w:val="nil"/>
                  </w:tcBorders>
                  <w:vAlign w:val="center"/>
                </w:tcPr>
                <w:p w14:paraId="0F1251F7">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检测结果</w:t>
                  </w:r>
                </w:p>
              </w:tc>
              <w:tc>
                <w:tcPr>
                  <w:tcW w:w="1260" w:type="pct"/>
                  <w:vMerge w:val="restart"/>
                  <w:tcBorders>
                    <w:tl2br w:val="nil"/>
                    <w:tr2bl w:val="nil"/>
                  </w:tcBorders>
                  <w:vAlign w:val="center"/>
                </w:tcPr>
                <w:p w14:paraId="15313FA2">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参照</w:t>
                  </w:r>
                  <w:r>
                    <w:rPr>
                      <w:rFonts w:hint="default" w:ascii="Times New Roman" w:hAnsi="Times New Roman" w:eastAsia="宋体" w:cs="Times New Roman"/>
                      <w:b w:val="0"/>
                      <w:bCs w:val="0"/>
                      <w:sz w:val="21"/>
                      <w:szCs w:val="21"/>
                      <w:u w:val="single" w:color="auto"/>
                      <w:vertAlign w:val="baseline"/>
                      <w:lang w:val="en-US" w:eastAsia="zh-CN"/>
                    </w:rPr>
                    <w:t>《医疗机构水污染物排放标准》(GB18446-2005)表</w:t>
                  </w:r>
                  <w:r>
                    <w:rPr>
                      <w:rFonts w:hint="eastAsia" w:ascii="Times New Roman" w:hAnsi="Times New Roman" w:eastAsia="宋体" w:cs="Times New Roman"/>
                      <w:b w:val="0"/>
                      <w:bCs w:val="0"/>
                      <w:sz w:val="21"/>
                      <w:szCs w:val="21"/>
                      <w:u w:val="single" w:color="auto"/>
                      <w:vertAlign w:val="baseline"/>
                      <w:lang w:val="en-US" w:eastAsia="zh-CN"/>
                    </w:rPr>
                    <w:t>3标准限值</w:t>
                  </w:r>
                </w:p>
              </w:tc>
            </w:tr>
            <w:tr w14:paraId="4611D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vAlign w:val="center"/>
                </w:tcPr>
                <w:p w14:paraId="6EC723B8">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887" w:type="pct"/>
                  <w:vMerge w:val="continue"/>
                  <w:tcBorders>
                    <w:tl2br w:val="nil"/>
                    <w:tr2bl w:val="nil"/>
                  </w:tcBorders>
                  <w:vAlign w:val="center"/>
                </w:tcPr>
                <w:p w14:paraId="1FC768C2">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c>
                <w:tcPr>
                  <w:tcW w:w="484" w:type="pct"/>
                  <w:tcBorders>
                    <w:tl2br w:val="nil"/>
                    <w:tr2bl w:val="nil"/>
                  </w:tcBorders>
                  <w:vAlign w:val="center"/>
                </w:tcPr>
                <w:p w14:paraId="43E6A363">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①</w:t>
                  </w:r>
                </w:p>
              </w:tc>
              <w:tc>
                <w:tcPr>
                  <w:tcW w:w="485" w:type="pct"/>
                  <w:tcBorders>
                    <w:tl2br w:val="nil"/>
                    <w:tr2bl w:val="nil"/>
                  </w:tcBorders>
                  <w:vAlign w:val="center"/>
                </w:tcPr>
                <w:p w14:paraId="492A2477">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②</w:t>
                  </w:r>
                </w:p>
              </w:tc>
              <w:tc>
                <w:tcPr>
                  <w:tcW w:w="485" w:type="pct"/>
                  <w:tcBorders>
                    <w:tl2br w:val="nil"/>
                    <w:tr2bl w:val="nil"/>
                  </w:tcBorders>
                  <w:vAlign w:val="center"/>
                </w:tcPr>
                <w:p w14:paraId="0B105DC6">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③</w:t>
                  </w:r>
                </w:p>
              </w:tc>
              <w:tc>
                <w:tcPr>
                  <w:tcW w:w="490" w:type="pct"/>
                  <w:tcBorders>
                    <w:tl2br w:val="nil"/>
                    <w:tr2bl w:val="nil"/>
                  </w:tcBorders>
                  <w:vAlign w:val="center"/>
                </w:tcPr>
                <w:p w14:paraId="42985668">
                  <w:pPr>
                    <w:pStyle w:val="20"/>
                    <w:pBdr>
                      <w:bottom w:val="none" w:color="auto" w:sz="0" w:space="0"/>
                    </w:pBdr>
                    <w:spacing w:line="240" w:lineRule="auto"/>
                    <w:jc w:val="center"/>
                    <w:rPr>
                      <w:rFonts w:hint="eastAsia" w:ascii="Times New Roman" w:hAnsi="Times New Roman" w:eastAsia="宋体" w:cs="Times New Roman"/>
                      <w:bCs w:val="0"/>
                      <w:sz w:val="21"/>
                      <w:szCs w:val="21"/>
                      <w:u w:val="single" w:color="auto"/>
                      <w:lang w:eastAsia="zh-CN"/>
                    </w:rPr>
                  </w:pPr>
                  <w:r>
                    <w:rPr>
                      <w:rFonts w:hint="eastAsia" w:ascii="Times New Roman" w:hAnsi="Times New Roman" w:eastAsia="宋体" w:cs="Times New Roman"/>
                      <w:bCs w:val="0"/>
                      <w:sz w:val="21"/>
                      <w:szCs w:val="21"/>
                      <w:u w:val="single" w:color="auto"/>
                      <w:lang w:eastAsia="zh-CN"/>
                    </w:rPr>
                    <w:t>④</w:t>
                  </w:r>
                </w:p>
              </w:tc>
              <w:tc>
                <w:tcPr>
                  <w:tcW w:w="1260" w:type="pct"/>
                  <w:vMerge w:val="continue"/>
                  <w:tcBorders>
                    <w:tl2br w:val="nil"/>
                    <w:tr2bl w:val="nil"/>
                  </w:tcBorders>
                  <w:vAlign w:val="center"/>
                </w:tcPr>
                <w:p w14:paraId="76C54B20">
                  <w:pPr>
                    <w:pStyle w:val="20"/>
                    <w:pBdr>
                      <w:bottom w:val="none" w:color="auto" w:sz="0" w:space="0"/>
                    </w:pBdr>
                    <w:spacing w:line="240" w:lineRule="auto"/>
                    <w:jc w:val="center"/>
                    <w:rPr>
                      <w:rFonts w:ascii="Times New Roman" w:hAnsi="Times New Roman" w:eastAsia="宋体" w:cs="Times New Roman"/>
                      <w:bCs w:val="0"/>
                      <w:sz w:val="21"/>
                      <w:szCs w:val="21"/>
                      <w:u w:val="single" w:color="auto"/>
                    </w:rPr>
                  </w:pPr>
                </w:p>
              </w:tc>
            </w:tr>
            <w:tr w14:paraId="2D37E3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09D30DC3">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氨气</w:t>
                  </w:r>
                </w:p>
                <w:p w14:paraId="22D0ABA5">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vAlign w:val="center"/>
                </w:tcPr>
                <w:p w14:paraId="21BD5647">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760" w:type="dxa"/>
                  <w:tcBorders>
                    <w:tl2br w:val="nil"/>
                    <w:tr2bl w:val="nil"/>
                  </w:tcBorders>
                  <w:vAlign w:val="center"/>
                </w:tcPr>
                <w:p w14:paraId="72DDE785">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0.09</w:t>
                  </w:r>
                </w:p>
              </w:tc>
              <w:tc>
                <w:tcPr>
                  <w:tcW w:w="762" w:type="dxa"/>
                  <w:tcBorders>
                    <w:tl2br w:val="nil"/>
                    <w:tr2bl w:val="nil"/>
                  </w:tcBorders>
                  <w:vAlign w:val="center"/>
                </w:tcPr>
                <w:p w14:paraId="6BDCB37B">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0.10</w:t>
                  </w:r>
                </w:p>
              </w:tc>
              <w:tc>
                <w:tcPr>
                  <w:tcW w:w="762" w:type="dxa"/>
                  <w:tcBorders>
                    <w:tl2br w:val="nil"/>
                    <w:tr2bl w:val="nil"/>
                  </w:tcBorders>
                  <w:vAlign w:val="center"/>
                </w:tcPr>
                <w:p w14:paraId="674637D1">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0.10</w:t>
                  </w:r>
                </w:p>
              </w:tc>
              <w:tc>
                <w:tcPr>
                  <w:tcW w:w="771" w:type="dxa"/>
                  <w:tcBorders>
                    <w:tl2br w:val="nil"/>
                    <w:tr2bl w:val="nil"/>
                  </w:tcBorders>
                  <w:vAlign w:val="center"/>
                </w:tcPr>
                <w:p w14:paraId="23764ABD">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0.09</w:t>
                  </w:r>
                </w:p>
              </w:tc>
              <w:tc>
                <w:tcPr>
                  <w:tcW w:w="1260" w:type="pct"/>
                  <w:vMerge w:val="restart"/>
                  <w:tcBorders>
                    <w:tl2br w:val="nil"/>
                    <w:tr2bl w:val="nil"/>
                  </w:tcBorders>
                  <w:vAlign w:val="center"/>
                </w:tcPr>
                <w:p w14:paraId="6B756C47">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1.0</w:t>
                  </w:r>
                </w:p>
              </w:tc>
            </w:tr>
            <w:tr w14:paraId="7AFD18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3C3D6A74">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14:paraId="4BA670CF">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60" w:type="dxa"/>
                  <w:tcBorders>
                    <w:tl2br w:val="nil"/>
                    <w:tr2bl w:val="nil"/>
                  </w:tcBorders>
                  <w:vAlign w:val="center"/>
                </w:tcPr>
                <w:p w14:paraId="2C39C192">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0.11</w:t>
                  </w:r>
                </w:p>
              </w:tc>
              <w:tc>
                <w:tcPr>
                  <w:tcW w:w="762" w:type="dxa"/>
                  <w:tcBorders>
                    <w:tl2br w:val="nil"/>
                    <w:tr2bl w:val="nil"/>
                  </w:tcBorders>
                  <w:vAlign w:val="center"/>
                </w:tcPr>
                <w:p w14:paraId="3E12FC78">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0.12</w:t>
                  </w:r>
                </w:p>
              </w:tc>
              <w:tc>
                <w:tcPr>
                  <w:tcW w:w="762" w:type="dxa"/>
                  <w:tcBorders>
                    <w:tl2br w:val="nil"/>
                    <w:tr2bl w:val="nil"/>
                  </w:tcBorders>
                  <w:vAlign w:val="center"/>
                </w:tcPr>
                <w:p w14:paraId="340E46F2">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0.11</w:t>
                  </w:r>
                </w:p>
              </w:tc>
              <w:tc>
                <w:tcPr>
                  <w:tcW w:w="771" w:type="dxa"/>
                  <w:tcBorders>
                    <w:tl2br w:val="nil"/>
                    <w:tr2bl w:val="nil"/>
                  </w:tcBorders>
                  <w:vAlign w:val="center"/>
                </w:tcPr>
                <w:p w14:paraId="4F5A2A0C">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0.10</w:t>
                  </w:r>
                </w:p>
              </w:tc>
              <w:tc>
                <w:tcPr>
                  <w:tcW w:w="1260" w:type="pct"/>
                  <w:vMerge w:val="continue"/>
                  <w:tcBorders>
                    <w:tl2br w:val="nil"/>
                    <w:tr2bl w:val="nil"/>
                  </w:tcBorders>
                </w:tcPr>
                <w:p w14:paraId="1B94748F">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38E96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18F5A08E">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vAlign w:val="center"/>
                </w:tcPr>
                <w:p w14:paraId="7AD8A9AB">
                  <w:pPr>
                    <w:pStyle w:val="20"/>
                    <w:pBdr>
                      <w:bottom w:val="none" w:color="auto" w:sz="0" w:space="0"/>
                    </w:pBdr>
                    <w:jc w:val="center"/>
                    <w:rPr>
                      <w:rFonts w:hint="default"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60" w:type="dxa"/>
                  <w:tcBorders>
                    <w:tl2br w:val="nil"/>
                    <w:tr2bl w:val="nil"/>
                  </w:tcBorders>
                  <w:vAlign w:val="center"/>
                </w:tcPr>
                <w:p w14:paraId="690B5301">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0.12</w:t>
                  </w:r>
                </w:p>
              </w:tc>
              <w:tc>
                <w:tcPr>
                  <w:tcW w:w="762" w:type="dxa"/>
                  <w:tcBorders>
                    <w:tl2br w:val="nil"/>
                    <w:tr2bl w:val="nil"/>
                  </w:tcBorders>
                  <w:vAlign w:val="center"/>
                </w:tcPr>
                <w:p w14:paraId="3F679D04">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0.11</w:t>
                  </w:r>
                </w:p>
              </w:tc>
              <w:tc>
                <w:tcPr>
                  <w:tcW w:w="762" w:type="dxa"/>
                  <w:tcBorders>
                    <w:tl2br w:val="nil"/>
                    <w:tr2bl w:val="nil"/>
                  </w:tcBorders>
                  <w:vAlign w:val="center"/>
                </w:tcPr>
                <w:p w14:paraId="56F704A6">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0.10</w:t>
                  </w:r>
                </w:p>
              </w:tc>
              <w:tc>
                <w:tcPr>
                  <w:tcW w:w="771" w:type="dxa"/>
                  <w:tcBorders>
                    <w:tl2br w:val="nil"/>
                    <w:tr2bl w:val="nil"/>
                  </w:tcBorders>
                  <w:vAlign w:val="center"/>
                </w:tcPr>
                <w:p w14:paraId="5E3A2AD6">
                  <w:pPr>
                    <w:pStyle w:val="20"/>
                    <w:pBdr>
                      <w:bottom w:val="none" w:color="auto" w:sz="0" w:space="0"/>
                    </w:pBdr>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0.12</w:t>
                  </w:r>
                </w:p>
              </w:tc>
              <w:tc>
                <w:tcPr>
                  <w:tcW w:w="1260" w:type="pct"/>
                  <w:vMerge w:val="continue"/>
                  <w:tcBorders>
                    <w:tl2br w:val="nil"/>
                    <w:tr2bl w:val="nil"/>
                  </w:tcBorders>
                </w:tcPr>
                <w:p w14:paraId="3B643022">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7D4DC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18AC8E9B">
                  <w:pPr>
                    <w:pStyle w:val="20"/>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lang w:eastAsia="zh-CN"/>
                    </w:rPr>
                    <w:t>硫化氢</w:t>
                  </w:r>
                  <w:r>
                    <w:rPr>
                      <w:rFonts w:hint="eastAsia" w:ascii="Times New Roman" w:hAnsi="Times New Roman" w:eastAsia="宋体" w:cs="Times New Roman"/>
                      <w:b w:val="0"/>
                      <w:bCs w:val="0"/>
                      <w:kern w:val="2"/>
                      <w:sz w:val="21"/>
                      <w:szCs w:val="21"/>
                      <w:u w:val="single" w:color="auto"/>
                      <w:vertAlign w:val="baseline"/>
                      <w:lang w:val="en-US" w:eastAsia="zh-CN" w:bidi="ar-SA"/>
                    </w:rPr>
                    <w:t>（mg/m</w:t>
                  </w:r>
                  <w:r>
                    <w:rPr>
                      <w:rFonts w:hint="eastAsia" w:ascii="Times New Roman" w:hAnsi="Times New Roman" w:eastAsia="宋体" w:cs="Times New Roman"/>
                      <w:b w:val="0"/>
                      <w:bCs w:val="0"/>
                      <w:kern w:val="2"/>
                      <w:sz w:val="21"/>
                      <w:szCs w:val="21"/>
                      <w:u w:val="single" w:color="auto"/>
                      <w:vertAlign w:val="superscript"/>
                      <w:lang w:val="en-US" w:eastAsia="zh-CN" w:bidi="ar-SA"/>
                    </w:rPr>
                    <w:t>3</w:t>
                  </w:r>
                  <w:r>
                    <w:rPr>
                      <w:rFonts w:hint="eastAsia" w:ascii="Times New Roman" w:hAnsi="Times New Roman" w:eastAsia="宋体" w:cs="Times New Roman"/>
                      <w:b w:val="0"/>
                      <w:bCs w:val="0"/>
                      <w:kern w:val="2"/>
                      <w:sz w:val="21"/>
                      <w:szCs w:val="21"/>
                      <w:u w:val="single" w:color="auto"/>
                      <w:vertAlign w:val="baseline"/>
                      <w:lang w:val="en-US" w:eastAsia="zh-CN" w:bidi="ar-SA"/>
                    </w:rPr>
                    <w:t>）</w:t>
                  </w:r>
                </w:p>
              </w:tc>
              <w:tc>
                <w:tcPr>
                  <w:tcW w:w="887" w:type="pct"/>
                  <w:tcBorders>
                    <w:tl2br w:val="nil"/>
                    <w:tr2bl w:val="nil"/>
                  </w:tcBorders>
                  <w:shd w:val="clear" w:color="auto" w:fill="auto"/>
                  <w:vAlign w:val="center"/>
                </w:tcPr>
                <w:p w14:paraId="4A3B94B7">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760" w:type="dxa"/>
                  <w:tcBorders>
                    <w:tl2br w:val="nil"/>
                    <w:tr2bl w:val="nil"/>
                  </w:tcBorders>
                  <w:vAlign w:val="center"/>
                </w:tcPr>
                <w:p w14:paraId="21AD7341">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0.011</w:t>
                  </w:r>
                </w:p>
              </w:tc>
              <w:tc>
                <w:tcPr>
                  <w:tcW w:w="762" w:type="dxa"/>
                  <w:tcBorders>
                    <w:tl2br w:val="nil"/>
                    <w:tr2bl w:val="nil"/>
                  </w:tcBorders>
                  <w:vAlign w:val="center"/>
                </w:tcPr>
                <w:p w14:paraId="5CC67903">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0.013</w:t>
                  </w:r>
                </w:p>
              </w:tc>
              <w:tc>
                <w:tcPr>
                  <w:tcW w:w="762" w:type="dxa"/>
                  <w:tcBorders>
                    <w:tl2br w:val="nil"/>
                    <w:tr2bl w:val="nil"/>
                  </w:tcBorders>
                  <w:vAlign w:val="center"/>
                </w:tcPr>
                <w:p w14:paraId="49E6CE39">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0.013</w:t>
                  </w:r>
                </w:p>
              </w:tc>
              <w:tc>
                <w:tcPr>
                  <w:tcW w:w="771" w:type="dxa"/>
                  <w:tcBorders>
                    <w:tl2br w:val="nil"/>
                    <w:tr2bl w:val="nil"/>
                  </w:tcBorders>
                  <w:vAlign w:val="center"/>
                </w:tcPr>
                <w:p w14:paraId="61D6FA75">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0.014</w:t>
                  </w:r>
                </w:p>
              </w:tc>
              <w:tc>
                <w:tcPr>
                  <w:tcW w:w="1260" w:type="pct"/>
                  <w:vMerge w:val="restart"/>
                  <w:tcBorders>
                    <w:tl2br w:val="nil"/>
                    <w:tr2bl w:val="nil"/>
                  </w:tcBorders>
                  <w:vAlign w:val="center"/>
                </w:tcPr>
                <w:p w14:paraId="19608834">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kern w:val="2"/>
                      <w:sz w:val="21"/>
                      <w:szCs w:val="21"/>
                      <w:u w:val="single" w:color="auto"/>
                      <w:vertAlign w:val="baseline"/>
                      <w:lang w:val="en-US" w:eastAsia="zh-CN" w:bidi="ar-SA"/>
                    </w:rPr>
                    <w:t>0.03</w:t>
                  </w:r>
                </w:p>
              </w:tc>
            </w:tr>
            <w:tr w14:paraId="572DC1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12960BD3">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14:paraId="5BD38B69">
                  <w:pPr>
                    <w:pStyle w:val="20"/>
                    <w:pBdr>
                      <w:bottom w:val="none" w:color="auto" w:sz="0" w:space="0"/>
                    </w:pBdr>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760" w:type="dxa"/>
                  <w:tcBorders>
                    <w:tl2br w:val="nil"/>
                    <w:tr2bl w:val="nil"/>
                  </w:tcBorders>
                  <w:vAlign w:val="center"/>
                </w:tcPr>
                <w:p w14:paraId="76BE8A20">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0.011</w:t>
                  </w:r>
                </w:p>
              </w:tc>
              <w:tc>
                <w:tcPr>
                  <w:tcW w:w="762" w:type="dxa"/>
                  <w:tcBorders>
                    <w:tl2br w:val="nil"/>
                    <w:tr2bl w:val="nil"/>
                  </w:tcBorders>
                  <w:vAlign w:val="center"/>
                </w:tcPr>
                <w:p w14:paraId="3B674FAA">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0.014</w:t>
                  </w:r>
                </w:p>
              </w:tc>
              <w:tc>
                <w:tcPr>
                  <w:tcW w:w="762" w:type="dxa"/>
                  <w:tcBorders>
                    <w:tl2br w:val="nil"/>
                    <w:tr2bl w:val="nil"/>
                  </w:tcBorders>
                  <w:vAlign w:val="center"/>
                </w:tcPr>
                <w:p w14:paraId="4C7E191F">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0.014</w:t>
                  </w:r>
                </w:p>
              </w:tc>
              <w:tc>
                <w:tcPr>
                  <w:tcW w:w="771" w:type="dxa"/>
                  <w:tcBorders>
                    <w:tl2br w:val="nil"/>
                    <w:tr2bl w:val="nil"/>
                  </w:tcBorders>
                  <w:vAlign w:val="center"/>
                </w:tcPr>
                <w:p w14:paraId="4FCCF921">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0.015</w:t>
                  </w:r>
                </w:p>
              </w:tc>
              <w:tc>
                <w:tcPr>
                  <w:tcW w:w="1260" w:type="pct"/>
                  <w:vMerge w:val="continue"/>
                  <w:tcBorders>
                    <w:tl2br w:val="nil"/>
                    <w:tr2bl w:val="nil"/>
                  </w:tcBorders>
                </w:tcPr>
                <w:p w14:paraId="1FE300FE">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0AC98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0FADBFC8">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14:paraId="28C03C14">
                  <w:pPr>
                    <w:pStyle w:val="20"/>
                    <w:pBdr>
                      <w:bottom w:val="none" w:color="auto" w:sz="0" w:space="0"/>
                    </w:pBdr>
                    <w:jc w:val="center"/>
                    <w:rPr>
                      <w:rFonts w:hint="default"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760" w:type="dxa"/>
                  <w:tcBorders>
                    <w:tl2br w:val="nil"/>
                    <w:tr2bl w:val="nil"/>
                  </w:tcBorders>
                  <w:vAlign w:val="center"/>
                </w:tcPr>
                <w:p w14:paraId="63BDE395">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0.011</w:t>
                  </w:r>
                </w:p>
              </w:tc>
              <w:tc>
                <w:tcPr>
                  <w:tcW w:w="762" w:type="dxa"/>
                  <w:tcBorders>
                    <w:tl2br w:val="nil"/>
                    <w:tr2bl w:val="nil"/>
                  </w:tcBorders>
                  <w:vAlign w:val="center"/>
                </w:tcPr>
                <w:p w14:paraId="7BC4B522">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0.013</w:t>
                  </w:r>
                </w:p>
              </w:tc>
              <w:tc>
                <w:tcPr>
                  <w:tcW w:w="762" w:type="dxa"/>
                  <w:tcBorders>
                    <w:tl2br w:val="nil"/>
                    <w:tr2bl w:val="nil"/>
                  </w:tcBorders>
                  <w:vAlign w:val="center"/>
                </w:tcPr>
                <w:p w14:paraId="41BDD709">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0.013</w:t>
                  </w:r>
                </w:p>
              </w:tc>
              <w:tc>
                <w:tcPr>
                  <w:tcW w:w="771" w:type="dxa"/>
                  <w:tcBorders>
                    <w:tl2br w:val="nil"/>
                    <w:tr2bl w:val="nil"/>
                  </w:tcBorders>
                  <w:vAlign w:val="center"/>
                </w:tcPr>
                <w:p w14:paraId="5D192801">
                  <w:pPr>
                    <w:pBdr>
                      <w:bottom w:val="none" w:color="auto" w:sz="0" w:space="0"/>
                    </w:pBdr>
                    <w:spacing w:line="240" w:lineRule="auto"/>
                    <w:jc w:val="center"/>
                    <w:rPr>
                      <w:rFonts w:hint="default" w:ascii="Times New Roman" w:hAnsi="Times New Roman" w:eastAsia="宋体" w:cs="Times New Roman"/>
                      <w:bCs w:val="0"/>
                      <w:kern w:val="2"/>
                      <w:sz w:val="21"/>
                      <w:szCs w:val="21"/>
                      <w:u w:val="single" w:color="auto"/>
                      <w:lang w:val="en-US" w:eastAsia="zh-CN" w:bidi="ar-SA"/>
                    </w:rPr>
                  </w:pPr>
                  <w:r>
                    <w:rPr>
                      <w:rFonts w:hint="eastAsia" w:ascii="Times New Roman" w:hAnsi="Times New Roman" w:eastAsia="宋体" w:cs="Times New Roman"/>
                      <w:bCs w:val="0"/>
                      <w:kern w:val="2"/>
                      <w:sz w:val="21"/>
                      <w:szCs w:val="21"/>
                      <w:u w:val="single" w:color="auto"/>
                      <w:lang w:val="en-US" w:eastAsia="zh-CN" w:bidi="ar-SA"/>
                    </w:rPr>
                    <w:t>0.014</w:t>
                  </w:r>
                </w:p>
              </w:tc>
              <w:tc>
                <w:tcPr>
                  <w:tcW w:w="1260" w:type="pct"/>
                  <w:vMerge w:val="continue"/>
                  <w:tcBorders>
                    <w:tl2br w:val="nil"/>
                    <w:tr2bl w:val="nil"/>
                  </w:tcBorders>
                </w:tcPr>
                <w:p w14:paraId="7A38E1F5">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19924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restart"/>
                  <w:tcBorders>
                    <w:tl2br w:val="nil"/>
                    <w:tr2bl w:val="nil"/>
                  </w:tcBorders>
                  <w:vAlign w:val="center"/>
                </w:tcPr>
                <w:p w14:paraId="7C93303A">
                  <w:pPr>
                    <w:spacing w:line="240" w:lineRule="auto"/>
                    <w:jc w:val="center"/>
                    <w:rPr>
                      <w:rFonts w:hint="eastAsia"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臭气浓度</w:t>
                  </w:r>
                </w:p>
                <w:p w14:paraId="2D11B3F4">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（无量纲）</w:t>
                  </w:r>
                </w:p>
              </w:tc>
              <w:tc>
                <w:tcPr>
                  <w:tcW w:w="887" w:type="pct"/>
                  <w:tcBorders>
                    <w:tl2br w:val="nil"/>
                    <w:tr2bl w:val="nil"/>
                  </w:tcBorders>
                  <w:shd w:val="clear" w:color="auto" w:fill="auto"/>
                  <w:vAlign w:val="center"/>
                </w:tcPr>
                <w:p w14:paraId="6796DB8E">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厂界东面</w:t>
                  </w:r>
                </w:p>
              </w:tc>
              <w:tc>
                <w:tcPr>
                  <w:tcW w:w="484" w:type="pct"/>
                  <w:tcBorders>
                    <w:tl2br w:val="nil"/>
                    <w:tr2bl w:val="nil"/>
                  </w:tcBorders>
                  <w:vAlign w:val="center"/>
                </w:tcPr>
                <w:p w14:paraId="72851E84">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73BF01D6">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431C39D5">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14:paraId="57C9B2A1">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restart"/>
                  <w:tcBorders>
                    <w:tl2br w:val="nil"/>
                    <w:tr2bl w:val="nil"/>
                  </w:tcBorders>
                  <w:vAlign w:val="center"/>
                </w:tcPr>
                <w:p w14:paraId="0519D0B1">
                  <w:pPr>
                    <w:spacing w:line="240" w:lineRule="auto"/>
                    <w:jc w:val="center"/>
                    <w:rPr>
                      <w:rFonts w:hint="default" w:ascii="Times New Roman" w:hAnsi="Times New Roman" w:eastAsia="宋体" w:cs="Times New Roman"/>
                      <w:bCs w:val="0"/>
                      <w:sz w:val="21"/>
                      <w:szCs w:val="21"/>
                      <w:u w:val="single" w:color="auto"/>
                      <w:vertAlign w:val="baseline"/>
                      <w:lang w:val="en-US" w:eastAsia="zh-CN"/>
                    </w:rPr>
                  </w:pPr>
                  <w:r>
                    <w:rPr>
                      <w:rFonts w:hint="eastAsia" w:ascii="Times New Roman" w:hAnsi="Times New Roman" w:eastAsia="宋体" w:cs="Times New Roman"/>
                      <w:bCs w:val="0"/>
                      <w:sz w:val="21"/>
                      <w:szCs w:val="21"/>
                      <w:u w:val="single" w:color="auto"/>
                      <w:vertAlign w:val="baseline"/>
                      <w:lang w:val="en-US" w:eastAsia="zh-CN"/>
                    </w:rPr>
                    <w:t>10</w:t>
                  </w:r>
                </w:p>
              </w:tc>
            </w:tr>
            <w:tr w14:paraId="124611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51D7EE55">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14:paraId="1B0B6B33">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厂界西南面</w:t>
                  </w:r>
                </w:p>
              </w:tc>
              <w:tc>
                <w:tcPr>
                  <w:tcW w:w="484" w:type="pct"/>
                  <w:tcBorders>
                    <w:tl2br w:val="nil"/>
                    <w:tr2bl w:val="nil"/>
                  </w:tcBorders>
                  <w:vAlign w:val="center"/>
                </w:tcPr>
                <w:p w14:paraId="073EA8E3">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55DDEC88">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2A87BD0A">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14:paraId="3D6C45E6">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14:paraId="33C9AFF5">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r w14:paraId="12BBE8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6" w:type="pct"/>
                  <w:vMerge w:val="continue"/>
                  <w:tcBorders>
                    <w:tl2br w:val="nil"/>
                    <w:tr2bl w:val="nil"/>
                  </w:tcBorders>
                </w:tcPr>
                <w:p w14:paraId="2F8AEEB2">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c>
                <w:tcPr>
                  <w:tcW w:w="887" w:type="pct"/>
                  <w:tcBorders>
                    <w:tl2br w:val="nil"/>
                    <w:tr2bl w:val="nil"/>
                  </w:tcBorders>
                  <w:shd w:val="clear" w:color="auto" w:fill="auto"/>
                  <w:vAlign w:val="center"/>
                </w:tcPr>
                <w:p w14:paraId="06BBB4AF">
                  <w:pPr>
                    <w:pStyle w:val="20"/>
                    <w:pBdr>
                      <w:bottom w:val="none" w:color="auto" w:sz="0" w:space="0"/>
                    </w:pBdr>
                    <w:jc w:val="center"/>
                    <w:rPr>
                      <w:rFonts w:hint="eastAsia" w:ascii="Times New Roman" w:hAnsi="Times New Roman" w:eastAsia="宋体" w:cs="Times New Roman"/>
                      <w:b w:val="0"/>
                      <w:bCs w:val="0"/>
                      <w:sz w:val="21"/>
                      <w:szCs w:val="21"/>
                      <w:u w:val="single" w:color="auto"/>
                      <w:vertAlign w:val="baseline"/>
                      <w:lang w:val="en-US" w:eastAsia="zh-CN"/>
                    </w:rPr>
                  </w:pPr>
                  <w:r>
                    <w:rPr>
                      <w:rFonts w:hint="eastAsia" w:ascii="Times New Roman" w:hAnsi="Times New Roman" w:eastAsia="宋体" w:cs="Times New Roman"/>
                      <w:b w:val="0"/>
                      <w:bCs w:val="0"/>
                      <w:sz w:val="21"/>
                      <w:szCs w:val="21"/>
                      <w:u w:val="single" w:color="auto"/>
                      <w:vertAlign w:val="baseline"/>
                      <w:lang w:val="en-US" w:eastAsia="zh-CN"/>
                    </w:rPr>
                    <w:t>厂界西面</w:t>
                  </w:r>
                </w:p>
              </w:tc>
              <w:tc>
                <w:tcPr>
                  <w:tcW w:w="484" w:type="pct"/>
                  <w:tcBorders>
                    <w:tl2br w:val="nil"/>
                    <w:tr2bl w:val="nil"/>
                  </w:tcBorders>
                  <w:vAlign w:val="center"/>
                </w:tcPr>
                <w:p w14:paraId="63D0646B">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433A49A1">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85" w:type="pct"/>
                  <w:tcBorders>
                    <w:tl2br w:val="nil"/>
                    <w:tr2bl w:val="nil"/>
                  </w:tcBorders>
                  <w:vAlign w:val="center"/>
                </w:tcPr>
                <w:p w14:paraId="4824678A">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490" w:type="pct"/>
                  <w:tcBorders>
                    <w:tl2br w:val="nil"/>
                    <w:tr2bl w:val="nil"/>
                  </w:tcBorders>
                  <w:vAlign w:val="center"/>
                </w:tcPr>
                <w:p w14:paraId="7D2A4950">
                  <w:pPr>
                    <w:pBdr>
                      <w:bottom w:val="none" w:color="auto" w:sz="0" w:space="0"/>
                    </w:pBdr>
                    <w:spacing w:line="240" w:lineRule="auto"/>
                    <w:jc w:val="center"/>
                    <w:rPr>
                      <w:rFonts w:hint="eastAsia" w:ascii="Times New Roman" w:hAnsi="Times New Roman" w:eastAsia="宋体" w:cs="Times New Roman"/>
                      <w:b w:val="0"/>
                      <w:bCs w:val="0"/>
                      <w:kern w:val="2"/>
                      <w:sz w:val="21"/>
                      <w:szCs w:val="21"/>
                      <w:u w:val="single" w:color="auto"/>
                      <w:vertAlign w:val="baseline"/>
                      <w:lang w:val="en-US" w:eastAsia="zh-CN" w:bidi="ar-SA"/>
                    </w:rPr>
                  </w:pPr>
                  <w:r>
                    <w:rPr>
                      <w:rFonts w:hint="eastAsia" w:ascii="Times New Roman" w:hAnsi="Times New Roman" w:eastAsia="宋体" w:cs="Times New Roman"/>
                      <w:bCs w:val="0"/>
                      <w:sz w:val="21"/>
                      <w:szCs w:val="21"/>
                      <w:u w:val="single" w:color="auto"/>
                      <w:lang w:val="en-US" w:eastAsia="zh-CN"/>
                    </w:rPr>
                    <w:t>&lt;10</w:t>
                  </w:r>
                </w:p>
              </w:tc>
              <w:tc>
                <w:tcPr>
                  <w:tcW w:w="1260" w:type="pct"/>
                  <w:vMerge w:val="continue"/>
                  <w:tcBorders>
                    <w:tl2br w:val="nil"/>
                    <w:tr2bl w:val="nil"/>
                  </w:tcBorders>
                </w:tcPr>
                <w:p w14:paraId="068FCC4B">
                  <w:pPr>
                    <w:spacing w:line="240" w:lineRule="auto"/>
                    <w:jc w:val="center"/>
                    <w:rPr>
                      <w:rFonts w:hint="eastAsia" w:ascii="Times New Roman" w:hAnsi="Times New Roman" w:eastAsia="宋体" w:cs="Times New Roman"/>
                      <w:bCs w:val="0"/>
                      <w:sz w:val="21"/>
                      <w:szCs w:val="21"/>
                      <w:u w:val="single" w:color="auto"/>
                      <w:vertAlign w:val="baseline"/>
                      <w:lang w:eastAsia="zh-CN"/>
                    </w:rPr>
                  </w:pPr>
                </w:p>
              </w:tc>
            </w:tr>
          </w:tbl>
          <w:p w14:paraId="3A066EAD">
            <w:pPr>
              <w:spacing w:line="360" w:lineRule="auto"/>
              <w:ind w:firstLine="480" w:firstLineChars="200"/>
              <w:rPr>
                <w:rFonts w:hint="eastAsia" w:ascii="Times New Roman" w:hAnsi="Times New Roman" w:eastAsia="宋体" w:cs="Times New Roman"/>
                <w:b w:val="0"/>
                <w:bCs w:val="0"/>
                <w:color w:val="auto"/>
                <w:sz w:val="24"/>
                <w:u w:val="single" w:color="auto"/>
                <w:lang w:val="en-US" w:eastAsia="zh-CN"/>
              </w:rPr>
            </w:pPr>
            <w:r>
              <w:rPr>
                <w:rFonts w:hint="eastAsia" w:cs="Times New Roman"/>
                <w:b w:val="0"/>
                <w:bCs w:val="0"/>
                <w:color w:val="auto"/>
                <w:sz w:val="24"/>
                <w:u w:val="single" w:color="auto"/>
                <w:lang w:val="en-US" w:eastAsia="zh-CN"/>
              </w:rPr>
              <w:t>（3）噪声及污染防治措施</w:t>
            </w:r>
          </w:p>
          <w:p w14:paraId="7D766329">
            <w:pPr>
              <w:spacing w:line="360" w:lineRule="auto"/>
              <w:ind w:firstLine="480" w:firstLineChars="200"/>
              <w:rPr>
                <w:rFonts w:hint="default" w:cs="Times New Roman"/>
                <w:color w:val="auto"/>
                <w:sz w:val="24"/>
                <w:u w:val="single" w:color="auto"/>
                <w:lang w:val="en-US" w:eastAsia="zh-CN"/>
              </w:rPr>
            </w:pPr>
            <w:r>
              <w:rPr>
                <w:rFonts w:hint="default" w:ascii="Times New Roman" w:hAnsi="Times New Roman" w:cs="Times New Roman"/>
                <w:color w:val="auto"/>
                <w:sz w:val="24"/>
                <w:u w:val="single" w:color="auto"/>
              </w:rPr>
              <w:t>本项目现有噪声源主要为医疗设备运行噪声，以及门诊病人、陪护人员产生的社会生活噪声。医疗设备基本属低噪声设备，噪声源</w:t>
            </w:r>
            <w:r>
              <w:rPr>
                <w:rFonts w:hint="eastAsia" w:cs="Times New Roman"/>
                <w:color w:val="auto"/>
                <w:sz w:val="24"/>
                <w:u w:val="single" w:color="auto"/>
                <w:lang w:eastAsia="zh-CN"/>
              </w:rPr>
              <w:t>强度</w:t>
            </w:r>
            <w:r>
              <w:rPr>
                <w:rFonts w:hint="default" w:ascii="Times New Roman" w:hAnsi="Times New Roman" w:cs="Times New Roman"/>
                <w:color w:val="auto"/>
                <w:sz w:val="24"/>
                <w:u w:val="single" w:color="auto"/>
              </w:rPr>
              <w:t>较低，加之置于室内，污染影响不大；项目采用小型分体式空调，噪声较小</w:t>
            </w:r>
            <w:r>
              <w:rPr>
                <w:rFonts w:hint="eastAsia" w:cs="Times New Roman"/>
                <w:color w:val="auto"/>
                <w:sz w:val="24"/>
                <w:u w:val="single" w:color="auto"/>
                <w:lang w:eastAsia="zh-CN"/>
              </w:rPr>
              <w:t>。</w:t>
            </w:r>
            <w:r>
              <w:rPr>
                <w:rFonts w:hint="eastAsia" w:cs="Times New Roman"/>
                <w:color w:val="auto"/>
                <w:sz w:val="24"/>
                <w:u w:val="single" w:color="auto"/>
                <w:lang w:val="en-US" w:eastAsia="zh-CN"/>
              </w:rPr>
              <w:t>项目厂界噪声现状监测结果如下：</w:t>
            </w:r>
          </w:p>
          <w:p w14:paraId="1FAF3AEF">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color w:val="auto"/>
                <w:sz w:val="21"/>
                <w:szCs w:val="21"/>
                <w:u w:val="single" w:color="auto"/>
              </w:rPr>
            </w:pPr>
            <w:r>
              <w:rPr>
                <w:rFonts w:hint="eastAsia" w:ascii="Times New Roman" w:hAnsi="Times New Roman" w:eastAsia="宋体" w:cs="Times New Roman"/>
                <w:b/>
                <w:color w:val="auto"/>
                <w:sz w:val="21"/>
                <w:szCs w:val="21"/>
                <w:u w:val="single" w:color="auto"/>
              </w:rPr>
              <w:t>表</w:t>
            </w:r>
            <w:r>
              <w:rPr>
                <w:rFonts w:hint="eastAsia" w:ascii="Times New Roman" w:hAnsi="Times New Roman" w:eastAsia="宋体" w:cs="Times New Roman"/>
                <w:b/>
                <w:color w:val="auto"/>
                <w:sz w:val="21"/>
                <w:szCs w:val="21"/>
                <w:u w:val="single" w:color="auto"/>
                <w:lang w:val="en-US" w:eastAsia="zh-CN"/>
              </w:rPr>
              <w:t>2-9</w:t>
            </w:r>
            <w:r>
              <w:rPr>
                <w:rFonts w:hint="eastAsia" w:ascii="Times New Roman" w:hAnsi="Times New Roman" w:eastAsia="宋体" w:cs="Times New Roman"/>
                <w:b/>
                <w:color w:val="auto"/>
                <w:sz w:val="21"/>
                <w:szCs w:val="21"/>
                <w:u w:val="single" w:color="auto"/>
              </w:rPr>
              <w:t xml:space="preserve">  </w:t>
            </w:r>
            <w:r>
              <w:rPr>
                <w:rFonts w:hint="eastAsia" w:ascii="Times New Roman" w:hAnsi="Times New Roman" w:eastAsia="宋体" w:cs="Times New Roman"/>
                <w:b/>
                <w:color w:val="auto"/>
                <w:sz w:val="21"/>
                <w:szCs w:val="21"/>
                <w:u w:val="single" w:color="auto"/>
                <w:lang w:eastAsia="zh-CN"/>
              </w:rPr>
              <w:t>厂界噪声</w:t>
            </w:r>
            <w:r>
              <w:rPr>
                <w:rFonts w:hint="eastAsia" w:ascii="Times New Roman" w:hAnsi="Times New Roman" w:eastAsia="宋体" w:cs="Times New Roman"/>
                <w:b/>
                <w:color w:val="auto"/>
                <w:sz w:val="21"/>
                <w:szCs w:val="21"/>
                <w:u w:val="single" w:color="auto"/>
              </w:rPr>
              <w:t>检测结果</w:t>
            </w:r>
          </w:p>
          <w:tbl>
            <w:tblPr>
              <w:tblStyle w:val="2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1037"/>
              <w:gridCol w:w="1184"/>
              <w:gridCol w:w="1694"/>
              <w:gridCol w:w="1615"/>
            </w:tblGrid>
            <w:tr w14:paraId="65DF4D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23" w:type="pct"/>
                  <w:vMerge w:val="restart"/>
                  <w:tcBorders>
                    <w:tl2br w:val="nil"/>
                    <w:tr2bl w:val="nil"/>
                  </w:tcBorders>
                  <w:vAlign w:val="center"/>
                </w:tcPr>
                <w:p w14:paraId="407BEA49">
                  <w:pPr>
                    <w:spacing w:line="360" w:lineRule="auto"/>
                    <w:jc w:val="center"/>
                    <w:rPr>
                      <w:rFonts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监测点位</w:t>
                  </w:r>
                </w:p>
              </w:tc>
              <w:tc>
                <w:tcPr>
                  <w:tcW w:w="1436" w:type="pct"/>
                  <w:gridSpan w:val="2"/>
                  <w:tcBorders>
                    <w:tl2br w:val="nil"/>
                    <w:tr2bl w:val="nil"/>
                  </w:tcBorders>
                  <w:vAlign w:val="center"/>
                </w:tcPr>
                <w:p w14:paraId="2663387E">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lang w:eastAsia="zh-CN"/>
                    </w:rPr>
                    <w:t>检测</w:t>
                  </w:r>
                  <w:r>
                    <w:rPr>
                      <w:rFonts w:hint="eastAsia" w:ascii="Times New Roman" w:hAnsi="Times New Roman" w:eastAsia="宋体" w:cs="Times New Roman"/>
                      <w:sz w:val="21"/>
                      <w:szCs w:val="21"/>
                      <w:u w:val="single" w:color="auto"/>
                    </w:rPr>
                    <w:t>结果</w:t>
                  </w:r>
                  <w:r>
                    <w:rPr>
                      <w:rFonts w:hint="eastAsia" w:ascii="Times New Roman" w:hAnsi="Times New Roman" w:eastAsia="宋体" w:cs="Times New Roman"/>
                      <w:sz w:val="21"/>
                      <w:szCs w:val="21"/>
                      <w:u w:val="single" w:color="auto"/>
                      <w:lang w:val="en-US" w:eastAsia="zh-CN"/>
                    </w:rPr>
                    <w:t xml:space="preserve"> Leq </w:t>
                  </w:r>
                  <w:r>
                    <w:rPr>
                      <w:rFonts w:hint="eastAsia" w:ascii="Times New Roman" w:hAnsi="Times New Roman" w:eastAsia="宋体" w:cs="Times New Roman"/>
                      <w:sz w:val="21"/>
                      <w:szCs w:val="21"/>
                      <w:u w:val="single" w:color="auto"/>
                    </w:rPr>
                    <w:t>dB（A）</w:t>
                  </w:r>
                  <w:r>
                    <w:rPr>
                      <w:rFonts w:hint="eastAsia" w:ascii="Times New Roman" w:hAnsi="Times New Roman" w:eastAsia="宋体" w:cs="Times New Roman"/>
                      <w:sz w:val="21"/>
                      <w:szCs w:val="21"/>
                      <w:u w:val="single" w:color="auto"/>
                      <w:lang w:val="en-US" w:eastAsia="zh-CN"/>
                    </w:rPr>
                    <w:t xml:space="preserve"> </w:t>
                  </w:r>
                  <w:r>
                    <w:rPr>
                      <w:rFonts w:hint="eastAsia" w:ascii="Times New Roman" w:hAnsi="Times New Roman" w:eastAsia="宋体" w:cs="Times New Roman"/>
                      <w:sz w:val="21"/>
                      <w:szCs w:val="21"/>
                      <w:u w:val="single" w:color="auto"/>
                    </w:rPr>
                    <w:t xml:space="preserve">   </w:t>
                  </w:r>
                </w:p>
              </w:tc>
              <w:tc>
                <w:tcPr>
                  <w:tcW w:w="2139" w:type="pct"/>
                  <w:gridSpan w:val="2"/>
                  <w:tcBorders>
                    <w:tl2br w:val="nil"/>
                    <w:tr2bl w:val="nil"/>
                  </w:tcBorders>
                  <w:vAlign w:val="center"/>
                </w:tcPr>
                <w:p w14:paraId="1D267136">
                  <w:pPr>
                    <w:spacing w:line="240" w:lineRule="auto"/>
                    <w:jc w:val="center"/>
                    <w:rPr>
                      <w:rFonts w:hint="eastAsia" w:ascii="Times New Roman" w:hAnsi="Times New Roman" w:eastAsia="宋体" w:cs="Times New Roman"/>
                      <w:sz w:val="21"/>
                      <w:szCs w:val="21"/>
                      <w:u w:val="single" w:color="auto"/>
                      <w:vertAlign w:val="baseline"/>
                    </w:rPr>
                  </w:pPr>
                  <w:r>
                    <w:rPr>
                      <w:rFonts w:hint="eastAsia" w:ascii="Times New Roman" w:hAnsi="Times New Roman" w:eastAsia="宋体" w:cs="Times New Roman"/>
                      <w:sz w:val="21"/>
                      <w:szCs w:val="21"/>
                      <w:u w:val="single" w:color="auto"/>
                    </w:rPr>
                    <w:t>参照《社会生活环境噪声排放标准》（GB 22337-2008）中</w:t>
                  </w:r>
                  <w:r>
                    <w:rPr>
                      <w:rFonts w:hint="eastAsia" w:ascii="Times New Roman" w:hAnsi="Times New Roman" w:eastAsia="宋体" w:cs="Times New Roman"/>
                      <w:sz w:val="21"/>
                      <w:szCs w:val="21"/>
                      <w:u w:val="single" w:color="auto"/>
                      <w:lang w:eastAsia="zh-CN"/>
                    </w:rPr>
                    <w:t>的</w:t>
                  </w:r>
                  <w:r>
                    <w:rPr>
                      <w:rFonts w:hint="eastAsia" w:ascii="Times New Roman" w:hAnsi="Times New Roman" w:eastAsia="宋体" w:cs="Times New Roman"/>
                      <w:sz w:val="21"/>
                      <w:szCs w:val="21"/>
                      <w:u w:val="single" w:color="auto"/>
                      <w:lang w:val="en-US" w:eastAsia="zh-CN"/>
                    </w:rPr>
                    <w:t>2</w:t>
                  </w:r>
                  <w:r>
                    <w:rPr>
                      <w:rFonts w:hint="eastAsia" w:ascii="Times New Roman" w:hAnsi="Times New Roman" w:eastAsia="宋体" w:cs="Times New Roman"/>
                      <w:sz w:val="21"/>
                      <w:szCs w:val="21"/>
                      <w:u w:val="single" w:color="auto"/>
                    </w:rPr>
                    <w:t>类</w:t>
                  </w:r>
                  <w:r>
                    <w:rPr>
                      <w:rFonts w:hint="eastAsia" w:ascii="Times New Roman" w:hAnsi="Times New Roman" w:eastAsia="宋体" w:cs="Times New Roman"/>
                      <w:sz w:val="21"/>
                      <w:szCs w:val="21"/>
                      <w:u w:val="single" w:color="auto"/>
                      <w:lang w:eastAsia="zh-CN"/>
                    </w:rPr>
                    <w:t>标准限值</w:t>
                  </w:r>
                </w:p>
              </w:tc>
            </w:tr>
            <w:tr w14:paraId="6F197D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23" w:type="pct"/>
                  <w:vMerge w:val="continue"/>
                  <w:tcBorders>
                    <w:tl2br w:val="nil"/>
                    <w:tr2bl w:val="nil"/>
                  </w:tcBorders>
                </w:tcPr>
                <w:p w14:paraId="0A5B4D9D">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p>
              </w:tc>
              <w:tc>
                <w:tcPr>
                  <w:tcW w:w="670" w:type="pct"/>
                  <w:tcBorders>
                    <w:tl2br w:val="nil"/>
                    <w:tr2bl w:val="nil"/>
                  </w:tcBorders>
                  <w:vAlign w:val="center"/>
                </w:tcPr>
                <w:p w14:paraId="2F3441C2">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765" w:type="pct"/>
                  <w:tcBorders>
                    <w:tl2br w:val="nil"/>
                    <w:tr2bl w:val="nil"/>
                  </w:tcBorders>
                  <w:vAlign w:val="center"/>
                </w:tcPr>
                <w:p w14:paraId="7AD5BEE0">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c>
                <w:tcPr>
                  <w:tcW w:w="1095" w:type="pct"/>
                  <w:tcBorders>
                    <w:tl2br w:val="nil"/>
                    <w:tr2bl w:val="nil"/>
                  </w:tcBorders>
                  <w:vAlign w:val="center"/>
                </w:tcPr>
                <w:p w14:paraId="7A833807">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eastAsia="zh-CN"/>
                    </w:rPr>
                    <w:t>昼间</w:t>
                  </w:r>
                </w:p>
              </w:tc>
              <w:tc>
                <w:tcPr>
                  <w:tcW w:w="1044" w:type="pct"/>
                  <w:tcBorders>
                    <w:tl2br w:val="nil"/>
                    <w:tr2bl w:val="nil"/>
                  </w:tcBorders>
                  <w:vAlign w:val="center"/>
                </w:tcPr>
                <w:p w14:paraId="25FF3D98">
                  <w:pPr>
                    <w:spacing w:line="240" w:lineRule="auto"/>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lang w:val="en-US" w:eastAsia="zh-CN"/>
                    </w:rPr>
                    <w:t>夜间</w:t>
                  </w:r>
                </w:p>
              </w:tc>
            </w:tr>
            <w:tr w14:paraId="485CD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23" w:type="pct"/>
                  <w:tcBorders>
                    <w:tl2br w:val="nil"/>
                    <w:tr2bl w:val="nil"/>
                  </w:tcBorders>
                  <w:vAlign w:val="center"/>
                </w:tcPr>
                <w:p w14:paraId="095CEDAD">
                  <w:pPr>
                    <w:keepNext w:val="0"/>
                    <w:keepLines w:val="0"/>
                    <w:widowControl/>
                    <w:suppressLineNumbers w:val="0"/>
                    <w:jc w:val="center"/>
                    <w:rPr>
                      <w:rFonts w:hint="eastAsia"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N1厂界外东面1m处</w:t>
                  </w:r>
                </w:p>
              </w:tc>
              <w:tc>
                <w:tcPr>
                  <w:tcW w:w="670" w:type="pct"/>
                  <w:tcBorders>
                    <w:tl2br w:val="nil"/>
                    <w:tr2bl w:val="nil"/>
                  </w:tcBorders>
                  <w:vAlign w:val="center"/>
                </w:tcPr>
                <w:p w14:paraId="252B14D6">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53</w:t>
                  </w:r>
                </w:p>
              </w:tc>
              <w:tc>
                <w:tcPr>
                  <w:tcW w:w="765" w:type="pct"/>
                  <w:tcBorders>
                    <w:tl2br w:val="nil"/>
                    <w:tr2bl w:val="nil"/>
                  </w:tcBorders>
                  <w:vAlign w:val="center"/>
                </w:tcPr>
                <w:p w14:paraId="62CFC1FD">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40</w:t>
                  </w:r>
                </w:p>
              </w:tc>
              <w:tc>
                <w:tcPr>
                  <w:tcW w:w="1095" w:type="pct"/>
                  <w:vMerge w:val="restart"/>
                  <w:tcBorders>
                    <w:tl2br w:val="nil"/>
                    <w:tr2bl w:val="nil"/>
                  </w:tcBorders>
                  <w:vAlign w:val="center"/>
                </w:tcPr>
                <w:p w14:paraId="7C430077">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60</w:t>
                  </w:r>
                </w:p>
              </w:tc>
              <w:tc>
                <w:tcPr>
                  <w:tcW w:w="1044" w:type="pct"/>
                  <w:vMerge w:val="restart"/>
                  <w:tcBorders>
                    <w:tl2br w:val="nil"/>
                    <w:tr2bl w:val="nil"/>
                  </w:tcBorders>
                  <w:vAlign w:val="center"/>
                </w:tcPr>
                <w:p w14:paraId="02582419">
                  <w:pPr>
                    <w:autoSpaceDE w:val="0"/>
                    <w:autoSpaceDN w:val="0"/>
                    <w:spacing w:line="360" w:lineRule="auto"/>
                    <w:jc w:val="center"/>
                    <w:rPr>
                      <w:rFonts w:hint="eastAsia" w:ascii="Times New Roman" w:hAnsi="Times New Roman" w:eastAsia="宋体" w:cs="Times New Roman"/>
                      <w:sz w:val="21"/>
                      <w:szCs w:val="21"/>
                      <w:u w:val="single" w:color="auto"/>
                      <w:vertAlign w:val="baseline"/>
                      <w:lang w:eastAsia="zh-CN"/>
                    </w:rPr>
                  </w:pPr>
                  <w:r>
                    <w:rPr>
                      <w:rFonts w:hint="eastAsia" w:ascii="Times New Roman" w:hAnsi="Times New Roman" w:eastAsia="宋体" w:cs="Times New Roman"/>
                      <w:sz w:val="21"/>
                      <w:szCs w:val="21"/>
                      <w:u w:val="single" w:color="auto"/>
                      <w:lang w:val="en-US" w:eastAsia="zh-CN"/>
                    </w:rPr>
                    <w:t>50</w:t>
                  </w:r>
                </w:p>
              </w:tc>
            </w:tr>
            <w:tr w14:paraId="35718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23" w:type="pct"/>
                  <w:tcBorders>
                    <w:tl2br w:val="nil"/>
                    <w:tr2bl w:val="nil"/>
                  </w:tcBorders>
                  <w:vAlign w:val="center"/>
                </w:tcPr>
                <w:p w14:paraId="002DE50D">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N2厂界外南面1m处</w:t>
                  </w:r>
                </w:p>
              </w:tc>
              <w:tc>
                <w:tcPr>
                  <w:tcW w:w="670" w:type="pct"/>
                  <w:tcBorders>
                    <w:tl2br w:val="nil"/>
                    <w:tr2bl w:val="nil"/>
                  </w:tcBorders>
                  <w:vAlign w:val="center"/>
                </w:tcPr>
                <w:p w14:paraId="419A874B">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54</w:t>
                  </w:r>
                </w:p>
              </w:tc>
              <w:tc>
                <w:tcPr>
                  <w:tcW w:w="765" w:type="pct"/>
                  <w:tcBorders>
                    <w:tl2br w:val="nil"/>
                    <w:tr2bl w:val="nil"/>
                  </w:tcBorders>
                  <w:vAlign w:val="center"/>
                </w:tcPr>
                <w:p w14:paraId="7CA7FBF2">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49</w:t>
                  </w:r>
                </w:p>
              </w:tc>
              <w:tc>
                <w:tcPr>
                  <w:tcW w:w="1095" w:type="pct"/>
                  <w:vMerge w:val="continue"/>
                  <w:tcBorders>
                    <w:tl2br w:val="nil"/>
                    <w:tr2bl w:val="nil"/>
                  </w:tcBorders>
                  <w:vAlign w:val="center"/>
                </w:tcPr>
                <w:p w14:paraId="7667056D">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14:paraId="5126A072">
                  <w:pPr>
                    <w:jc w:val="center"/>
                    <w:rPr>
                      <w:rFonts w:hint="eastAsia" w:ascii="Times New Roman" w:hAnsi="Times New Roman" w:eastAsia="宋体" w:cs="Times New Roman"/>
                      <w:sz w:val="21"/>
                      <w:szCs w:val="21"/>
                      <w:u w:val="single" w:color="auto"/>
                      <w:vertAlign w:val="baseline"/>
                      <w:lang w:eastAsia="zh-CN"/>
                    </w:rPr>
                  </w:pPr>
                </w:p>
              </w:tc>
            </w:tr>
            <w:tr w14:paraId="2319A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23" w:type="pct"/>
                  <w:tcBorders>
                    <w:tl2br w:val="nil"/>
                    <w:tr2bl w:val="nil"/>
                  </w:tcBorders>
                  <w:vAlign w:val="center"/>
                </w:tcPr>
                <w:p w14:paraId="38501F27">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N3厂界外西面1m处</w:t>
                  </w:r>
                </w:p>
              </w:tc>
              <w:tc>
                <w:tcPr>
                  <w:tcW w:w="670" w:type="pct"/>
                  <w:tcBorders>
                    <w:tl2br w:val="nil"/>
                    <w:tr2bl w:val="nil"/>
                  </w:tcBorders>
                  <w:vAlign w:val="center"/>
                </w:tcPr>
                <w:p w14:paraId="48488528">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54</w:t>
                  </w:r>
                </w:p>
              </w:tc>
              <w:tc>
                <w:tcPr>
                  <w:tcW w:w="765" w:type="pct"/>
                  <w:tcBorders>
                    <w:tl2br w:val="nil"/>
                    <w:tr2bl w:val="nil"/>
                  </w:tcBorders>
                  <w:vAlign w:val="center"/>
                </w:tcPr>
                <w:p w14:paraId="4A072CEA">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43</w:t>
                  </w:r>
                </w:p>
              </w:tc>
              <w:tc>
                <w:tcPr>
                  <w:tcW w:w="1095" w:type="pct"/>
                  <w:vMerge w:val="continue"/>
                  <w:tcBorders>
                    <w:tl2br w:val="nil"/>
                    <w:tr2bl w:val="nil"/>
                  </w:tcBorders>
                  <w:vAlign w:val="center"/>
                </w:tcPr>
                <w:p w14:paraId="565CC464">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14:paraId="2B0C2F32">
                  <w:pPr>
                    <w:jc w:val="center"/>
                    <w:rPr>
                      <w:rFonts w:hint="eastAsia" w:ascii="Times New Roman" w:hAnsi="Times New Roman" w:eastAsia="宋体" w:cs="Times New Roman"/>
                      <w:sz w:val="21"/>
                      <w:szCs w:val="21"/>
                      <w:u w:val="single" w:color="auto"/>
                      <w:vertAlign w:val="baseline"/>
                      <w:lang w:eastAsia="zh-CN"/>
                    </w:rPr>
                  </w:pPr>
                </w:p>
              </w:tc>
            </w:tr>
            <w:tr w14:paraId="0E00E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23" w:type="pct"/>
                  <w:tcBorders>
                    <w:tl2br w:val="nil"/>
                    <w:tr2bl w:val="nil"/>
                  </w:tcBorders>
                  <w:vAlign w:val="center"/>
                </w:tcPr>
                <w:p w14:paraId="0A14C973">
                  <w:pPr>
                    <w:keepNext w:val="0"/>
                    <w:keepLines w:val="0"/>
                    <w:widowControl/>
                    <w:suppressLineNumbers w:val="0"/>
                    <w:jc w:val="center"/>
                    <w:rPr>
                      <w:rFonts w:hint="eastAsia" w:ascii="Times New Roman" w:hAnsi="Times New Roman" w:eastAsia="宋体" w:cs="Times New Roman"/>
                      <w:kern w:val="2"/>
                      <w:sz w:val="21"/>
                      <w:szCs w:val="21"/>
                      <w:u w:val="single" w:color="auto"/>
                      <w:lang w:val="en-US" w:eastAsia="zh-CN" w:bidi="ar-SA"/>
                    </w:rPr>
                  </w:pPr>
                  <w:r>
                    <w:rPr>
                      <w:rFonts w:hint="eastAsia" w:ascii="Times New Roman" w:hAnsi="Times New Roman" w:eastAsia="宋体" w:cs="Times New Roman"/>
                      <w:sz w:val="21"/>
                      <w:szCs w:val="21"/>
                      <w:u w:val="single" w:color="auto"/>
                      <w:vertAlign w:val="baseline"/>
                      <w:lang w:val="en-US" w:eastAsia="zh-CN"/>
                    </w:rPr>
                    <w:t>N4厂界外北面1m处</w:t>
                  </w:r>
                </w:p>
              </w:tc>
              <w:tc>
                <w:tcPr>
                  <w:tcW w:w="670" w:type="pct"/>
                  <w:tcBorders>
                    <w:tl2br w:val="nil"/>
                    <w:tr2bl w:val="nil"/>
                  </w:tcBorders>
                  <w:vAlign w:val="center"/>
                </w:tcPr>
                <w:p w14:paraId="5D5C05BE">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54</w:t>
                  </w:r>
                </w:p>
              </w:tc>
              <w:tc>
                <w:tcPr>
                  <w:tcW w:w="765" w:type="pct"/>
                  <w:tcBorders>
                    <w:tl2br w:val="nil"/>
                    <w:tr2bl w:val="nil"/>
                  </w:tcBorders>
                  <w:vAlign w:val="center"/>
                </w:tcPr>
                <w:p w14:paraId="116FB83B">
                  <w:pPr>
                    <w:jc w:val="center"/>
                    <w:rPr>
                      <w:rFonts w:hint="default" w:ascii="Times New Roman" w:hAnsi="Times New Roman" w:eastAsia="宋体" w:cs="Times New Roman"/>
                      <w:sz w:val="21"/>
                      <w:szCs w:val="21"/>
                      <w:u w:val="single" w:color="auto"/>
                      <w:vertAlign w:val="baseline"/>
                      <w:lang w:val="en-US" w:eastAsia="zh-CN"/>
                    </w:rPr>
                  </w:pPr>
                  <w:r>
                    <w:rPr>
                      <w:rFonts w:hint="eastAsia" w:ascii="Times New Roman" w:hAnsi="Times New Roman" w:eastAsia="宋体" w:cs="Times New Roman"/>
                      <w:sz w:val="21"/>
                      <w:szCs w:val="21"/>
                      <w:u w:val="single" w:color="auto"/>
                      <w:vertAlign w:val="baseline"/>
                      <w:lang w:val="en-US" w:eastAsia="zh-CN"/>
                    </w:rPr>
                    <w:t>46</w:t>
                  </w:r>
                </w:p>
              </w:tc>
              <w:tc>
                <w:tcPr>
                  <w:tcW w:w="1095" w:type="pct"/>
                  <w:vMerge w:val="continue"/>
                  <w:tcBorders>
                    <w:tl2br w:val="nil"/>
                    <w:tr2bl w:val="nil"/>
                  </w:tcBorders>
                  <w:vAlign w:val="center"/>
                </w:tcPr>
                <w:p w14:paraId="1BF3EB93">
                  <w:pPr>
                    <w:jc w:val="center"/>
                    <w:rPr>
                      <w:rFonts w:hint="eastAsia" w:ascii="Times New Roman" w:hAnsi="Times New Roman" w:eastAsia="宋体" w:cs="Times New Roman"/>
                      <w:sz w:val="21"/>
                      <w:szCs w:val="21"/>
                      <w:u w:val="single" w:color="auto"/>
                      <w:vertAlign w:val="baseline"/>
                      <w:lang w:eastAsia="zh-CN"/>
                    </w:rPr>
                  </w:pPr>
                </w:p>
              </w:tc>
              <w:tc>
                <w:tcPr>
                  <w:tcW w:w="1044" w:type="pct"/>
                  <w:vMerge w:val="continue"/>
                  <w:tcBorders>
                    <w:tl2br w:val="nil"/>
                    <w:tr2bl w:val="nil"/>
                  </w:tcBorders>
                  <w:vAlign w:val="center"/>
                </w:tcPr>
                <w:p w14:paraId="177ED192">
                  <w:pPr>
                    <w:jc w:val="center"/>
                    <w:rPr>
                      <w:rFonts w:hint="eastAsia" w:ascii="Times New Roman" w:hAnsi="Times New Roman" w:eastAsia="宋体" w:cs="Times New Roman"/>
                      <w:sz w:val="21"/>
                      <w:szCs w:val="21"/>
                      <w:u w:val="single" w:color="auto"/>
                      <w:vertAlign w:val="baseline"/>
                      <w:lang w:eastAsia="zh-CN"/>
                    </w:rPr>
                  </w:pPr>
                </w:p>
              </w:tc>
            </w:tr>
          </w:tbl>
          <w:p w14:paraId="22A1FE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cs="Times New Roman"/>
                <w:color w:val="auto"/>
                <w:sz w:val="24"/>
                <w:u w:val="single" w:color="auto"/>
                <w:lang w:eastAsia="zh-CN"/>
              </w:rPr>
            </w:pPr>
            <w:r>
              <w:rPr>
                <w:rFonts w:hint="eastAsia" w:cs="Times New Roman"/>
                <w:color w:val="auto"/>
                <w:sz w:val="24"/>
                <w:u w:val="single" w:color="auto"/>
                <w:lang w:eastAsia="zh-CN"/>
              </w:rPr>
              <w:t>同时，根据项目周围</w:t>
            </w:r>
            <w:r>
              <w:rPr>
                <w:rFonts w:hint="eastAsia" w:cs="Times New Roman"/>
                <w:color w:val="auto"/>
                <w:sz w:val="24"/>
                <w:u w:val="single" w:color="auto"/>
                <w:lang w:val="en-US" w:eastAsia="zh-CN"/>
              </w:rPr>
              <w:t>50m范围内</w:t>
            </w:r>
            <w:r>
              <w:rPr>
                <w:rFonts w:hint="default" w:ascii="Times New Roman" w:hAnsi="Times New Roman" w:cs="Times New Roman"/>
                <w:color w:val="auto"/>
                <w:sz w:val="24"/>
                <w:u w:val="single" w:color="auto"/>
              </w:rPr>
              <w:t>声环境</w:t>
            </w:r>
            <w:r>
              <w:rPr>
                <w:rFonts w:hint="eastAsia" w:cs="Times New Roman"/>
                <w:color w:val="auto"/>
                <w:sz w:val="24"/>
                <w:u w:val="single" w:color="auto"/>
                <w:lang w:eastAsia="zh-CN"/>
              </w:rPr>
              <w:t>敏感点的</w:t>
            </w:r>
            <w:r>
              <w:rPr>
                <w:rFonts w:hint="default" w:ascii="Times New Roman" w:hAnsi="Times New Roman" w:cs="Times New Roman"/>
                <w:color w:val="auto"/>
                <w:sz w:val="24"/>
                <w:u w:val="single" w:color="auto"/>
              </w:rPr>
              <w:t>现状监测</w:t>
            </w:r>
            <w:r>
              <w:rPr>
                <w:rFonts w:hint="eastAsia" w:cs="Times New Roman"/>
                <w:color w:val="auto"/>
                <w:sz w:val="24"/>
                <w:u w:val="single" w:color="auto"/>
                <w:lang w:eastAsia="zh-CN"/>
              </w:rPr>
              <w:t>结果（</w:t>
            </w:r>
            <w:r>
              <w:rPr>
                <w:rFonts w:hint="eastAsia" w:cs="Times New Roman"/>
                <w:color w:val="auto"/>
                <w:sz w:val="24"/>
                <w:u w:val="single" w:color="auto"/>
                <w:lang w:val="en-US" w:eastAsia="zh-CN"/>
              </w:rPr>
              <w:t>详见附件</w:t>
            </w:r>
            <w:r>
              <w:rPr>
                <w:rFonts w:hint="eastAsia" w:cs="Times New Roman"/>
                <w:color w:val="auto"/>
                <w:sz w:val="24"/>
                <w:u w:val="single" w:color="auto"/>
                <w:lang w:eastAsia="zh-CN"/>
              </w:rPr>
              <w:t>）可知</w:t>
            </w:r>
            <w:r>
              <w:rPr>
                <w:rFonts w:hint="default" w:ascii="Times New Roman" w:hAnsi="Times New Roman" w:cs="Times New Roman"/>
                <w:color w:val="auto"/>
                <w:sz w:val="24"/>
                <w:u w:val="single" w:color="auto"/>
              </w:rPr>
              <w:t>，</w:t>
            </w:r>
            <w:r>
              <w:rPr>
                <w:rFonts w:hint="eastAsia" w:cs="Times New Roman"/>
                <w:color w:val="auto"/>
                <w:sz w:val="24"/>
                <w:u w:val="single" w:color="auto"/>
                <w:lang w:eastAsia="zh-CN"/>
              </w:rPr>
              <w:t>各声环境敏感点的昼夜间噪声均</w:t>
            </w:r>
            <w:r>
              <w:rPr>
                <w:rFonts w:hint="default" w:ascii="Times New Roman" w:hAnsi="Times New Roman" w:cs="Times New Roman"/>
                <w:color w:val="auto"/>
                <w:sz w:val="24"/>
                <w:u w:val="single" w:color="auto"/>
              </w:rPr>
              <w:t>能满足《声环境质量标准》（GB3096-2008）中的2类标准。</w:t>
            </w:r>
            <w:r>
              <w:rPr>
                <w:rFonts w:hint="eastAsia" w:cs="Times New Roman"/>
                <w:color w:val="auto"/>
                <w:sz w:val="24"/>
                <w:u w:val="single" w:color="auto"/>
                <w:lang w:eastAsia="zh-CN"/>
              </w:rPr>
              <w:t>由此表明</w:t>
            </w:r>
            <w:r>
              <w:rPr>
                <w:rFonts w:hint="default" w:cs="Times New Roman"/>
                <w:color w:val="auto"/>
                <w:sz w:val="24"/>
                <w:u w:val="single" w:color="auto"/>
                <w:lang w:eastAsia="zh-CN"/>
              </w:rPr>
              <w:t>，本项目营运期噪声对周围环境影响较小。</w:t>
            </w:r>
          </w:p>
          <w:p w14:paraId="39269ECF">
            <w:pPr>
              <w:spacing w:line="360" w:lineRule="auto"/>
              <w:ind w:firstLine="480" w:firstLineChars="200"/>
              <w:rPr>
                <w:rFonts w:hint="default" w:cs="Times New Roman"/>
                <w:b w:val="0"/>
                <w:bCs w:val="0"/>
                <w:color w:val="auto"/>
                <w:sz w:val="24"/>
                <w:highlight w:val="none"/>
                <w:u w:val="single" w:color="auto"/>
                <w:lang w:eastAsia="zh-CN"/>
              </w:rPr>
            </w:pPr>
            <w:r>
              <w:rPr>
                <w:rFonts w:hint="eastAsia" w:cs="Times New Roman"/>
                <w:b w:val="0"/>
                <w:bCs w:val="0"/>
                <w:color w:val="auto"/>
                <w:sz w:val="24"/>
                <w:highlight w:val="none"/>
                <w:u w:val="single" w:color="auto"/>
                <w:lang w:eastAsia="zh-CN"/>
              </w:rPr>
              <w:t>（</w:t>
            </w:r>
            <w:r>
              <w:rPr>
                <w:rFonts w:hint="eastAsia" w:cs="Times New Roman"/>
                <w:b w:val="0"/>
                <w:bCs w:val="0"/>
                <w:color w:val="auto"/>
                <w:sz w:val="24"/>
                <w:highlight w:val="none"/>
                <w:u w:val="single" w:color="auto"/>
                <w:lang w:val="en-US" w:eastAsia="zh-CN"/>
              </w:rPr>
              <w:t>4</w:t>
            </w:r>
            <w:r>
              <w:rPr>
                <w:rFonts w:hint="eastAsia" w:cs="Times New Roman"/>
                <w:b w:val="0"/>
                <w:bCs w:val="0"/>
                <w:color w:val="auto"/>
                <w:sz w:val="24"/>
                <w:highlight w:val="none"/>
                <w:u w:val="single" w:color="auto"/>
                <w:lang w:eastAsia="zh-CN"/>
              </w:rPr>
              <w:t>）</w:t>
            </w:r>
            <w:r>
              <w:rPr>
                <w:rFonts w:hint="default" w:cs="Times New Roman"/>
                <w:b w:val="0"/>
                <w:bCs w:val="0"/>
                <w:color w:val="auto"/>
                <w:sz w:val="24"/>
                <w:highlight w:val="none"/>
                <w:u w:val="single" w:color="auto"/>
                <w:lang w:eastAsia="zh-CN"/>
              </w:rPr>
              <w:t>固体废物及处理措施</w:t>
            </w:r>
          </w:p>
          <w:p w14:paraId="610220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single" w:color="auto"/>
                <w:lang w:val="en-US" w:eastAsia="zh-CN"/>
              </w:rPr>
            </w:pP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项目营运期固体废物主要是生活垃圾</w:t>
            </w:r>
            <w:r>
              <w:rPr>
                <w:rFonts w:hint="eastAsia" w:cs="Times New Roman"/>
                <w:color w:val="000000" w:themeColor="text1"/>
                <w:kern w:val="0"/>
                <w:sz w:val="24"/>
                <w:szCs w:val="20"/>
                <w:highlight w:val="none"/>
                <w:u w:val="single" w:color="auto"/>
                <w:lang w:eastAsia="zh-CN"/>
                <w14:textFill>
                  <w14:solidFill>
                    <w14:schemeClr w14:val="tx1"/>
                  </w14:solidFill>
                </w14:textFill>
              </w:rPr>
              <w:t>、</w:t>
            </w:r>
            <w:r>
              <w:rPr>
                <w:rFonts w:hint="default" w:cs="Times New Roman"/>
                <w:color w:val="auto"/>
                <w:sz w:val="24"/>
                <w:highlight w:val="none"/>
                <w:u w:val="single" w:color="auto"/>
                <w:lang w:eastAsia="zh-CN"/>
              </w:rPr>
              <w:t>中药渣</w:t>
            </w:r>
            <w:r>
              <w:rPr>
                <w:rFonts w:hint="eastAsia" w:cs="Times New Roman"/>
                <w:color w:val="auto"/>
                <w:sz w:val="24"/>
                <w:highlight w:val="none"/>
                <w:u w:val="single" w:color="auto"/>
                <w:lang w:eastAsia="zh-CN"/>
              </w:rPr>
              <w:t>、</w:t>
            </w:r>
            <w:r>
              <w:rPr>
                <w:rFonts w:hint="eastAsia" w:cs="Times New Roman"/>
                <w:color w:val="000000" w:themeColor="text1"/>
                <w:kern w:val="0"/>
                <w:sz w:val="24"/>
                <w:szCs w:val="20"/>
                <w:highlight w:val="none"/>
                <w:u w:val="single" w:color="auto"/>
                <w:lang w:val="en-US" w:eastAsia="zh-CN"/>
                <w14:textFill>
                  <w14:solidFill>
                    <w14:schemeClr w14:val="tx1"/>
                  </w14:solidFill>
                </w14:textFill>
              </w:rPr>
              <w:t>一般废包装材料、</w:t>
            </w:r>
            <w:r>
              <w:rPr>
                <w:rFonts w:hint="default" w:cs="Times New Roman"/>
                <w:color w:val="auto"/>
                <w:sz w:val="24"/>
                <w:highlight w:val="none"/>
                <w:u w:val="single" w:color="auto"/>
                <w:lang w:eastAsia="zh-CN"/>
              </w:rPr>
              <w:t>医疗废物</w:t>
            </w:r>
            <w:r>
              <w:rPr>
                <w:rFonts w:hint="eastAsia" w:cs="Times New Roman"/>
                <w:color w:val="auto"/>
                <w:sz w:val="24"/>
                <w:highlight w:val="none"/>
                <w:u w:val="single" w:color="auto"/>
                <w:lang w:eastAsia="zh-CN"/>
              </w:rPr>
              <w:t>、</w:t>
            </w:r>
            <w:r>
              <w:rPr>
                <w:rFonts w:hint="eastAsia" w:cs="Times New Roman"/>
                <w:color w:val="auto"/>
                <w:sz w:val="24"/>
                <w:highlight w:val="none"/>
                <w:u w:val="single" w:color="auto"/>
                <w:lang w:val="en-US" w:eastAsia="zh-CN"/>
              </w:rPr>
              <w:t>检验废液</w:t>
            </w:r>
            <w:r>
              <w:rPr>
                <w:rFonts w:hint="eastAsia" w:cs="Times New Roman"/>
                <w:color w:val="auto"/>
                <w:sz w:val="24"/>
                <w:highlight w:val="none"/>
                <w:u w:val="single" w:color="auto"/>
                <w:lang w:eastAsia="zh-CN"/>
              </w:rPr>
              <w:t>和</w:t>
            </w:r>
            <w:r>
              <w:rPr>
                <w:rFonts w:hint="default" w:cs="Times New Roman"/>
                <w:color w:val="auto"/>
                <w:sz w:val="24"/>
                <w:highlight w:val="none"/>
                <w:u w:val="single" w:color="auto"/>
                <w:lang w:eastAsia="zh-CN"/>
              </w:rPr>
              <w:t>污水处理站污泥</w:t>
            </w:r>
            <w:r>
              <w:rPr>
                <w:rFonts w:hint="eastAsia" w:cs="Times New Roman"/>
                <w:color w:val="000000" w:themeColor="text1"/>
                <w:kern w:val="0"/>
                <w:sz w:val="24"/>
                <w:szCs w:val="20"/>
                <w:highlight w:val="none"/>
                <w:u w:val="single" w:color="auto"/>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u w:val="single" w:color="auto"/>
                <w14:textFill>
                  <w14:solidFill>
                    <w14:schemeClr w14:val="tx1"/>
                  </w14:solidFill>
                </w14:textFill>
              </w:rPr>
              <w:t>医疗废物主要包括损伤性废物、药物废物、病理性废物、感染性废物。</w:t>
            </w:r>
          </w:p>
          <w:p w14:paraId="5E1DA248">
            <w:pPr>
              <w:adjustRightInd w:val="0"/>
              <w:snapToGrid w:val="0"/>
              <w:spacing w:line="360" w:lineRule="auto"/>
              <w:ind w:firstLine="480" w:firstLineChars="200"/>
              <w:rPr>
                <w:rFonts w:hint="eastAsia" w:ascii="Times New Roman" w:hAnsi="Times New Roman" w:eastAsia="宋体" w:cs="Times New Roman"/>
                <w:sz w:val="24"/>
                <w:szCs w:val="24"/>
                <w:highlight w:val="none"/>
                <w:u w:val="single" w:color="auto"/>
                <w:lang w:val="en-US" w:eastAsia="zh-CN"/>
              </w:rPr>
            </w:pPr>
            <w:r>
              <w:rPr>
                <w:rFonts w:hint="eastAsia" w:ascii="Times New Roman" w:hAnsi="Times New Roman" w:eastAsia="宋体" w:cs="Times New Roman"/>
                <w:color w:val="auto"/>
                <w:kern w:val="0"/>
                <w:sz w:val="24"/>
                <w:szCs w:val="24"/>
                <w:highlight w:val="none"/>
                <w:u w:val="single" w:color="auto"/>
                <w:lang w:val="en-US" w:eastAsia="zh-CN" w:bidi="ar"/>
              </w:rPr>
              <w:t>现有项目设有一间约1</w:t>
            </w:r>
            <w:r>
              <w:rPr>
                <w:rFonts w:hint="eastAsia" w:cs="Times New Roman"/>
                <w:color w:val="auto"/>
                <w:kern w:val="0"/>
                <w:sz w:val="24"/>
                <w:szCs w:val="24"/>
                <w:highlight w:val="none"/>
                <w:u w:val="single" w:color="auto"/>
                <w:lang w:val="en-US" w:eastAsia="zh-CN" w:bidi="ar"/>
              </w:rPr>
              <w:t>5</w:t>
            </w:r>
            <w:r>
              <w:rPr>
                <w:rFonts w:hint="eastAsia" w:ascii="Times New Roman" w:hAnsi="Times New Roman" w:eastAsia="宋体" w:cs="Times New Roman"/>
                <w:color w:val="auto"/>
                <w:kern w:val="0"/>
                <w:sz w:val="24"/>
                <w:szCs w:val="24"/>
                <w:highlight w:val="none"/>
                <w:u w:val="single" w:color="auto"/>
                <w:lang w:val="en-US" w:eastAsia="zh-CN" w:bidi="ar"/>
              </w:rPr>
              <w:t>m</w:t>
            </w:r>
            <w:r>
              <w:rPr>
                <w:rFonts w:hint="eastAsia" w:ascii="Times New Roman" w:hAnsi="Times New Roman" w:eastAsia="宋体" w:cs="Times New Roman"/>
                <w:color w:val="auto"/>
                <w:kern w:val="0"/>
                <w:sz w:val="24"/>
                <w:szCs w:val="24"/>
                <w:highlight w:val="none"/>
                <w:u w:val="single" w:color="auto"/>
                <w:vertAlign w:val="superscript"/>
                <w:lang w:val="en-US" w:eastAsia="zh-CN" w:bidi="ar"/>
              </w:rPr>
              <w:t>2</w:t>
            </w:r>
            <w:r>
              <w:rPr>
                <w:rFonts w:hint="eastAsia" w:ascii="Times New Roman" w:hAnsi="Times New Roman" w:eastAsia="宋体" w:cs="Times New Roman"/>
                <w:color w:val="auto"/>
                <w:kern w:val="0"/>
                <w:sz w:val="24"/>
                <w:szCs w:val="24"/>
                <w:highlight w:val="none"/>
                <w:u w:val="single" w:color="auto"/>
                <w:lang w:val="en-US" w:eastAsia="zh-CN" w:bidi="ar"/>
              </w:rPr>
              <w:t>的医疗废物暂存间。医疗废物和检验废液经收集后，</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暂存于危险废物暂存间后委托有资质</w:t>
            </w:r>
            <w:r>
              <w:rPr>
                <w:rFonts w:hint="eastAsia" w:cs="Times New Roman"/>
                <w:color w:val="000000" w:themeColor="text1"/>
                <w:kern w:val="0"/>
                <w:sz w:val="24"/>
                <w:szCs w:val="24"/>
                <w:highlight w:val="none"/>
                <w:u w:val="single" w:color="auto"/>
                <w:lang w:eastAsia="zh-CN"/>
                <w14:textFill>
                  <w14:solidFill>
                    <w14:schemeClr w14:val="tx1"/>
                  </w14:solidFill>
                </w14:textFill>
              </w:rPr>
              <w:t>单位</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定期清运和处置</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污水处理站</w:t>
            </w:r>
            <w:r>
              <w:rPr>
                <w:rFonts w:hint="default" w:ascii="Times New Roman" w:hAnsi="Times New Roman" w:eastAsia="宋体" w:cs="Times New Roman"/>
                <w:color w:val="auto"/>
                <w:kern w:val="0"/>
                <w:sz w:val="24"/>
                <w:szCs w:val="24"/>
                <w:highlight w:val="none"/>
                <w:u w:val="single" w:color="auto"/>
                <w:lang w:val="en-US" w:eastAsia="zh-CN" w:bidi="ar"/>
              </w:rPr>
              <w:t>污泥</w:t>
            </w:r>
            <w:r>
              <w:rPr>
                <w:rFonts w:hint="eastAsia" w:cs="Times New Roman"/>
                <w:color w:val="auto"/>
                <w:kern w:val="0"/>
                <w:sz w:val="24"/>
                <w:szCs w:val="24"/>
                <w:highlight w:val="none"/>
                <w:u w:val="single" w:color="auto"/>
                <w:lang w:val="en-US" w:eastAsia="zh-CN" w:bidi="ar"/>
              </w:rPr>
              <w:t>，</w:t>
            </w:r>
            <w:r>
              <w:rPr>
                <w:rFonts w:hint="eastAsia"/>
                <w:sz w:val="24"/>
                <w:szCs w:val="24"/>
                <w:highlight w:val="none"/>
                <w:u w:val="single" w:color="auto"/>
                <w:lang w:val="en-US" w:eastAsia="zh-CN"/>
              </w:rPr>
              <w:t>即清即运，不在场内贮存；</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一般废包装材料</w:t>
            </w:r>
            <w:r>
              <w:rPr>
                <w:rFonts w:hint="default" w:ascii="Times New Roman" w:hAnsi="Times New Roman" w:cs="Times New Roman"/>
                <w:color w:val="000000" w:themeColor="text1"/>
                <w:kern w:val="0"/>
                <w:sz w:val="24"/>
                <w:szCs w:val="24"/>
                <w:highlight w:val="none"/>
                <w:u w:val="single" w:color="auto"/>
                <w14:textFill>
                  <w14:solidFill>
                    <w14:schemeClr w14:val="tx1"/>
                  </w14:solidFill>
                </w14:textFill>
              </w:rPr>
              <w:t>单独收集，定期交物资回收公司回收处理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w:t>
            </w:r>
            <w:r>
              <w:rPr>
                <w:rFonts w:hint="eastAsia" w:ascii="Times New Roman" w:hAnsi="Times New Roman" w:eastAsia="宋体" w:cs="Times New Roman"/>
                <w:color w:val="auto"/>
                <w:kern w:val="0"/>
                <w:sz w:val="24"/>
                <w:szCs w:val="24"/>
                <w:highlight w:val="none"/>
                <w:u w:val="single" w:color="auto"/>
                <w:lang w:val="en-US" w:eastAsia="zh-CN" w:bidi="ar"/>
              </w:rPr>
              <w:t>中药渣</w:t>
            </w:r>
            <w:r>
              <w:rPr>
                <w:rFonts w:hint="eastAsia" w:ascii="Times New Roman" w:hAnsi="Times New Roman" w:eastAsia="宋体" w:cs="Times New Roman"/>
                <w:sz w:val="24"/>
                <w:szCs w:val="24"/>
                <w:highlight w:val="none"/>
                <w:u w:val="single" w:color="auto"/>
                <w:lang w:val="en-US" w:eastAsia="zh-CN"/>
              </w:rPr>
              <w:t>经收集后与生活垃圾一同交由环卫部门清运处理。</w:t>
            </w:r>
          </w:p>
          <w:p w14:paraId="24CC270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u w:val="single" w:color="auto"/>
                <w:lang w:val="en-US" w:eastAsia="zh-CN"/>
              </w:rPr>
            </w:pPr>
            <w:r>
              <w:rPr>
                <w:rFonts w:hint="eastAsia" w:ascii="Times New Roman" w:hAnsi="Times New Roman" w:eastAsia="宋体" w:cs="Times New Roman"/>
                <w:b/>
                <w:bCs/>
                <w:color w:val="auto"/>
                <w:kern w:val="2"/>
                <w:sz w:val="24"/>
                <w:szCs w:val="24"/>
                <w:u w:val="single" w:color="auto"/>
                <w:lang w:val="en-US" w:eastAsia="zh-CN" w:bidi="ar-SA"/>
              </w:rPr>
              <w:t>2、</w:t>
            </w:r>
            <w:r>
              <w:rPr>
                <w:rFonts w:hint="eastAsia" w:cs="Times New Roman"/>
                <w:b/>
                <w:bCs/>
                <w:color w:val="auto"/>
                <w:sz w:val="24"/>
                <w:u w:val="single" w:color="auto"/>
                <w:lang w:val="en-US" w:eastAsia="zh-CN"/>
              </w:rPr>
              <w:t>存在的环境问题及整改措施</w:t>
            </w:r>
          </w:p>
          <w:p w14:paraId="2466FB8A">
            <w:pPr>
              <w:spacing w:line="360" w:lineRule="auto"/>
              <w:ind w:firstLine="480" w:firstLineChars="200"/>
              <w:rPr>
                <w:rFonts w:hint="default"/>
                <w:u w:val="single" w:color="auto"/>
              </w:rPr>
            </w:pPr>
            <w:r>
              <w:rPr>
                <w:rFonts w:hint="default" w:ascii="Times New Roman" w:hAnsi="Times New Roman" w:cs="Times New Roman"/>
                <w:color w:val="auto"/>
                <w:sz w:val="24"/>
                <w:u w:val="single" w:color="auto"/>
              </w:rPr>
              <w:t>本项目已建成投产多年，运行期间未收到环保投诉</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现为完善项目相关环保手续。根据湖南省卫生健康委</w:t>
            </w:r>
            <w:r>
              <w:rPr>
                <w:rFonts w:hint="eastAsia" w:cs="Times New Roman"/>
                <w:color w:val="auto"/>
                <w:sz w:val="24"/>
                <w:u w:val="single" w:color="auto"/>
                <w:lang w:eastAsia="zh-CN"/>
              </w:rPr>
              <w:t>、</w:t>
            </w:r>
            <w:r>
              <w:rPr>
                <w:rFonts w:hint="default" w:ascii="Times New Roman" w:hAnsi="Times New Roman" w:cs="Times New Roman"/>
                <w:color w:val="auto"/>
                <w:sz w:val="24"/>
                <w:u w:val="single" w:color="auto"/>
              </w:rPr>
              <w:t>湖南省生态环境厅《关于做好一级医疗机构污水处理问题排查整治工作的通知》（湘卫函〔2023〕60 号），针对现场调查结果，环评要求对不符合要求的相关环保设施进行整改，环评整改意见详见表2-</w:t>
            </w:r>
            <w:r>
              <w:rPr>
                <w:rFonts w:hint="eastAsia" w:cs="Times New Roman"/>
                <w:color w:val="auto"/>
                <w:sz w:val="24"/>
                <w:u w:val="single" w:color="auto"/>
                <w:lang w:val="en-US" w:eastAsia="zh-CN"/>
              </w:rPr>
              <w:t>10</w:t>
            </w:r>
            <w:r>
              <w:rPr>
                <w:rFonts w:hint="default" w:ascii="Times New Roman" w:hAnsi="Times New Roman" w:cs="Times New Roman"/>
                <w:color w:val="auto"/>
                <w:sz w:val="24"/>
                <w:u w:val="single" w:color="auto"/>
              </w:rPr>
              <w:t>。</w:t>
            </w:r>
          </w:p>
          <w:p w14:paraId="6C3E9A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color w:val="auto"/>
                <w:sz w:val="21"/>
                <w:szCs w:val="21"/>
                <w:u w:val="single" w:color="auto"/>
              </w:rPr>
            </w:pPr>
            <w:r>
              <w:rPr>
                <w:rFonts w:hint="default" w:ascii="Times New Roman" w:hAnsi="Times New Roman" w:eastAsia="宋体" w:cs="Times New Roman"/>
                <w:b/>
                <w:color w:val="auto"/>
                <w:sz w:val="21"/>
                <w:szCs w:val="21"/>
                <w:u w:val="single" w:color="auto"/>
              </w:rPr>
              <w:t>表2-</w:t>
            </w:r>
            <w:r>
              <w:rPr>
                <w:rFonts w:hint="eastAsia" w:cs="Times New Roman"/>
                <w:b/>
                <w:color w:val="auto"/>
                <w:sz w:val="21"/>
                <w:szCs w:val="21"/>
                <w:u w:val="single" w:color="auto"/>
                <w:lang w:val="en-US" w:eastAsia="zh-CN"/>
              </w:rPr>
              <w:t xml:space="preserve">10   </w:t>
            </w:r>
            <w:r>
              <w:rPr>
                <w:rFonts w:hint="default" w:ascii="Times New Roman" w:hAnsi="Times New Roman" w:eastAsia="宋体" w:cs="Times New Roman"/>
                <w:b/>
                <w:color w:val="auto"/>
                <w:sz w:val="21"/>
                <w:szCs w:val="21"/>
                <w:u w:val="single" w:color="auto"/>
                <w:lang w:val="en-US" w:eastAsia="zh-CN"/>
              </w:rPr>
              <w:t>项目存在问题及拟整改措施</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2204"/>
              <w:gridCol w:w="4405"/>
            </w:tblGrid>
            <w:tr w14:paraId="782D16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tcBorders>
                    <w:tl2br w:val="nil"/>
                    <w:tr2bl w:val="nil"/>
                  </w:tcBorders>
                  <w:vAlign w:val="center"/>
                </w:tcPr>
                <w:p w14:paraId="67BC33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项目</w:t>
                  </w:r>
                </w:p>
              </w:tc>
              <w:tc>
                <w:tcPr>
                  <w:tcW w:w="2235" w:type="dxa"/>
                  <w:tcBorders>
                    <w:tl2br w:val="nil"/>
                    <w:tr2bl w:val="nil"/>
                  </w:tcBorders>
                  <w:vAlign w:val="center"/>
                </w:tcPr>
                <w:p w14:paraId="2F4E13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存在问题</w:t>
                  </w:r>
                </w:p>
              </w:tc>
              <w:tc>
                <w:tcPr>
                  <w:tcW w:w="4471" w:type="dxa"/>
                  <w:tcBorders>
                    <w:tl2br w:val="nil"/>
                    <w:tr2bl w:val="nil"/>
                  </w:tcBorders>
                  <w:vAlign w:val="center"/>
                </w:tcPr>
                <w:p w14:paraId="27838F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default" w:ascii="Times New Roman" w:hAnsi="Times New Roman" w:cs="Times New Roman"/>
                      <w:color w:val="auto"/>
                      <w:sz w:val="21"/>
                      <w:szCs w:val="21"/>
                      <w:u w:val="single" w:color="auto"/>
                      <w:vertAlign w:val="baseline"/>
                      <w:lang w:val="en-US" w:eastAsia="zh-CN"/>
                    </w:rPr>
                    <w:t>整改措施</w:t>
                  </w:r>
                </w:p>
              </w:tc>
            </w:tr>
            <w:tr w14:paraId="4DDF67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restart"/>
                  <w:tcBorders>
                    <w:tl2br w:val="nil"/>
                    <w:tr2bl w:val="nil"/>
                  </w:tcBorders>
                  <w:vAlign w:val="center"/>
                </w:tcPr>
                <w:p w14:paraId="1AB38B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环境</w:t>
                  </w:r>
                </w:p>
                <w:p w14:paraId="170582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管理</w:t>
                  </w:r>
                </w:p>
              </w:tc>
              <w:tc>
                <w:tcPr>
                  <w:tcW w:w="2235" w:type="dxa"/>
                  <w:tcBorders>
                    <w:tl2br w:val="nil"/>
                    <w:tr2bl w:val="nil"/>
                  </w:tcBorders>
                  <w:vAlign w:val="center"/>
                </w:tcPr>
                <w:p w14:paraId="7D6D0C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医院无相关环保手续</w:t>
                  </w:r>
                </w:p>
              </w:tc>
              <w:tc>
                <w:tcPr>
                  <w:tcW w:w="4471" w:type="dxa"/>
                  <w:tcBorders>
                    <w:tl2br w:val="nil"/>
                    <w:tr2bl w:val="nil"/>
                  </w:tcBorders>
                  <w:vAlign w:val="center"/>
                </w:tcPr>
                <w:p w14:paraId="3347C5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color="auto"/>
                      <w:vertAlign w:val="baseline"/>
                      <w:lang w:eastAsia="zh-CN"/>
                    </w:rPr>
                  </w:pPr>
                  <w:r>
                    <w:rPr>
                      <w:rFonts w:hint="default" w:ascii="Times New Roman" w:hAnsi="Times New Roman" w:eastAsia="宋体" w:cs="Times New Roman"/>
                      <w:color w:val="auto"/>
                      <w:sz w:val="21"/>
                      <w:szCs w:val="21"/>
                      <w:u w:val="single" w:color="auto"/>
                      <w:vertAlign w:val="baseline"/>
                    </w:rPr>
                    <w:t>按要求完善相关环保手续</w:t>
                  </w:r>
                  <w:r>
                    <w:rPr>
                      <w:rFonts w:hint="eastAsia" w:cs="Times New Roman"/>
                      <w:color w:val="auto"/>
                      <w:sz w:val="21"/>
                      <w:szCs w:val="21"/>
                      <w:u w:val="single" w:color="auto"/>
                      <w:vertAlign w:val="baseline"/>
                      <w:lang w:eastAsia="zh-CN"/>
                    </w:rPr>
                    <w:t>。</w:t>
                  </w:r>
                </w:p>
              </w:tc>
            </w:tr>
            <w:tr w14:paraId="40D46B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continue"/>
                  <w:tcBorders>
                    <w:tl2br w:val="nil"/>
                    <w:tr2bl w:val="nil"/>
                  </w:tcBorders>
                  <w:vAlign w:val="center"/>
                </w:tcPr>
                <w:p w14:paraId="751A2A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14:paraId="542627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lang w:val="en-US" w:eastAsia="zh-CN"/>
                    </w:rPr>
                  </w:pPr>
                  <w:r>
                    <w:rPr>
                      <w:rFonts w:hint="eastAsia" w:cs="Times New Roman"/>
                      <w:color w:val="auto"/>
                      <w:sz w:val="21"/>
                      <w:szCs w:val="21"/>
                      <w:u w:val="single" w:color="auto"/>
                      <w:vertAlign w:val="baseline"/>
                      <w:lang w:val="en-US" w:eastAsia="zh-CN"/>
                    </w:rPr>
                    <w:t>排污口未设置环保标识标牌</w:t>
                  </w:r>
                </w:p>
              </w:tc>
              <w:tc>
                <w:tcPr>
                  <w:tcW w:w="4471" w:type="dxa"/>
                  <w:tcBorders>
                    <w:tl2br w:val="nil"/>
                    <w:tr2bl w:val="nil"/>
                  </w:tcBorders>
                  <w:vAlign w:val="center"/>
                </w:tcPr>
                <w:p w14:paraId="634F13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sz w:val="21"/>
                      <w:szCs w:val="21"/>
                      <w:u w:val="single" w:color="auto"/>
                      <w:vertAlign w:val="baseline"/>
                      <w:lang w:val="en-US" w:eastAsia="zh-CN"/>
                    </w:rPr>
                    <w:t>严格按照《国家环境保护图形标志》（GB15562.1-2-95）的规定，设置国家环保部统一制定的环境保护图形标志牌</w:t>
                  </w:r>
                </w:p>
              </w:tc>
            </w:tr>
            <w:tr w14:paraId="79EFB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41" w:type="dxa"/>
                  <w:vMerge w:val="continue"/>
                  <w:tcBorders>
                    <w:tl2br w:val="nil"/>
                    <w:tr2bl w:val="nil"/>
                  </w:tcBorders>
                  <w:vAlign w:val="center"/>
                </w:tcPr>
                <w:p w14:paraId="3C590A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p>
              </w:tc>
              <w:tc>
                <w:tcPr>
                  <w:tcW w:w="2235" w:type="dxa"/>
                  <w:tcBorders>
                    <w:tl2br w:val="nil"/>
                    <w:tr2bl w:val="nil"/>
                  </w:tcBorders>
                  <w:vAlign w:val="center"/>
                </w:tcPr>
                <w:p w14:paraId="666690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未制定相关污水管理工作制度</w:t>
                  </w:r>
                </w:p>
              </w:tc>
              <w:tc>
                <w:tcPr>
                  <w:tcW w:w="4471" w:type="dxa"/>
                  <w:tcBorders>
                    <w:tl2br w:val="nil"/>
                    <w:tr2bl w:val="nil"/>
                  </w:tcBorders>
                  <w:vAlign w:val="center"/>
                </w:tcPr>
                <w:p w14:paraId="6B872D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color="auto"/>
                      <w:vertAlign w:val="baseline"/>
                    </w:rPr>
                  </w:pPr>
                  <w:r>
                    <w:rPr>
                      <w:rFonts w:hint="default" w:ascii="Times New Roman" w:hAnsi="Times New Roman" w:eastAsia="宋体" w:cs="Times New Roman"/>
                      <w:color w:val="auto"/>
                      <w:sz w:val="21"/>
                      <w:szCs w:val="21"/>
                      <w:u w:val="single" w:color="auto"/>
                      <w:vertAlign w:val="baseline"/>
                    </w:rPr>
                    <w:t>健全医疗机构污水管理工作制度。将医疗污水处理设施运行维护纳入医院日常管理工作，建立健全医疗污水处理设施运行台账制度，落实专人负责，规范记录水质、消毒剂使用量等信息，并按照规定开展自行监测。</w:t>
                  </w:r>
                </w:p>
              </w:tc>
            </w:tr>
          </w:tbl>
          <w:p w14:paraId="624FA3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s="Times New Roman"/>
                <w:b/>
                <w:bCs/>
                <w:color w:val="auto"/>
                <w:sz w:val="24"/>
                <w:lang w:val="en-US" w:eastAsia="zh-CN"/>
              </w:rPr>
            </w:pPr>
          </w:p>
        </w:tc>
      </w:tr>
    </w:tbl>
    <w:p w14:paraId="24766CFD">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ED2393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rFonts w:ascii="Times New Roman" w:hAnsi="Times New Roman"/>
          <w:b/>
          <w:bCs/>
          <w:snapToGrid w:val="0"/>
          <w:sz w:val="30"/>
          <w:szCs w:val="30"/>
        </w:rPr>
      </w:pPr>
      <w:bookmarkStart w:id="13" w:name="_Toc6127"/>
      <w:bookmarkStart w:id="14" w:name="_Toc24813"/>
      <w:r>
        <w:rPr>
          <w:rFonts w:hint="eastAsia" w:ascii="Times New Roman" w:hAnsi="Times New Roman" w:eastAsia="宋体" w:cs="Times New Roman"/>
          <w:b/>
          <w:bCs/>
          <w:snapToGrid w:val="0"/>
          <w:kern w:val="2"/>
          <w:sz w:val="30"/>
          <w:szCs w:val="30"/>
          <w:lang w:val="en-US" w:eastAsia="zh-CN" w:bidi="ar-SA"/>
        </w:rPr>
        <w:t>三、</w:t>
      </w:r>
      <w:r>
        <w:rPr>
          <w:rFonts w:ascii="Times New Roman" w:hAnsi="Times New Roman"/>
          <w:b/>
          <w:bCs/>
          <w:snapToGrid w:val="0"/>
          <w:sz w:val="30"/>
          <w:szCs w:val="30"/>
        </w:rPr>
        <w:t>区域环境质量现状、环境保护目标及评价标准</w:t>
      </w:r>
      <w:bookmarkEnd w:id="13"/>
      <w:bookmarkEnd w:id="14"/>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8067"/>
      </w:tblGrid>
      <w:tr w14:paraId="32A3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4" w:type="dxa"/>
            <w:vAlign w:val="center"/>
          </w:tcPr>
          <w:p w14:paraId="69888A3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区域</w:t>
            </w:r>
          </w:p>
          <w:p w14:paraId="64230F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1EA5720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质量</w:t>
            </w:r>
          </w:p>
          <w:p w14:paraId="5F3E32D1">
            <w:pPr>
              <w:keepNext w:val="0"/>
              <w:keepLines w:val="0"/>
              <w:pageBreakBefore w:val="0"/>
              <w:widowControl w:val="0"/>
              <w:kinsoku/>
              <w:wordWrap/>
              <w:overflowPunct/>
              <w:topLinePunct w:val="0"/>
              <w:autoSpaceDE/>
              <w:autoSpaceDN/>
              <w:bidi w:val="0"/>
              <w:spacing w:line="240" w:lineRule="auto"/>
              <w:jc w:val="center"/>
              <w:textAlignment w:val="auto"/>
              <w:rPr>
                <w:rFonts w:hint="default"/>
                <w:vertAlign w:val="baseline"/>
                <w:lang w:val="en-US" w:eastAsia="zh-CN"/>
              </w:rPr>
            </w:pPr>
            <w:r>
              <w:rPr>
                <w:rFonts w:hint="default" w:ascii="Times New Roman" w:hAnsi="Times New Roman" w:eastAsia="宋体" w:cs="Times New Roman"/>
                <w:color w:val="auto"/>
                <w:spacing w:val="0"/>
                <w:kern w:val="0"/>
                <w:sz w:val="24"/>
                <w:szCs w:val="24"/>
              </w:rPr>
              <w:t>现状</w:t>
            </w:r>
          </w:p>
        </w:tc>
        <w:tc>
          <w:tcPr>
            <w:tcW w:w="7658" w:type="dxa"/>
            <w:vAlign w:val="center"/>
          </w:tcPr>
          <w:p w14:paraId="6D153CA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sz w:val="24"/>
                <w:szCs w:val="24"/>
              </w:rPr>
            </w:pPr>
            <w:r>
              <w:rPr>
                <w:rFonts w:hint="default" w:ascii="Times New Roman" w:hAnsi="Times New Roman" w:eastAsia="宋体" w:cs="Times New Roman"/>
                <w:b/>
                <w:bCs/>
                <w:color w:val="auto"/>
                <w:spacing w:val="0"/>
                <w:kern w:val="2"/>
                <w:sz w:val="24"/>
                <w:szCs w:val="24"/>
                <w:lang w:val="en-US" w:eastAsia="zh-CN" w:bidi="ar-SA"/>
              </w:rPr>
              <w:t>1、</w:t>
            </w:r>
            <w:r>
              <w:rPr>
                <w:rFonts w:hint="default" w:ascii="Times New Roman" w:hAnsi="Times New Roman" w:eastAsia="宋体" w:cs="Times New Roman"/>
                <w:b/>
                <w:bCs/>
                <w:color w:val="auto"/>
                <w:spacing w:val="0"/>
                <w:kern w:val="0"/>
                <w:sz w:val="24"/>
                <w:szCs w:val="24"/>
              </w:rPr>
              <w:t>环境空气质量现状评价</w:t>
            </w:r>
          </w:p>
          <w:p w14:paraId="43651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lang w:eastAsia="zh-CN"/>
              </w:rPr>
            </w:pPr>
            <w:r>
              <w:rPr>
                <w:rFonts w:hint="default"/>
                <w:color w:val="auto"/>
                <w:sz w:val="24"/>
                <w:szCs w:val="24"/>
                <w:lang w:eastAsia="zh-CN"/>
              </w:rPr>
              <w:t>（</w:t>
            </w:r>
            <w:r>
              <w:rPr>
                <w:rFonts w:hint="default"/>
                <w:color w:val="auto"/>
                <w:sz w:val="24"/>
                <w:szCs w:val="24"/>
                <w:lang w:val="en-US" w:eastAsia="zh-CN"/>
              </w:rPr>
              <w:t>1</w:t>
            </w:r>
            <w:r>
              <w:rPr>
                <w:rFonts w:hint="default"/>
                <w:color w:val="auto"/>
                <w:sz w:val="24"/>
                <w:szCs w:val="24"/>
                <w:lang w:eastAsia="zh-CN"/>
              </w:rPr>
              <w:t>）</w:t>
            </w:r>
            <w:r>
              <w:rPr>
                <w:rFonts w:hint="default"/>
                <w:color w:val="auto"/>
                <w:sz w:val="24"/>
                <w:szCs w:val="24"/>
                <w:lang w:val="en-GB"/>
              </w:rPr>
              <w:t>区域环境质量达标判定</w:t>
            </w:r>
          </w:p>
          <w:p w14:paraId="319CFA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本项目位于</w:t>
            </w:r>
            <w:r>
              <w:rPr>
                <w:rFonts w:hint="eastAsia" w:cs="Times New Roman"/>
                <w:color w:val="auto"/>
                <w:sz w:val="24"/>
                <w:szCs w:val="24"/>
                <w:lang w:val="en-US" w:eastAsia="zh-CN"/>
              </w:rPr>
              <w:t>永州市新田县；该区域</w:t>
            </w:r>
            <w:r>
              <w:rPr>
                <w:rFonts w:hint="default" w:ascii="Times New Roman" w:hAnsi="Times New Roman" w:eastAsia="宋体" w:cs="Times New Roman"/>
                <w:color w:val="auto"/>
                <w:sz w:val="24"/>
                <w:szCs w:val="24"/>
                <w:lang w:val="en-US" w:eastAsia="zh-CN"/>
              </w:rPr>
              <w:t>属于</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环境空气质量标准》（GB3095-2012）及其2018年修改单中二类环境空气功能区，</w:t>
            </w:r>
            <w:r>
              <w:rPr>
                <w:rFonts w:hint="eastAsia" w:cs="Times New Roman"/>
                <w:color w:val="auto"/>
                <w:sz w:val="24"/>
                <w:szCs w:val="24"/>
                <w:lang w:val="en-US" w:eastAsia="zh-CN"/>
              </w:rPr>
              <w:t>环境空气</w:t>
            </w:r>
            <w:r>
              <w:rPr>
                <w:rFonts w:hint="default" w:ascii="Times New Roman" w:hAnsi="Times New Roman" w:eastAsia="宋体" w:cs="Times New Roman"/>
                <w:color w:val="auto"/>
                <w:sz w:val="24"/>
                <w:szCs w:val="24"/>
                <w:lang w:val="en-US" w:eastAsia="zh-CN"/>
              </w:rPr>
              <w:t>执行《环境空气质量标准》（GB3095-2012）及其2018年修改单中的二级标准。</w:t>
            </w:r>
          </w:p>
          <w:p w14:paraId="42A7F4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根据《环境影响评价技术导则 大气环境》(HJ2.2-2018)中“5.5 评价基准年筛选依据评价所需环境空气质量现状、气象资料等数据的可获得性、数据质量、代表性等因素，选择近3 年中数据相对完整的1 个日历年作为评价基准年”和“6.2 数据来源，采用评价范围内国家或地方环境空气质量监测网中评价基准年连续1年的监测数据，或采用生态环境主管部门公开发布的环境空气质量现状数据”要求。为</w:t>
            </w:r>
            <w:r>
              <w:rPr>
                <w:rFonts w:hint="eastAsia" w:cs="Times New Roman"/>
                <w:color w:val="auto"/>
                <w:sz w:val="24"/>
                <w:szCs w:val="24"/>
                <w:lang w:val="en-US" w:eastAsia="zh-CN"/>
              </w:rPr>
              <w:t>了解本项目</w:t>
            </w:r>
            <w:r>
              <w:rPr>
                <w:rFonts w:hint="eastAsia" w:ascii="Times New Roman" w:hAnsi="Times New Roman" w:eastAsia="宋体" w:cs="Times New Roman"/>
                <w:color w:val="auto"/>
                <w:sz w:val="24"/>
                <w:szCs w:val="24"/>
                <w:lang w:val="en-US" w:eastAsia="zh-CN"/>
              </w:rPr>
              <w:t>所在</w:t>
            </w:r>
            <w:r>
              <w:rPr>
                <w:rFonts w:hint="default" w:ascii="Times New Roman" w:hAnsi="Times New Roman" w:eastAsia="宋体" w:cs="Times New Roman"/>
                <w:color w:val="auto"/>
                <w:sz w:val="24"/>
                <w:szCs w:val="24"/>
                <w:lang w:val="en-US" w:eastAsia="zh-CN"/>
              </w:rPr>
              <w:t>区域环境空气质量现状，</w:t>
            </w:r>
            <w:r>
              <w:rPr>
                <w:rFonts w:hint="eastAsia" w:ascii="Times New Roman" w:hAnsi="Times New Roman" w:eastAsia="宋体" w:cs="Times New Roman"/>
                <w:color w:val="auto"/>
                <w:sz w:val="24"/>
                <w:szCs w:val="24"/>
                <w:lang w:val="en-US" w:eastAsia="zh-CN"/>
              </w:rPr>
              <w:t>本次评价</w:t>
            </w:r>
            <w:r>
              <w:rPr>
                <w:rFonts w:hint="default" w:ascii="Times New Roman" w:hAnsi="Times New Roman" w:eastAsia="宋体" w:cs="Times New Roman"/>
                <w:color w:val="auto"/>
                <w:sz w:val="24"/>
                <w:szCs w:val="24"/>
                <w:lang w:val="en-US" w:eastAsia="zh-CN"/>
              </w:rPr>
              <w:t>收集了</w:t>
            </w:r>
            <w:r>
              <w:rPr>
                <w:rFonts w:hint="eastAsia" w:ascii="Times New Roman" w:hAnsi="Times New Roman" w:eastAsia="宋体" w:cs="Times New Roman"/>
                <w:color w:val="auto"/>
                <w:sz w:val="24"/>
                <w:szCs w:val="24"/>
                <w:lang w:val="en-US" w:eastAsia="zh-CN"/>
              </w:rPr>
              <w:t>永州市</w:t>
            </w:r>
            <w:r>
              <w:rPr>
                <w:rFonts w:hint="default" w:ascii="Times New Roman" w:hAnsi="Times New Roman" w:eastAsia="宋体" w:cs="Times New Roman"/>
                <w:color w:val="auto"/>
                <w:sz w:val="24"/>
                <w:szCs w:val="24"/>
                <w:lang w:val="en-US" w:eastAsia="zh-CN"/>
              </w:rPr>
              <w:t>生态环境</w:t>
            </w:r>
            <w:r>
              <w:rPr>
                <w:rFonts w:hint="eastAsia" w:ascii="Times New Roman" w:hAnsi="Times New Roman" w:eastAsia="宋体" w:cs="Times New Roman"/>
                <w:color w:val="auto"/>
                <w:sz w:val="24"/>
                <w:szCs w:val="24"/>
                <w:lang w:val="en-US" w:eastAsia="zh-CN"/>
              </w:rPr>
              <w:t>局</w:t>
            </w:r>
            <w:r>
              <w:rPr>
                <w:rFonts w:hint="default" w:ascii="Times New Roman" w:hAnsi="Times New Roman" w:eastAsia="宋体" w:cs="Times New Roman"/>
                <w:color w:val="auto"/>
                <w:sz w:val="24"/>
                <w:szCs w:val="24"/>
                <w:lang w:val="en-US" w:eastAsia="zh-CN"/>
              </w:rPr>
              <w:t>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年1月</w:t>
            </w:r>
            <w:r>
              <w:rPr>
                <w:rFonts w:hint="eastAsia"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lang w:val="en-US" w:eastAsia="zh-CN"/>
              </w:rPr>
              <w:t>日发布的《关于202</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年12月全市环境质量状况的通报》（</w:t>
            </w:r>
            <w:r>
              <w:rPr>
                <w:rFonts w:hint="eastAsia" w:ascii="Times New Roman" w:hAnsi="Times New Roman" w:eastAsia="宋体" w:cs="Times New Roman"/>
                <w:color w:val="auto"/>
                <w:sz w:val="24"/>
                <w:szCs w:val="24"/>
                <w:lang w:val="en-US" w:eastAsia="zh-CN"/>
              </w:rPr>
              <w:t>永环函</w:t>
            </w:r>
            <w:r>
              <w:rPr>
                <w:rFonts w:hint="default" w:ascii="Times New Roman" w:hAnsi="Times New Roman" w:eastAsia="宋体" w:cs="Times New Roman"/>
                <w:color w:val="auto"/>
                <w:sz w:val="24"/>
                <w:szCs w:val="24"/>
                <w:lang w:val="en-US" w:eastAsia="zh-CN"/>
              </w:rPr>
              <w:t>[202</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号）中</w:t>
            </w:r>
            <w:r>
              <w:rPr>
                <w:rFonts w:hint="eastAsia" w:cs="Times New Roman"/>
                <w:color w:val="auto"/>
                <w:sz w:val="24"/>
                <w:szCs w:val="24"/>
                <w:lang w:val="en-US" w:eastAsia="zh-CN"/>
              </w:rPr>
              <w:t>永州市新田县</w:t>
            </w:r>
            <w:r>
              <w:rPr>
                <w:rFonts w:hint="default" w:ascii="Times New Roman" w:hAnsi="Times New Roman" w:eastAsia="宋体" w:cs="Times New Roman"/>
                <w:color w:val="auto"/>
                <w:sz w:val="24"/>
                <w:szCs w:val="24"/>
                <w:lang w:val="en-US" w:eastAsia="zh-CN"/>
              </w:rPr>
              <w:t>环境空气质量状况</w:t>
            </w:r>
            <w:r>
              <w:rPr>
                <w:rFonts w:hint="eastAsia" w:cs="Times New Roman"/>
                <w:color w:val="auto"/>
                <w:sz w:val="24"/>
                <w:szCs w:val="24"/>
                <w:lang w:val="en-US" w:eastAsia="zh-CN"/>
              </w:rPr>
              <w:t>，具体详见下表</w:t>
            </w:r>
            <w:r>
              <w:rPr>
                <w:rFonts w:hint="default" w:ascii="Times New Roman" w:hAnsi="Times New Roman" w:eastAsia="宋体" w:cs="Times New Roman"/>
                <w:color w:val="auto"/>
                <w:sz w:val="24"/>
                <w:szCs w:val="24"/>
                <w:lang w:val="en-US" w:eastAsia="zh-CN"/>
              </w:rPr>
              <w:t>：</w:t>
            </w:r>
          </w:p>
          <w:p w14:paraId="61791D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表3-1</w:t>
            </w:r>
            <w:r>
              <w:rPr>
                <w:rFonts w:hint="eastAsia" w:ascii="Times New Roman" w:hAnsi="Times New Roman" w:eastAsia="宋体" w:cs="Times New Roman"/>
                <w:b/>
                <w:bCs/>
                <w:color w:val="auto"/>
                <w:spacing w:val="0"/>
                <w:kern w:val="0"/>
                <w:sz w:val="21"/>
                <w:szCs w:val="21"/>
                <w:lang w:val="en-US" w:eastAsia="zh-CN"/>
              </w:rPr>
              <w:t xml:space="preserve">  </w:t>
            </w:r>
            <w:r>
              <w:rPr>
                <w:rFonts w:hint="default" w:ascii="Times New Roman" w:hAnsi="Times New Roman" w:eastAsia="宋体" w:cs="Times New Roman"/>
                <w:b/>
                <w:bCs/>
                <w:color w:val="auto"/>
                <w:spacing w:val="0"/>
                <w:kern w:val="0"/>
                <w:sz w:val="21"/>
                <w:szCs w:val="21"/>
              </w:rPr>
              <w:t>202</w:t>
            </w:r>
            <w:r>
              <w:rPr>
                <w:rFonts w:hint="eastAsia" w:cs="Times New Roman"/>
                <w:b/>
                <w:bCs/>
                <w:color w:val="auto"/>
                <w:spacing w:val="0"/>
                <w:kern w:val="0"/>
                <w:sz w:val="21"/>
                <w:szCs w:val="21"/>
                <w:lang w:val="en-US" w:eastAsia="zh-CN"/>
              </w:rPr>
              <w:t>3</w:t>
            </w:r>
            <w:r>
              <w:rPr>
                <w:rFonts w:hint="default" w:ascii="Times New Roman" w:hAnsi="Times New Roman" w:eastAsia="宋体" w:cs="Times New Roman"/>
                <w:b/>
                <w:bCs/>
                <w:color w:val="auto"/>
                <w:spacing w:val="0"/>
                <w:kern w:val="0"/>
                <w:sz w:val="21"/>
                <w:szCs w:val="21"/>
              </w:rPr>
              <w:t>年</w:t>
            </w:r>
            <w:r>
              <w:rPr>
                <w:rFonts w:hint="eastAsia" w:cs="Times New Roman"/>
                <w:b/>
                <w:bCs/>
                <w:color w:val="auto"/>
                <w:spacing w:val="0"/>
                <w:kern w:val="0"/>
                <w:sz w:val="21"/>
                <w:szCs w:val="21"/>
                <w:lang w:val="en-US" w:eastAsia="zh-CN"/>
              </w:rPr>
              <w:t>永州市新田县</w:t>
            </w:r>
            <w:r>
              <w:rPr>
                <w:rFonts w:hint="default" w:ascii="Times New Roman" w:hAnsi="Times New Roman" w:eastAsia="宋体" w:cs="Times New Roman"/>
                <w:b/>
                <w:bCs/>
                <w:color w:val="auto"/>
                <w:spacing w:val="0"/>
                <w:kern w:val="0"/>
                <w:sz w:val="21"/>
                <w:szCs w:val="21"/>
              </w:rPr>
              <w:t>环境空气质量现状监测结果统计一览表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875"/>
              <w:gridCol w:w="1335"/>
              <w:gridCol w:w="1524"/>
              <w:gridCol w:w="1043"/>
              <w:gridCol w:w="1200"/>
            </w:tblGrid>
            <w:tr w14:paraId="283EDB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40F7D3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lang w:val="en-US" w:eastAsia="zh-CN"/>
                    </w:rPr>
                  </w:pPr>
                  <w:r>
                    <w:rPr>
                      <w:rFonts w:hint="eastAsia" w:cs="Times New Roman"/>
                      <w:b/>
                      <w:bCs/>
                      <w:color w:val="auto"/>
                      <w:spacing w:val="0"/>
                      <w:kern w:val="0"/>
                      <w:sz w:val="21"/>
                      <w:szCs w:val="21"/>
                      <w:lang w:val="en-US" w:eastAsia="zh-CN"/>
                    </w:rPr>
                    <w:t>评价因子</w:t>
                  </w:r>
                </w:p>
              </w:tc>
              <w:tc>
                <w:tcPr>
                  <w:tcW w:w="1782" w:type="dxa"/>
                  <w:tcBorders>
                    <w:tl2br w:val="nil"/>
                    <w:tr2bl w:val="nil"/>
                  </w:tcBorders>
                  <w:shd w:val="clear" w:color="auto" w:fill="auto"/>
                  <w:vAlign w:val="center"/>
                </w:tcPr>
                <w:p w14:paraId="08A22B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年评价指标</w:t>
                  </w:r>
                </w:p>
              </w:tc>
              <w:tc>
                <w:tcPr>
                  <w:tcW w:w="1269" w:type="dxa"/>
                  <w:tcBorders>
                    <w:tl2br w:val="nil"/>
                    <w:tr2bl w:val="nil"/>
                  </w:tcBorders>
                  <w:shd w:val="clear" w:color="auto" w:fill="auto"/>
                  <w:vAlign w:val="center"/>
                </w:tcPr>
                <w:p w14:paraId="222A826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标准值（μg/m</w:t>
                  </w:r>
                  <w:r>
                    <w:rPr>
                      <w:rFonts w:hint="default" w:ascii="Times New Roman" w:hAnsi="Times New Roman" w:eastAsia="宋体" w:cs="Times New Roman"/>
                      <w:b/>
                      <w:bCs/>
                      <w:color w:val="auto"/>
                      <w:spacing w:val="0"/>
                      <w:kern w:val="0"/>
                      <w:sz w:val="21"/>
                      <w:szCs w:val="21"/>
                      <w:vertAlign w:val="superscript"/>
                    </w:rPr>
                    <w:t>3</w:t>
                  </w:r>
                  <w:r>
                    <w:rPr>
                      <w:rFonts w:hint="default" w:ascii="Times New Roman" w:hAnsi="Times New Roman" w:eastAsia="宋体" w:cs="Times New Roman"/>
                      <w:b/>
                      <w:bCs/>
                      <w:color w:val="auto"/>
                      <w:spacing w:val="0"/>
                      <w:kern w:val="0"/>
                      <w:sz w:val="21"/>
                      <w:szCs w:val="21"/>
                    </w:rPr>
                    <w:t>）</w:t>
                  </w:r>
                </w:p>
              </w:tc>
              <w:tc>
                <w:tcPr>
                  <w:tcW w:w="1448" w:type="dxa"/>
                  <w:tcBorders>
                    <w:tl2br w:val="nil"/>
                    <w:tr2bl w:val="nil"/>
                  </w:tcBorders>
                  <w:shd w:val="clear" w:color="auto" w:fill="auto"/>
                  <w:vAlign w:val="center"/>
                </w:tcPr>
                <w:p w14:paraId="25F4E5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现状浓度（μg/m</w:t>
                  </w:r>
                  <w:r>
                    <w:rPr>
                      <w:rFonts w:hint="default" w:ascii="Times New Roman" w:hAnsi="Times New Roman" w:eastAsia="宋体" w:cs="Times New Roman"/>
                      <w:b/>
                      <w:bCs/>
                      <w:color w:val="auto"/>
                      <w:spacing w:val="0"/>
                      <w:kern w:val="0"/>
                      <w:sz w:val="21"/>
                      <w:szCs w:val="21"/>
                      <w:vertAlign w:val="superscript"/>
                    </w:rPr>
                    <w:t>3</w:t>
                  </w:r>
                  <w:r>
                    <w:rPr>
                      <w:rFonts w:hint="default" w:ascii="Times New Roman" w:hAnsi="Times New Roman" w:eastAsia="宋体" w:cs="Times New Roman"/>
                      <w:b/>
                      <w:bCs/>
                      <w:color w:val="auto"/>
                      <w:spacing w:val="0"/>
                      <w:kern w:val="0"/>
                      <w:sz w:val="21"/>
                      <w:szCs w:val="21"/>
                    </w:rPr>
                    <w:t>）</w:t>
                  </w:r>
                </w:p>
              </w:tc>
              <w:tc>
                <w:tcPr>
                  <w:tcW w:w="991" w:type="dxa"/>
                  <w:tcBorders>
                    <w:tl2br w:val="nil"/>
                    <w:tr2bl w:val="nil"/>
                  </w:tcBorders>
                  <w:shd w:val="clear" w:color="auto" w:fill="auto"/>
                  <w:vAlign w:val="center"/>
                </w:tcPr>
                <w:p w14:paraId="00966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lang w:val="en-US" w:eastAsia="zh-CN"/>
                    </w:rPr>
                  </w:pPr>
                  <w:r>
                    <w:rPr>
                      <w:rFonts w:hint="default" w:ascii="Times New Roman" w:hAnsi="Times New Roman" w:eastAsia="宋体" w:cs="Times New Roman"/>
                      <w:b/>
                      <w:bCs/>
                      <w:color w:val="auto"/>
                      <w:spacing w:val="0"/>
                      <w:kern w:val="0"/>
                      <w:sz w:val="21"/>
                      <w:szCs w:val="21"/>
                      <w:lang w:val="en-US" w:eastAsia="zh-CN"/>
                    </w:rPr>
                    <w:t>占标率（%）</w:t>
                  </w:r>
                </w:p>
              </w:tc>
              <w:tc>
                <w:tcPr>
                  <w:tcW w:w="1140" w:type="dxa"/>
                  <w:tcBorders>
                    <w:tl2br w:val="nil"/>
                    <w:tr2bl w:val="nil"/>
                  </w:tcBorders>
                  <w:shd w:val="clear" w:color="auto" w:fill="auto"/>
                  <w:vAlign w:val="center"/>
                </w:tcPr>
                <w:p w14:paraId="4C41FF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pacing w:val="0"/>
                      <w:kern w:val="0"/>
                      <w:sz w:val="21"/>
                      <w:szCs w:val="21"/>
                    </w:rPr>
                  </w:pPr>
                  <w:r>
                    <w:rPr>
                      <w:rFonts w:hint="default" w:ascii="Times New Roman" w:hAnsi="Times New Roman" w:eastAsia="宋体" w:cs="Times New Roman"/>
                      <w:b/>
                      <w:bCs/>
                      <w:color w:val="auto"/>
                      <w:spacing w:val="0"/>
                      <w:kern w:val="0"/>
                      <w:sz w:val="21"/>
                      <w:szCs w:val="21"/>
                    </w:rPr>
                    <w:t>达标情况</w:t>
                  </w:r>
                </w:p>
              </w:tc>
            </w:tr>
            <w:tr w14:paraId="1180F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1331B88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SO</w:t>
                  </w:r>
                  <w:r>
                    <w:rPr>
                      <w:rFonts w:hint="default" w:ascii="Times New Roman" w:hAnsi="Times New Roman" w:eastAsia="宋体" w:cs="Times New Roman"/>
                      <w:color w:val="auto"/>
                      <w:spacing w:val="0"/>
                      <w:kern w:val="0"/>
                      <w:sz w:val="21"/>
                      <w:szCs w:val="21"/>
                      <w:vertAlign w:val="subscript"/>
                    </w:rPr>
                    <w:t>2</w:t>
                  </w:r>
                </w:p>
              </w:tc>
              <w:tc>
                <w:tcPr>
                  <w:tcW w:w="1782" w:type="dxa"/>
                  <w:tcBorders>
                    <w:tl2br w:val="nil"/>
                    <w:tr2bl w:val="nil"/>
                  </w:tcBorders>
                  <w:shd w:val="clear" w:color="auto" w:fill="auto"/>
                  <w:vAlign w:val="center"/>
                </w:tcPr>
                <w:p w14:paraId="03AE05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年平均质量浓度</w:t>
                  </w:r>
                </w:p>
              </w:tc>
              <w:tc>
                <w:tcPr>
                  <w:tcW w:w="1269" w:type="dxa"/>
                  <w:tcBorders>
                    <w:tl2br w:val="nil"/>
                    <w:tr2bl w:val="nil"/>
                  </w:tcBorders>
                  <w:shd w:val="clear" w:color="auto" w:fill="auto"/>
                  <w:vAlign w:val="center"/>
                </w:tcPr>
                <w:p w14:paraId="0BCA71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60</w:t>
                  </w:r>
                </w:p>
              </w:tc>
              <w:tc>
                <w:tcPr>
                  <w:tcW w:w="1448" w:type="dxa"/>
                  <w:tcBorders>
                    <w:tl2br w:val="nil"/>
                    <w:tr2bl w:val="nil"/>
                  </w:tcBorders>
                  <w:shd w:val="clear" w:color="auto" w:fill="auto"/>
                  <w:vAlign w:val="center"/>
                </w:tcPr>
                <w:p w14:paraId="29C206F2">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eastAsia="zh-CN"/>
                    </w:rPr>
                  </w:pPr>
                  <w:r>
                    <w:rPr>
                      <w:rFonts w:hint="default" w:ascii="Times New Roman" w:hAnsi="Times New Roman" w:eastAsia="宋体" w:cs="Times New Roman"/>
                      <w:bCs/>
                      <w:color w:val="000000"/>
                      <w:sz w:val="21"/>
                      <w:szCs w:val="21"/>
                      <w:u w:val="none" w:color="auto"/>
                      <w:lang w:val="en-US" w:eastAsia="zh-CN"/>
                    </w:rPr>
                    <w:t>7</w:t>
                  </w:r>
                </w:p>
              </w:tc>
              <w:tc>
                <w:tcPr>
                  <w:tcW w:w="991" w:type="dxa"/>
                  <w:tcBorders>
                    <w:tl2br w:val="nil"/>
                    <w:tr2bl w:val="nil"/>
                  </w:tcBorders>
                  <w:shd w:val="clear" w:color="auto" w:fill="auto"/>
                  <w:vAlign w:val="center"/>
                </w:tcPr>
                <w:p w14:paraId="2370B494">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11.67 </w:t>
                  </w:r>
                </w:p>
              </w:tc>
              <w:tc>
                <w:tcPr>
                  <w:tcW w:w="1140" w:type="dxa"/>
                  <w:tcBorders>
                    <w:tl2br w:val="nil"/>
                    <w:tr2bl w:val="nil"/>
                  </w:tcBorders>
                  <w:shd w:val="clear" w:color="auto" w:fill="auto"/>
                  <w:vAlign w:val="center"/>
                </w:tcPr>
                <w:p w14:paraId="1BBD28D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达标</w:t>
                  </w:r>
                </w:p>
              </w:tc>
            </w:tr>
            <w:tr w14:paraId="1CF82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7C23CD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NO</w:t>
                  </w:r>
                  <w:r>
                    <w:rPr>
                      <w:rFonts w:hint="default" w:ascii="Times New Roman" w:hAnsi="Times New Roman" w:eastAsia="宋体" w:cs="Times New Roman"/>
                      <w:color w:val="auto"/>
                      <w:spacing w:val="0"/>
                      <w:kern w:val="0"/>
                      <w:sz w:val="21"/>
                      <w:szCs w:val="21"/>
                      <w:vertAlign w:val="subscript"/>
                    </w:rPr>
                    <w:t>2</w:t>
                  </w:r>
                </w:p>
              </w:tc>
              <w:tc>
                <w:tcPr>
                  <w:tcW w:w="1782" w:type="dxa"/>
                  <w:tcBorders>
                    <w:tl2br w:val="nil"/>
                    <w:tr2bl w:val="nil"/>
                  </w:tcBorders>
                  <w:shd w:val="clear" w:color="auto" w:fill="auto"/>
                  <w:vAlign w:val="center"/>
                </w:tcPr>
                <w:p w14:paraId="1FFEA40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年平均质量浓度</w:t>
                  </w:r>
                </w:p>
              </w:tc>
              <w:tc>
                <w:tcPr>
                  <w:tcW w:w="1269" w:type="dxa"/>
                  <w:tcBorders>
                    <w:tl2br w:val="nil"/>
                    <w:tr2bl w:val="nil"/>
                  </w:tcBorders>
                  <w:shd w:val="clear" w:color="auto" w:fill="auto"/>
                  <w:vAlign w:val="center"/>
                </w:tcPr>
                <w:p w14:paraId="101730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40</w:t>
                  </w:r>
                </w:p>
              </w:tc>
              <w:tc>
                <w:tcPr>
                  <w:tcW w:w="1448" w:type="dxa"/>
                  <w:tcBorders>
                    <w:tl2br w:val="nil"/>
                    <w:tr2bl w:val="nil"/>
                  </w:tcBorders>
                  <w:shd w:val="clear" w:color="auto" w:fill="auto"/>
                  <w:vAlign w:val="center"/>
                </w:tcPr>
                <w:p w14:paraId="559F50D9">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val="en-US" w:eastAsia="zh-CN"/>
                    </w:rPr>
                  </w:pPr>
                  <w:r>
                    <w:rPr>
                      <w:rFonts w:hint="default" w:ascii="Times New Roman" w:hAnsi="Times New Roman" w:eastAsia="宋体" w:cs="Times New Roman"/>
                      <w:bCs/>
                      <w:color w:val="000000"/>
                      <w:sz w:val="21"/>
                      <w:szCs w:val="21"/>
                      <w:u w:val="none" w:color="auto"/>
                      <w:lang w:val="en-US" w:eastAsia="zh-CN"/>
                    </w:rPr>
                    <w:t>8</w:t>
                  </w:r>
                </w:p>
              </w:tc>
              <w:tc>
                <w:tcPr>
                  <w:tcW w:w="991" w:type="dxa"/>
                  <w:tcBorders>
                    <w:tl2br w:val="nil"/>
                    <w:tr2bl w:val="nil"/>
                  </w:tcBorders>
                  <w:shd w:val="clear" w:color="auto" w:fill="auto"/>
                  <w:vAlign w:val="center"/>
                </w:tcPr>
                <w:p w14:paraId="7420B53D">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20.00 </w:t>
                  </w:r>
                </w:p>
              </w:tc>
              <w:tc>
                <w:tcPr>
                  <w:tcW w:w="1140" w:type="dxa"/>
                  <w:tcBorders>
                    <w:tl2br w:val="nil"/>
                    <w:tr2bl w:val="nil"/>
                  </w:tcBorders>
                  <w:shd w:val="clear" w:color="auto" w:fill="auto"/>
                  <w:vAlign w:val="center"/>
                </w:tcPr>
                <w:p w14:paraId="67C4D4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达标</w:t>
                  </w:r>
                </w:p>
              </w:tc>
            </w:tr>
            <w:tr w14:paraId="28A766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7B8647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PM</w:t>
                  </w:r>
                  <w:r>
                    <w:rPr>
                      <w:rFonts w:hint="default" w:ascii="Times New Roman" w:hAnsi="Times New Roman" w:eastAsia="宋体" w:cs="Times New Roman"/>
                      <w:color w:val="auto"/>
                      <w:spacing w:val="0"/>
                      <w:kern w:val="0"/>
                      <w:sz w:val="21"/>
                      <w:szCs w:val="21"/>
                      <w:vertAlign w:val="subscript"/>
                    </w:rPr>
                    <w:t>10</w:t>
                  </w:r>
                </w:p>
              </w:tc>
              <w:tc>
                <w:tcPr>
                  <w:tcW w:w="1782" w:type="dxa"/>
                  <w:tcBorders>
                    <w:tl2br w:val="nil"/>
                    <w:tr2bl w:val="nil"/>
                  </w:tcBorders>
                  <w:shd w:val="clear" w:color="auto" w:fill="auto"/>
                  <w:vAlign w:val="center"/>
                </w:tcPr>
                <w:p w14:paraId="13BCDD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年平均质量浓度</w:t>
                  </w:r>
                </w:p>
              </w:tc>
              <w:tc>
                <w:tcPr>
                  <w:tcW w:w="1269" w:type="dxa"/>
                  <w:tcBorders>
                    <w:tl2br w:val="nil"/>
                    <w:tr2bl w:val="nil"/>
                  </w:tcBorders>
                  <w:shd w:val="clear" w:color="auto" w:fill="auto"/>
                  <w:vAlign w:val="center"/>
                </w:tcPr>
                <w:p w14:paraId="254125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70</w:t>
                  </w:r>
                </w:p>
              </w:tc>
              <w:tc>
                <w:tcPr>
                  <w:tcW w:w="1448" w:type="dxa"/>
                  <w:tcBorders>
                    <w:tl2br w:val="nil"/>
                    <w:tr2bl w:val="nil"/>
                  </w:tcBorders>
                  <w:shd w:val="clear" w:color="auto" w:fill="auto"/>
                  <w:vAlign w:val="center"/>
                </w:tcPr>
                <w:p w14:paraId="29A10DFD">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val="en-US" w:eastAsia="zh-CN"/>
                    </w:rPr>
                  </w:pPr>
                  <w:r>
                    <w:rPr>
                      <w:rFonts w:hint="default" w:ascii="Times New Roman" w:hAnsi="Times New Roman" w:eastAsia="宋体" w:cs="Times New Roman"/>
                      <w:bCs/>
                      <w:color w:val="000000"/>
                      <w:sz w:val="21"/>
                      <w:szCs w:val="21"/>
                      <w:u w:val="none" w:color="auto"/>
                      <w:lang w:val="en-US" w:eastAsia="zh-CN"/>
                    </w:rPr>
                    <w:t>44</w:t>
                  </w:r>
                </w:p>
              </w:tc>
              <w:tc>
                <w:tcPr>
                  <w:tcW w:w="991" w:type="dxa"/>
                  <w:tcBorders>
                    <w:tl2br w:val="nil"/>
                    <w:tr2bl w:val="nil"/>
                  </w:tcBorders>
                  <w:shd w:val="clear" w:color="auto" w:fill="auto"/>
                  <w:vAlign w:val="center"/>
                </w:tcPr>
                <w:p w14:paraId="09E6A4DC">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62.86 </w:t>
                  </w:r>
                </w:p>
              </w:tc>
              <w:tc>
                <w:tcPr>
                  <w:tcW w:w="1140" w:type="dxa"/>
                  <w:tcBorders>
                    <w:tl2br w:val="nil"/>
                    <w:tr2bl w:val="nil"/>
                  </w:tcBorders>
                  <w:shd w:val="clear" w:color="auto" w:fill="auto"/>
                  <w:vAlign w:val="center"/>
                </w:tcPr>
                <w:p w14:paraId="134840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达标</w:t>
                  </w:r>
                </w:p>
              </w:tc>
            </w:tr>
            <w:tr w14:paraId="5DEEA1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4E6968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rPr>
                  </w:pPr>
                  <w:r>
                    <w:rPr>
                      <w:rFonts w:hint="default" w:ascii="Times New Roman" w:hAnsi="Times New Roman" w:eastAsia="宋体" w:cs="Times New Roman"/>
                      <w:color w:val="auto"/>
                      <w:spacing w:val="0"/>
                      <w:kern w:val="0"/>
                      <w:sz w:val="21"/>
                      <w:szCs w:val="21"/>
                      <w:highlight w:val="none"/>
                    </w:rPr>
                    <w:t>PM</w:t>
                  </w:r>
                  <w:r>
                    <w:rPr>
                      <w:rFonts w:hint="default" w:ascii="Times New Roman" w:hAnsi="Times New Roman" w:eastAsia="宋体" w:cs="Times New Roman"/>
                      <w:color w:val="auto"/>
                      <w:spacing w:val="0"/>
                      <w:kern w:val="0"/>
                      <w:sz w:val="21"/>
                      <w:szCs w:val="21"/>
                      <w:highlight w:val="none"/>
                      <w:vertAlign w:val="subscript"/>
                    </w:rPr>
                    <w:t>2.5</w:t>
                  </w:r>
                </w:p>
              </w:tc>
              <w:tc>
                <w:tcPr>
                  <w:tcW w:w="1782" w:type="dxa"/>
                  <w:tcBorders>
                    <w:tl2br w:val="nil"/>
                    <w:tr2bl w:val="nil"/>
                  </w:tcBorders>
                  <w:shd w:val="clear" w:color="auto" w:fill="auto"/>
                  <w:vAlign w:val="center"/>
                </w:tcPr>
                <w:p w14:paraId="476A09D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rPr>
                  </w:pPr>
                  <w:r>
                    <w:rPr>
                      <w:rFonts w:hint="default" w:ascii="Times New Roman" w:hAnsi="Times New Roman" w:eastAsia="宋体" w:cs="Times New Roman"/>
                      <w:color w:val="auto"/>
                      <w:spacing w:val="0"/>
                      <w:kern w:val="0"/>
                      <w:sz w:val="21"/>
                      <w:szCs w:val="21"/>
                      <w:highlight w:val="none"/>
                    </w:rPr>
                    <w:t>年平均质量浓度</w:t>
                  </w:r>
                </w:p>
              </w:tc>
              <w:tc>
                <w:tcPr>
                  <w:tcW w:w="1269" w:type="dxa"/>
                  <w:tcBorders>
                    <w:tl2br w:val="nil"/>
                    <w:tr2bl w:val="nil"/>
                  </w:tcBorders>
                  <w:shd w:val="clear" w:color="auto" w:fill="auto"/>
                  <w:vAlign w:val="center"/>
                </w:tcPr>
                <w:p w14:paraId="374A95B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highlight w:val="none"/>
                    </w:rPr>
                  </w:pPr>
                  <w:r>
                    <w:rPr>
                      <w:rFonts w:hint="default" w:ascii="Times New Roman" w:hAnsi="Times New Roman" w:eastAsia="宋体" w:cs="Times New Roman"/>
                      <w:color w:val="auto"/>
                      <w:spacing w:val="0"/>
                      <w:kern w:val="0"/>
                      <w:sz w:val="21"/>
                      <w:szCs w:val="21"/>
                      <w:highlight w:val="none"/>
                    </w:rPr>
                    <w:t>35</w:t>
                  </w:r>
                </w:p>
              </w:tc>
              <w:tc>
                <w:tcPr>
                  <w:tcW w:w="1448" w:type="dxa"/>
                  <w:tcBorders>
                    <w:tl2br w:val="nil"/>
                    <w:tr2bl w:val="nil"/>
                  </w:tcBorders>
                  <w:shd w:val="clear" w:color="auto" w:fill="auto"/>
                  <w:vAlign w:val="center"/>
                </w:tcPr>
                <w:p w14:paraId="28ABBD76">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val="en-US" w:eastAsia="zh-CN"/>
                    </w:rPr>
                  </w:pPr>
                  <w:r>
                    <w:rPr>
                      <w:rFonts w:hint="default" w:ascii="Times New Roman" w:hAnsi="Times New Roman" w:eastAsia="宋体" w:cs="Times New Roman"/>
                      <w:bCs/>
                      <w:color w:val="000000"/>
                      <w:sz w:val="21"/>
                      <w:szCs w:val="21"/>
                      <w:u w:val="none" w:color="auto"/>
                      <w:lang w:val="en-US" w:eastAsia="zh-CN"/>
                    </w:rPr>
                    <w:t>30</w:t>
                  </w:r>
                </w:p>
              </w:tc>
              <w:tc>
                <w:tcPr>
                  <w:tcW w:w="991" w:type="dxa"/>
                  <w:tcBorders>
                    <w:tl2br w:val="nil"/>
                    <w:tr2bl w:val="nil"/>
                  </w:tcBorders>
                  <w:shd w:val="clear" w:color="auto" w:fill="auto"/>
                  <w:vAlign w:val="center"/>
                </w:tcPr>
                <w:p w14:paraId="1D9973C1">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85.71 </w:t>
                  </w:r>
                </w:p>
              </w:tc>
              <w:tc>
                <w:tcPr>
                  <w:tcW w:w="1140" w:type="dxa"/>
                  <w:tcBorders>
                    <w:tl2br w:val="nil"/>
                    <w:tr2bl w:val="nil"/>
                  </w:tcBorders>
                  <w:shd w:val="clear" w:color="auto" w:fill="auto"/>
                  <w:vAlign w:val="center"/>
                </w:tcPr>
                <w:p w14:paraId="0611BA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highlight w:val="none"/>
                      <w:lang w:val="en-US" w:eastAsia="zh-CN"/>
                    </w:rPr>
                  </w:pPr>
                  <w:r>
                    <w:rPr>
                      <w:rFonts w:hint="default" w:ascii="Times New Roman" w:hAnsi="Times New Roman" w:eastAsia="宋体" w:cs="Times New Roman"/>
                      <w:color w:val="auto"/>
                      <w:spacing w:val="0"/>
                      <w:kern w:val="0"/>
                      <w:sz w:val="21"/>
                      <w:szCs w:val="21"/>
                    </w:rPr>
                    <w:t>达标</w:t>
                  </w:r>
                </w:p>
              </w:tc>
            </w:tr>
            <w:tr w14:paraId="78178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3AD7131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CO</w:t>
                  </w:r>
                </w:p>
              </w:tc>
              <w:tc>
                <w:tcPr>
                  <w:tcW w:w="1782" w:type="dxa"/>
                  <w:tcBorders>
                    <w:tl2br w:val="nil"/>
                    <w:tr2bl w:val="nil"/>
                  </w:tcBorders>
                  <w:shd w:val="clear" w:color="auto" w:fill="auto"/>
                  <w:vAlign w:val="center"/>
                </w:tcPr>
                <w:p w14:paraId="21F0FE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24h平均第95百分位数</w:t>
                  </w:r>
                </w:p>
              </w:tc>
              <w:tc>
                <w:tcPr>
                  <w:tcW w:w="1269" w:type="dxa"/>
                  <w:tcBorders>
                    <w:tl2br w:val="nil"/>
                    <w:tr2bl w:val="nil"/>
                  </w:tcBorders>
                  <w:shd w:val="clear" w:color="auto" w:fill="auto"/>
                  <w:vAlign w:val="center"/>
                </w:tcPr>
                <w:p w14:paraId="167E014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color w:val="auto"/>
                      <w:spacing w:val="0"/>
                      <w:kern w:val="0"/>
                      <w:sz w:val="21"/>
                      <w:szCs w:val="21"/>
                      <w:lang w:val="en-US" w:eastAsia="zh-CN"/>
                    </w:rPr>
                  </w:pPr>
                  <w:r>
                    <w:rPr>
                      <w:rFonts w:hint="default" w:ascii="Times New Roman" w:hAnsi="Times New Roman" w:eastAsia="宋体" w:cs="Times New Roman"/>
                      <w:color w:val="auto"/>
                      <w:spacing w:val="0"/>
                      <w:kern w:val="0"/>
                      <w:sz w:val="21"/>
                      <w:szCs w:val="21"/>
                    </w:rPr>
                    <w:t>400</w:t>
                  </w:r>
                  <w:r>
                    <w:rPr>
                      <w:rFonts w:hint="eastAsia" w:cs="Times New Roman"/>
                      <w:color w:val="auto"/>
                      <w:spacing w:val="0"/>
                      <w:kern w:val="0"/>
                      <w:sz w:val="21"/>
                      <w:szCs w:val="21"/>
                      <w:lang w:val="en-US" w:eastAsia="zh-CN"/>
                    </w:rPr>
                    <w:t>0</w:t>
                  </w:r>
                </w:p>
              </w:tc>
              <w:tc>
                <w:tcPr>
                  <w:tcW w:w="1448" w:type="dxa"/>
                  <w:tcBorders>
                    <w:tl2br w:val="nil"/>
                    <w:tr2bl w:val="nil"/>
                  </w:tcBorders>
                  <w:shd w:val="clear" w:color="auto" w:fill="auto"/>
                  <w:vAlign w:val="center"/>
                </w:tcPr>
                <w:p w14:paraId="40DE2EA5">
                  <w:pPr>
                    <w:pStyle w:val="47"/>
                    <w:spacing w:line="240" w:lineRule="auto"/>
                    <w:ind w:firstLine="0" w:firstLineChars="0"/>
                    <w:jc w:val="center"/>
                    <w:rPr>
                      <w:rFonts w:hint="default" w:ascii="Times New Roman" w:hAnsi="Times New Roman" w:eastAsia="宋体" w:cs="Times New Roman"/>
                      <w:color w:val="auto"/>
                      <w:spacing w:val="0"/>
                      <w:kern w:val="0"/>
                      <w:sz w:val="21"/>
                      <w:szCs w:val="21"/>
                      <w:lang w:val="en-US" w:eastAsia="zh-CN"/>
                    </w:rPr>
                  </w:pPr>
                  <w:r>
                    <w:rPr>
                      <w:rFonts w:hint="eastAsia" w:eastAsia="宋体" w:cs="Times New Roman"/>
                      <w:bCs/>
                      <w:color w:val="000000"/>
                      <w:sz w:val="21"/>
                      <w:szCs w:val="21"/>
                      <w:u w:val="none" w:color="auto"/>
                      <w:lang w:val="en-US" w:eastAsia="zh-CN"/>
                    </w:rPr>
                    <w:t>100</w:t>
                  </w:r>
                  <w:r>
                    <w:rPr>
                      <w:rFonts w:hint="default" w:ascii="Times New Roman" w:hAnsi="Times New Roman" w:eastAsia="宋体" w:cs="Times New Roman"/>
                      <w:bCs/>
                      <w:color w:val="000000"/>
                      <w:sz w:val="21"/>
                      <w:szCs w:val="21"/>
                      <w:u w:val="none" w:color="auto"/>
                      <w:lang w:val="en-US" w:eastAsia="zh-CN"/>
                    </w:rPr>
                    <w:t>0</w:t>
                  </w:r>
                </w:p>
              </w:tc>
              <w:tc>
                <w:tcPr>
                  <w:tcW w:w="991" w:type="dxa"/>
                  <w:tcBorders>
                    <w:tl2br w:val="nil"/>
                    <w:tr2bl w:val="nil"/>
                  </w:tcBorders>
                  <w:shd w:val="clear" w:color="auto" w:fill="auto"/>
                  <w:vAlign w:val="center"/>
                </w:tcPr>
                <w:p w14:paraId="13E3D866">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25.00 </w:t>
                  </w:r>
                </w:p>
              </w:tc>
              <w:tc>
                <w:tcPr>
                  <w:tcW w:w="1140" w:type="dxa"/>
                  <w:tcBorders>
                    <w:tl2br w:val="nil"/>
                    <w:tr2bl w:val="nil"/>
                  </w:tcBorders>
                  <w:shd w:val="clear" w:color="auto" w:fill="auto"/>
                  <w:vAlign w:val="center"/>
                </w:tcPr>
                <w:p w14:paraId="37D6AB1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达标</w:t>
                  </w:r>
                </w:p>
              </w:tc>
            </w:tr>
            <w:tr w14:paraId="1E944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2" w:type="dxa"/>
                  <w:tcBorders>
                    <w:tl2br w:val="nil"/>
                    <w:tr2bl w:val="nil"/>
                  </w:tcBorders>
                  <w:shd w:val="clear" w:color="auto" w:fill="auto"/>
                  <w:vAlign w:val="center"/>
                </w:tcPr>
                <w:p w14:paraId="6BF60F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O</w:t>
                  </w:r>
                  <w:r>
                    <w:rPr>
                      <w:rFonts w:hint="default" w:ascii="Times New Roman" w:hAnsi="Times New Roman" w:eastAsia="宋体" w:cs="Times New Roman"/>
                      <w:color w:val="auto"/>
                      <w:spacing w:val="0"/>
                      <w:kern w:val="0"/>
                      <w:sz w:val="21"/>
                      <w:szCs w:val="21"/>
                      <w:vertAlign w:val="subscript"/>
                    </w:rPr>
                    <w:t>3</w:t>
                  </w:r>
                </w:p>
              </w:tc>
              <w:tc>
                <w:tcPr>
                  <w:tcW w:w="1782" w:type="dxa"/>
                  <w:tcBorders>
                    <w:tl2br w:val="nil"/>
                    <w:tr2bl w:val="nil"/>
                  </w:tcBorders>
                  <w:shd w:val="clear" w:color="auto" w:fill="auto"/>
                  <w:vAlign w:val="center"/>
                </w:tcPr>
                <w:p w14:paraId="5C1A27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日最大8h第90百分位数</w:t>
                  </w:r>
                </w:p>
              </w:tc>
              <w:tc>
                <w:tcPr>
                  <w:tcW w:w="1269" w:type="dxa"/>
                  <w:tcBorders>
                    <w:tl2br w:val="nil"/>
                    <w:tr2bl w:val="nil"/>
                  </w:tcBorders>
                  <w:shd w:val="clear" w:color="auto" w:fill="auto"/>
                  <w:vAlign w:val="center"/>
                </w:tcPr>
                <w:p w14:paraId="6D966F2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1"/>
                      <w:szCs w:val="21"/>
                    </w:rPr>
                  </w:pPr>
                  <w:r>
                    <w:rPr>
                      <w:rFonts w:hint="default" w:ascii="Times New Roman" w:hAnsi="Times New Roman" w:eastAsia="宋体" w:cs="Times New Roman"/>
                      <w:color w:val="auto"/>
                      <w:spacing w:val="0"/>
                      <w:kern w:val="0"/>
                      <w:sz w:val="21"/>
                      <w:szCs w:val="21"/>
                    </w:rPr>
                    <w:t>160</w:t>
                  </w:r>
                </w:p>
              </w:tc>
              <w:tc>
                <w:tcPr>
                  <w:tcW w:w="1448" w:type="dxa"/>
                  <w:tcBorders>
                    <w:tl2br w:val="nil"/>
                    <w:tr2bl w:val="nil"/>
                  </w:tcBorders>
                  <w:shd w:val="clear" w:color="auto" w:fill="auto"/>
                  <w:vAlign w:val="center"/>
                </w:tcPr>
                <w:p w14:paraId="7A35C87E">
                  <w:pPr>
                    <w:pStyle w:val="47"/>
                    <w:spacing w:line="240" w:lineRule="auto"/>
                    <w:ind w:firstLine="0" w:firstLineChars="0"/>
                    <w:jc w:val="center"/>
                    <w:rPr>
                      <w:rFonts w:hint="default" w:ascii="Times New Roman" w:hAnsi="Times New Roman" w:eastAsia="宋体" w:cs="Times New Roman"/>
                      <w:b/>
                      <w:bCs/>
                      <w:color w:val="auto"/>
                      <w:spacing w:val="0"/>
                      <w:kern w:val="0"/>
                      <w:sz w:val="21"/>
                      <w:szCs w:val="21"/>
                      <w:lang w:val="en-US" w:eastAsia="zh-CN"/>
                    </w:rPr>
                  </w:pPr>
                  <w:r>
                    <w:rPr>
                      <w:rFonts w:hint="eastAsia" w:eastAsia="宋体" w:cs="Times New Roman"/>
                      <w:bCs/>
                      <w:color w:val="000000"/>
                      <w:sz w:val="21"/>
                      <w:szCs w:val="21"/>
                      <w:u w:val="none" w:color="auto"/>
                      <w:lang w:val="en-US" w:eastAsia="zh-CN"/>
                    </w:rPr>
                    <w:t>113</w:t>
                  </w:r>
                </w:p>
              </w:tc>
              <w:tc>
                <w:tcPr>
                  <w:tcW w:w="991" w:type="dxa"/>
                  <w:tcBorders>
                    <w:tl2br w:val="nil"/>
                    <w:tr2bl w:val="nil"/>
                  </w:tcBorders>
                  <w:shd w:val="clear" w:color="auto" w:fill="auto"/>
                  <w:vAlign w:val="center"/>
                </w:tcPr>
                <w:p w14:paraId="060419C4">
                  <w:pPr>
                    <w:pStyle w:val="47"/>
                    <w:spacing w:line="240" w:lineRule="auto"/>
                    <w:ind w:firstLine="0" w:firstLineChars="0"/>
                    <w:jc w:val="center"/>
                    <w:rPr>
                      <w:rFonts w:hint="default" w:ascii="Times New Roman" w:hAnsi="Times New Roman" w:eastAsia="宋体" w:cs="Times New Roman"/>
                      <w:bCs/>
                      <w:color w:val="000000"/>
                      <w:sz w:val="21"/>
                      <w:szCs w:val="21"/>
                      <w:u w:val="none" w:color="auto"/>
                      <w:lang w:val="en-US" w:eastAsia="zh-CN"/>
                    </w:rPr>
                  </w:pPr>
                  <w:r>
                    <w:rPr>
                      <w:rFonts w:hint="eastAsia" w:ascii="Times New Roman" w:hAnsi="Times New Roman" w:eastAsia="宋体" w:cs="Times New Roman"/>
                      <w:bCs/>
                      <w:color w:val="000000"/>
                      <w:sz w:val="21"/>
                      <w:szCs w:val="21"/>
                      <w:u w:val="none" w:color="auto"/>
                      <w:lang w:val="en-US" w:eastAsia="zh-CN"/>
                    </w:rPr>
                    <w:t xml:space="preserve">70.63 </w:t>
                  </w:r>
                </w:p>
              </w:tc>
              <w:tc>
                <w:tcPr>
                  <w:tcW w:w="1140" w:type="dxa"/>
                  <w:tcBorders>
                    <w:tl2br w:val="nil"/>
                    <w:tr2bl w:val="nil"/>
                  </w:tcBorders>
                  <w:shd w:val="clear" w:color="auto" w:fill="auto"/>
                  <w:vAlign w:val="center"/>
                </w:tcPr>
                <w:p w14:paraId="79B7E72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bCs/>
                      <w:color w:val="auto"/>
                      <w:spacing w:val="0"/>
                      <w:kern w:val="0"/>
                      <w:sz w:val="21"/>
                      <w:szCs w:val="21"/>
                      <w:lang w:val="en-US" w:eastAsia="zh-CN"/>
                    </w:rPr>
                  </w:pPr>
                  <w:r>
                    <w:rPr>
                      <w:rFonts w:hint="eastAsia" w:cs="Times New Roman"/>
                      <w:b w:val="0"/>
                      <w:bCs w:val="0"/>
                      <w:color w:val="auto"/>
                      <w:spacing w:val="0"/>
                      <w:kern w:val="0"/>
                      <w:sz w:val="21"/>
                      <w:szCs w:val="21"/>
                      <w:lang w:val="en-US" w:eastAsia="zh-CN"/>
                    </w:rPr>
                    <w:t>达标</w:t>
                  </w:r>
                </w:p>
              </w:tc>
            </w:tr>
          </w:tbl>
          <w:p w14:paraId="3EF8B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由上述监测结果可知</w:t>
            </w:r>
            <w:r>
              <w:rPr>
                <w:rFonts w:hint="eastAsia" w:cs="Times New Roman"/>
                <w:color w:val="auto"/>
                <w:sz w:val="24"/>
                <w:szCs w:val="24"/>
                <w:lang w:val="en-US" w:eastAsia="zh-CN"/>
              </w:rPr>
              <w:t>：2023年永州市新田县SO</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、NO</w:t>
            </w:r>
            <w:r>
              <w:rPr>
                <w:rFonts w:hint="eastAsia" w:cs="Times New Roman"/>
                <w:color w:val="auto"/>
                <w:sz w:val="24"/>
                <w:szCs w:val="24"/>
                <w:vertAlign w:val="subscript"/>
                <w:lang w:val="en-US" w:eastAsia="zh-CN"/>
              </w:rPr>
              <w:t>2</w:t>
            </w:r>
            <w:r>
              <w:rPr>
                <w:rFonts w:hint="eastAsia" w:cs="Times New Roman"/>
                <w:color w:val="auto"/>
                <w:sz w:val="24"/>
                <w:szCs w:val="24"/>
                <w:lang w:val="en-US" w:eastAsia="zh-CN"/>
              </w:rPr>
              <w:t>、PM</w:t>
            </w:r>
            <w:r>
              <w:rPr>
                <w:rFonts w:hint="eastAsia" w:cs="Times New Roman"/>
                <w:color w:val="auto"/>
                <w:sz w:val="24"/>
                <w:szCs w:val="24"/>
                <w:vertAlign w:val="subscript"/>
                <w:lang w:val="en-US" w:eastAsia="zh-CN"/>
              </w:rPr>
              <w:t>10</w:t>
            </w:r>
            <w:r>
              <w:rPr>
                <w:rFonts w:hint="eastAsia" w:cs="Times New Roman"/>
                <w:color w:val="auto"/>
                <w:sz w:val="24"/>
                <w:szCs w:val="24"/>
                <w:lang w:val="en-US" w:eastAsia="zh-CN"/>
              </w:rPr>
              <w:t>、PM</w:t>
            </w:r>
            <w:r>
              <w:rPr>
                <w:rFonts w:hint="eastAsia" w:cs="Times New Roman"/>
                <w:color w:val="auto"/>
                <w:sz w:val="24"/>
                <w:szCs w:val="24"/>
                <w:vertAlign w:val="subscript"/>
                <w:lang w:val="en-US" w:eastAsia="zh-CN"/>
              </w:rPr>
              <w:t>2.5</w:t>
            </w:r>
            <w:r>
              <w:rPr>
                <w:rFonts w:hint="eastAsia" w:cs="Times New Roman"/>
                <w:color w:val="auto"/>
                <w:sz w:val="24"/>
                <w:szCs w:val="24"/>
                <w:lang w:val="en-US" w:eastAsia="zh-CN"/>
              </w:rPr>
              <w:t>、O</w:t>
            </w:r>
            <w:r>
              <w:rPr>
                <w:rFonts w:hint="eastAsia" w:cs="Times New Roman"/>
                <w:color w:val="auto"/>
                <w:sz w:val="24"/>
                <w:szCs w:val="24"/>
                <w:vertAlign w:val="subscript"/>
                <w:lang w:val="en-US" w:eastAsia="zh-CN"/>
              </w:rPr>
              <w:t>3</w:t>
            </w:r>
            <w:r>
              <w:rPr>
                <w:rFonts w:hint="eastAsia" w:cs="Times New Roman"/>
                <w:color w:val="auto"/>
                <w:sz w:val="24"/>
                <w:szCs w:val="24"/>
                <w:lang w:val="en-US" w:eastAsia="zh-CN"/>
              </w:rPr>
              <w:t>的日最大8h第90百分位及CO的24h平均第95百分位数均满足《环境空气质量标准》（GB3095-2012）及其2018年修改单中二级标准限值要求，则2023年度永州市新田县属于达标区</w:t>
            </w:r>
            <w:r>
              <w:rPr>
                <w:rFonts w:hint="default" w:ascii="Times New Roman" w:hAnsi="Times New Roman" w:eastAsia="宋体" w:cs="Times New Roman"/>
                <w:color w:val="auto"/>
                <w:sz w:val="24"/>
                <w:szCs w:val="24"/>
                <w:lang w:val="en-US" w:eastAsia="zh-CN"/>
              </w:rPr>
              <w:t>。</w:t>
            </w:r>
          </w:p>
          <w:p w14:paraId="7F75328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pacing w:val="0"/>
                <w:kern w:val="0"/>
                <w:sz w:val="24"/>
                <w:szCs w:val="24"/>
                <w:u w:val="none" w:color="auto"/>
              </w:rPr>
            </w:pPr>
            <w:r>
              <w:rPr>
                <w:rFonts w:hint="default" w:ascii="Times New Roman" w:hAnsi="Times New Roman" w:eastAsia="宋体" w:cs="Times New Roman"/>
                <w:b/>
                <w:bCs/>
                <w:color w:val="auto"/>
                <w:spacing w:val="0"/>
                <w:kern w:val="0"/>
                <w:sz w:val="24"/>
                <w:szCs w:val="24"/>
                <w:u w:val="none" w:color="auto"/>
              </w:rPr>
              <w:t>2、水环境质量现状评价</w:t>
            </w:r>
          </w:p>
          <w:p w14:paraId="484951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0"/>
                <w:sz w:val="24"/>
                <w:szCs w:val="24"/>
                <w:highlight w:val="none"/>
                <w:u w:val="none" w:color="auto"/>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本项目</w:t>
            </w:r>
            <w:r>
              <w:rPr>
                <w:rFonts w:hint="eastAsia" w:eastAsia="宋体" w:cs="Times New Roman"/>
                <w:color w:val="000000" w:themeColor="text1"/>
                <w:sz w:val="24"/>
                <w:szCs w:val="24"/>
                <w:highlight w:val="none"/>
                <w:u w:val="none" w:color="auto"/>
                <w:lang w:val="en-US" w:eastAsia="zh-CN"/>
                <w14:textFill>
                  <w14:solidFill>
                    <w14:schemeClr w14:val="tx1"/>
                  </w14:solidFill>
                </w14:textFill>
              </w:rPr>
              <w:t>废水</w:t>
            </w:r>
            <w:r>
              <w:rPr>
                <w:rFonts w:hint="eastAsia" w:ascii="Times New Roman" w:hAnsi="Times New Roman" w:eastAsia="宋体" w:cs="Times New Roman"/>
                <w:color w:val="000000" w:themeColor="text1"/>
                <w:sz w:val="24"/>
                <w:szCs w:val="24"/>
                <w:highlight w:val="none"/>
                <w:u w:val="none" w:color="auto"/>
                <w:lang w:val="en-US" w:eastAsia="zh-CN"/>
                <w14:textFill>
                  <w14:solidFill>
                    <w14:schemeClr w14:val="tx1"/>
                  </w14:solidFill>
                </w14:textFill>
              </w:rPr>
              <w:t>处理措施及去向为：</w:t>
            </w:r>
            <w:r>
              <w:rPr>
                <w:rFonts w:hint="eastAsia"/>
                <w:color w:val="000000" w:themeColor="text1"/>
                <w:sz w:val="24"/>
                <w:szCs w:val="24"/>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none" w:color="auto"/>
                <w:lang w:val="en-US" w:eastAsia="zh-CN"/>
                <w14:textFill>
                  <w14:solidFill>
                    <w14:schemeClr w14:val="tx1"/>
                  </w14:solidFill>
                </w14:textFill>
              </w:rPr>
              <w:t>经化粪池+自建污水处理站（调节池+沉淀池+消毒池（活性氧））处理后由城镇污水管网接入污水处理厂深度处理，尾水排入新田河支流油麻岭河。</w:t>
            </w:r>
          </w:p>
          <w:p w14:paraId="62BA11A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none" w:color="auto"/>
              </w:rPr>
            </w:pPr>
            <w:r>
              <w:rPr>
                <w:rFonts w:hint="default" w:ascii="Times New Roman" w:hAnsi="Times New Roman" w:eastAsia="宋体" w:cs="Times New Roman"/>
                <w:color w:val="auto"/>
                <w:spacing w:val="0"/>
                <w:kern w:val="0"/>
                <w:sz w:val="24"/>
                <w:szCs w:val="24"/>
                <w:u w:val="none" w:color="auto"/>
              </w:rPr>
              <w:t>为</w:t>
            </w:r>
            <w:r>
              <w:rPr>
                <w:rFonts w:hint="eastAsia" w:cs="Times New Roman"/>
                <w:color w:val="auto"/>
                <w:spacing w:val="0"/>
                <w:kern w:val="0"/>
                <w:sz w:val="24"/>
                <w:szCs w:val="24"/>
                <w:u w:val="none" w:color="auto"/>
                <w:lang w:val="en-US" w:eastAsia="zh-CN"/>
              </w:rPr>
              <w:t>进一步</w:t>
            </w:r>
            <w:r>
              <w:rPr>
                <w:rFonts w:hint="default" w:ascii="Times New Roman" w:hAnsi="Times New Roman" w:eastAsia="宋体" w:cs="Times New Roman"/>
                <w:color w:val="auto"/>
                <w:spacing w:val="0"/>
                <w:kern w:val="0"/>
                <w:sz w:val="24"/>
                <w:szCs w:val="24"/>
                <w:u w:val="none" w:color="auto"/>
              </w:rPr>
              <w:t>了解项目所在区域水环境质量现状，本</w:t>
            </w:r>
            <w:r>
              <w:rPr>
                <w:rFonts w:hint="eastAsia" w:cs="Times New Roman"/>
                <w:color w:val="auto"/>
                <w:spacing w:val="0"/>
                <w:kern w:val="0"/>
                <w:sz w:val="24"/>
                <w:szCs w:val="24"/>
                <w:u w:val="none" w:color="auto"/>
                <w:lang w:val="en-US" w:eastAsia="zh-CN"/>
              </w:rPr>
              <w:t>次</w:t>
            </w:r>
            <w:r>
              <w:rPr>
                <w:rFonts w:hint="default" w:ascii="Times New Roman" w:hAnsi="Times New Roman" w:eastAsia="宋体" w:cs="Times New Roman"/>
                <w:color w:val="auto"/>
                <w:spacing w:val="0"/>
                <w:kern w:val="0"/>
                <w:sz w:val="24"/>
                <w:szCs w:val="24"/>
                <w:u w:val="none" w:color="auto"/>
              </w:rPr>
              <w:t>环评引用</w:t>
            </w:r>
            <w:r>
              <w:rPr>
                <w:rFonts w:hint="default" w:ascii="Times New Roman" w:hAnsi="Times New Roman" w:eastAsia="宋体" w:cs="Times New Roman"/>
                <w:color w:val="auto"/>
                <w:spacing w:val="0"/>
                <w:sz w:val="24"/>
                <w:szCs w:val="24"/>
                <w:u w:val="none" w:color="auto"/>
              </w:rPr>
              <w:t>202</w:t>
            </w:r>
            <w:r>
              <w:rPr>
                <w:rFonts w:hint="eastAsia" w:cs="Times New Roman"/>
                <w:color w:val="auto"/>
                <w:spacing w:val="0"/>
                <w:sz w:val="24"/>
                <w:szCs w:val="24"/>
                <w:u w:val="none" w:color="auto"/>
                <w:lang w:val="en-US" w:eastAsia="zh-CN"/>
              </w:rPr>
              <w:t>4</w:t>
            </w:r>
            <w:r>
              <w:rPr>
                <w:rFonts w:hint="default" w:ascii="Times New Roman" w:hAnsi="Times New Roman" w:eastAsia="宋体" w:cs="Times New Roman"/>
                <w:color w:val="auto"/>
                <w:spacing w:val="0"/>
                <w:sz w:val="24"/>
                <w:szCs w:val="24"/>
                <w:u w:val="none" w:color="auto"/>
              </w:rPr>
              <w:t>年1</w:t>
            </w:r>
            <w:r>
              <w:rPr>
                <w:rFonts w:hint="eastAsia" w:cs="Times New Roman"/>
                <w:color w:val="auto"/>
                <w:spacing w:val="0"/>
                <w:sz w:val="24"/>
                <w:szCs w:val="24"/>
                <w:u w:val="none" w:color="auto"/>
                <w:lang w:val="en-US" w:eastAsia="zh-CN"/>
              </w:rPr>
              <w:t>-10</w:t>
            </w:r>
            <w:r>
              <w:rPr>
                <w:rFonts w:hint="default" w:ascii="Times New Roman" w:hAnsi="Times New Roman" w:eastAsia="宋体" w:cs="Times New Roman"/>
                <w:color w:val="auto"/>
                <w:spacing w:val="0"/>
                <w:sz w:val="24"/>
                <w:szCs w:val="24"/>
                <w:u w:val="none" w:color="auto"/>
              </w:rPr>
              <w:t>月</w:t>
            </w:r>
            <w:r>
              <w:rPr>
                <w:rFonts w:hint="eastAsia" w:cs="Times New Roman"/>
                <w:color w:val="auto"/>
                <w:spacing w:val="0"/>
                <w:sz w:val="24"/>
                <w:szCs w:val="24"/>
                <w:u w:val="none" w:color="auto"/>
                <w:lang w:val="en-US" w:eastAsia="zh-CN"/>
              </w:rPr>
              <w:t>永州市生态环境局</w:t>
            </w:r>
            <w:r>
              <w:rPr>
                <w:rFonts w:hint="default" w:ascii="Times New Roman" w:hAnsi="Times New Roman" w:eastAsia="宋体" w:cs="Times New Roman"/>
                <w:color w:val="auto"/>
                <w:spacing w:val="0"/>
                <w:sz w:val="24"/>
                <w:szCs w:val="24"/>
                <w:u w:val="none" w:color="auto"/>
              </w:rPr>
              <w:t>公布的</w:t>
            </w:r>
            <w:r>
              <w:rPr>
                <w:rFonts w:hint="default" w:ascii="Times New Roman" w:hAnsi="Times New Roman" w:eastAsia="宋体" w:cs="Times New Roman"/>
                <w:color w:val="auto"/>
                <w:sz w:val="24"/>
                <w:szCs w:val="24"/>
                <w:lang w:val="en-US" w:eastAsia="zh-CN"/>
              </w:rPr>
              <w:t>《永州市环境质量简报》</w:t>
            </w:r>
            <w:r>
              <w:rPr>
                <w:rFonts w:hint="default" w:ascii="Times New Roman" w:hAnsi="Times New Roman" w:eastAsia="宋体" w:cs="Times New Roman"/>
                <w:color w:val="auto"/>
                <w:spacing w:val="0"/>
                <w:kern w:val="0"/>
                <w:sz w:val="24"/>
                <w:szCs w:val="24"/>
                <w:u w:val="none" w:color="auto"/>
              </w:rPr>
              <w:t>中</w:t>
            </w:r>
            <w:r>
              <w:rPr>
                <w:rFonts w:hint="eastAsia" w:cs="Times New Roman"/>
                <w:color w:val="000000" w:themeColor="text1"/>
                <w:spacing w:val="0"/>
                <w:kern w:val="0"/>
                <w:sz w:val="24"/>
                <w:szCs w:val="24"/>
                <w:u w:val="none" w:color="auto"/>
                <w:lang w:eastAsia="zh-CN"/>
                <w14:textFill>
                  <w14:solidFill>
                    <w14:schemeClr w14:val="tx1"/>
                  </w14:solidFill>
                </w14:textFill>
              </w:rPr>
              <w:t>永州市</w:t>
            </w:r>
            <w:r>
              <w:rPr>
                <w:rFonts w:hint="eastAsia" w:cs="Times New Roman"/>
                <w:color w:val="000000" w:themeColor="text1"/>
                <w:spacing w:val="0"/>
                <w:kern w:val="0"/>
                <w:sz w:val="24"/>
                <w:szCs w:val="24"/>
                <w:u w:val="none" w:color="auto"/>
                <w:lang w:val="en-US" w:eastAsia="zh-CN"/>
                <w14:textFill>
                  <w14:solidFill>
                    <w14:schemeClr w14:val="tx1"/>
                  </w14:solidFill>
                </w14:textFill>
              </w:rPr>
              <w:t>新田县范围内监测</w:t>
            </w:r>
            <w:r>
              <w:rPr>
                <w:rFonts w:hint="default" w:ascii="Times New Roman" w:hAnsi="Times New Roman" w:eastAsia="宋体" w:cs="Times New Roman"/>
                <w:color w:val="000000" w:themeColor="text1"/>
                <w:spacing w:val="0"/>
                <w:kern w:val="0"/>
                <w:sz w:val="24"/>
                <w:szCs w:val="24"/>
                <w:u w:val="none" w:color="auto"/>
                <w:lang w:eastAsia="zh-CN"/>
                <w14:textFill>
                  <w14:solidFill>
                    <w14:schemeClr w14:val="tx1"/>
                  </w14:solidFill>
                </w14:textFill>
              </w:rPr>
              <w:t>断面</w:t>
            </w:r>
            <w:r>
              <w:rPr>
                <w:rFonts w:hint="eastAsia" w:cs="Times New Roman"/>
                <w:color w:val="auto"/>
                <w:spacing w:val="0"/>
                <w:kern w:val="0"/>
                <w:sz w:val="24"/>
                <w:szCs w:val="24"/>
                <w:u w:val="none" w:color="auto"/>
                <w:lang w:val="en-US" w:eastAsia="zh-CN"/>
              </w:rPr>
              <w:t>的</w:t>
            </w:r>
            <w:r>
              <w:rPr>
                <w:rFonts w:hint="default" w:ascii="Times New Roman" w:hAnsi="Times New Roman" w:eastAsia="宋体" w:cs="Times New Roman"/>
                <w:color w:val="auto"/>
                <w:spacing w:val="0"/>
                <w:kern w:val="0"/>
                <w:sz w:val="24"/>
                <w:szCs w:val="24"/>
                <w:u w:val="none" w:color="auto"/>
              </w:rPr>
              <w:t>水质状况，统计结果如下：</w:t>
            </w:r>
          </w:p>
          <w:p w14:paraId="3329E632">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bCs/>
                <w:color w:val="auto"/>
                <w:spacing w:val="0"/>
                <w:kern w:val="0"/>
                <w:sz w:val="21"/>
                <w:szCs w:val="21"/>
                <w:u w:val="none" w:color="auto"/>
              </w:rPr>
            </w:pPr>
            <w:r>
              <w:rPr>
                <w:rFonts w:hint="default" w:ascii="Times New Roman" w:hAnsi="Times New Roman" w:eastAsia="宋体" w:cs="Times New Roman"/>
                <w:b/>
                <w:bCs/>
                <w:color w:val="auto"/>
                <w:spacing w:val="0"/>
                <w:kern w:val="0"/>
                <w:sz w:val="21"/>
                <w:szCs w:val="21"/>
                <w:u w:val="none" w:color="auto"/>
              </w:rPr>
              <w:t>表3-</w:t>
            </w:r>
            <w:r>
              <w:rPr>
                <w:rFonts w:hint="eastAsia" w:cs="Times New Roman"/>
                <w:b/>
                <w:bCs/>
                <w:color w:val="auto"/>
                <w:spacing w:val="0"/>
                <w:kern w:val="0"/>
                <w:sz w:val="21"/>
                <w:szCs w:val="21"/>
                <w:u w:val="none" w:color="auto"/>
                <w:lang w:val="en-US" w:eastAsia="zh-CN"/>
              </w:rPr>
              <w:t>2</w:t>
            </w:r>
            <w:r>
              <w:rPr>
                <w:rFonts w:hint="default" w:ascii="Times New Roman" w:hAnsi="Times New Roman" w:eastAsia="宋体" w:cs="Times New Roman"/>
                <w:b/>
                <w:bCs/>
                <w:color w:val="auto"/>
                <w:spacing w:val="0"/>
                <w:kern w:val="0"/>
                <w:sz w:val="21"/>
                <w:szCs w:val="21"/>
                <w:u w:val="none" w:color="auto"/>
              </w:rPr>
              <w:t>地表水环境现状监测</w:t>
            </w:r>
            <w:r>
              <w:rPr>
                <w:rFonts w:hint="eastAsia" w:cs="Times New Roman"/>
                <w:b/>
                <w:bCs/>
                <w:color w:val="auto"/>
                <w:spacing w:val="0"/>
                <w:kern w:val="0"/>
                <w:sz w:val="21"/>
                <w:szCs w:val="21"/>
                <w:u w:val="none" w:color="auto"/>
                <w:lang w:eastAsia="zh-CN"/>
              </w:rPr>
              <w:t>统计</w:t>
            </w:r>
            <w:r>
              <w:rPr>
                <w:rFonts w:hint="default" w:ascii="Times New Roman" w:hAnsi="Times New Roman" w:eastAsia="宋体" w:cs="Times New Roman"/>
                <w:b/>
                <w:bCs/>
                <w:color w:val="auto"/>
                <w:spacing w:val="0"/>
                <w:kern w:val="0"/>
                <w:sz w:val="21"/>
                <w:szCs w:val="21"/>
                <w:u w:val="none" w:color="auto"/>
              </w:rPr>
              <w:t>结果</w:t>
            </w:r>
          </w:p>
          <w:tbl>
            <w:tblPr>
              <w:tblStyle w:val="35"/>
              <w:tblW w:w="4990"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960"/>
              <w:gridCol w:w="676"/>
              <w:gridCol w:w="676"/>
              <w:gridCol w:w="678"/>
              <w:gridCol w:w="679"/>
              <w:gridCol w:w="679"/>
              <w:gridCol w:w="679"/>
              <w:gridCol w:w="679"/>
              <w:gridCol w:w="684"/>
              <w:gridCol w:w="684"/>
              <w:gridCol w:w="731"/>
            </w:tblGrid>
            <w:tr w14:paraId="14D64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vMerge w:val="restart"/>
                  <w:tcBorders>
                    <w:tl2br w:val="nil"/>
                    <w:tr2bl w:val="nil"/>
                  </w:tcBorders>
                  <w:vAlign w:val="center"/>
                </w:tcPr>
                <w:p w14:paraId="20FCA957">
                  <w:pPr>
                    <w:spacing w:before="55" w:line="228"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监测断面</w:t>
                  </w:r>
                </w:p>
              </w:tc>
              <w:tc>
                <w:tcPr>
                  <w:tcW w:w="4384" w:type="pct"/>
                  <w:gridSpan w:val="10"/>
                  <w:tcBorders>
                    <w:tl2br w:val="nil"/>
                    <w:tr2bl w:val="nil"/>
                  </w:tcBorders>
                  <w:vAlign w:val="center"/>
                </w:tcPr>
                <w:p w14:paraId="623386ED">
                  <w:pPr>
                    <w:spacing w:before="55" w:line="230" w:lineRule="auto"/>
                    <w:jc w:val="center"/>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水质达标情况</w:t>
                  </w:r>
                </w:p>
              </w:tc>
            </w:tr>
            <w:tr w14:paraId="0752D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vMerge w:val="continue"/>
                  <w:tcBorders>
                    <w:tl2br w:val="nil"/>
                    <w:tr2bl w:val="nil"/>
                  </w:tcBorders>
                  <w:vAlign w:val="center"/>
                </w:tcPr>
                <w:p w14:paraId="3B867FF4">
                  <w:pPr>
                    <w:spacing w:before="69" w:line="195" w:lineRule="auto"/>
                    <w:ind w:left="1401"/>
                    <w:jc w:val="left"/>
                    <w:rPr>
                      <w:rFonts w:ascii="Times New Roman" w:hAnsi="Times New Roman" w:eastAsia="宋体" w:cs="Times New Roman"/>
                      <w:sz w:val="21"/>
                      <w:szCs w:val="21"/>
                    </w:rPr>
                  </w:pPr>
                </w:p>
              </w:tc>
              <w:tc>
                <w:tcPr>
                  <w:tcW w:w="433" w:type="pct"/>
                  <w:tcBorders>
                    <w:tl2br w:val="nil"/>
                    <w:tr2bl w:val="nil"/>
                  </w:tcBorders>
                  <w:vAlign w:val="center"/>
                </w:tcPr>
                <w:p w14:paraId="3746E285">
                  <w:pPr>
                    <w:spacing w:before="34" w:line="228"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1月</w:t>
                  </w:r>
                </w:p>
              </w:tc>
              <w:tc>
                <w:tcPr>
                  <w:tcW w:w="433" w:type="pct"/>
                  <w:tcBorders>
                    <w:tl2br w:val="nil"/>
                    <w:tr2bl w:val="nil"/>
                  </w:tcBorders>
                  <w:vAlign w:val="center"/>
                </w:tcPr>
                <w:p w14:paraId="0614274F">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2月</w:t>
                  </w:r>
                </w:p>
              </w:tc>
              <w:tc>
                <w:tcPr>
                  <w:tcW w:w="434" w:type="pct"/>
                  <w:tcBorders>
                    <w:tl2br w:val="nil"/>
                    <w:tr2bl w:val="nil"/>
                  </w:tcBorders>
                  <w:vAlign w:val="center"/>
                </w:tcPr>
                <w:p w14:paraId="52CCA880">
                  <w:pPr>
                    <w:spacing w:before="34" w:line="228" w:lineRule="auto"/>
                    <w:jc w:val="center"/>
                    <w:rPr>
                      <w:rFonts w:ascii="Times New Roman" w:hAnsi="Times New Roman" w:eastAsia="宋体" w:cs="Times New Roman"/>
                      <w:spacing w:val="3"/>
                      <w:sz w:val="21"/>
                      <w:szCs w:val="21"/>
                    </w:rPr>
                  </w:pPr>
                  <w:r>
                    <w:rPr>
                      <w:rFonts w:hint="eastAsia" w:ascii="Times New Roman" w:hAnsi="Times New Roman" w:eastAsia="宋体" w:cs="Times New Roman"/>
                      <w:spacing w:val="3"/>
                      <w:sz w:val="21"/>
                      <w:szCs w:val="21"/>
                      <w:lang w:val="en-US" w:eastAsia="zh-CN"/>
                    </w:rPr>
                    <w:t>3月</w:t>
                  </w:r>
                </w:p>
              </w:tc>
              <w:tc>
                <w:tcPr>
                  <w:tcW w:w="435" w:type="pct"/>
                  <w:tcBorders>
                    <w:tl2br w:val="nil"/>
                    <w:tr2bl w:val="nil"/>
                  </w:tcBorders>
                  <w:vAlign w:val="center"/>
                </w:tcPr>
                <w:p w14:paraId="4F1A0EF4">
                  <w:pPr>
                    <w:spacing w:before="34" w:line="228" w:lineRule="auto"/>
                    <w:jc w:val="center"/>
                    <w:rPr>
                      <w:rFonts w:ascii="Times New Roman" w:hAnsi="Times New Roman" w:eastAsia="宋体" w:cs="Times New Roman"/>
                      <w:spacing w:val="3"/>
                      <w:sz w:val="21"/>
                      <w:szCs w:val="21"/>
                    </w:rPr>
                  </w:pPr>
                  <w:r>
                    <w:rPr>
                      <w:rFonts w:hint="eastAsia" w:ascii="Times New Roman" w:hAnsi="Times New Roman" w:eastAsia="宋体" w:cs="Times New Roman"/>
                      <w:spacing w:val="3"/>
                      <w:sz w:val="21"/>
                      <w:szCs w:val="21"/>
                      <w:lang w:val="en-US" w:eastAsia="zh-CN"/>
                    </w:rPr>
                    <w:t>4月</w:t>
                  </w:r>
                </w:p>
              </w:tc>
              <w:tc>
                <w:tcPr>
                  <w:tcW w:w="435" w:type="pct"/>
                  <w:tcBorders>
                    <w:tl2br w:val="nil"/>
                    <w:tr2bl w:val="nil"/>
                  </w:tcBorders>
                  <w:vAlign w:val="center"/>
                </w:tcPr>
                <w:p w14:paraId="7E5F5968">
                  <w:pPr>
                    <w:spacing w:before="34" w:line="228" w:lineRule="auto"/>
                    <w:jc w:val="center"/>
                    <w:rPr>
                      <w:rFonts w:ascii="Times New Roman" w:hAnsi="Times New Roman" w:eastAsia="宋体" w:cs="Times New Roman"/>
                      <w:spacing w:val="3"/>
                      <w:sz w:val="21"/>
                      <w:szCs w:val="21"/>
                    </w:rPr>
                  </w:pPr>
                  <w:r>
                    <w:rPr>
                      <w:rFonts w:hint="eastAsia" w:ascii="Times New Roman" w:hAnsi="Times New Roman" w:eastAsia="宋体" w:cs="Times New Roman"/>
                      <w:spacing w:val="3"/>
                      <w:sz w:val="21"/>
                      <w:szCs w:val="21"/>
                      <w:lang w:val="en-US" w:eastAsia="zh-CN"/>
                    </w:rPr>
                    <w:t>5月</w:t>
                  </w:r>
                </w:p>
              </w:tc>
              <w:tc>
                <w:tcPr>
                  <w:tcW w:w="435" w:type="pct"/>
                  <w:tcBorders>
                    <w:tl2br w:val="nil"/>
                    <w:tr2bl w:val="nil"/>
                  </w:tcBorders>
                  <w:vAlign w:val="center"/>
                </w:tcPr>
                <w:p w14:paraId="3AB90D26">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6月</w:t>
                  </w:r>
                </w:p>
              </w:tc>
              <w:tc>
                <w:tcPr>
                  <w:tcW w:w="435" w:type="pct"/>
                  <w:tcBorders>
                    <w:tl2br w:val="nil"/>
                    <w:tr2bl w:val="nil"/>
                  </w:tcBorders>
                  <w:vAlign w:val="center"/>
                </w:tcPr>
                <w:p w14:paraId="0668D325">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7月</w:t>
                  </w:r>
                </w:p>
              </w:tc>
              <w:tc>
                <w:tcPr>
                  <w:tcW w:w="438" w:type="pct"/>
                  <w:tcBorders>
                    <w:tl2br w:val="nil"/>
                    <w:tr2bl w:val="nil"/>
                  </w:tcBorders>
                  <w:vAlign w:val="center"/>
                </w:tcPr>
                <w:p w14:paraId="0CC823CC">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8月</w:t>
                  </w:r>
                </w:p>
              </w:tc>
              <w:tc>
                <w:tcPr>
                  <w:tcW w:w="438" w:type="pct"/>
                  <w:tcBorders>
                    <w:tl2br w:val="nil"/>
                    <w:tr2bl w:val="nil"/>
                  </w:tcBorders>
                  <w:vAlign w:val="center"/>
                </w:tcPr>
                <w:p w14:paraId="0DCDD6FA">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9月</w:t>
                  </w:r>
                </w:p>
              </w:tc>
              <w:tc>
                <w:tcPr>
                  <w:tcW w:w="461" w:type="pct"/>
                  <w:tcBorders>
                    <w:tl2br w:val="nil"/>
                    <w:tr2bl w:val="nil"/>
                  </w:tcBorders>
                  <w:vAlign w:val="center"/>
                </w:tcPr>
                <w:p w14:paraId="2A968BC2">
                  <w:pPr>
                    <w:spacing w:before="34" w:line="228" w:lineRule="auto"/>
                    <w:jc w:val="center"/>
                    <w:rPr>
                      <w:rFonts w:hint="default" w:ascii="Times New Roman" w:hAnsi="Times New Roman" w:eastAsia="宋体" w:cs="Times New Roman"/>
                      <w:spacing w:val="3"/>
                      <w:sz w:val="21"/>
                      <w:szCs w:val="21"/>
                      <w:lang w:val="en-US" w:eastAsia="zh-CN"/>
                    </w:rPr>
                  </w:pPr>
                  <w:r>
                    <w:rPr>
                      <w:rFonts w:hint="eastAsia" w:ascii="Times New Roman" w:hAnsi="Times New Roman" w:eastAsia="宋体" w:cs="Times New Roman"/>
                      <w:spacing w:val="3"/>
                      <w:sz w:val="21"/>
                      <w:szCs w:val="21"/>
                      <w:lang w:val="en-US" w:eastAsia="zh-CN"/>
                    </w:rPr>
                    <w:t>10月</w:t>
                  </w:r>
                </w:p>
              </w:tc>
            </w:tr>
            <w:tr w14:paraId="6DB7A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tcBorders>
                    <w:tl2br w:val="nil"/>
                    <w:tr2bl w:val="nil"/>
                  </w:tcBorders>
                  <w:vAlign w:val="center"/>
                </w:tcPr>
                <w:p w14:paraId="20FD36BD">
                  <w:pPr>
                    <w:spacing w:before="34" w:line="228"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大历县村</w:t>
                  </w:r>
                </w:p>
              </w:tc>
              <w:tc>
                <w:tcPr>
                  <w:tcW w:w="433" w:type="pct"/>
                  <w:tcBorders>
                    <w:tl2br w:val="nil"/>
                    <w:tr2bl w:val="nil"/>
                  </w:tcBorders>
                  <w:vAlign w:val="center"/>
                </w:tcPr>
                <w:p w14:paraId="761E9D78">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3" w:type="pct"/>
                  <w:tcBorders>
                    <w:tl2br w:val="nil"/>
                    <w:tr2bl w:val="nil"/>
                  </w:tcBorders>
                  <w:vAlign w:val="center"/>
                </w:tcPr>
                <w:p w14:paraId="54D58F26">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4" w:type="pct"/>
                  <w:tcBorders>
                    <w:tl2br w:val="nil"/>
                    <w:tr2bl w:val="nil"/>
                  </w:tcBorders>
                  <w:vAlign w:val="center"/>
                </w:tcPr>
                <w:p w14:paraId="04DDCAF0">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14:paraId="11863E18">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14:paraId="162593D5">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14:paraId="490BAEC9">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shd w:val="clear" w:color="auto" w:fill="auto"/>
                  <w:vAlign w:val="center"/>
                </w:tcPr>
                <w:p w14:paraId="4132FE59">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c>
                <w:tcPr>
                  <w:tcW w:w="438" w:type="pct"/>
                  <w:tcBorders>
                    <w:tl2br w:val="nil"/>
                    <w:tr2bl w:val="nil"/>
                  </w:tcBorders>
                  <w:shd w:val="clear" w:color="auto" w:fill="auto"/>
                  <w:vAlign w:val="center"/>
                </w:tcPr>
                <w:p w14:paraId="51775538">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c>
                <w:tcPr>
                  <w:tcW w:w="438" w:type="pct"/>
                  <w:tcBorders>
                    <w:tl2br w:val="nil"/>
                    <w:tr2bl w:val="nil"/>
                  </w:tcBorders>
                  <w:vAlign w:val="center"/>
                </w:tcPr>
                <w:p w14:paraId="7D465E45">
                  <w:pPr>
                    <w:spacing w:before="34" w:line="228" w:lineRule="auto"/>
                    <w:jc w:val="center"/>
                    <w:rPr>
                      <w:rFonts w:hint="default" w:ascii="Times New Roman" w:hAnsi="Times New Roman" w:eastAsia="宋体" w:cs="Times New Roman"/>
                      <w:caps w:val="0"/>
                      <w:sz w:val="24"/>
                      <w:szCs w:val="24"/>
                      <w:u w:val="none"/>
                    </w:rPr>
                  </w:pPr>
                  <w:r>
                    <w:rPr>
                      <w:rFonts w:hint="default" w:ascii="Times New Roman" w:hAnsi="Times New Roman" w:eastAsia="宋体" w:cs="Times New Roman"/>
                      <w:caps w:val="0"/>
                      <w:sz w:val="24"/>
                      <w:szCs w:val="24"/>
                      <w:u w:val="none"/>
                    </w:rPr>
                    <w:t>Ⅱ</w:t>
                  </w:r>
                </w:p>
              </w:tc>
              <w:tc>
                <w:tcPr>
                  <w:tcW w:w="461" w:type="pct"/>
                  <w:tcBorders>
                    <w:tl2br w:val="nil"/>
                    <w:tr2bl w:val="nil"/>
                  </w:tcBorders>
                  <w:shd w:val="clear" w:color="auto" w:fill="auto"/>
                  <w:vAlign w:val="center"/>
                </w:tcPr>
                <w:p w14:paraId="3B899D17">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r>
            <w:tr w14:paraId="630CC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15" w:type="pct"/>
                  <w:tcBorders>
                    <w:tl2br w:val="nil"/>
                    <w:tr2bl w:val="nil"/>
                  </w:tcBorders>
                  <w:vAlign w:val="center"/>
                </w:tcPr>
                <w:p w14:paraId="5B9782E6">
                  <w:pPr>
                    <w:spacing w:before="34" w:line="228"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纱帽岭村</w:t>
                  </w:r>
                </w:p>
              </w:tc>
              <w:tc>
                <w:tcPr>
                  <w:tcW w:w="433" w:type="pct"/>
                  <w:tcBorders>
                    <w:tl2br w:val="nil"/>
                    <w:tr2bl w:val="nil"/>
                  </w:tcBorders>
                  <w:vAlign w:val="center"/>
                </w:tcPr>
                <w:p w14:paraId="083ED5CE">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3" w:type="pct"/>
                  <w:tcBorders>
                    <w:tl2br w:val="nil"/>
                    <w:tr2bl w:val="nil"/>
                  </w:tcBorders>
                  <w:vAlign w:val="center"/>
                </w:tcPr>
                <w:p w14:paraId="1E43615A">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4" w:type="pct"/>
                  <w:tcBorders>
                    <w:tl2br w:val="nil"/>
                    <w:tr2bl w:val="nil"/>
                  </w:tcBorders>
                  <w:vAlign w:val="center"/>
                </w:tcPr>
                <w:p w14:paraId="38A4FBBC">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14:paraId="3E1DE662">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14:paraId="00007E92">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vAlign w:val="center"/>
                </w:tcPr>
                <w:p w14:paraId="51B3B6D5">
                  <w:pPr>
                    <w:spacing w:before="34" w:line="228" w:lineRule="auto"/>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caps w:val="0"/>
                      <w:sz w:val="24"/>
                      <w:szCs w:val="24"/>
                      <w:u w:val="none"/>
                    </w:rPr>
                    <w:t>Ⅱ</w:t>
                  </w:r>
                </w:p>
              </w:tc>
              <w:tc>
                <w:tcPr>
                  <w:tcW w:w="435" w:type="pct"/>
                  <w:tcBorders>
                    <w:tl2br w:val="nil"/>
                    <w:tr2bl w:val="nil"/>
                  </w:tcBorders>
                  <w:shd w:val="clear" w:color="auto" w:fill="auto"/>
                  <w:vAlign w:val="center"/>
                </w:tcPr>
                <w:p w14:paraId="1748DE8E">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c>
                <w:tcPr>
                  <w:tcW w:w="438" w:type="pct"/>
                  <w:tcBorders>
                    <w:tl2br w:val="nil"/>
                    <w:tr2bl w:val="nil"/>
                  </w:tcBorders>
                  <w:shd w:val="clear" w:color="auto" w:fill="auto"/>
                  <w:vAlign w:val="center"/>
                </w:tcPr>
                <w:p w14:paraId="26EF7E35">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c>
                <w:tcPr>
                  <w:tcW w:w="438" w:type="pct"/>
                  <w:tcBorders>
                    <w:tl2br w:val="nil"/>
                    <w:tr2bl w:val="nil"/>
                  </w:tcBorders>
                  <w:vAlign w:val="center"/>
                </w:tcPr>
                <w:p w14:paraId="3DD58C5A">
                  <w:pPr>
                    <w:spacing w:before="34" w:line="228" w:lineRule="auto"/>
                    <w:jc w:val="center"/>
                    <w:rPr>
                      <w:rFonts w:hint="default" w:ascii="Times New Roman" w:hAnsi="Times New Roman" w:eastAsia="宋体" w:cs="Times New Roman"/>
                      <w:caps w:val="0"/>
                      <w:sz w:val="24"/>
                      <w:szCs w:val="24"/>
                      <w:u w:val="none"/>
                    </w:rPr>
                  </w:pPr>
                  <w:r>
                    <w:rPr>
                      <w:rFonts w:hint="default" w:ascii="Times New Roman" w:hAnsi="Times New Roman" w:eastAsia="宋体" w:cs="Times New Roman"/>
                      <w:caps w:val="0"/>
                      <w:sz w:val="24"/>
                      <w:szCs w:val="24"/>
                      <w:u w:val="none"/>
                    </w:rPr>
                    <w:t>Ⅱ</w:t>
                  </w:r>
                </w:p>
              </w:tc>
              <w:tc>
                <w:tcPr>
                  <w:tcW w:w="461" w:type="pct"/>
                  <w:tcBorders>
                    <w:tl2br w:val="nil"/>
                    <w:tr2bl w:val="nil"/>
                  </w:tcBorders>
                  <w:shd w:val="clear" w:color="auto" w:fill="auto"/>
                  <w:vAlign w:val="center"/>
                </w:tcPr>
                <w:p w14:paraId="66B6B166">
                  <w:pPr>
                    <w:spacing w:before="34" w:line="228" w:lineRule="auto"/>
                    <w:jc w:val="center"/>
                    <w:rPr>
                      <w:rFonts w:hint="default" w:ascii="Times New Roman" w:hAnsi="Times New Roman" w:eastAsia="宋体" w:cs="Times New Roman"/>
                      <w:caps w:val="0"/>
                      <w:snapToGrid w:val="0"/>
                      <w:color w:val="000000"/>
                      <w:kern w:val="0"/>
                      <w:sz w:val="24"/>
                      <w:szCs w:val="24"/>
                      <w:u w:val="none"/>
                    </w:rPr>
                  </w:pPr>
                  <w:r>
                    <w:rPr>
                      <w:rFonts w:hint="default" w:ascii="Times New Roman" w:hAnsi="Times New Roman" w:eastAsia="宋体" w:cs="Times New Roman"/>
                      <w:caps w:val="0"/>
                      <w:sz w:val="24"/>
                      <w:szCs w:val="24"/>
                      <w:u w:val="none"/>
                    </w:rPr>
                    <w:t>Ⅱ</w:t>
                  </w:r>
                </w:p>
              </w:tc>
            </w:tr>
          </w:tbl>
          <w:p w14:paraId="1092C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rPr>
                <w:rFonts w:hint="default" w:ascii="Times New Roman" w:hAnsi="Times New Roman" w:eastAsia="宋体" w:cs="Times New Roman"/>
                <w:color w:val="auto"/>
                <w:spacing w:val="0"/>
                <w:kern w:val="0"/>
                <w:sz w:val="24"/>
                <w:szCs w:val="24"/>
                <w:u w:val="none" w:color="auto"/>
                <w:lang w:val="en-US" w:eastAsia="zh-CN"/>
              </w:rPr>
            </w:pPr>
            <w:r>
              <w:rPr>
                <w:rFonts w:hint="default" w:ascii="Times New Roman" w:hAnsi="Times New Roman" w:eastAsia="宋体" w:cs="Times New Roman"/>
                <w:color w:val="auto"/>
                <w:spacing w:val="0"/>
                <w:kern w:val="0"/>
                <w:sz w:val="24"/>
                <w:szCs w:val="24"/>
                <w:u w:val="none" w:color="auto"/>
              </w:rPr>
              <w:t>根据上表监测结果，</w:t>
            </w:r>
            <w:r>
              <w:rPr>
                <w:rFonts w:hint="eastAsia" w:ascii="Times New Roman" w:hAnsi="Times New Roman" w:eastAsia="宋体" w:cs="Times New Roman"/>
                <w:b w:val="0"/>
                <w:bCs w:val="0"/>
                <w:snapToGrid w:val="0"/>
                <w:color w:val="000000"/>
                <w:spacing w:val="11"/>
                <w:kern w:val="0"/>
                <w:sz w:val="24"/>
                <w:szCs w:val="24"/>
                <w:lang w:val="en-US" w:eastAsia="zh-CN"/>
              </w:rPr>
              <w:t>项目所在区域</w:t>
            </w:r>
            <w:r>
              <w:rPr>
                <w:rFonts w:hint="eastAsia" w:cs="Times New Roman"/>
                <w:color w:val="auto"/>
                <w:spacing w:val="0"/>
                <w:kern w:val="0"/>
                <w:sz w:val="24"/>
                <w:szCs w:val="24"/>
                <w:u w:val="none" w:color="auto"/>
                <w:lang w:val="en-US" w:eastAsia="zh-CN"/>
              </w:rPr>
              <w:t>断面</w:t>
            </w:r>
            <w:r>
              <w:rPr>
                <w:rFonts w:hint="default" w:ascii="Times New Roman" w:hAnsi="Times New Roman" w:eastAsia="宋体" w:cs="Times New Roman"/>
                <w:color w:val="auto"/>
                <w:spacing w:val="0"/>
                <w:kern w:val="0"/>
                <w:sz w:val="24"/>
                <w:szCs w:val="24"/>
                <w:u w:val="none" w:color="auto"/>
              </w:rPr>
              <w:t>水质能达到《地表水环境质量标准》（GB3838-2002）II类水质要求，区域地表水环境质量现状</w:t>
            </w:r>
            <w:r>
              <w:rPr>
                <w:rFonts w:hint="eastAsia" w:cs="Times New Roman"/>
                <w:color w:val="auto"/>
                <w:spacing w:val="0"/>
                <w:kern w:val="0"/>
                <w:sz w:val="24"/>
                <w:szCs w:val="24"/>
                <w:u w:val="none" w:color="auto"/>
                <w:lang w:val="en-US" w:eastAsia="zh-CN"/>
              </w:rPr>
              <w:t>良</w:t>
            </w:r>
            <w:r>
              <w:rPr>
                <w:rFonts w:hint="default" w:ascii="Times New Roman" w:hAnsi="Times New Roman" w:eastAsia="宋体" w:cs="Times New Roman"/>
                <w:color w:val="auto"/>
                <w:spacing w:val="0"/>
                <w:kern w:val="0"/>
                <w:sz w:val="24"/>
                <w:szCs w:val="24"/>
                <w:u w:val="none" w:color="auto"/>
              </w:rPr>
              <w:t>好。</w:t>
            </w:r>
          </w:p>
          <w:p w14:paraId="3500A3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2" w:firstLineChars="200"/>
              <w:textAlignment w:val="auto"/>
              <w:rPr>
                <w:rFonts w:hint="default" w:ascii="Times New Roman" w:hAnsi="Times New Roman" w:eastAsia="宋体" w:cs="Times New Roman"/>
                <w:b/>
                <w:bCs/>
                <w:color w:val="auto"/>
                <w:spacing w:val="0"/>
                <w:kern w:val="0"/>
                <w:sz w:val="24"/>
                <w:szCs w:val="24"/>
                <w:highlight w:val="none"/>
              </w:rPr>
            </w:pPr>
            <w:r>
              <w:rPr>
                <w:rFonts w:hint="default" w:ascii="Times New Roman" w:hAnsi="Times New Roman" w:eastAsia="宋体" w:cs="Times New Roman"/>
                <w:b/>
                <w:bCs/>
                <w:color w:val="auto"/>
                <w:spacing w:val="0"/>
                <w:kern w:val="0"/>
                <w:sz w:val="24"/>
                <w:szCs w:val="24"/>
                <w:highlight w:val="none"/>
                <w:lang w:val="en-US" w:eastAsia="zh-CN"/>
              </w:rPr>
              <w:t>3、</w:t>
            </w:r>
            <w:r>
              <w:rPr>
                <w:rFonts w:hint="default" w:ascii="Times New Roman" w:hAnsi="Times New Roman" w:eastAsia="宋体" w:cs="Times New Roman"/>
                <w:b/>
                <w:bCs/>
                <w:color w:val="auto"/>
                <w:spacing w:val="0"/>
                <w:kern w:val="0"/>
                <w:sz w:val="24"/>
                <w:szCs w:val="24"/>
                <w:highlight w:val="none"/>
              </w:rPr>
              <w:t>声环境质量现状</w:t>
            </w:r>
          </w:p>
          <w:p w14:paraId="460608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2"/>
                <w14:textFill>
                  <w14:solidFill>
                    <w14:schemeClr w14:val="tx1"/>
                  </w14:solidFill>
                </w14:textFill>
              </w:rPr>
            </w:pPr>
            <w:r>
              <w:rPr>
                <w:rFonts w:hint="default" w:ascii="Times New Roman" w:hAnsi="Times New Roman" w:eastAsia="宋体" w:cs="Times New Roman"/>
                <w:color w:val="auto"/>
                <w:sz w:val="24"/>
                <w:highlight w:val="none"/>
                <w:u w:val="none" w:color="auto"/>
                <w:lang w:val="en-US" w:eastAsia="zh-CN"/>
              </w:rPr>
              <w:t>根据现场调查，本项目</w:t>
            </w:r>
            <w:r>
              <w:rPr>
                <w:rFonts w:hint="eastAsia" w:ascii="Times New Roman" w:hAnsi="Times New Roman" w:eastAsia="宋体" w:cs="Times New Roman"/>
                <w:color w:val="auto"/>
                <w:sz w:val="24"/>
                <w:highlight w:val="none"/>
                <w:u w:val="none" w:color="auto"/>
                <w:lang w:val="en-US" w:eastAsia="zh-CN"/>
              </w:rPr>
              <w:t>所在厂区的厂界外</w:t>
            </w:r>
            <w:r>
              <w:rPr>
                <w:rFonts w:hint="default" w:ascii="Times New Roman" w:hAnsi="Times New Roman" w:eastAsia="宋体" w:cs="Times New Roman"/>
                <w:color w:val="auto"/>
                <w:sz w:val="24"/>
                <w:highlight w:val="none"/>
                <w:u w:val="none" w:color="auto"/>
                <w:lang w:val="en-US" w:eastAsia="zh-CN"/>
              </w:rPr>
              <w:t>周围50m范围内</w:t>
            </w:r>
            <w:r>
              <w:rPr>
                <w:rFonts w:hint="eastAsia" w:ascii="Times New Roman" w:hAnsi="Times New Roman" w:eastAsia="宋体" w:cs="Times New Roman"/>
                <w:color w:val="auto"/>
                <w:sz w:val="24"/>
                <w:highlight w:val="none"/>
                <w:u w:val="none" w:color="auto"/>
                <w:lang w:val="en-US" w:eastAsia="zh-CN"/>
              </w:rPr>
              <w:t>存在声环境保护目标</w:t>
            </w:r>
            <w:r>
              <w:rPr>
                <w:rFonts w:hint="default" w:ascii="Times New Roman" w:hAnsi="Times New Roman" w:eastAsia="宋体" w:cs="Times New Roman"/>
                <w:color w:val="auto"/>
                <w:sz w:val="24"/>
                <w:highlight w:val="none"/>
                <w:u w:val="none" w:color="auto"/>
                <w:lang w:val="en-US" w:eastAsia="zh-CN"/>
              </w:rPr>
              <w:t>。</w:t>
            </w:r>
            <w:r>
              <w:rPr>
                <w:rFonts w:hint="eastAsia" w:ascii="Times New Roman" w:hAnsi="Times New Roman" w:eastAsia="宋体" w:cs="Times New Roman"/>
                <w:color w:val="auto"/>
                <w:sz w:val="24"/>
                <w:highlight w:val="none"/>
                <w:u w:val="none" w:color="auto"/>
                <w:lang w:val="en-US" w:eastAsia="zh-CN"/>
              </w:rPr>
              <w:t>根据《建设项目环境影响报告表编制技术指南（污染影响类）》（试行</w:t>
            </w:r>
            <w:r>
              <w:rPr>
                <w:rFonts w:hint="eastAsia" w:ascii="Times New Roman" w:hAnsi="Times New Roman" w:eastAsia="宋体" w:cs="Times New Roman"/>
                <w:color w:val="000000" w:themeColor="text1"/>
                <w:sz w:val="24"/>
                <w:highlight w:val="none"/>
                <w:u w:val="none" w:color="auto"/>
                <w:lang w:val="en-US" w:eastAsia="zh-CN"/>
                <w14:textFill>
                  <w14:solidFill>
                    <w14:schemeClr w14:val="tx1"/>
                  </w14:solidFill>
                </w14:textFill>
              </w:rPr>
              <w:t>），应对厂界外周围50m范围内声环境保护目标进行噪声监测。因此，</w:t>
            </w:r>
            <w:r>
              <w:rPr>
                <w:rFonts w:hint="eastAsia" w:ascii="Times New Roman" w:hAnsi="Times New Roman" w:cs="Times New Roman"/>
                <w:color w:val="000000" w:themeColor="text1"/>
                <w:sz w:val="24"/>
                <w:highlight w:val="none"/>
                <w:u w:val="none" w:color="auto"/>
                <w:lang w:eastAsia="zh-CN"/>
                <w14:textFill>
                  <w14:solidFill>
                    <w14:schemeClr w14:val="tx1"/>
                  </w14:solidFill>
                </w14:textFill>
              </w:rPr>
              <w:t>本次评价委托</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湖南西南检验检测有限公司于2025</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年</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月</w:t>
            </w:r>
            <w:r>
              <w:rPr>
                <w:rFonts w:hint="eastAsia" w:ascii="Times New Roman" w:hAnsi="Times New Roman" w:eastAsia="宋体" w:cs="Times New Roman"/>
                <w:bCs/>
                <w:color w:val="000000" w:themeColor="text1"/>
                <w:sz w:val="24"/>
                <w:highlight w:val="none"/>
                <w:lang w:val="en-US" w:eastAsia="zh-CN"/>
                <w14:textFill>
                  <w14:solidFill>
                    <w14:schemeClr w14:val="tx1"/>
                  </w14:solidFill>
                </w14:textFill>
              </w:rPr>
              <w:t>1</w:t>
            </w:r>
            <w:r>
              <w:rPr>
                <w:rFonts w:hint="default" w:ascii="Times New Roman" w:hAnsi="Times New Roman" w:eastAsia="宋体" w:cs="Times New Roman"/>
                <w:bCs/>
                <w:color w:val="000000" w:themeColor="text1"/>
                <w:sz w:val="24"/>
                <w:highlight w:val="none"/>
                <w:lang w:val="en-US" w:eastAsia="zh-CN"/>
                <w14:textFill>
                  <w14:solidFill>
                    <w14:schemeClr w14:val="tx1"/>
                  </w14:solidFill>
                </w14:textFill>
              </w:rPr>
              <w:t>日</w:t>
            </w:r>
            <w:r>
              <w:rPr>
                <w:rFonts w:hint="default" w:ascii="Times New Roman" w:hAnsi="Times New Roman" w:cs="Times New Roman"/>
                <w:color w:val="000000" w:themeColor="text1"/>
                <w:sz w:val="24"/>
                <w:szCs w:val="22"/>
                <w14:textFill>
                  <w14:solidFill>
                    <w14:schemeClr w14:val="tx1"/>
                  </w14:solidFill>
                </w14:textFill>
              </w:rPr>
              <w:t>分别于昼间、夜间对项目场界</w:t>
            </w:r>
            <w:r>
              <w:rPr>
                <w:rFonts w:hint="default" w:ascii="Times New Roman" w:hAnsi="Times New Roman" w:cs="Times New Roman"/>
                <w:color w:val="000000" w:themeColor="text1"/>
                <w:sz w:val="24"/>
                <w:szCs w:val="22"/>
                <w:lang w:val="en-US" w:eastAsia="zh-CN"/>
                <w14:textFill>
                  <w14:solidFill>
                    <w14:schemeClr w14:val="tx1"/>
                  </w14:solidFill>
                </w14:textFill>
              </w:rPr>
              <w:t>周边声环境保护目标</w:t>
            </w:r>
            <w:r>
              <w:rPr>
                <w:rFonts w:hint="default" w:ascii="Times New Roman" w:hAnsi="Times New Roman" w:cs="Times New Roman"/>
                <w:color w:val="000000" w:themeColor="text1"/>
                <w:sz w:val="24"/>
                <w:szCs w:val="22"/>
                <w14:textFill>
                  <w14:solidFill>
                    <w14:schemeClr w14:val="tx1"/>
                  </w14:solidFill>
                </w14:textFill>
              </w:rPr>
              <w:t>进行了声环境现状监测，各监测点环境噪声监测统计与评价结果见表3-3。</w:t>
            </w:r>
          </w:p>
          <w:p w14:paraId="71792B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themeColor="text1"/>
                <w:spacing w:val="0"/>
                <w:kern w:val="0"/>
                <w:sz w:val="24"/>
                <w:szCs w:val="24"/>
                <w:u w:val="non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GB"/>
                <w14:textFill>
                  <w14:solidFill>
                    <w14:schemeClr w14:val="tx1"/>
                  </w14:solidFill>
                </w14:textFill>
              </w:rPr>
              <w:t>表3-3</w:t>
            </w: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bCs/>
                <w:color w:val="000000" w:themeColor="text1"/>
                <w:sz w:val="21"/>
                <w:szCs w:val="21"/>
                <w:lang w:val="en-GB"/>
                <w14:textFill>
                  <w14:solidFill>
                    <w14:schemeClr w14:val="tx1"/>
                  </w14:solidFill>
                </w14:textFill>
              </w:rPr>
              <w:t>噪声监测结果评价表单位：dB(A)</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628"/>
              <w:gridCol w:w="951"/>
              <w:gridCol w:w="917"/>
              <w:gridCol w:w="1659"/>
              <w:gridCol w:w="1565"/>
            </w:tblGrid>
            <w:tr w14:paraId="218D1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tcBorders>
                    <w:tl2br w:val="nil"/>
                    <w:tr2bl w:val="nil"/>
                  </w:tcBorders>
                  <w:shd w:val="clear" w:color="auto" w:fill="auto"/>
                  <w:vAlign w:val="center"/>
                </w:tcPr>
                <w:p w14:paraId="71AC7033">
                  <w:pPr>
                    <w:pStyle w:val="29"/>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检测类型</w:t>
                  </w:r>
                </w:p>
              </w:tc>
              <w:tc>
                <w:tcPr>
                  <w:tcW w:w="1044" w:type="pct"/>
                  <w:tcBorders>
                    <w:tl2br w:val="nil"/>
                    <w:tr2bl w:val="nil"/>
                  </w:tcBorders>
                  <w:shd w:val="clear" w:color="auto" w:fill="auto"/>
                  <w:vAlign w:val="center"/>
                </w:tcPr>
                <w:p w14:paraId="09D11B61">
                  <w:pPr>
                    <w:pStyle w:val="29"/>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采样点位</w:t>
                  </w:r>
                </w:p>
              </w:tc>
              <w:tc>
                <w:tcPr>
                  <w:tcW w:w="1177" w:type="pct"/>
                  <w:gridSpan w:val="2"/>
                  <w:tcBorders>
                    <w:tl2br w:val="nil"/>
                    <w:tr2bl w:val="nil"/>
                  </w:tcBorders>
                  <w:shd w:val="clear" w:color="auto" w:fill="auto"/>
                  <w:vAlign w:val="center"/>
                </w:tcPr>
                <w:p w14:paraId="6EFE9532">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采样时间和频次</w:t>
                  </w:r>
                </w:p>
              </w:tc>
              <w:tc>
                <w:tcPr>
                  <w:tcW w:w="1064" w:type="pct"/>
                  <w:tcBorders>
                    <w:tl2br w:val="nil"/>
                    <w:tr2bl w:val="nil"/>
                  </w:tcBorders>
                  <w:shd w:val="clear" w:color="auto" w:fill="auto"/>
                  <w:vAlign w:val="center"/>
                </w:tcPr>
                <w:p w14:paraId="13AA45DC">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检测值[dB（A）]</w:t>
                  </w:r>
                </w:p>
              </w:tc>
              <w:tc>
                <w:tcPr>
                  <w:tcW w:w="1004" w:type="pct"/>
                  <w:tcBorders>
                    <w:tl2br w:val="nil"/>
                    <w:tr2bl w:val="nil"/>
                  </w:tcBorders>
                  <w:shd w:val="clear" w:color="auto" w:fill="auto"/>
                  <w:vAlign w:val="center"/>
                </w:tcPr>
                <w:p w14:paraId="08AE47F2">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参考限值[dB（A）]</w:t>
                  </w:r>
                </w:p>
              </w:tc>
            </w:tr>
            <w:tr w14:paraId="6B88D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vMerge w:val="restart"/>
                  <w:tcBorders>
                    <w:tl2br w:val="nil"/>
                    <w:tr2bl w:val="nil"/>
                  </w:tcBorders>
                  <w:shd w:val="clear" w:color="auto" w:fill="auto"/>
                  <w:vAlign w:val="center"/>
                </w:tcPr>
                <w:p w14:paraId="13250508">
                  <w:pPr>
                    <w:pStyle w:val="29"/>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环境噪声</w:t>
                  </w:r>
                </w:p>
              </w:tc>
              <w:tc>
                <w:tcPr>
                  <w:tcW w:w="1634" w:type="dxa"/>
                  <w:vMerge w:val="restart"/>
                  <w:tcBorders>
                    <w:tl2br w:val="nil"/>
                    <w:tr2bl w:val="nil"/>
                  </w:tcBorders>
                  <w:shd w:val="clear" w:color="auto" w:fill="auto"/>
                  <w:vAlign w:val="center"/>
                </w:tcPr>
                <w:p w14:paraId="5B2AA670">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N5项目西侧居民</w:t>
                  </w:r>
                </w:p>
              </w:tc>
              <w:tc>
                <w:tcPr>
                  <w:tcW w:w="587" w:type="pct"/>
                  <w:vMerge w:val="restart"/>
                  <w:tcBorders>
                    <w:tl2br w:val="nil"/>
                    <w:tr2bl w:val="nil"/>
                  </w:tcBorders>
                  <w:shd w:val="clear" w:color="auto" w:fill="auto"/>
                  <w:vAlign w:val="center"/>
                </w:tcPr>
                <w:p w14:paraId="35C98379">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2025.1.1</w:t>
                  </w:r>
                </w:p>
              </w:tc>
              <w:tc>
                <w:tcPr>
                  <w:tcW w:w="590" w:type="pct"/>
                  <w:tcBorders>
                    <w:tl2br w:val="nil"/>
                    <w:tr2bl w:val="nil"/>
                  </w:tcBorders>
                  <w:shd w:val="clear" w:color="auto" w:fill="auto"/>
                  <w:vAlign w:val="center"/>
                </w:tcPr>
                <w:p w14:paraId="14F3374E">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昼间</w:t>
                  </w:r>
                </w:p>
              </w:tc>
              <w:tc>
                <w:tcPr>
                  <w:tcW w:w="1064" w:type="pct"/>
                  <w:tcBorders>
                    <w:tl2br w:val="nil"/>
                    <w:tr2bl w:val="nil"/>
                  </w:tcBorders>
                  <w:shd w:val="clear" w:color="auto" w:fill="auto"/>
                  <w:vAlign w:val="center"/>
                </w:tcPr>
                <w:p w14:paraId="212BF4FE">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55</w:t>
                  </w:r>
                </w:p>
              </w:tc>
              <w:tc>
                <w:tcPr>
                  <w:tcW w:w="1004" w:type="pct"/>
                  <w:tcBorders>
                    <w:tl2br w:val="nil"/>
                    <w:tr2bl w:val="nil"/>
                  </w:tcBorders>
                  <w:shd w:val="clear" w:color="auto" w:fill="auto"/>
                  <w:vAlign w:val="center"/>
                </w:tcPr>
                <w:p w14:paraId="5C477B34">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w:t>
                  </w:r>
                </w:p>
              </w:tc>
            </w:tr>
            <w:tr w14:paraId="772DA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vMerge w:val="continue"/>
                  <w:tcBorders>
                    <w:tl2br w:val="nil"/>
                    <w:tr2bl w:val="nil"/>
                  </w:tcBorders>
                  <w:shd w:val="clear" w:color="auto" w:fill="auto"/>
                  <w:vAlign w:val="center"/>
                </w:tcPr>
                <w:p w14:paraId="7CC71CAE">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44" w:type="pct"/>
                  <w:vMerge w:val="continue"/>
                  <w:tcBorders>
                    <w:tl2br w:val="nil"/>
                    <w:tr2bl w:val="nil"/>
                  </w:tcBorders>
                  <w:shd w:val="clear" w:color="auto" w:fill="auto"/>
                  <w:vAlign w:val="center"/>
                </w:tcPr>
                <w:p w14:paraId="5BCF1EDA">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587" w:type="pct"/>
                  <w:vMerge w:val="continue"/>
                  <w:tcBorders>
                    <w:tl2br w:val="nil"/>
                    <w:tr2bl w:val="nil"/>
                  </w:tcBorders>
                  <w:shd w:val="clear" w:color="auto" w:fill="auto"/>
                  <w:vAlign w:val="center"/>
                </w:tcPr>
                <w:p w14:paraId="72D035EB">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p>
              </w:tc>
              <w:tc>
                <w:tcPr>
                  <w:tcW w:w="590" w:type="pct"/>
                  <w:tcBorders>
                    <w:tl2br w:val="nil"/>
                    <w:tr2bl w:val="nil"/>
                  </w:tcBorders>
                  <w:shd w:val="clear" w:color="auto" w:fill="auto"/>
                  <w:vAlign w:val="center"/>
                </w:tcPr>
                <w:p w14:paraId="061AC786">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夜间</w:t>
                  </w:r>
                </w:p>
              </w:tc>
              <w:tc>
                <w:tcPr>
                  <w:tcW w:w="1064" w:type="pct"/>
                  <w:tcBorders>
                    <w:tl2br w:val="nil"/>
                    <w:tr2bl w:val="nil"/>
                  </w:tcBorders>
                  <w:shd w:val="clear" w:color="auto" w:fill="auto"/>
                  <w:vAlign w:val="center"/>
                </w:tcPr>
                <w:p w14:paraId="3DF0FD68">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39</w:t>
                  </w:r>
                </w:p>
              </w:tc>
              <w:tc>
                <w:tcPr>
                  <w:tcW w:w="1004" w:type="pct"/>
                  <w:tcBorders>
                    <w:tl2br w:val="nil"/>
                    <w:tr2bl w:val="nil"/>
                  </w:tcBorders>
                  <w:shd w:val="clear" w:color="auto" w:fill="auto"/>
                  <w:vAlign w:val="center"/>
                </w:tcPr>
                <w:p w14:paraId="27582C08">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w:t>
                  </w:r>
                </w:p>
              </w:tc>
            </w:tr>
            <w:tr w14:paraId="0C2799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vMerge w:val="continue"/>
                  <w:tcBorders>
                    <w:tl2br w:val="nil"/>
                    <w:tr2bl w:val="nil"/>
                  </w:tcBorders>
                  <w:shd w:val="clear" w:color="auto" w:fill="auto"/>
                  <w:vAlign w:val="center"/>
                </w:tcPr>
                <w:p w14:paraId="0C797BAF">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634" w:type="dxa"/>
                  <w:vMerge w:val="restart"/>
                  <w:tcBorders>
                    <w:tl2br w:val="nil"/>
                    <w:tr2bl w:val="nil"/>
                  </w:tcBorders>
                  <w:shd w:val="clear" w:color="auto" w:fill="auto"/>
                  <w:vAlign w:val="center"/>
                </w:tcPr>
                <w:p w14:paraId="36E72541">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N6项目南侧居民</w:t>
                  </w:r>
                </w:p>
              </w:tc>
              <w:tc>
                <w:tcPr>
                  <w:tcW w:w="587" w:type="pct"/>
                  <w:vMerge w:val="restart"/>
                  <w:tcBorders>
                    <w:tl2br w:val="nil"/>
                    <w:tr2bl w:val="nil"/>
                  </w:tcBorders>
                  <w:shd w:val="clear" w:color="auto" w:fill="auto"/>
                  <w:vAlign w:val="center"/>
                </w:tcPr>
                <w:p w14:paraId="2353F472">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2025.1.1</w:t>
                  </w:r>
                </w:p>
              </w:tc>
              <w:tc>
                <w:tcPr>
                  <w:tcW w:w="590" w:type="pct"/>
                  <w:tcBorders>
                    <w:tl2br w:val="nil"/>
                    <w:tr2bl w:val="nil"/>
                  </w:tcBorders>
                  <w:shd w:val="clear" w:color="auto" w:fill="auto"/>
                  <w:vAlign w:val="center"/>
                </w:tcPr>
                <w:p w14:paraId="2190971C">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昼间</w:t>
                  </w:r>
                </w:p>
              </w:tc>
              <w:tc>
                <w:tcPr>
                  <w:tcW w:w="1064" w:type="pct"/>
                  <w:tcBorders>
                    <w:tl2br w:val="nil"/>
                    <w:tr2bl w:val="nil"/>
                  </w:tcBorders>
                  <w:shd w:val="clear" w:color="auto" w:fill="auto"/>
                  <w:vAlign w:val="center"/>
                </w:tcPr>
                <w:p w14:paraId="37806777">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55</w:t>
                  </w:r>
                </w:p>
              </w:tc>
              <w:tc>
                <w:tcPr>
                  <w:tcW w:w="1004" w:type="pct"/>
                  <w:tcBorders>
                    <w:tl2br w:val="nil"/>
                    <w:tr2bl w:val="nil"/>
                  </w:tcBorders>
                  <w:shd w:val="clear" w:color="auto" w:fill="auto"/>
                  <w:vAlign w:val="center"/>
                </w:tcPr>
                <w:p w14:paraId="70CF4B81">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w:t>
                  </w:r>
                </w:p>
              </w:tc>
            </w:tr>
            <w:tr w14:paraId="659A3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pct"/>
                  <w:vMerge w:val="continue"/>
                  <w:tcBorders>
                    <w:tl2br w:val="nil"/>
                    <w:tr2bl w:val="nil"/>
                  </w:tcBorders>
                  <w:shd w:val="clear" w:color="auto" w:fill="auto"/>
                  <w:vAlign w:val="center"/>
                </w:tcPr>
                <w:p w14:paraId="6928BCF9">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1044" w:type="pct"/>
                  <w:vMerge w:val="continue"/>
                  <w:tcBorders>
                    <w:tl2br w:val="nil"/>
                    <w:tr2bl w:val="nil"/>
                  </w:tcBorders>
                  <w:shd w:val="clear" w:color="auto" w:fill="auto"/>
                  <w:vAlign w:val="center"/>
                </w:tcPr>
                <w:p w14:paraId="50193DFE">
                  <w:pPr>
                    <w:pStyle w:val="29"/>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sz w:val="21"/>
                      <w:szCs w:val="21"/>
                      <w14:textFill>
                        <w14:solidFill>
                          <w14:schemeClr w14:val="tx1"/>
                        </w14:solidFill>
                      </w14:textFill>
                    </w:rPr>
                  </w:pPr>
                </w:p>
              </w:tc>
              <w:tc>
                <w:tcPr>
                  <w:tcW w:w="587" w:type="pct"/>
                  <w:vMerge w:val="continue"/>
                  <w:tcBorders>
                    <w:tl2br w:val="nil"/>
                    <w:tr2bl w:val="nil"/>
                  </w:tcBorders>
                  <w:shd w:val="clear" w:color="auto" w:fill="auto"/>
                  <w:vAlign w:val="center"/>
                </w:tcPr>
                <w:p w14:paraId="0E7906ED">
                  <w:pPr>
                    <w:keepNext w:val="0"/>
                    <w:keepLines w:val="0"/>
                    <w:pageBreakBefore w:val="0"/>
                    <w:kinsoku/>
                    <w:wordWrap/>
                    <w:overflowPunct/>
                    <w:topLinePunct w:val="0"/>
                    <w:bidi w:val="0"/>
                    <w:spacing w:line="240" w:lineRule="auto"/>
                    <w:jc w:val="center"/>
                    <w:rPr>
                      <w:rFonts w:hint="default" w:ascii="Times New Roman" w:hAnsi="Times New Roman" w:cs="Times New Roman"/>
                      <w:color w:val="000000" w:themeColor="text1"/>
                      <w:kern w:val="0"/>
                      <w:sz w:val="21"/>
                      <w:szCs w:val="21"/>
                      <w14:textFill>
                        <w14:solidFill>
                          <w14:schemeClr w14:val="tx1"/>
                        </w14:solidFill>
                      </w14:textFill>
                    </w:rPr>
                  </w:pPr>
                </w:p>
              </w:tc>
              <w:tc>
                <w:tcPr>
                  <w:tcW w:w="590" w:type="pct"/>
                  <w:tcBorders>
                    <w:tl2br w:val="nil"/>
                    <w:tr2bl w:val="nil"/>
                  </w:tcBorders>
                  <w:shd w:val="clear" w:color="auto" w:fill="auto"/>
                  <w:vAlign w:val="center"/>
                </w:tcPr>
                <w:p w14:paraId="7ADED1C1">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夜间</w:t>
                  </w:r>
                </w:p>
              </w:tc>
              <w:tc>
                <w:tcPr>
                  <w:tcW w:w="1064" w:type="pct"/>
                  <w:tcBorders>
                    <w:tl2br w:val="nil"/>
                    <w:tr2bl w:val="nil"/>
                  </w:tcBorders>
                  <w:shd w:val="clear" w:color="auto" w:fill="auto"/>
                  <w:vAlign w:val="center"/>
                </w:tcPr>
                <w:p w14:paraId="5CB6F94C">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45</w:t>
                  </w:r>
                </w:p>
              </w:tc>
              <w:tc>
                <w:tcPr>
                  <w:tcW w:w="1004" w:type="pct"/>
                  <w:tcBorders>
                    <w:tl2br w:val="nil"/>
                    <w:tr2bl w:val="nil"/>
                  </w:tcBorders>
                  <w:shd w:val="clear" w:color="auto" w:fill="auto"/>
                  <w:vAlign w:val="center"/>
                </w:tcPr>
                <w:p w14:paraId="687CC8F4">
                  <w:pPr>
                    <w:keepNext w:val="0"/>
                    <w:keepLines w:val="0"/>
                    <w:pageBreakBefore w:val="0"/>
                    <w:widowControl/>
                    <w:kinsoku/>
                    <w:wordWrap/>
                    <w:overflowPunct/>
                    <w:topLinePunct w:val="0"/>
                    <w:bidi w:val="0"/>
                    <w:spacing w:line="240" w:lineRule="auto"/>
                    <w:jc w:val="center"/>
                    <w:textAlignment w:val="center"/>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50</w:t>
                  </w:r>
                </w:p>
              </w:tc>
            </w:tr>
          </w:tbl>
          <w:p w14:paraId="0BDBEB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pacing w:val="0"/>
                <w:sz w:val="24"/>
                <w:szCs w:val="24"/>
              </w:rPr>
            </w:pPr>
            <w:r>
              <w:rPr>
                <w:rFonts w:hint="default" w:ascii="Times New Roman" w:hAnsi="Times New Roman" w:cs="Times New Roman"/>
                <w:color w:val="000000" w:themeColor="text1"/>
                <w:sz w:val="24"/>
                <w:szCs w:val="22"/>
                <w14:textFill>
                  <w14:solidFill>
                    <w14:schemeClr w14:val="tx1"/>
                  </w14:solidFill>
                </w14:textFill>
              </w:rPr>
              <w:t>通过监测结果的统计分析</w:t>
            </w:r>
            <w:r>
              <w:rPr>
                <w:rFonts w:hint="eastAsia" w:cs="Times New Roman"/>
                <w:color w:val="000000" w:themeColor="text1"/>
                <w:sz w:val="24"/>
                <w:szCs w:val="22"/>
                <w:lang w:eastAsia="zh-CN"/>
                <w14:textFill>
                  <w14:solidFill>
                    <w14:schemeClr w14:val="tx1"/>
                  </w14:solidFill>
                </w14:textFill>
              </w:rPr>
              <w:t>可知：本项目周围敏感点的声环境</w:t>
            </w:r>
            <w:r>
              <w:rPr>
                <w:rFonts w:hint="default" w:ascii="Times New Roman" w:hAnsi="Times New Roman" w:cs="Times New Roman"/>
                <w:color w:val="000000" w:themeColor="text1"/>
                <w:sz w:val="24"/>
                <w:szCs w:val="22"/>
                <w14:textFill>
                  <w14:solidFill>
                    <w14:schemeClr w14:val="tx1"/>
                  </w14:solidFill>
                </w14:textFill>
              </w:rPr>
              <w:t>质量</w:t>
            </w:r>
            <w:r>
              <w:rPr>
                <w:rFonts w:hint="eastAsia" w:cs="Times New Roman"/>
                <w:color w:val="000000" w:themeColor="text1"/>
                <w:sz w:val="24"/>
                <w:szCs w:val="22"/>
                <w:lang w:eastAsia="zh-CN"/>
                <w14:textFill>
                  <w14:solidFill>
                    <w14:schemeClr w14:val="tx1"/>
                  </w14:solidFill>
                </w14:textFill>
              </w:rPr>
              <w:t>现状昼夜间监测结果均满足</w:t>
            </w:r>
            <w:r>
              <w:rPr>
                <w:rFonts w:hint="default" w:ascii="Times New Roman" w:hAnsi="Times New Roman" w:cs="Times New Roman"/>
                <w:color w:val="000000" w:themeColor="text1"/>
                <w:sz w:val="24"/>
                <w:szCs w:val="22"/>
                <w14:textFill>
                  <w14:solidFill>
                    <w14:schemeClr w14:val="tx1"/>
                  </w14:solidFill>
                </w14:textFill>
              </w:rPr>
              <w:t>《声环境质量标准》（GB3096-2008）2类标准</w:t>
            </w:r>
            <w:r>
              <w:rPr>
                <w:rFonts w:hint="eastAsia" w:cs="Times New Roman"/>
                <w:color w:val="000000" w:themeColor="text1"/>
                <w:sz w:val="24"/>
                <w:szCs w:val="22"/>
                <w:lang w:eastAsia="zh-CN"/>
                <w14:textFill>
                  <w14:solidFill>
                    <w14:schemeClr w14:val="tx1"/>
                  </w14:solidFill>
                </w14:textFill>
              </w:rPr>
              <w:t>限值要</w:t>
            </w:r>
            <w:r>
              <w:rPr>
                <w:rFonts w:hint="eastAsia" w:cs="Times New Roman"/>
                <w:color w:val="000000" w:themeColor="text1"/>
                <w:sz w:val="24"/>
                <w:szCs w:val="24"/>
                <w:lang w:eastAsia="zh-CN"/>
                <w14:textFill>
                  <w14:solidFill>
                    <w14:schemeClr w14:val="tx1"/>
                  </w14:solidFill>
                </w14:textFill>
              </w:rPr>
              <w:t>求</w:t>
            </w:r>
            <w:r>
              <w:rPr>
                <w:rFonts w:hint="default" w:ascii="Times New Roman" w:hAnsi="Times New Roman" w:cs="Times New Roman"/>
                <w:color w:val="000000" w:themeColor="text1"/>
                <w:sz w:val="24"/>
                <w:szCs w:val="24"/>
                <w14:textFill>
                  <w14:solidFill>
                    <w14:schemeClr w14:val="tx1"/>
                  </w14:solidFill>
                </w14:textFill>
              </w:rPr>
              <w:t>，</w:t>
            </w:r>
            <w:r>
              <w:rPr>
                <w:rFonts w:hint="eastAsia" w:cs="Times New Roman"/>
                <w:color w:val="000000" w:themeColor="text1"/>
                <w:sz w:val="24"/>
                <w:szCs w:val="24"/>
                <w:lang w:eastAsia="zh-CN"/>
                <w14:textFill>
                  <w14:solidFill>
                    <w14:schemeClr w14:val="tx1"/>
                  </w14:solidFill>
                </w14:textFill>
              </w:rPr>
              <w:t>则</w:t>
            </w:r>
            <w:r>
              <w:rPr>
                <w:rFonts w:hint="default" w:ascii="Times New Roman" w:hAnsi="Times New Roman" w:cs="Times New Roman"/>
                <w:color w:val="000000" w:themeColor="text1"/>
                <w:sz w:val="24"/>
                <w:szCs w:val="24"/>
                <w14:textFill>
                  <w14:solidFill>
                    <w14:schemeClr w14:val="tx1"/>
                  </w14:solidFill>
                </w14:textFill>
              </w:rPr>
              <w:t>区域声环境质量现状良好</w:t>
            </w:r>
            <w:r>
              <w:rPr>
                <w:rFonts w:hint="default" w:ascii="Times New Roman" w:hAnsi="Times New Roman" w:cs="Times New Roman"/>
                <w:snapToGrid/>
                <w:color w:val="000000" w:themeColor="text1"/>
                <w:sz w:val="24"/>
                <w:szCs w:val="24"/>
                <w14:textFill>
                  <w14:solidFill>
                    <w14:schemeClr w14:val="tx1"/>
                  </w14:solidFill>
                </w14:textFill>
              </w:rPr>
              <w:t>。</w:t>
            </w:r>
          </w:p>
          <w:p w14:paraId="4DFA696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pacing w:val="0"/>
                <w:sz w:val="24"/>
                <w:szCs w:val="24"/>
              </w:rPr>
            </w:pPr>
            <w:r>
              <w:rPr>
                <w:rFonts w:hint="default" w:ascii="Times New Roman" w:hAnsi="Times New Roman" w:eastAsia="宋体" w:cs="Times New Roman"/>
                <w:b/>
                <w:bCs/>
                <w:color w:val="auto"/>
                <w:spacing w:val="0"/>
                <w:sz w:val="24"/>
                <w:szCs w:val="24"/>
              </w:rPr>
              <w:t>4、生态环境现状</w:t>
            </w:r>
          </w:p>
          <w:p w14:paraId="5C47ED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《建设项目环境影响报告表编制技术指南（污染影响类）》（试行）</w:t>
            </w:r>
            <w:r>
              <w:rPr>
                <w:rFonts w:hint="eastAsia"/>
                <w:sz w:val="24"/>
                <w:szCs w:val="24"/>
                <w:lang w:val="en-US" w:eastAsia="zh-CN"/>
              </w:rPr>
              <w:t>明确生态环境现状：产业园区外建设项目新增用地且用地范围内含有生态环境保护目标时，应进行生态现状调查。</w:t>
            </w:r>
          </w:p>
          <w:p w14:paraId="73D78C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lang w:val="en-GB" w:eastAsia="zh-CN"/>
              </w:rPr>
              <w:t>本项目已建设完成并运营</w:t>
            </w:r>
            <w:r>
              <w:rPr>
                <w:rFonts w:hint="eastAsia"/>
                <w:sz w:val="24"/>
                <w:szCs w:val="24"/>
                <w:lang w:val="en-GB" w:eastAsia="zh-CN"/>
              </w:rPr>
              <w:t>，本次评价</w:t>
            </w:r>
            <w:r>
              <w:rPr>
                <w:rFonts w:hint="default"/>
                <w:sz w:val="24"/>
                <w:szCs w:val="24"/>
                <w:lang w:val="en-GB" w:eastAsia="zh-CN"/>
              </w:rPr>
              <w:t>为</w:t>
            </w:r>
            <w:r>
              <w:rPr>
                <w:rFonts w:hint="eastAsia"/>
                <w:sz w:val="24"/>
                <w:szCs w:val="24"/>
                <w:lang w:val="en-GB" w:eastAsia="zh-CN"/>
              </w:rPr>
              <w:t>完善环评手续</w:t>
            </w:r>
            <w:r>
              <w:rPr>
                <w:rFonts w:hint="eastAsia"/>
                <w:sz w:val="24"/>
                <w:szCs w:val="24"/>
                <w:lang w:eastAsia="zh-CN"/>
              </w:rPr>
              <w:t>；</w:t>
            </w:r>
            <w:r>
              <w:rPr>
                <w:rFonts w:hint="default"/>
                <w:sz w:val="24"/>
                <w:szCs w:val="24"/>
                <w:lang w:val="en-GB" w:eastAsia="zh-CN"/>
              </w:rPr>
              <w:t>项目用地范围内为水泥硬化地面，各项废气做好处理</w:t>
            </w:r>
            <w:r>
              <w:rPr>
                <w:rFonts w:hint="eastAsia"/>
                <w:sz w:val="24"/>
                <w:szCs w:val="24"/>
                <w:lang w:val="en-GB" w:eastAsia="zh-CN"/>
              </w:rPr>
              <w:t>，</w:t>
            </w:r>
            <w:r>
              <w:rPr>
                <w:rFonts w:hint="default"/>
                <w:sz w:val="24"/>
                <w:szCs w:val="24"/>
                <w:lang w:val="en-GB" w:eastAsia="zh-CN"/>
              </w:rPr>
              <w:t>外排量很少</w:t>
            </w:r>
            <w:r>
              <w:rPr>
                <w:rFonts w:hint="eastAsia"/>
                <w:sz w:val="24"/>
                <w:szCs w:val="24"/>
                <w:lang w:val="en-GB" w:eastAsia="zh-CN"/>
              </w:rPr>
              <w:t>。</w:t>
            </w:r>
            <w:r>
              <w:rPr>
                <w:rFonts w:hint="eastAsia"/>
                <w:sz w:val="24"/>
                <w:szCs w:val="24"/>
                <w:lang w:val="en-US" w:eastAsia="zh-CN"/>
              </w:rPr>
              <w:t>同时，</w:t>
            </w:r>
            <w:r>
              <w:rPr>
                <w:rFonts w:hint="default"/>
                <w:sz w:val="24"/>
                <w:szCs w:val="24"/>
              </w:rPr>
              <w:t>根据现场调查，项目所在区域为城市生态系统，植被受人为活动影响较大</w:t>
            </w:r>
            <w:r>
              <w:rPr>
                <w:rFonts w:hint="eastAsia"/>
                <w:sz w:val="24"/>
                <w:szCs w:val="24"/>
                <w:lang w:eastAsia="zh-CN"/>
              </w:rPr>
              <w:t>，</w:t>
            </w:r>
            <w:r>
              <w:rPr>
                <w:rFonts w:hint="default"/>
                <w:sz w:val="24"/>
                <w:szCs w:val="24"/>
              </w:rPr>
              <w:t>区域植被主要由人工林地、道旁绿化带以及未开发区域的杂草等组成</w:t>
            </w:r>
            <w:r>
              <w:rPr>
                <w:rFonts w:hint="eastAsia"/>
                <w:sz w:val="24"/>
                <w:szCs w:val="24"/>
                <w:lang w:eastAsia="zh-CN"/>
              </w:rPr>
              <w:t>，</w:t>
            </w:r>
            <w:r>
              <w:rPr>
                <w:rFonts w:hint="default"/>
                <w:sz w:val="24"/>
                <w:szCs w:val="24"/>
              </w:rPr>
              <w:t>无古树名木以及濒危保护植物物种分布</w:t>
            </w:r>
            <w:r>
              <w:rPr>
                <w:rFonts w:hint="eastAsia"/>
                <w:sz w:val="24"/>
                <w:szCs w:val="24"/>
                <w:lang w:eastAsia="zh-CN"/>
              </w:rPr>
              <w:t>；</w:t>
            </w:r>
            <w:r>
              <w:rPr>
                <w:rFonts w:hint="default"/>
                <w:sz w:val="24"/>
                <w:szCs w:val="24"/>
              </w:rPr>
              <w:t>项目区域内野生动物均为常见种类，主要以青蛙、老鼠、鸟类等小型野生动物为主</w:t>
            </w:r>
            <w:r>
              <w:rPr>
                <w:rFonts w:hint="eastAsia"/>
                <w:sz w:val="24"/>
                <w:szCs w:val="24"/>
                <w:lang w:eastAsia="zh-CN"/>
              </w:rPr>
              <w:t>，</w:t>
            </w:r>
            <w:r>
              <w:rPr>
                <w:rFonts w:hint="default"/>
                <w:sz w:val="24"/>
                <w:szCs w:val="24"/>
              </w:rPr>
              <w:t>无国家重点保护野生动物及栖息地，无珍稀植物种类。</w:t>
            </w:r>
          </w:p>
          <w:p w14:paraId="0686A0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eastAsia"/>
                <w:sz w:val="24"/>
                <w:szCs w:val="24"/>
                <w:lang w:val="en-US" w:eastAsia="zh-CN"/>
              </w:rPr>
              <w:t>因此，本次评价可不开展生态环境现状调查工作。</w:t>
            </w:r>
          </w:p>
          <w:p w14:paraId="097E4F94">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lang w:eastAsia="zh-CN"/>
              </w:rPr>
            </w:pPr>
            <w:r>
              <w:rPr>
                <w:rFonts w:hint="default" w:ascii="Times New Roman" w:hAnsi="Times New Roman" w:eastAsia="宋体" w:cs="Times New Roman"/>
                <w:b/>
                <w:bCs/>
                <w:color w:val="auto"/>
                <w:spacing w:val="0"/>
                <w:sz w:val="24"/>
                <w:szCs w:val="24"/>
              </w:rPr>
              <w:t>5、地下水</w:t>
            </w:r>
            <w:r>
              <w:rPr>
                <w:rFonts w:hint="default" w:ascii="Times New Roman" w:hAnsi="Times New Roman" w:eastAsia="宋体" w:cs="Times New Roman"/>
                <w:b/>
                <w:bCs/>
                <w:color w:val="auto"/>
                <w:spacing w:val="0"/>
                <w:sz w:val="24"/>
                <w:szCs w:val="24"/>
                <w:lang w:eastAsia="zh-CN"/>
              </w:rPr>
              <w:t>、土壤环境</w:t>
            </w:r>
          </w:p>
          <w:p w14:paraId="4D9FB330">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color w:val="auto"/>
                <w:spacing w:val="0"/>
                <w:sz w:val="24"/>
                <w:szCs w:val="24"/>
              </w:rPr>
            </w:pPr>
            <w:r>
              <w:rPr>
                <w:rFonts w:hint="default" w:cs="Times New Roman"/>
                <w:snapToGrid/>
                <w:color w:val="000000" w:themeColor="text1"/>
                <w:sz w:val="24"/>
                <w:szCs w:val="24"/>
                <w:lang w:eastAsia="zh-CN"/>
                <w14:textFill>
                  <w14:solidFill>
                    <w14:schemeClr w14:val="tx1"/>
                  </w14:solidFill>
                </w14:textFill>
              </w:rPr>
              <w:t>本项目已建成投运，本次评价为完善环评手续。本项目不涉及新增用地</w:t>
            </w:r>
            <w:r>
              <w:rPr>
                <w:rFonts w:hint="default" w:ascii="Times New Roman" w:hAnsi="Times New Roman" w:eastAsia="宋体" w:cs="Times New Roman"/>
                <w:color w:val="auto"/>
                <w:spacing w:val="0"/>
                <w:sz w:val="24"/>
                <w:szCs w:val="24"/>
              </w:rPr>
              <w:t>，</w:t>
            </w:r>
            <w:r>
              <w:rPr>
                <w:rFonts w:hint="default"/>
                <w:sz w:val="24"/>
                <w:szCs w:val="24"/>
                <w:lang w:val="en-GB" w:eastAsia="zh-CN"/>
              </w:rPr>
              <w:t>在项目做好防渗工作及污染治理工作后基本无地下水、土壤污染途径，对地下水及土壤环境影响较小</w:t>
            </w:r>
            <w:r>
              <w:rPr>
                <w:rFonts w:hint="eastAsia" w:cs="Times New Roman"/>
                <w:color w:val="auto"/>
                <w:spacing w:val="0"/>
                <w:sz w:val="24"/>
                <w:szCs w:val="24"/>
                <w:lang w:eastAsia="zh-CN"/>
              </w:rPr>
              <w:t>，</w:t>
            </w:r>
            <w:r>
              <w:rPr>
                <w:rFonts w:hint="default" w:ascii="Times New Roman" w:hAnsi="Times New Roman" w:eastAsia="宋体" w:cs="Times New Roman"/>
                <w:color w:val="auto"/>
                <w:spacing w:val="0"/>
                <w:sz w:val="24"/>
                <w:szCs w:val="24"/>
              </w:rPr>
              <w:t>可不开展地下水、土壤的环境质量现状调查。</w:t>
            </w:r>
          </w:p>
          <w:p w14:paraId="73BDBAAE">
            <w:pPr>
              <w:keepNext w:val="0"/>
              <w:keepLines w:val="0"/>
              <w:pageBreakBefore w:val="0"/>
              <w:widowControl w:val="0"/>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bCs/>
                <w:color w:val="auto"/>
                <w:spacing w:val="0"/>
                <w:sz w:val="24"/>
                <w:szCs w:val="24"/>
                <w:u w:val="none"/>
                <w:lang w:val="en-US" w:eastAsia="zh-CN"/>
              </w:rPr>
            </w:pPr>
            <w:r>
              <w:rPr>
                <w:rFonts w:hint="eastAsia" w:ascii="Times New Roman" w:hAnsi="Times New Roman" w:eastAsia="宋体" w:cs="Times New Roman"/>
                <w:b/>
                <w:bCs/>
                <w:color w:val="auto"/>
                <w:spacing w:val="0"/>
                <w:sz w:val="24"/>
                <w:szCs w:val="24"/>
                <w:u w:val="none"/>
                <w:lang w:val="en-US" w:eastAsia="zh-CN"/>
              </w:rPr>
              <w:t>6</w:t>
            </w:r>
            <w:r>
              <w:rPr>
                <w:rFonts w:hint="default" w:ascii="Times New Roman" w:hAnsi="Times New Roman" w:eastAsia="宋体" w:cs="Times New Roman"/>
                <w:b/>
                <w:bCs/>
                <w:color w:val="auto"/>
                <w:spacing w:val="0"/>
                <w:sz w:val="24"/>
                <w:szCs w:val="24"/>
                <w:u w:val="none"/>
              </w:rPr>
              <w:t>、</w:t>
            </w:r>
            <w:r>
              <w:rPr>
                <w:rFonts w:hint="eastAsia" w:ascii="Times New Roman" w:hAnsi="Times New Roman" w:eastAsia="宋体" w:cs="Times New Roman"/>
                <w:b/>
                <w:bCs/>
                <w:color w:val="auto"/>
                <w:spacing w:val="0"/>
                <w:sz w:val="24"/>
                <w:szCs w:val="24"/>
                <w:u w:val="none"/>
                <w:lang w:val="en-US" w:eastAsia="zh-CN"/>
              </w:rPr>
              <w:t>电磁辐射</w:t>
            </w:r>
          </w:p>
          <w:p w14:paraId="6A5EEFC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default" w:ascii="Times New Roman" w:hAnsi="Times New Roman" w:eastAsia="宋体" w:cs="Times New Roman"/>
                <w:color w:val="auto"/>
                <w:spacing w:val="0"/>
                <w:kern w:val="0"/>
                <w:sz w:val="24"/>
                <w:szCs w:val="24"/>
                <w:u w:val="none" w:color="auto"/>
                <w:lang w:val="en-US" w:eastAsia="zh-CN"/>
              </w:rPr>
            </w:pPr>
            <w:r>
              <w:rPr>
                <w:rFonts w:hint="default" w:ascii="Times New Roman" w:hAnsi="Times New Roman" w:eastAsia="Calibri" w:cs="Times New Roman"/>
                <w:b w:val="0"/>
                <w:bCs/>
                <w:color w:val="auto"/>
                <w:sz w:val="24"/>
                <w:szCs w:val="24"/>
                <w:u w:val="none"/>
                <w:lang w:val="en-US" w:eastAsia="zh-CN"/>
              </w:rPr>
              <w:t>本次环评范围不含放射性评价</w:t>
            </w:r>
            <w:r>
              <w:rPr>
                <w:rFonts w:hint="eastAsia" w:eastAsia="Calibri" w:cs="Times New Roman"/>
                <w:b w:val="0"/>
                <w:bCs/>
                <w:color w:val="auto"/>
                <w:sz w:val="24"/>
                <w:szCs w:val="24"/>
                <w:u w:val="none"/>
                <w:lang w:val="en-US" w:eastAsia="zh-CN"/>
              </w:rPr>
              <w:t>。</w:t>
            </w:r>
          </w:p>
        </w:tc>
      </w:tr>
      <w:tr w14:paraId="07CA4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1D78296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环境</w:t>
            </w:r>
          </w:p>
          <w:p w14:paraId="50A3A0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保护</w:t>
            </w:r>
          </w:p>
          <w:p w14:paraId="5E136577">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目标</w:t>
            </w:r>
          </w:p>
        </w:tc>
        <w:tc>
          <w:tcPr>
            <w:tcW w:w="7658" w:type="dxa"/>
            <w:vAlign w:val="center"/>
          </w:tcPr>
          <w:p w14:paraId="681D79BA">
            <w:pPr>
              <w:keepNext w:val="0"/>
              <w:keepLines w:val="0"/>
              <w:pageBreakBefore w:val="0"/>
              <w:widowControl w:val="0"/>
              <w:numPr>
                <w:ilvl w:val="0"/>
                <w:numId w:val="0"/>
              </w:numPr>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pacing w:val="0"/>
                <w:sz w:val="24"/>
                <w:szCs w:val="24"/>
                <w:highlight w:val="none"/>
                <w:u w:val="single" w:color="auto"/>
              </w:rPr>
            </w:pPr>
            <w:r>
              <w:rPr>
                <w:rFonts w:hint="default" w:ascii="Times New Roman" w:hAnsi="Times New Roman" w:eastAsia="宋体" w:cs="Times New Roman"/>
                <w:b/>
                <w:bCs/>
                <w:color w:val="auto"/>
                <w:spacing w:val="0"/>
                <w:kern w:val="2"/>
                <w:sz w:val="24"/>
                <w:szCs w:val="24"/>
                <w:u w:val="single" w:color="auto"/>
                <w:lang w:val="en-US" w:eastAsia="zh-CN" w:bidi="ar-SA"/>
              </w:rPr>
              <w:t>1、</w:t>
            </w:r>
            <w:r>
              <w:rPr>
                <w:rFonts w:hint="default" w:ascii="Times New Roman" w:hAnsi="Times New Roman" w:eastAsia="宋体" w:cs="Times New Roman"/>
                <w:b/>
                <w:bCs/>
                <w:color w:val="auto"/>
                <w:spacing w:val="0"/>
                <w:sz w:val="24"/>
                <w:szCs w:val="24"/>
                <w:highlight w:val="none"/>
                <w:u w:val="single" w:color="auto"/>
              </w:rPr>
              <w:t>环境保护目标</w:t>
            </w:r>
          </w:p>
          <w:p w14:paraId="7DFC34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FF0000"/>
                <w:spacing w:val="0"/>
                <w:sz w:val="24"/>
                <w:szCs w:val="24"/>
                <w:u w:val="single" w:color="auto"/>
              </w:rPr>
            </w:pPr>
            <w:r>
              <w:rPr>
                <w:rFonts w:hint="default" w:ascii="Times New Roman" w:hAnsi="Times New Roman" w:eastAsia="宋体" w:cs="Times New Roman"/>
                <w:color w:val="auto"/>
                <w:spacing w:val="0"/>
                <w:sz w:val="24"/>
                <w:szCs w:val="24"/>
                <w:u w:val="single" w:color="auto"/>
              </w:rPr>
              <w:t>环境保护目标主要是评价范围内可能受影响的附近居民居住区。项目附近主要环境敏感点详见下表：</w:t>
            </w:r>
          </w:p>
          <w:p w14:paraId="56CDCAA4">
            <w:pPr>
              <w:spacing w:line="240" w:lineRule="auto"/>
              <w:jc w:val="center"/>
              <w:rPr>
                <w:rFonts w:hint="default" w:ascii="Times New Roman" w:hAnsi="Times New Roman" w:eastAsia="宋体" w:cs="Times New Roman"/>
                <w:b/>
                <w:bCs/>
                <w:color w:val="auto"/>
                <w:sz w:val="21"/>
                <w:szCs w:val="21"/>
                <w:u w:val="single" w:color="auto"/>
                <w:lang w:val="en-US" w:eastAsia="zh-CN"/>
              </w:rPr>
            </w:pPr>
            <w:r>
              <w:rPr>
                <w:rFonts w:hint="default" w:ascii="Times New Roman" w:hAnsi="Times New Roman" w:eastAsia="宋体" w:cs="Times New Roman"/>
                <w:b/>
                <w:bCs/>
                <w:color w:val="auto"/>
                <w:sz w:val="21"/>
                <w:szCs w:val="21"/>
                <w:u w:val="single" w:color="auto"/>
                <w:lang w:val="en-US" w:eastAsia="zh-CN"/>
              </w:rPr>
              <w:t>表3-</w:t>
            </w:r>
            <w:r>
              <w:rPr>
                <w:rFonts w:hint="eastAsia" w:eastAsia="宋体" w:cs="Times New Roman"/>
                <w:b/>
                <w:bCs/>
                <w:color w:val="auto"/>
                <w:sz w:val="21"/>
                <w:szCs w:val="21"/>
                <w:u w:val="single" w:color="auto"/>
                <w:lang w:val="en-US" w:eastAsia="zh-CN"/>
              </w:rPr>
              <w:t>4</w:t>
            </w:r>
            <w:r>
              <w:rPr>
                <w:rFonts w:hint="default" w:ascii="Times New Roman" w:hAnsi="Times New Roman" w:eastAsia="宋体" w:cs="Times New Roman"/>
                <w:b/>
                <w:bCs/>
                <w:color w:val="auto"/>
                <w:sz w:val="21"/>
                <w:szCs w:val="21"/>
                <w:u w:val="single" w:color="auto"/>
                <w:lang w:val="en-US" w:eastAsia="zh-CN"/>
              </w:rPr>
              <w:t xml:space="preserve">  项目环境保护目标一览表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534"/>
              <w:gridCol w:w="842"/>
              <w:gridCol w:w="1271"/>
              <w:gridCol w:w="2233"/>
              <w:gridCol w:w="1208"/>
              <w:gridCol w:w="1733"/>
            </w:tblGrid>
            <w:tr w14:paraId="2F40A5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restart"/>
                  <w:tcBorders>
                    <w:tl2br w:val="nil"/>
                    <w:tr2bl w:val="nil"/>
                  </w:tcBorders>
                  <w:noWrap w:val="0"/>
                  <w:vAlign w:val="center"/>
                </w:tcPr>
                <w:p w14:paraId="338499A5">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p w14:paraId="217F24A7">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要素</w:t>
                  </w:r>
                </w:p>
              </w:tc>
              <w:tc>
                <w:tcPr>
                  <w:tcW w:w="842" w:type="dxa"/>
                  <w:vMerge w:val="restart"/>
                  <w:tcBorders>
                    <w:tl2br w:val="nil"/>
                    <w:tr2bl w:val="nil"/>
                  </w:tcBorders>
                  <w:noWrap w:val="0"/>
                  <w:vAlign w:val="center"/>
                </w:tcPr>
                <w:p w14:paraId="441C48AA">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eastAsia="宋体" w:cs="Times New Roman"/>
                      <w:color w:val="auto"/>
                      <w:kern w:val="2"/>
                      <w:sz w:val="21"/>
                      <w:szCs w:val="21"/>
                      <w:highlight w:val="none"/>
                      <w:u w:val="single" w:color="auto"/>
                      <w:lang w:val="en-US" w:eastAsia="zh-CN" w:bidi="ar"/>
                    </w:rPr>
                    <w:t>环</w:t>
                  </w:r>
                  <w:r>
                    <w:rPr>
                      <w:rFonts w:hint="default" w:ascii="Times New Roman" w:hAnsi="Times New Roman" w:cs="Times New Roman"/>
                      <w:color w:val="auto"/>
                      <w:kern w:val="2"/>
                      <w:sz w:val="21"/>
                      <w:szCs w:val="21"/>
                      <w:highlight w:val="none"/>
                      <w:u w:val="single" w:color="auto"/>
                      <w:lang w:val="en-US" w:eastAsia="zh-CN" w:bidi="ar"/>
                    </w:rPr>
                    <w:t>保目标</w:t>
                  </w:r>
                </w:p>
              </w:tc>
              <w:tc>
                <w:tcPr>
                  <w:tcW w:w="3504" w:type="dxa"/>
                  <w:gridSpan w:val="2"/>
                  <w:tcBorders>
                    <w:tl2br w:val="nil"/>
                    <w:tr2bl w:val="nil"/>
                  </w:tcBorders>
                  <w:noWrap w:val="0"/>
                  <w:vAlign w:val="center"/>
                </w:tcPr>
                <w:p w14:paraId="6E8F68B0">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highlight w:val="none"/>
                      <w:u w:val="single" w:color="auto"/>
                      <w:lang w:val="en-US" w:eastAsia="zh-CN" w:bidi="ar"/>
                    </w:rPr>
                    <w:t>与本项目场界</w:t>
                  </w:r>
                </w:p>
              </w:tc>
              <w:tc>
                <w:tcPr>
                  <w:tcW w:w="1208" w:type="dxa"/>
                  <w:vMerge w:val="restart"/>
                  <w:tcBorders>
                    <w:tl2br w:val="nil"/>
                    <w:tr2bl w:val="nil"/>
                  </w:tcBorders>
                  <w:noWrap w:val="0"/>
                  <w:vAlign w:val="center"/>
                </w:tcPr>
                <w:p w14:paraId="4D2CFD7F">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功</w:t>
                  </w:r>
                  <w:r>
                    <w:rPr>
                      <w:rFonts w:hint="default" w:ascii="Times New Roman" w:hAnsi="Times New Roman" w:eastAsia="宋体" w:cs="Times New Roman"/>
                      <w:color w:val="auto"/>
                      <w:kern w:val="2"/>
                      <w:sz w:val="21"/>
                      <w:szCs w:val="21"/>
                      <w:highlight w:val="none"/>
                      <w:u w:val="single" w:color="auto"/>
                      <w:lang w:val="en-US" w:eastAsia="zh-CN" w:bidi="ar"/>
                    </w:rPr>
                    <w:t>能/</w:t>
                  </w:r>
                  <w:r>
                    <w:rPr>
                      <w:rFonts w:hint="default" w:ascii="Times New Roman" w:hAnsi="Times New Roman" w:cs="Times New Roman"/>
                      <w:color w:val="auto"/>
                      <w:kern w:val="2"/>
                      <w:sz w:val="21"/>
                      <w:szCs w:val="21"/>
                      <w:highlight w:val="none"/>
                      <w:u w:val="single" w:color="auto"/>
                      <w:lang w:val="en-US" w:eastAsia="zh-CN" w:bidi="ar"/>
                    </w:rPr>
                    <w:t>规模</w:t>
                  </w:r>
                </w:p>
              </w:tc>
              <w:tc>
                <w:tcPr>
                  <w:tcW w:w="1733" w:type="dxa"/>
                  <w:vMerge w:val="restart"/>
                  <w:tcBorders>
                    <w:tl2br w:val="nil"/>
                    <w:tr2bl w:val="nil"/>
                  </w:tcBorders>
                  <w:noWrap w:val="0"/>
                  <w:vAlign w:val="center"/>
                </w:tcPr>
                <w:p w14:paraId="155EC305">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保护级别</w:t>
                  </w:r>
                </w:p>
              </w:tc>
            </w:tr>
            <w:tr w14:paraId="3B80A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8" w:hRule="atLeast"/>
                <w:jc w:val="center"/>
              </w:trPr>
              <w:tc>
                <w:tcPr>
                  <w:tcW w:w="534" w:type="dxa"/>
                  <w:vMerge w:val="continue"/>
                  <w:tcBorders>
                    <w:tl2br w:val="nil"/>
                    <w:tr2bl w:val="nil"/>
                  </w:tcBorders>
                  <w:noWrap w:val="0"/>
                  <w:vAlign w:val="center"/>
                </w:tcPr>
                <w:p w14:paraId="3182F373">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842" w:type="dxa"/>
                  <w:vMerge w:val="continue"/>
                  <w:tcBorders>
                    <w:tl2br w:val="nil"/>
                    <w:tr2bl w:val="nil"/>
                  </w:tcBorders>
                  <w:noWrap w:val="0"/>
                  <w:vAlign w:val="center"/>
                </w:tcPr>
                <w:p w14:paraId="73BA2F9A">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p>
              </w:tc>
              <w:tc>
                <w:tcPr>
                  <w:tcW w:w="1271" w:type="dxa"/>
                  <w:tcBorders>
                    <w:tl2br w:val="nil"/>
                    <w:tr2bl w:val="nil"/>
                  </w:tcBorders>
                  <w:noWrap w:val="0"/>
                  <w:vAlign w:val="center"/>
                </w:tcPr>
                <w:p w14:paraId="0C671C50">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eastAsia" w:ascii="Times New Roman" w:hAnsi="Times New Roman" w:cs="Times New Roman"/>
                      <w:color w:val="auto"/>
                      <w:kern w:val="2"/>
                      <w:sz w:val="21"/>
                      <w:szCs w:val="21"/>
                      <w:highlight w:val="none"/>
                      <w:u w:val="single" w:color="auto"/>
                      <w:lang w:val="en-US" w:eastAsia="zh-CN" w:bidi="ar"/>
                    </w:rPr>
                  </w:pPr>
                  <w:r>
                    <w:rPr>
                      <w:rFonts w:hint="default" w:ascii="Times New Roman" w:hAnsi="Times New Roman" w:cs="Times New Roman"/>
                      <w:color w:val="auto"/>
                      <w:kern w:val="2"/>
                      <w:sz w:val="21"/>
                      <w:szCs w:val="21"/>
                      <w:highlight w:val="none"/>
                      <w:u w:val="single" w:color="auto"/>
                      <w:lang w:val="en-US" w:eastAsia="zh-CN" w:bidi="ar"/>
                    </w:rPr>
                    <w:t>方位</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default" w:ascii="Times New Roman" w:hAnsi="Times New Roman" w:cs="Times New Roman"/>
                      <w:color w:val="auto"/>
                      <w:kern w:val="2"/>
                      <w:sz w:val="21"/>
                      <w:szCs w:val="21"/>
                      <w:highlight w:val="none"/>
                      <w:u w:val="single" w:color="auto"/>
                      <w:lang w:val="en-US" w:eastAsia="zh-CN" w:bidi="ar"/>
                    </w:rPr>
                    <w:t>距离</w:t>
                  </w:r>
                </w:p>
              </w:tc>
              <w:tc>
                <w:tcPr>
                  <w:tcW w:w="2233" w:type="dxa"/>
                  <w:tcBorders>
                    <w:tl2br w:val="nil"/>
                    <w:tr2bl w:val="nil"/>
                  </w:tcBorders>
                  <w:noWrap w:val="0"/>
                  <w:vAlign w:val="center"/>
                </w:tcPr>
                <w:p w14:paraId="4EB5303F">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sz w:val="21"/>
                      <w:szCs w:val="21"/>
                      <w:highlight w:val="none"/>
                      <w:u w:val="single" w:color="auto"/>
                    </w:rPr>
                  </w:pPr>
                  <w:r>
                    <w:rPr>
                      <w:rFonts w:hint="default" w:ascii="Times New Roman" w:hAnsi="Times New Roman" w:cs="Times New Roman"/>
                      <w:color w:val="auto"/>
                      <w:sz w:val="21"/>
                      <w:szCs w:val="21"/>
                      <w:highlight w:val="none"/>
                      <w:u w:val="single" w:color="auto"/>
                    </w:rPr>
                    <w:t>坐标</w:t>
                  </w:r>
                </w:p>
              </w:tc>
              <w:tc>
                <w:tcPr>
                  <w:tcW w:w="1208" w:type="dxa"/>
                  <w:vMerge w:val="continue"/>
                  <w:tcBorders>
                    <w:tl2br w:val="nil"/>
                    <w:tr2bl w:val="nil"/>
                  </w:tcBorders>
                  <w:noWrap w:val="0"/>
                  <w:vAlign w:val="center"/>
                </w:tcPr>
                <w:p w14:paraId="46707929">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c>
                <w:tcPr>
                  <w:tcW w:w="1733" w:type="dxa"/>
                  <w:vMerge w:val="continue"/>
                  <w:tcBorders>
                    <w:tl2br w:val="nil"/>
                    <w:tr2bl w:val="nil"/>
                  </w:tcBorders>
                  <w:noWrap w:val="0"/>
                  <w:vAlign w:val="center"/>
                </w:tcPr>
                <w:p w14:paraId="20502C6D">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lang w:val="en-US" w:eastAsia="zh-CN" w:bidi="ar"/>
                    </w:rPr>
                  </w:pPr>
                </w:p>
              </w:tc>
            </w:tr>
            <w:tr w14:paraId="6ED252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tcBorders>
                    <w:tl2br w:val="nil"/>
                    <w:tr2bl w:val="nil"/>
                  </w:tcBorders>
                  <w:noWrap w:val="0"/>
                  <w:vAlign w:val="center"/>
                </w:tcPr>
                <w:p w14:paraId="7C050A01">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大气</w:t>
                  </w:r>
                </w:p>
                <w:p w14:paraId="1903E419">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w:t>
                  </w:r>
                </w:p>
              </w:tc>
              <w:tc>
                <w:tcPr>
                  <w:tcW w:w="842" w:type="dxa"/>
                  <w:tcBorders>
                    <w:tl2br w:val="nil"/>
                    <w:tr2bl w:val="nil"/>
                  </w:tcBorders>
                  <w:noWrap w:val="0"/>
                  <w:vAlign w:val="center"/>
                </w:tcPr>
                <w:p w14:paraId="1C451B78">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cs="Times New Roman"/>
                      <w:color w:val="auto"/>
                      <w:kern w:val="2"/>
                      <w:sz w:val="21"/>
                      <w:szCs w:val="21"/>
                      <w:highlight w:val="none"/>
                      <w:u w:val="single" w:color="auto"/>
                      <w:lang w:val="en-US" w:eastAsia="zh-CN"/>
                    </w:rPr>
                    <w:t>三井村</w:t>
                  </w:r>
                </w:p>
              </w:tc>
              <w:tc>
                <w:tcPr>
                  <w:tcW w:w="1271" w:type="dxa"/>
                  <w:tcBorders>
                    <w:tl2br w:val="nil"/>
                    <w:tr2bl w:val="nil"/>
                  </w:tcBorders>
                  <w:noWrap w:val="0"/>
                  <w:vAlign w:val="center"/>
                </w:tcPr>
                <w:p w14:paraId="08271617">
                  <w:pPr>
                    <w:pStyle w:val="22"/>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西北</w:t>
                  </w:r>
                  <w:r>
                    <w:rPr>
                      <w:rFonts w:hint="eastAsia"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noWrap w:val="0"/>
                  <w:vAlign w:val="center"/>
                </w:tcPr>
                <w:p w14:paraId="59DE01D6">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经度：112°13'11.815"</w:t>
                  </w:r>
                </w:p>
                <w:p w14:paraId="11AF64AD">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纬度：25°47'29.709"</w:t>
                  </w:r>
                </w:p>
              </w:tc>
              <w:tc>
                <w:tcPr>
                  <w:tcW w:w="1208" w:type="dxa"/>
                  <w:tcBorders>
                    <w:tl2br w:val="nil"/>
                    <w:tr2bl w:val="nil"/>
                  </w:tcBorders>
                  <w:noWrap w:val="0"/>
                  <w:vAlign w:val="center"/>
                </w:tcPr>
                <w:p w14:paraId="2FBC55AE">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1500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tcBorders>
                    <w:tl2br w:val="nil"/>
                    <w:tr2bl w:val="nil"/>
                  </w:tcBorders>
                  <w:noWrap w:val="0"/>
                  <w:vAlign w:val="center"/>
                </w:tcPr>
                <w:p w14:paraId="137BC0AE">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cs="Times New Roman"/>
                      <w:color w:val="auto"/>
                      <w:kern w:val="2"/>
                      <w:sz w:val="21"/>
                      <w:szCs w:val="21"/>
                      <w:highlight w:val="none"/>
                      <w:u w:val="single" w:color="auto"/>
                    </w:rPr>
                  </w:pPr>
                  <w:r>
                    <w:rPr>
                      <w:rFonts w:hint="default" w:ascii="Times New Roman" w:hAnsi="Times New Roman" w:cs="Times New Roman"/>
                      <w:color w:val="auto"/>
                      <w:kern w:val="2"/>
                      <w:sz w:val="21"/>
                      <w:szCs w:val="21"/>
                      <w:highlight w:val="none"/>
                      <w:u w:val="single" w:color="auto"/>
                      <w:lang w:val="en-US" w:eastAsia="zh-CN" w:bidi="ar"/>
                    </w:rPr>
                    <w:t>《环境空气质量标准》（GB</w:t>
                  </w:r>
                  <w:r>
                    <w:rPr>
                      <w:rFonts w:hint="default" w:ascii="Times New Roman" w:hAnsi="Times New Roman" w:eastAsia="宋体" w:cs="Times New Roman"/>
                      <w:color w:val="auto"/>
                      <w:kern w:val="2"/>
                      <w:sz w:val="21"/>
                      <w:szCs w:val="21"/>
                      <w:highlight w:val="none"/>
                      <w:u w:val="single" w:color="auto"/>
                      <w:lang w:val="en-US" w:eastAsia="zh-CN" w:bidi="ar"/>
                    </w:rPr>
                    <w:t>3</w:t>
                  </w:r>
                  <w:r>
                    <w:rPr>
                      <w:rFonts w:hint="default" w:ascii="Times New Roman" w:hAnsi="Times New Roman" w:cs="Times New Roman"/>
                      <w:color w:val="auto"/>
                      <w:kern w:val="2"/>
                      <w:sz w:val="21"/>
                      <w:szCs w:val="21"/>
                      <w:highlight w:val="none"/>
                      <w:u w:val="single" w:color="auto"/>
                      <w:lang w:val="en-US" w:eastAsia="zh-CN" w:bidi="ar"/>
                    </w:rPr>
                    <w:t>095-2012</w:t>
                  </w:r>
                  <w:r>
                    <w:rPr>
                      <w:rFonts w:hint="default" w:ascii="Times New Roman" w:hAnsi="Times New Roman" w:eastAsia="宋体" w:cs="Times New Roman"/>
                      <w:color w:val="auto"/>
                      <w:kern w:val="2"/>
                      <w:sz w:val="21"/>
                      <w:szCs w:val="21"/>
                      <w:highlight w:val="none"/>
                      <w:u w:val="single" w:color="auto"/>
                      <w:lang w:val="en-US" w:eastAsia="zh-CN" w:bidi="ar"/>
                    </w:rPr>
                    <w:t>）及其2018年修改单中二级标准要求</w:t>
                  </w:r>
                </w:p>
              </w:tc>
            </w:tr>
            <w:tr w14:paraId="1FB80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34" w:type="dxa"/>
                  <w:tcBorders>
                    <w:tl2br w:val="nil"/>
                    <w:tr2bl w:val="nil"/>
                  </w:tcBorders>
                  <w:noWrap w:val="0"/>
                  <w:vAlign w:val="center"/>
                </w:tcPr>
                <w:p w14:paraId="6AD74EF7">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eastAsia" w:ascii="Times New Roman" w:hAnsi="Times New Roman" w:eastAsia="宋体" w:cs="Times New Roman"/>
                      <w:color w:val="auto"/>
                      <w:sz w:val="21"/>
                      <w:szCs w:val="21"/>
                      <w:u w:val="single" w:color="auto"/>
                      <w:lang w:eastAsia="zh-CN"/>
                    </w:rPr>
                  </w:pPr>
                  <w:r>
                    <w:rPr>
                      <w:rFonts w:hint="eastAsia" w:ascii="Times New Roman" w:hAnsi="Times New Roman" w:cs="Times New Roman"/>
                      <w:color w:val="auto"/>
                      <w:sz w:val="21"/>
                      <w:szCs w:val="21"/>
                      <w:u w:val="single" w:color="auto"/>
                      <w:lang w:eastAsia="zh-CN"/>
                    </w:rPr>
                    <w:t>声环境</w:t>
                  </w:r>
                </w:p>
              </w:tc>
              <w:tc>
                <w:tcPr>
                  <w:tcW w:w="842" w:type="dxa"/>
                  <w:tcBorders>
                    <w:tl2br w:val="nil"/>
                    <w:tr2bl w:val="nil"/>
                  </w:tcBorders>
                  <w:shd w:val="clear" w:color="auto" w:fill="auto"/>
                  <w:noWrap w:val="0"/>
                  <w:vAlign w:val="center"/>
                </w:tcPr>
                <w:p w14:paraId="24E02FDC">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Times New Roman" w:hAnsi="Times New Roman" w:eastAsia="宋体" w:cs="Times New Roman"/>
                      <w:color w:val="auto"/>
                      <w:kern w:val="2"/>
                      <w:sz w:val="21"/>
                      <w:szCs w:val="21"/>
                      <w:u w:val="single" w:color="auto"/>
                      <w:lang w:val="en-US" w:eastAsia="zh-CN" w:bidi="ar-SA"/>
                    </w:rPr>
                  </w:pPr>
                  <w:r>
                    <w:rPr>
                      <w:rFonts w:hint="eastAsia" w:ascii="Times New Roman" w:hAnsi="Times New Roman" w:cs="Times New Roman"/>
                      <w:color w:val="auto"/>
                      <w:kern w:val="2"/>
                      <w:sz w:val="21"/>
                      <w:szCs w:val="21"/>
                      <w:highlight w:val="none"/>
                      <w:u w:val="single" w:color="auto"/>
                      <w:lang w:val="en-US" w:eastAsia="zh-CN"/>
                    </w:rPr>
                    <w:t>三井村</w:t>
                  </w:r>
                </w:p>
              </w:tc>
              <w:tc>
                <w:tcPr>
                  <w:tcW w:w="1271" w:type="dxa"/>
                  <w:tcBorders>
                    <w:tl2br w:val="nil"/>
                    <w:tr2bl w:val="nil"/>
                  </w:tcBorders>
                  <w:shd w:val="clear" w:color="auto" w:fill="auto"/>
                  <w:noWrap w:val="0"/>
                  <w:vAlign w:val="center"/>
                </w:tcPr>
                <w:p w14:paraId="44FCF492">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u w:val="single" w:color="auto"/>
                      <w:lang w:val="en-US" w:eastAsia="zh-CN" w:bidi="ar"/>
                    </w:rPr>
                  </w:pPr>
                  <w:r>
                    <w:rPr>
                      <w:rFonts w:hint="eastAsia" w:ascii="Times New Roman" w:hAnsi="Times New Roman" w:cs="Times New Roman"/>
                      <w:color w:val="auto"/>
                      <w:kern w:val="2"/>
                      <w:sz w:val="21"/>
                      <w:szCs w:val="21"/>
                      <w:u w:val="single" w:color="auto"/>
                      <w:lang w:val="en-US" w:eastAsia="zh-CN" w:bidi="ar"/>
                    </w:rPr>
                    <w:t>西北</w:t>
                  </w:r>
                  <w:r>
                    <w:rPr>
                      <w:rFonts w:hint="eastAsia" w:ascii="Times New Roman" w:hAnsi="Times New Roman" w:eastAsia="宋体" w:cs="Times New Roman"/>
                      <w:color w:val="auto"/>
                      <w:kern w:val="2"/>
                      <w:sz w:val="21"/>
                      <w:szCs w:val="21"/>
                      <w:u w:val="single" w:color="auto"/>
                      <w:lang w:val="en-US" w:eastAsia="zh-CN" w:bidi="ar"/>
                    </w:rPr>
                    <w:t>、</w:t>
                  </w:r>
                  <w:r>
                    <w:rPr>
                      <w:rFonts w:hint="eastAsia" w:ascii="Times New Roman" w:hAnsi="Times New Roman" w:cs="Times New Roman"/>
                      <w:color w:val="auto"/>
                      <w:kern w:val="2"/>
                      <w:sz w:val="21"/>
                      <w:szCs w:val="21"/>
                      <w:u w:val="single" w:color="auto"/>
                      <w:lang w:val="en-US" w:eastAsia="zh-CN" w:bidi="ar"/>
                    </w:rPr>
                    <w:t>2</w:t>
                  </w:r>
                  <w:r>
                    <w:rPr>
                      <w:rFonts w:hint="default" w:ascii="Times New Roman" w:hAnsi="Times New Roman" w:eastAsia="宋体" w:cs="Times New Roman"/>
                      <w:color w:val="auto"/>
                      <w:kern w:val="2"/>
                      <w:sz w:val="21"/>
                      <w:szCs w:val="21"/>
                      <w:highlight w:val="none"/>
                      <w:u w:val="single" w:color="auto"/>
                      <w:lang w:val="en-US" w:eastAsia="zh-CN" w:bidi="ar"/>
                    </w:rPr>
                    <w:t>～</w:t>
                  </w:r>
                  <w:r>
                    <w:rPr>
                      <w:rFonts w:hint="eastAsia" w:ascii="Times New Roman" w:hAnsi="Times New Roman" w:cs="Times New Roman"/>
                      <w:color w:val="auto"/>
                      <w:kern w:val="2"/>
                      <w:sz w:val="21"/>
                      <w:szCs w:val="21"/>
                      <w:highlight w:val="none"/>
                      <w:u w:val="single" w:color="auto"/>
                      <w:lang w:val="en-US" w:eastAsia="zh-CN" w:bidi="ar"/>
                    </w:rPr>
                    <w:t>50</w:t>
                  </w:r>
                  <w:r>
                    <w:rPr>
                      <w:rFonts w:hint="eastAsia" w:ascii="Times New Roman" w:hAnsi="Times New Roman" w:eastAsia="宋体" w:cs="Times New Roman"/>
                      <w:color w:val="auto"/>
                      <w:kern w:val="2"/>
                      <w:sz w:val="21"/>
                      <w:szCs w:val="21"/>
                      <w:highlight w:val="none"/>
                      <w:u w:val="single" w:color="auto"/>
                      <w:lang w:val="en-US" w:eastAsia="zh-CN" w:bidi="ar"/>
                    </w:rPr>
                    <w:t>m</w:t>
                  </w:r>
                </w:p>
              </w:tc>
              <w:tc>
                <w:tcPr>
                  <w:tcW w:w="2233" w:type="dxa"/>
                  <w:tcBorders>
                    <w:tl2br w:val="nil"/>
                    <w:tr2bl w:val="nil"/>
                  </w:tcBorders>
                  <w:shd w:val="clear" w:color="auto" w:fill="auto"/>
                  <w:noWrap w:val="0"/>
                  <w:vAlign w:val="center"/>
                </w:tcPr>
                <w:p w14:paraId="4E674B9B">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right="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经度：112°13'11.815"</w:t>
                  </w:r>
                </w:p>
                <w:p w14:paraId="7A7B773A">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
                    </w:rPr>
                  </w:pPr>
                  <w:r>
                    <w:rPr>
                      <w:rFonts w:hint="default" w:ascii="Times New Roman" w:hAnsi="Times New Roman" w:eastAsia="宋体" w:cs="Times New Roman"/>
                      <w:color w:val="auto"/>
                      <w:kern w:val="2"/>
                      <w:sz w:val="21"/>
                      <w:szCs w:val="21"/>
                      <w:highlight w:val="none"/>
                      <w:u w:val="single" w:color="auto"/>
                      <w:lang w:val="en-US" w:eastAsia="zh-CN" w:bidi="ar"/>
                    </w:rPr>
                    <w:t>纬度：25°47'29.709"</w:t>
                  </w:r>
                </w:p>
              </w:tc>
              <w:tc>
                <w:tcPr>
                  <w:tcW w:w="1208" w:type="dxa"/>
                  <w:tcBorders>
                    <w:tl2br w:val="nil"/>
                    <w:tr2bl w:val="nil"/>
                  </w:tcBorders>
                  <w:shd w:val="clear" w:color="auto" w:fill="auto"/>
                  <w:noWrap w:val="0"/>
                  <w:vAlign w:val="center"/>
                </w:tcPr>
                <w:p w14:paraId="7A1E95D8">
                  <w:pPr>
                    <w:pStyle w:val="22"/>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eastAsia="宋体" w:cs="Times New Roman"/>
                      <w:color w:val="auto"/>
                      <w:kern w:val="2"/>
                      <w:sz w:val="21"/>
                      <w:szCs w:val="21"/>
                      <w:highlight w:val="none"/>
                      <w:u w:val="single" w:color="auto"/>
                      <w:lang w:val="en-US" w:eastAsia="zh-CN"/>
                    </w:rPr>
                    <w:t>居住，约</w:t>
                  </w:r>
                  <w:r>
                    <w:rPr>
                      <w:rFonts w:hint="eastAsia" w:ascii="Times New Roman" w:hAnsi="Times New Roman" w:cs="Times New Roman"/>
                      <w:color w:val="auto"/>
                      <w:kern w:val="2"/>
                      <w:sz w:val="21"/>
                      <w:szCs w:val="21"/>
                      <w:highlight w:val="none"/>
                      <w:u w:val="single" w:color="auto"/>
                      <w:lang w:val="en-US" w:eastAsia="zh-CN"/>
                    </w:rPr>
                    <w:t>80</w:t>
                  </w:r>
                  <w:r>
                    <w:rPr>
                      <w:rFonts w:hint="eastAsia" w:ascii="Times New Roman" w:hAnsi="Times New Roman" w:eastAsia="宋体" w:cs="Times New Roman"/>
                      <w:color w:val="auto"/>
                      <w:kern w:val="2"/>
                      <w:sz w:val="21"/>
                      <w:szCs w:val="21"/>
                      <w:highlight w:val="none"/>
                      <w:u w:val="single" w:color="auto"/>
                      <w:lang w:val="en-US" w:eastAsia="zh-CN"/>
                    </w:rPr>
                    <w:t>人</w:t>
                  </w:r>
                </w:p>
              </w:tc>
              <w:tc>
                <w:tcPr>
                  <w:tcW w:w="1733" w:type="dxa"/>
                  <w:tcBorders>
                    <w:tl2br w:val="nil"/>
                    <w:tr2bl w:val="nil"/>
                  </w:tcBorders>
                  <w:noWrap w:val="0"/>
                  <w:vAlign w:val="center"/>
                </w:tcPr>
                <w:p w14:paraId="5D7B3D8A">
                  <w:pPr>
                    <w:keepNext w:val="0"/>
                    <w:keepLines w:val="0"/>
                    <w:pageBreakBefore w:val="0"/>
                    <w:widowControl/>
                    <w:kinsoku/>
                    <w:wordWrap/>
                    <w:overflowPunct/>
                    <w:topLinePunct w:val="0"/>
                    <w:autoSpaceDN/>
                    <w:bidi w:val="0"/>
                    <w:adjustRightInd/>
                    <w:snapToGrid/>
                    <w:spacing w:beforeLines="0" w:afterLines="0" w:line="240" w:lineRule="auto"/>
                    <w:jc w:val="center"/>
                    <w:textAlignment w:val="auto"/>
                    <w:outlineLvl w:val="9"/>
                    <w:rPr>
                      <w:rFonts w:hint="default" w:ascii="Times New Roman" w:hAnsi="Times New Roman" w:cs="Times New Roman"/>
                      <w:color w:val="auto"/>
                      <w:sz w:val="21"/>
                      <w:szCs w:val="21"/>
                      <w:u w:val="single" w:color="auto"/>
                    </w:rPr>
                  </w:pPr>
                  <w:r>
                    <w:rPr>
                      <w:rFonts w:hint="default" w:ascii="Times New Roman" w:hAnsi="Times New Roman" w:cs="Times New Roman"/>
                      <w:color w:val="auto"/>
                      <w:sz w:val="21"/>
                      <w:szCs w:val="21"/>
                      <w:u w:val="single" w:color="auto"/>
                    </w:rPr>
                    <w:t>《声环境质量标准》（GB3096-2008）中2类标准</w:t>
                  </w:r>
                </w:p>
              </w:tc>
            </w:tr>
          </w:tbl>
          <w:p w14:paraId="587EBC56">
            <w:pPr>
              <w:bidi w:val="0"/>
              <w:rPr>
                <w:rFonts w:hint="eastAsia"/>
                <w:lang w:val="en-US" w:eastAsia="zh-CN"/>
              </w:rPr>
            </w:pPr>
          </w:p>
        </w:tc>
      </w:tr>
      <w:tr w14:paraId="0B82E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6E2B9769">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污染</w:t>
            </w:r>
          </w:p>
          <w:p w14:paraId="5D1D3007">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物排</w:t>
            </w:r>
          </w:p>
          <w:p w14:paraId="628C60A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放控</w:t>
            </w:r>
          </w:p>
          <w:p w14:paraId="7E4891F4">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制标</w:t>
            </w:r>
          </w:p>
          <w:p w14:paraId="4B85826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hint="default" w:ascii="Times New Roman" w:hAnsi="Times New Roman" w:eastAsia="宋体" w:cs="Times New Roman"/>
                <w:color w:val="auto"/>
                <w:spacing w:val="0"/>
                <w:kern w:val="0"/>
                <w:sz w:val="24"/>
                <w:szCs w:val="24"/>
              </w:rPr>
              <w:t>准</w:t>
            </w:r>
          </w:p>
        </w:tc>
        <w:tc>
          <w:tcPr>
            <w:tcW w:w="7658" w:type="dxa"/>
            <w:vAlign w:val="center"/>
          </w:tcPr>
          <w:p w14:paraId="7C7D511A">
            <w:pPr>
              <w:adjustRightInd w:val="0"/>
              <w:snapToGrid w:val="0"/>
              <w:spacing w:line="360" w:lineRule="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single" w:color="auto"/>
                <w14:textFill>
                  <w14:solidFill>
                    <w14:schemeClr w14:val="tx1"/>
                  </w14:solidFill>
                </w14:textFill>
              </w:rPr>
              <w:t>1、废水</w:t>
            </w:r>
          </w:p>
          <w:p w14:paraId="6173AA4F">
            <w:pPr>
              <w:spacing w:line="360" w:lineRule="auto"/>
              <w:ind w:firstLine="480" w:firstLineChars="200"/>
              <w:rPr>
                <w:rFonts w:hint="default" w:ascii="Times New Roman" w:hAnsi="Times New Roman" w:eastAsia="宋体" w:cs="Times New Roman"/>
                <w:color w:val="000000" w:themeColor="text1"/>
                <w:sz w:val="24"/>
                <w:szCs w:val="24"/>
                <w:u w:val="single" w:color="auto"/>
                <w14:textFill>
                  <w14:solidFill>
                    <w14:schemeClr w14:val="tx1"/>
                  </w14:solidFill>
                </w14:textFill>
              </w:rPr>
            </w:pPr>
            <w:r>
              <w:rPr>
                <w:rFonts w:hint="eastAsia" w:cs="Times New Roman"/>
                <w:color w:val="000000" w:themeColor="text1"/>
                <w:sz w:val="24"/>
                <w:szCs w:val="24"/>
                <w:u w:val="single" w:color="auto"/>
                <w:lang w:eastAsia="zh-CN"/>
                <w14:textFill>
                  <w14:solidFill>
                    <w14:schemeClr w14:val="tx1"/>
                  </w14:solidFill>
                </w14:textFill>
              </w:rPr>
              <w:t>执行</w:t>
            </w:r>
            <w:r>
              <w:rPr>
                <w:rFonts w:hint="default" w:ascii="Times New Roman" w:hAnsi="Times New Roman" w:eastAsia="宋体" w:cs="Times New Roman"/>
                <w:color w:val="000000" w:themeColor="text1"/>
                <w:sz w:val="24"/>
                <w:szCs w:val="24"/>
                <w:u w:val="single" w:color="auto"/>
                <w14:textFill>
                  <w14:solidFill>
                    <w14:schemeClr w14:val="tx1"/>
                  </w14:solidFill>
                </w14:textFill>
              </w:rPr>
              <w:t>《医疗机构水污染物排放标准》（GB18466-2005）表2</w:t>
            </w:r>
            <w:r>
              <w:rPr>
                <w:rFonts w:hint="eastAsia" w:cs="Times New Roman"/>
                <w:color w:val="000000" w:themeColor="text1"/>
                <w:sz w:val="24"/>
                <w:szCs w:val="24"/>
                <w:u w:val="single" w:color="auto"/>
                <w:lang w:eastAsia="zh-CN"/>
                <w14:textFill>
                  <w14:solidFill>
                    <w14:schemeClr w14:val="tx1"/>
                  </w14:solidFill>
                </w14:textFill>
              </w:rPr>
              <w:t>综合医疗机构和其他医疗机构水污染物排放限值</w:t>
            </w:r>
            <w:r>
              <w:rPr>
                <w:rFonts w:hint="default" w:ascii="Times New Roman" w:hAnsi="Times New Roman" w:eastAsia="宋体" w:cs="Times New Roman"/>
                <w:color w:val="000000" w:themeColor="text1"/>
                <w:sz w:val="24"/>
                <w:szCs w:val="24"/>
                <w:u w:val="single" w:color="auto"/>
                <w14:textFill>
                  <w14:solidFill>
                    <w14:schemeClr w14:val="tx1"/>
                  </w14:solidFill>
                </w14:textFill>
              </w:rPr>
              <w:t>的预处理标准</w:t>
            </w:r>
            <w:r>
              <w:rPr>
                <w:rFonts w:hint="eastAsia" w:cs="Times New Roman"/>
                <w:bCs/>
                <w:color w:val="auto"/>
                <w:sz w:val="24"/>
                <w:u w:val="single" w:color="auto"/>
                <w:lang w:val="en-US" w:eastAsia="zh-CN"/>
              </w:rPr>
              <w:t>，</w:t>
            </w:r>
            <w:r>
              <w:rPr>
                <w:rFonts w:hint="default" w:ascii="Times New Roman" w:hAnsi="Times New Roman" w:eastAsia="宋体" w:cs="Times New Roman"/>
                <w:color w:val="auto"/>
                <w:sz w:val="24"/>
                <w:szCs w:val="24"/>
                <w:u w:val="single" w:color="auto"/>
              </w:rPr>
              <w:t>具体</w:t>
            </w:r>
            <w:r>
              <w:rPr>
                <w:rFonts w:hint="default" w:ascii="Times New Roman" w:hAnsi="Times New Roman" w:eastAsia="宋体" w:cs="Times New Roman"/>
                <w:color w:val="000000" w:themeColor="text1"/>
                <w:sz w:val="24"/>
                <w:szCs w:val="24"/>
                <w:u w:val="single" w:color="auto"/>
                <w14:textFill>
                  <w14:solidFill>
                    <w14:schemeClr w14:val="tx1"/>
                  </w14:solidFill>
                </w14:textFill>
              </w:rPr>
              <w:t>如下所示。</w:t>
            </w:r>
          </w:p>
          <w:p w14:paraId="6CFD6B26">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eastAsia" w:cs="Times New Roman"/>
                <w:b/>
                <w:bCs/>
                <w:color w:val="auto"/>
                <w:sz w:val="21"/>
                <w:szCs w:val="21"/>
                <w:u w:val="single" w:color="auto"/>
                <w:lang w:val="zh-CN"/>
              </w:rPr>
            </w:pPr>
            <w:r>
              <w:rPr>
                <w:rFonts w:hint="default" w:ascii="Times New Roman" w:hAnsi="Times New Roman" w:eastAsia="宋体" w:cs="Times New Roman"/>
                <w:b/>
                <w:bCs/>
                <w:color w:val="auto"/>
                <w:sz w:val="21"/>
                <w:szCs w:val="21"/>
                <w:u w:val="single" w:color="auto"/>
                <w:lang w:val="zh-CN"/>
              </w:rPr>
              <w:t>表3-</w:t>
            </w:r>
            <w:r>
              <w:rPr>
                <w:rFonts w:hint="eastAsia" w:cs="Times New Roman"/>
                <w:b/>
                <w:bCs/>
                <w:color w:val="auto"/>
                <w:sz w:val="21"/>
                <w:szCs w:val="21"/>
                <w:u w:val="single" w:color="auto"/>
                <w:lang w:val="en-US" w:eastAsia="zh-CN"/>
              </w:rPr>
              <w:t>5</w:t>
            </w:r>
            <w:r>
              <w:rPr>
                <w:rFonts w:hint="default" w:ascii="Times New Roman" w:hAnsi="Times New Roman" w:eastAsia="宋体" w:cs="Times New Roman"/>
                <w:b/>
                <w:bCs/>
                <w:color w:val="auto"/>
                <w:sz w:val="21"/>
                <w:szCs w:val="21"/>
                <w:u w:val="single" w:color="auto"/>
                <w:lang w:val="en-US" w:eastAsia="zh-CN"/>
              </w:rPr>
              <w:t xml:space="preserve">   </w:t>
            </w:r>
            <w:r>
              <w:rPr>
                <w:rFonts w:hint="eastAsia" w:cs="Times New Roman"/>
                <w:b/>
                <w:bCs/>
                <w:color w:val="auto"/>
                <w:sz w:val="21"/>
                <w:szCs w:val="21"/>
                <w:u w:val="single" w:color="auto"/>
                <w:lang w:val="zh-CN"/>
              </w:rPr>
              <w:t>废水排放标准</w:t>
            </w:r>
          </w:p>
          <w:p w14:paraId="78F42546">
            <w:pPr>
              <w:keepNext w:val="0"/>
              <w:keepLines w:val="0"/>
              <w:pageBreakBefore w:val="0"/>
              <w:widowControl/>
              <w:kinsoku/>
              <w:wordWrap/>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u w:val="single" w:color="auto"/>
                <w:lang w:val="zh-CN"/>
              </w:rPr>
            </w:pPr>
            <w:r>
              <w:rPr>
                <w:rFonts w:hint="eastAsia" w:cs="Times New Roman"/>
                <w:b/>
                <w:bCs/>
                <w:color w:val="auto"/>
                <w:sz w:val="21"/>
                <w:szCs w:val="21"/>
                <w:u w:val="single" w:color="auto"/>
                <w:lang w:val="zh-CN"/>
              </w:rPr>
              <w:t>（</w:t>
            </w:r>
            <w:r>
              <w:rPr>
                <w:rFonts w:hint="default" w:ascii="Times New Roman" w:hAnsi="Times New Roman" w:eastAsia="宋体" w:cs="Times New Roman"/>
                <w:b/>
                <w:bCs/>
                <w:color w:val="auto"/>
                <w:sz w:val="21"/>
                <w:szCs w:val="21"/>
                <w:u w:val="single" w:color="auto"/>
                <w:lang w:val="zh-CN"/>
              </w:rPr>
              <w:t>单位：pH无量纲，粪大肠菌群为MPN/L，其他为mg/L</w:t>
            </w:r>
            <w:r>
              <w:rPr>
                <w:rFonts w:hint="eastAsia" w:cs="Times New Roman"/>
                <w:b/>
                <w:bCs/>
                <w:color w:val="auto"/>
                <w:sz w:val="21"/>
                <w:szCs w:val="21"/>
                <w:u w:val="single" w:color="auto"/>
                <w:lang w:val="zh-CN"/>
              </w:rPr>
              <w:t>）</w:t>
            </w:r>
          </w:p>
          <w:tbl>
            <w:tblPr>
              <w:tblStyle w:val="2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4084"/>
              <w:gridCol w:w="2610"/>
            </w:tblGrid>
            <w:tr w14:paraId="25B20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26AD1C8">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序号</w:t>
                  </w:r>
                </w:p>
              </w:tc>
              <w:tc>
                <w:tcPr>
                  <w:tcW w:w="2612" w:type="pct"/>
                  <w:vAlign w:val="center"/>
                </w:tcPr>
                <w:p w14:paraId="7D57E7BD">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控制项目</w:t>
                  </w:r>
                </w:p>
              </w:tc>
              <w:tc>
                <w:tcPr>
                  <w:tcW w:w="1669" w:type="pct"/>
                  <w:vAlign w:val="center"/>
                </w:tcPr>
                <w:p w14:paraId="32BFDAD4">
                  <w:pPr>
                    <w:adjustRightInd w:val="0"/>
                    <w:snapToGrid w:val="0"/>
                    <w:spacing w:line="240" w:lineRule="auto"/>
                    <w:ind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标准值</w:t>
                  </w:r>
                </w:p>
              </w:tc>
            </w:tr>
            <w:tr w14:paraId="55050D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5066653C">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1</w:t>
                  </w:r>
                </w:p>
              </w:tc>
              <w:tc>
                <w:tcPr>
                  <w:tcW w:w="2612" w:type="pct"/>
                  <w:vAlign w:val="center"/>
                </w:tcPr>
                <w:p w14:paraId="7E8470FD">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pH</w:t>
                  </w:r>
                </w:p>
              </w:tc>
              <w:tc>
                <w:tcPr>
                  <w:tcW w:w="1669" w:type="pct"/>
                  <w:vAlign w:val="center"/>
                </w:tcPr>
                <w:p w14:paraId="56C5034B">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w:t>
                  </w:r>
                  <w:r>
                    <w:rPr>
                      <w:rFonts w:hint="default" w:ascii="Times New Roman" w:hAnsi="Times New Roman" w:cs="Times New Roman"/>
                      <w:color w:val="000000" w:themeColor="text1"/>
                      <w:sz w:val="21"/>
                      <w:szCs w:val="21"/>
                      <w:u w:val="single" w:color="auto"/>
                      <w14:textFill>
                        <w14:solidFill>
                          <w14:schemeClr w14:val="tx1"/>
                        </w14:solidFill>
                      </w14:textFill>
                    </w:rPr>
                    <w:t>~9</w:t>
                  </w:r>
                </w:p>
              </w:tc>
            </w:tr>
            <w:tr w14:paraId="7948D9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1D5DCCC5">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bookmarkStart w:id="15" w:name="_Toc1998"/>
                  <w:bookmarkStart w:id="16" w:name="_Toc7988"/>
                  <w:r>
                    <w:rPr>
                      <w:rFonts w:hint="default" w:ascii="Times New Roman" w:hAnsi="Times New Roman" w:cs="Times New Roman"/>
                      <w:color w:val="000000" w:themeColor="text1"/>
                      <w:sz w:val="21"/>
                      <w:szCs w:val="21"/>
                      <w:u w:val="single" w:color="auto"/>
                      <w14:textFill>
                        <w14:solidFill>
                          <w14:schemeClr w14:val="tx1"/>
                        </w14:solidFill>
                      </w14:textFill>
                    </w:rPr>
                    <w:t>2</w:t>
                  </w:r>
                </w:p>
              </w:tc>
              <w:tc>
                <w:tcPr>
                  <w:tcW w:w="2612" w:type="pct"/>
                  <w:vAlign w:val="center"/>
                </w:tcPr>
                <w:p w14:paraId="547BFBE6">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COD</w:t>
                  </w:r>
                </w:p>
              </w:tc>
              <w:tc>
                <w:tcPr>
                  <w:tcW w:w="1669" w:type="pct"/>
                  <w:vAlign w:val="center"/>
                </w:tcPr>
                <w:p w14:paraId="38AC2AC1">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250</w:t>
                  </w:r>
                </w:p>
              </w:tc>
            </w:tr>
            <w:tr w14:paraId="2FDE2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46F32A30">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3</w:t>
                  </w:r>
                </w:p>
              </w:tc>
              <w:tc>
                <w:tcPr>
                  <w:tcW w:w="2612" w:type="pct"/>
                  <w:vAlign w:val="center"/>
                </w:tcPr>
                <w:p w14:paraId="3668636F">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vertAlign w:val="subscript"/>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t>BOD</w:t>
                  </w:r>
                  <w:r>
                    <w:rPr>
                      <w:rFonts w:hint="default" w:ascii="Times New Roman" w:hAnsi="Times New Roman" w:cs="Times New Roman"/>
                      <w:color w:val="000000" w:themeColor="text1"/>
                      <w:kern w:val="0"/>
                      <w:sz w:val="21"/>
                      <w:szCs w:val="21"/>
                      <w:u w:val="single" w:color="auto"/>
                      <w:vertAlign w:val="subscript"/>
                      <w:lang w:val="zh-CN"/>
                      <w14:textFill>
                        <w14:solidFill>
                          <w14:schemeClr w14:val="tx1"/>
                        </w14:solidFill>
                      </w14:textFill>
                    </w:rPr>
                    <w:t>5</w:t>
                  </w:r>
                </w:p>
              </w:tc>
              <w:tc>
                <w:tcPr>
                  <w:tcW w:w="1669" w:type="pct"/>
                  <w:vAlign w:val="center"/>
                </w:tcPr>
                <w:p w14:paraId="72B11000">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100</w:t>
                  </w:r>
                </w:p>
              </w:tc>
            </w:tr>
            <w:tr w14:paraId="7FA2C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1CFFF362">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4</w:t>
                  </w:r>
                </w:p>
              </w:tc>
              <w:tc>
                <w:tcPr>
                  <w:tcW w:w="2612" w:type="pct"/>
                  <w:vAlign w:val="center"/>
                </w:tcPr>
                <w:p w14:paraId="0C545DBA">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t>SS</w:t>
                  </w:r>
                </w:p>
              </w:tc>
              <w:tc>
                <w:tcPr>
                  <w:tcW w:w="1669" w:type="pct"/>
                  <w:vAlign w:val="center"/>
                </w:tcPr>
                <w:p w14:paraId="22D70445">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60</w:t>
                  </w:r>
                </w:p>
              </w:tc>
            </w:tr>
            <w:tr w14:paraId="37CBEB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D5B0D43">
                  <w:pPr>
                    <w:adjustRightInd w:val="0"/>
                    <w:snapToGrid w:val="0"/>
                    <w:spacing w:line="240" w:lineRule="auto"/>
                    <w:ind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w:t>
                  </w:r>
                </w:p>
              </w:tc>
              <w:tc>
                <w:tcPr>
                  <w:tcW w:w="2612" w:type="pct"/>
                  <w:vAlign w:val="center"/>
                </w:tcPr>
                <w:p w14:paraId="28A305C4">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t>粪大肠菌群</w:t>
                  </w:r>
                </w:p>
              </w:tc>
              <w:tc>
                <w:tcPr>
                  <w:tcW w:w="1669" w:type="pct"/>
                  <w:vAlign w:val="center"/>
                </w:tcPr>
                <w:p w14:paraId="2AB7F7C0">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5000</w:t>
                  </w:r>
                </w:p>
              </w:tc>
            </w:tr>
            <w:tr w14:paraId="1D179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E3320C9">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7</w:t>
                  </w:r>
                </w:p>
              </w:tc>
              <w:tc>
                <w:tcPr>
                  <w:tcW w:w="2612" w:type="pct"/>
                  <w:vAlign w:val="center"/>
                </w:tcPr>
                <w:p w14:paraId="2711D1EB">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pPr>
                  <w:r>
                    <w:rPr>
                      <w:rFonts w:hint="eastAsia" w:cs="Times New Roman"/>
                      <w:color w:val="000000" w:themeColor="text1"/>
                      <w:kern w:val="0"/>
                      <w:sz w:val="21"/>
                      <w:szCs w:val="21"/>
                      <w:u w:val="single" w:color="auto"/>
                      <w:lang w:val="zh-CN"/>
                      <w14:textFill>
                        <w14:solidFill>
                          <w14:schemeClr w14:val="tx1"/>
                        </w14:solidFill>
                      </w14:textFill>
                    </w:rPr>
                    <w:t>氨氮</w:t>
                  </w:r>
                </w:p>
              </w:tc>
              <w:tc>
                <w:tcPr>
                  <w:tcW w:w="1669" w:type="pct"/>
                  <w:vAlign w:val="center"/>
                </w:tcPr>
                <w:p w14:paraId="2AD42943">
                  <w:pPr>
                    <w:adjustRightInd w:val="0"/>
                    <w:snapToGrid w:val="0"/>
                    <w:spacing w:line="240" w:lineRule="auto"/>
                    <w:ind w:firstLine="0" w:firstLineChars="0"/>
                    <w:jc w:val="center"/>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45</w:t>
                  </w:r>
                </w:p>
              </w:tc>
            </w:tr>
            <w:tr w14:paraId="0576A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15229C1A">
                  <w:pPr>
                    <w:adjustRightInd w:val="0"/>
                    <w:snapToGrid w:val="0"/>
                    <w:spacing w:line="240" w:lineRule="auto"/>
                    <w:ind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8</w:t>
                  </w:r>
                </w:p>
              </w:tc>
              <w:tc>
                <w:tcPr>
                  <w:tcW w:w="2612" w:type="pct"/>
                  <w:vAlign w:val="center"/>
                </w:tcPr>
                <w:p w14:paraId="3AA347E9">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lang w:val="zh-CN"/>
                      <w14:textFill>
                        <w14:solidFill>
                          <w14:schemeClr w14:val="tx1"/>
                        </w14:solidFill>
                      </w14:textFill>
                    </w:rPr>
                  </w:pPr>
                  <w:r>
                    <w:rPr>
                      <w:rFonts w:hint="eastAsia" w:ascii="Times New Roman" w:hAnsi="Times New Roman" w:cs="Times New Roman"/>
                      <w:color w:val="auto"/>
                      <w:kern w:val="2"/>
                      <w:sz w:val="21"/>
                      <w:szCs w:val="21"/>
                      <w:u w:val="single" w:color="auto"/>
                      <w:lang w:val="en-US" w:eastAsia="zh-CN"/>
                    </w:rPr>
                    <w:t>阴离子表面活性剂</w:t>
                  </w:r>
                </w:p>
              </w:tc>
              <w:tc>
                <w:tcPr>
                  <w:tcW w:w="1669" w:type="pct"/>
                  <w:vAlign w:val="center"/>
                </w:tcPr>
                <w:p w14:paraId="32157D18">
                  <w:pPr>
                    <w:adjustRightInd w:val="0"/>
                    <w:snapToGrid w:val="0"/>
                    <w:spacing w:line="240" w:lineRule="auto"/>
                    <w:ind w:firstLine="0" w:firstLineChars="0"/>
                    <w:jc w:val="center"/>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auto"/>
                      <w:szCs w:val="21"/>
                      <w:u w:val="single" w:color="auto"/>
                      <w:lang w:val="en-US" w:eastAsia="zh-CN"/>
                    </w:rPr>
                    <w:t>10</w:t>
                  </w:r>
                </w:p>
              </w:tc>
            </w:tr>
            <w:tr w14:paraId="232A8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EC723D0">
                  <w:pPr>
                    <w:adjustRightInd w:val="0"/>
                    <w:snapToGrid w:val="0"/>
                    <w:spacing w:line="240" w:lineRule="auto"/>
                    <w:ind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9</w:t>
                  </w:r>
                </w:p>
              </w:tc>
              <w:tc>
                <w:tcPr>
                  <w:tcW w:w="2612" w:type="pct"/>
                  <w:vAlign w:val="center"/>
                </w:tcPr>
                <w:p w14:paraId="598A7C33">
                  <w:pPr>
                    <w:adjustRightInd w:val="0"/>
                    <w:snapToGrid w:val="0"/>
                    <w:spacing w:line="240" w:lineRule="auto"/>
                    <w:ind w:firstLine="0" w:firstLineChars="0"/>
                    <w:jc w:val="center"/>
                    <w:rPr>
                      <w:rFonts w:hint="eastAsia" w:ascii="Times New Roman" w:hAnsi="Times New Roman" w:cs="Times New Roman"/>
                      <w:color w:val="auto"/>
                      <w:kern w:val="2"/>
                      <w:sz w:val="21"/>
                      <w:szCs w:val="21"/>
                      <w:u w:val="single" w:color="auto"/>
                      <w:lang w:val="en-US" w:eastAsia="zh-CN"/>
                    </w:rPr>
                  </w:pPr>
                  <w:r>
                    <w:rPr>
                      <w:rFonts w:hint="eastAsia" w:ascii="Times New Roman" w:hAnsi="Times New Roman" w:cs="Times New Roman"/>
                      <w:color w:val="auto"/>
                      <w:kern w:val="2"/>
                      <w:sz w:val="21"/>
                      <w:szCs w:val="21"/>
                      <w:u w:val="single" w:color="auto"/>
                      <w:lang w:val="en-US" w:eastAsia="zh-CN"/>
                    </w:rPr>
                    <w:t>动植物油</w:t>
                  </w:r>
                </w:p>
              </w:tc>
              <w:tc>
                <w:tcPr>
                  <w:tcW w:w="1669" w:type="pct"/>
                  <w:vAlign w:val="center"/>
                </w:tcPr>
                <w:p w14:paraId="21C25CF2">
                  <w:pPr>
                    <w:adjustRightInd w:val="0"/>
                    <w:snapToGrid w:val="0"/>
                    <w:spacing w:line="240" w:lineRule="auto"/>
                    <w:ind w:firstLine="0" w:firstLineChars="0"/>
                    <w:jc w:val="center"/>
                    <w:rPr>
                      <w:rFonts w:hint="eastAsia" w:cs="Times New Roman"/>
                      <w:color w:val="auto"/>
                      <w:szCs w:val="21"/>
                      <w:u w:val="single" w:color="auto"/>
                      <w:lang w:val="en-US" w:eastAsia="zh-CN"/>
                    </w:rPr>
                  </w:pPr>
                  <w:r>
                    <w:rPr>
                      <w:rFonts w:hint="eastAsia" w:cs="Times New Roman"/>
                      <w:color w:val="auto"/>
                      <w:szCs w:val="21"/>
                      <w:u w:val="single" w:color="auto"/>
                      <w:lang w:val="en-US" w:eastAsia="zh-CN"/>
                    </w:rPr>
                    <w:t>20</w:t>
                  </w:r>
                </w:p>
              </w:tc>
            </w:tr>
            <w:tr w14:paraId="3AC508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pct"/>
                  <w:vAlign w:val="center"/>
                </w:tcPr>
                <w:p w14:paraId="78EF6135">
                  <w:pPr>
                    <w:adjustRightInd w:val="0"/>
                    <w:snapToGrid w:val="0"/>
                    <w:spacing w:line="240" w:lineRule="auto"/>
                    <w:ind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10</w:t>
                  </w:r>
                </w:p>
              </w:tc>
              <w:tc>
                <w:tcPr>
                  <w:tcW w:w="2612" w:type="pct"/>
                  <w:vAlign w:val="center"/>
                </w:tcPr>
                <w:p w14:paraId="44FE3521">
                  <w:pPr>
                    <w:adjustRightInd w:val="0"/>
                    <w:snapToGrid w:val="0"/>
                    <w:spacing w:line="240" w:lineRule="auto"/>
                    <w:ind w:firstLine="0" w:firstLineChars="0"/>
                    <w:jc w:val="center"/>
                    <w:rPr>
                      <w:rFonts w:hint="default" w:ascii="Times New Roman" w:hAnsi="Times New Roman" w:cs="Times New Roman"/>
                      <w:color w:val="auto"/>
                      <w:kern w:val="2"/>
                      <w:sz w:val="21"/>
                      <w:szCs w:val="21"/>
                      <w:u w:val="single" w:color="auto"/>
                      <w:lang w:val="en-US" w:eastAsia="zh-CN"/>
                    </w:rPr>
                  </w:pPr>
                  <w:r>
                    <w:rPr>
                      <w:rFonts w:hint="eastAsia" w:cs="Times New Roman"/>
                      <w:color w:val="auto"/>
                      <w:kern w:val="2"/>
                      <w:sz w:val="21"/>
                      <w:szCs w:val="21"/>
                      <w:u w:val="single" w:color="auto"/>
                      <w:lang w:val="en-US" w:eastAsia="zh-CN"/>
                    </w:rPr>
                    <w:t>石油类</w:t>
                  </w:r>
                </w:p>
              </w:tc>
              <w:tc>
                <w:tcPr>
                  <w:tcW w:w="1669" w:type="pct"/>
                  <w:vAlign w:val="center"/>
                </w:tcPr>
                <w:p w14:paraId="39830C29">
                  <w:pPr>
                    <w:adjustRightInd w:val="0"/>
                    <w:snapToGrid w:val="0"/>
                    <w:spacing w:line="240" w:lineRule="auto"/>
                    <w:ind w:firstLine="0" w:firstLineChars="0"/>
                    <w:jc w:val="center"/>
                    <w:rPr>
                      <w:rFonts w:hint="default" w:cs="Times New Roman"/>
                      <w:color w:val="auto"/>
                      <w:szCs w:val="21"/>
                      <w:u w:val="single" w:color="auto"/>
                      <w:lang w:val="en-US" w:eastAsia="zh-CN"/>
                    </w:rPr>
                  </w:pPr>
                  <w:r>
                    <w:rPr>
                      <w:rFonts w:hint="eastAsia" w:cs="Times New Roman"/>
                      <w:color w:val="auto"/>
                      <w:szCs w:val="21"/>
                      <w:u w:val="single" w:color="auto"/>
                      <w:lang w:val="en-US" w:eastAsia="zh-CN"/>
                    </w:rPr>
                    <w:t>20</w:t>
                  </w:r>
                </w:p>
              </w:tc>
            </w:tr>
            <w:bookmarkEnd w:id="15"/>
            <w:bookmarkEnd w:id="16"/>
          </w:tbl>
          <w:p w14:paraId="5AD3050C">
            <w:pPr>
              <w:adjustRightInd w:val="0"/>
              <w:snapToGrid w:val="0"/>
              <w:spacing w:line="360" w:lineRule="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single" w:color="auto"/>
                <w14:textFill>
                  <w14:solidFill>
                    <w14:schemeClr w14:val="tx1"/>
                  </w14:solidFill>
                </w14:textFill>
              </w:rPr>
              <w:t>2、废气排放标准</w:t>
            </w:r>
          </w:p>
          <w:p w14:paraId="181F3279">
            <w:pPr>
              <w:adjustRightInd w:val="0"/>
              <w:snapToGrid w:val="0"/>
              <w:spacing w:line="360" w:lineRule="auto"/>
              <w:ind w:firstLine="480" w:firstLineChars="200"/>
              <w:contextualSpacing w:val="0"/>
              <w:rPr>
                <w:rFonts w:hint="default" w:ascii="Times New Roman" w:hAnsi="Times New Roman" w:cs="Times New Roman"/>
                <w:color w:val="000000" w:themeColor="text1"/>
                <w:u w:val="single" w:color="auto"/>
                <w14:textFill>
                  <w14:solidFill>
                    <w14:schemeClr w14:val="tx1"/>
                  </w14:solidFill>
                </w14:textFill>
              </w:rPr>
            </w:pPr>
            <w:r>
              <w:rPr>
                <w:rFonts w:hint="default" w:ascii="Times New Roman" w:hAnsi="Times New Roman" w:cs="Times New Roman"/>
                <w:color w:val="000000" w:themeColor="text1"/>
                <w:sz w:val="24"/>
                <w:szCs w:val="22"/>
                <w:u w:val="single" w:color="auto"/>
                <w14:textFill>
                  <w14:solidFill>
                    <w14:schemeClr w14:val="tx1"/>
                  </w14:solidFill>
                </w14:textFill>
              </w:rPr>
              <w:t>污水处理站废气排放执行《医疗机构水污染物排放标准》（GB18466-2005）</w:t>
            </w:r>
            <w:r>
              <w:rPr>
                <w:rFonts w:hint="default" w:ascii="Times New Roman" w:hAnsi="Times New Roman" w:cs="Times New Roman"/>
                <w:color w:val="000000" w:themeColor="text1"/>
                <w:sz w:val="24"/>
                <w:szCs w:val="22"/>
                <w:highlight w:val="none"/>
                <w:u w:val="single" w:color="auto"/>
                <w14:textFill>
                  <w14:solidFill>
                    <w14:schemeClr w14:val="tx1"/>
                  </w14:solidFill>
                </w14:textFill>
              </w:rPr>
              <w:t>表</w:t>
            </w:r>
            <w:r>
              <w:rPr>
                <w:rFonts w:hint="eastAsia" w:cs="Times New Roman"/>
                <w:color w:val="000000" w:themeColor="text1"/>
                <w:sz w:val="24"/>
                <w:szCs w:val="22"/>
                <w:highlight w:val="none"/>
                <w:u w:val="single" w:color="auto"/>
                <w:lang w:val="en-US" w:eastAsia="zh-CN"/>
                <w14:textFill>
                  <w14:solidFill>
                    <w14:schemeClr w14:val="tx1"/>
                  </w14:solidFill>
                </w14:textFill>
              </w:rPr>
              <w:t>3</w:t>
            </w:r>
            <w:r>
              <w:rPr>
                <w:rFonts w:hint="default" w:ascii="Times New Roman" w:hAnsi="Times New Roman" w:cs="Times New Roman"/>
                <w:color w:val="000000" w:themeColor="text1"/>
                <w:sz w:val="24"/>
                <w:szCs w:val="22"/>
                <w:highlight w:val="none"/>
                <w:u w:val="single" w:color="auto"/>
                <w14:textFill>
                  <w14:solidFill>
                    <w14:schemeClr w14:val="tx1"/>
                  </w14:solidFill>
                </w14:textFill>
              </w:rPr>
              <w:t>中</w:t>
            </w:r>
            <w:r>
              <w:rPr>
                <w:rFonts w:hint="eastAsia" w:ascii="Times New Roman" w:hAnsi="Times New Roman" w:eastAsia="宋体" w:cs="Times New Roman"/>
                <w:sz w:val="24"/>
                <w:szCs w:val="24"/>
                <w:highlight w:val="none"/>
                <w:u w:val="single" w:color="auto"/>
                <w:lang w:val="en-US" w:eastAsia="zh-CN"/>
              </w:rPr>
              <w:t>污水处理站周边大气污染物最高允许浓度限值要求</w:t>
            </w:r>
            <w:r>
              <w:rPr>
                <w:rFonts w:hint="eastAsia" w:cs="Times New Roman"/>
                <w:sz w:val="24"/>
                <w:szCs w:val="24"/>
                <w:highlight w:val="none"/>
                <w:u w:val="single" w:color="auto"/>
                <w:lang w:val="en-US" w:eastAsia="zh-CN"/>
              </w:rPr>
              <w:t>。</w:t>
            </w:r>
            <w:r>
              <w:rPr>
                <w:rFonts w:hint="default" w:ascii="Times New Roman" w:hAnsi="Times New Roman" w:cs="Times New Roman"/>
                <w:u w:val="single" w:color="auto"/>
                <w:lang w:val="en-US" w:eastAsia="zh-CN"/>
              </w:rPr>
              <w:t>食堂油烟废气执行</w:t>
            </w:r>
            <w:r>
              <w:rPr>
                <w:rFonts w:hint="default" w:ascii="Times New Roman" w:hAnsi="Times New Roman" w:eastAsia="宋体" w:cs="Times New Roman"/>
                <w:color w:val="auto"/>
                <w:sz w:val="24"/>
                <w:highlight w:val="none"/>
                <w:u w:val="single" w:color="auto"/>
                <w:lang w:val="en-US" w:eastAsia="zh-CN"/>
              </w:rPr>
              <w:t>《饮食业油烟排放标准》（GB18483-2001）中油烟排放浓度≤2.0mg/m</w:t>
            </w:r>
            <w:r>
              <w:rPr>
                <w:rFonts w:hint="default" w:ascii="Times New Roman" w:hAnsi="Times New Roman" w:eastAsia="宋体" w:cs="Times New Roman"/>
                <w:color w:val="auto"/>
                <w:sz w:val="24"/>
                <w:highlight w:val="none"/>
                <w:u w:val="single" w:color="auto"/>
                <w:vertAlign w:val="superscript"/>
                <w:lang w:val="en-US" w:eastAsia="zh-CN"/>
              </w:rPr>
              <w:t>3</w:t>
            </w:r>
            <w:r>
              <w:rPr>
                <w:rFonts w:hint="default" w:ascii="Times New Roman" w:hAnsi="Times New Roman" w:eastAsia="宋体" w:cs="Times New Roman"/>
                <w:color w:val="auto"/>
                <w:sz w:val="24"/>
                <w:highlight w:val="none"/>
                <w:u w:val="single" w:color="auto"/>
                <w:lang w:val="en-US" w:eastAsia="zh-CN"/>
              </w:rPr>
              <w:t>的要求。</w:t>
            </w:r>
          </w:p>
          <w:p w14:paraId="2761452E">
            <w:pPr>
              <w:adjustRightInd w:val="0"/>
              <w:snapToGrid w:val="0"/>
              <w:spacing w:line="240" w:lineRule="auto"/>
              <w:ind w:firstLine="422" w:firstLineChars="20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表3-</w:t>
            </w:r>
            <w:r>
              <w:rPr>
                <w:rFonts w:hint="eastAsia" w:cs="Times New Roman"/>
                <w:b/>
                <w:bCs/>
                <w:color w:val="000000" w:themeColor="text1"/>
                <w:sz w:val="21"/>
                <w:szCs w:val="21"/>
                <w:u w:val="single" w:color="auto"/>
                <w:lang w:val="en-US" w:eastAsia="zh-CN"/>
                <w14:textFill>
                  <w14:solidFill>
                    <w14:schemeClr w14:val="tx1"/>
                  </w14:solidFill>
                </w14:textFill>
              </w:rPr>
              <w:t>6</w:t>
            </w:r>
            <w:r>
              <w:rPr>
                <w:rFonts w:hint="default" w:ascii="Times New Roman" w:hAnsi="Times New Roman" w:cs="Times New Roman"/>
                <w:b/>
                <w:bCs/>
                <w:color w:val="000000" w:themeColor="text1"/>
                <w:sz w:val="21"/>
                <w:szCs w:val="21"/>
                <w:u w:val="single" w:color="auto"/>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single" w:color="auto"/>
                <w14:textFill>
                  <w14:solidFill>
                    <w14:schemeClr w14:val="tx1"/>
                  </w14:solidFill>
                </w14:textFill>
              </w:rPr>
              <w:t>医疗机构水污染物排放标准污水处理站周边大气污染物最高允许浓度</w:t>
            </w:r>
          </w:p>
          <w:tbl>
            <w:tblPr>
              <w:tblStyle w:val="25"/>
              <w:tblW w:w="75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01"/>
              <w:gridCol w:w="3132"/>
            </w:tblGrid>
            <w:tr w14:paraId="2BD94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1D1DEE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lang w:val="zh-CN"/>
                      <w14:textFill>
                        <w14:solidFill>
                          <w14:schemeClr w14:val="tx1"/>
                        </w14:solidFill>
                      </w14:textFill>
                    </w:rPr>
                    <w:t>项目</w:t>
                  </w:r>
                </w:p>
              </w:tc>
              <w:tc>
                <w:tcPr>
                  <w:tcW w:w="3132" w:type="dxa"/>
                  <w:tcBorders>
                    <w:tl2br w:val="nil"/>
                    <w:tr2bl w:val="nil"/>
                  </w:tcBorders>
                  <w:vAlign w:val="center"/>
                </w:tcPr>
                <w:p w14:paraId="7AAE74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lang w:val="zh-CN"/>
                      <w14:textFill>
                        <w14:solidFill>
                          <w14:schemeClr w14:val="tx1"/>
                        </w14:solidFill>
                      </w14:textFill>
                    </w:rPr>
                    <w:t>标准值</w:t>
                  </w:r>
                </w:p>
              </w:tc>
            </w:tr>
            <w:tr w14:paraId="73C98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43247CF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氨</w:t>
                  </w:r>
                </w:p>
              </w:tc>
              <w:tc>
                <w:tcPr>
                  <w:tcW w:w="3132" w:type="dxa"/>
                  <w:tcBorders>
                    <w:tl2br w:val="nil"/>
                    <w:tr2bl w:val="nil"/>
                  </w:tcBorders>
                  <w:vAlign w:val="center"/>
                </w:tcPr>
                <w:p w14:paraId="0EAFE9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mg/m</w:t>
                  </w:r>
                  <w:r>
                    <w:rPr>
                      <w:rFonts w:hint="default" w:ascii="Times New Roman" w:hAnsi="Times New Roman" w:cs="Times New Roman"/>
                      <w:b w:val="0"/>
                      <w:bCs w:val="0"/>
                      <w:color w:val="000000" w:themeColor="text1"/>
                      <w:sz w:val="21"/>
                      <w:szCs w:val="21"/>
                      <w:u w:val="single" w:color="auto"/>
                      <w:vertAlign w:val="superscript"/>
                      <w14:textFill>
                        <w14:solidFill>
                          <w14:schemeClr w14:val="tx1"/>
                        </w14:solidFill>
                      </w14:textFill>
                    </w:rPr>
                    <w:t>3</w:t>
                  </w:r>
                </w:p>
              </w:tc>
            </w:tr>
            <w:tr w14:paraId="39FAC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1F98E3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硫化氢</w:t>
                  </w:r>
                </w:p>
              </w:tc>
              <w:tc>
                <w:tcPr>
                  <w:tcW w:w="3132" w:type="dxa"/>
                  <w:tcBorders>
                    <w:tl2br w:val="nil"/>
                    <w:tr2bl w:val="nil"/>
                  </w:tcBorders>
                  <w:vAlign w:val="center"/>
                </w:tcPr>
                <w:p w14:paraId="63E15F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0.03</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mg/m</w:t>
                  </w:r>
                  <w:r>
                    <w:rPr>
                      <w:rFonts w:hint="default" w:ascii="Times New Roman" w:hAnsi="Times New Roman" w:cs="Times New Roman"/>
                      <w:b w:val="0"/>
                      <w:bCs w:val="0"/>
                      <w:color w:val="000000" w:themeColor="text1"/>
                      <w:sz w:val="21"/>
                      <w:szCs w:val="21"/>
                      <w:u w:val="single" w:color="auto"/>
                      <w:vertAlign w:val="superscript"/>
                      <w14:textFill>
                        <w14:solidFill>
                          <w14:schemeClr w14:val="tx1"/>
                        </w14:solidFill>
                      </w14:textFill>
                    </w:rPr>
                    <w:t>3</w:t>
                  </w:r>
                </w:p>
              </w:tc>
            </w:tr>
            <w:tr w14:paraId="3423B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01" w:type="dxa"/>
                  <w:tcBorders>
                    <w:tl2br w:val="nil"/>
                    <w:tr2bl w:val="nil"/>
                  </w:tcBorders>
                  <w:vAlign w:val="center"/>
                </w:tcPr>
                <w:p w14:paraId="2D7528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臭气浓度（无量纲）</w:t>
                  </w:r>
                </w:p>
              </w:tc>
              <w:tc>
                <w:tcPr>
                  <w:tcW w:w="3132" w:type="dxa"/>
                  <w:tcBorders>
                    <w:tl2br w:val="nil"/>
                    <w:tr2bl w:val="nil"/>
                  </w:tcBorders>
                  <w:vAlign w:val="center"/>
                </w:tcPr>
                <w:p w14:paraId="7EBB41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pPr>
                  <w:r>
                    <w:rPr>
                      <w:rFonts w:hint="default" w:ascii="Times New Roman" w:hAnsi="Times New Roman" w:cs="Times New Roman"/>
                      <w:b w:val="0"/>
                      <w:bCs w:val="0"/>
                      <w:color w:val="000000" w:themeColor="text1"/>
                      <w:kern w:val="0"/>
                      <w:sz w:val="21"/>
                      <w:szCs w:val="21"/>
                      <w:u w:val="single" w:color="auto"/>
                      <w:lang w:val="zh-CN"/>
                      <w14:textFill>
                        <w14:solidFill>
                          <w14:schemeClr w14:val="tx1"/>
                        </w14:solidFill>
                      </w14:textFill>
                    </w:rPr>
                    <w:t>10</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mg/m</w:t>
                  </w:r>
                  <w:r>
                    <w:rPr>
                      <w:rFonts w:hint="default" w:ascii="Times New Roman" w:hAnsi="Times New Roman" w:cs="Times New Roman"/>
                      <w:b w:val="0"/>
                      <w:bCs w:val="0"/>
                      <w:color w:val="000000" w:themeColor="text1"/>
                      <w:sz w:val="21"/>
                      <w:szCs w:val="21"/>
                      <w:u w:val="single" w:color="auto"/>
                      <w:vertAlign w:val="superscript"/>
                      <w14:textFill>
                        <w14:solidFill>
                          <w14:schemeClr w14:val="tx1"/>
                        </w14:solidFill>
                      </w14:textFill>
                    </w:rPr>
                    <w:t>3</w:t>
                  </w:r>
                </w:p>
              </w:tc>
            </w:tr>
          </w:tbl>
          <w:p w14:paraId="082680E0">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宋体" w:cs="Times New Roman"/>
                <w:b/>
                <w:color w:val="auto"/>
                <w:sz w:val="21"/>
                <w:szCs w:val="21"/>
                <w:highlight w:val="none"/>
                <w:u w:val="single" w:color="auto"/>
                <w:lang w:val="en-US" w:eastAsia="zh-CN" w:bidi="ar-SA"/>
              </w:rPr>
            </w:pPr>
            <w:r>
              <w:rPr>
                <w:rFonts w:hint="eastAsia" w:ascii="Times New Roman" w:hAnsi="Times New Roman" w:eastAsia="宋体" w:cs="Times New Roman"/>
                <w:b/>
                <w:color w:val="auto"/>
                <w:sz w:val="21"/>
                <w:szCs w:val="21"/>
                <w:highlight w:val="none"/>
                <w:u w:val="single" w:color="auto"/>
                <w:lang w:val="en-US" w:eastAsia="zh-CN" w:bidi="ar-SA"/>
              </w:rPr>
              <w:t xml:space="preserve">表3-7  </w:t>
            </w:r>
            <w:r>
              <w:rPr>
                <w:rFonts w:hint="default" w:ascii="Times New Roman" w:hAnsi="Times New Roman" w:eastAsia="宋体" w:cs="Times New Roman"/>
                <w:b/>
                <w:color w:val="auto"/>
                <w:sz w:val="21"/>
                <w:szCs w:val="21"/>
                <w:highlight w:val="none"/>
                <w:u w:val="single" w:color="auto"/>
                <w:lang w:val="en-US" w:eastAsia="zh-CN" w:bidi="ar-SA"/>
              </w:rPr>
              <w:t>饮食业油烟排放标准</w:t>
            </w:r>
          </w:p>
          <w:tbl>
            <w:tblPr>
              <w:tblStyle w:val="25"/>
              <w:tblW w:w="7838"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47"/>
              <w:gridCol w:w="3196"/>
              <w:gridCol w:w="1895"/>
            </w:tblGrid>
            <w:tr w14:paraId="53E82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747" w:type="dxa"/>
                  <w:tcBorders>
                    <w:tl2br w:val="nil"/>
                    <w:tr2bl w:val="nil"/>
                  </w:tcBorders>
                  <w:noWrap w:val="0"/>
                  <w:vAlign w:val="center"/>
                </w:tcPr>
                <w:p w14:paraId="4D83B89C">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single" w:color="auto"/>
                      <w:vertAlign w:val="baseline"/>
                      <w:lang w:eastAsia="zh-CN"/>
                    </w:rPr>
                  </w:pPr>
                  <w:r>
                    <w:rPr>
                      <w:rFonts w:hint="eastAsia" w:ascii="Times New Roman" w:hAnsi="Times New Roman" w:eastAsia="宋体" w:cs="Times New Roman"/>
                      <w:b w:val="0"/>
                      <w:bCs/>
                      <w:color w:val="auto"/>
                      <w:sz w:val="21"/>
                      <w:szCs w:val="21"/>
                      <w:u w:val="single" w:color="auto"/>
                      <w:vertAlign w:val="baseline"/>
                      <w:lang w:eastAsia="zh-CN"/>
                    </w:rPr>
                    <w:t>标准</w:t>
                  </w:r>
                </w:p>
              </w:tc>
              <w:tc>
                <w:tcPr>
                  <w:tcW w:w="3196" w:type="dxa"/>
                  <w:tcBorders>
                    <w:tl2br w:val="nil"/>
                    <w:tr2bl w:val="nil"/>
                  </w:tcBorders>
                  <w:noWrap w:val="0"/>
                  <w:vAlign w:val="center"/>
                </w:tcPr>
                <w:p w14:paraId="303A6F2E">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single" w:color="auto"/>
                      <w:vertAlign w:val="baseline"/>
                      <w:lang w:eastAsia="zh-CN"/>
                    </w:rPr>
                  </w:pPr>
                  <w:r>
                    <w:rPr>
                      <w:rFonts w:hint="eastAsia" w:ascii="Times New Roman" w:hAnsi="Times New Roman" w:eastAsia="宋体" w:cs="Times New Roman"/>
                      <w:b w:val="0"/>
                      <w:bCs/>
                      <w:color w:val="auto"/>
                      <w:sz w:val="21"/>
                      <w:szCs w:val="21"/>
                      <w:u w:val="single" w:color="auto"/>
                      <w:vertAlign w:val="baseline"/>
                      <w:lang w:eastAsia="zh-CN"/>
                    </w:rPr>
                    <w:t>规模</w:t>
                  </w:r>
                </w:p>
              </w:tc>
              <w:tc>
                <w:tcPr>
                  <w:tcW w:w="1895" w:type="dxa"/>
                  <w:tcBorders>
                    <w:tl2br w:val="nil"/>
                    <w:tr2bl w:val="nil"/>
                  </w:tcBorders>
                  <w:noWrap w:val="0"/>
                  <w:vAlign w:val="center"/>
                </w:tcPr>
                <w:p w14:paraId="1E26B70B">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color w:val="auto"/>
                      <w:sz w:val="21"/>
                      <w:szCs w:val="21"/>
                      <w:u w:val="single" w:color="auto"/>
                      <w:vertAlign w:val="baseline"/>
                      <w:lang w:eastAsia="zh-CN"/>
                    </w:rPr>
                  </w:pPr>
                  <w:r>
                    <w:rPr>
                      <w:rFonts w:hint="eastAsia" w:ascii="Times New Roman" w:hAnsi="Times New Roman" w:eastAsia="宋体" w:cs="Times New Roman"/>
                      <w:b w:val="0"/>
                      <w:bCs/>
                      <w:color w:val="auto"/>
                      <w:sz w:val="21"/>
                      <w:szCs w:val="21"/>
                      <w:u w:val="single" w:color="auto"/>
                      <w:vertAlign w:val="baseline"/>
                      <w:lang w:eastAsia="zh-CN"/>
                    </w:rPr>
                    <w:t>小型</w:t>
                  </w:r>
                </w:p>
              </w:tc>
            </w:tr>
            <w:tr w14:paraId="57F74B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47" w:type="dxa"/>
                  <w:vMerge w:val="restart"/>
                  <w:tcBorders>
                    <w:tl2br w:val="nil"/>
                    <w:tr2bl w:val="nil"/>
                  </w:tcBorders>
                  <w:noWrap w:val="0"/>
                  <w:vAlign w:val="center"/>
                </w:tcPr>
                <w:p w14:paraId="13A839F6">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rPr>
                  </w:pPr>
                  <w:r>
                    <w:rPr>
                      <w:rFonts w:hint="default" w:ascii="Times New Roman" w:hAnsi="Times New Roman" w:eastAsia="宋体" w:cs="Times New Roman"/>
                      <w:b w:val="0"/>
                      <w:bCs/>
                      <w:color w:val="auto"/>
                      <w:sz w:val="21"/>
                      <w:szCs w:val="21"/>
                      <w:u w:val="single" w:color="auto"/>
                      <w:vertAlign w:val="baseline"/>
                    </w:rPr>
                    <w:t>《饮食业油烟排放标准（试行）》（GB18483-2001）</w:t>
                  </w:r>
                </w:p>
              </w:tc>
              <w:tc>
                <w:tcPr>
                  <w:tcW w:w="3196" w:type="dxa"/>
                  <w:tcBorders>
                    <w:tl2br w:val="nil"/>
                    <w:tr2bl w:val="nil"/>
                  </w:tcBorders>
                  <w:noWrap w:val="0"/>
                  <w:vAlign w:val="center"/>
                </w:tcPr>
                <w:p w14:paraId="125F3156">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lang w:val="en-US" w:eastAsia="zh-CN"/>
                    </w:rPr>
                  </w:pPr>
                  <w:r>
                    <w:rPr>
                      <w:rFonts w:hint="eastAsia" w:ascii="Times New Roman" w:hAnsi="Times New Roman" w:eastAsia="宋体" w:cs="Times New Roman"/>
                      <w:b w:val="0"/>
                      <w:bCs/>
                      <w:color w:val="auto"/>
                      <w:sz w:val="21"/>
                      <w:szCs w:val="21"/>
                      <w:u w:val="single" w:color="auto"/>
                      <w:vertAlign w:val="baseline"/>
                      <w:lang w:eastAsia="zh-CN"/>
                    </w:rPr>
                    <w:t>最高允许排放浓度（</w:t>
                  </w:r>
                  <w:r>
                    <w:rPr>
                      <w:rFonts w:hint="eastAsia" w:ascii="Times New Roman" w:hAnsi="Times New Roman" w:eastAsia="宋体" w:cs="Times New Roman"/>
                      <w:b w:val="0"/>
                      <w:bCs/>
                      <w:color w:val="auto"/>
                      <w:sz w:val="21"/>
                      <w:szCs w:val="21"/>
                      <w:u w:val="single" w:color="auto"/>
                      <w:vertAlign w:val="baseline"/>
                      <w:lang w:val="en-US" w:eastAsia="zh-CN"/>
                    </w:rPr>
                    <w:t>mg/m</w:t>
                  </w:r>
                  <w:r>
                    <w:rPr>
                      <w:rFonts w:hint="eastAsia" w:ascii="Times New Roman" w:hAnsi="Times New Roman" w:eastAsia="宋体" w:cs="Times New Roman"/>
                      <w:b w:val="0"/>
                      <w:bCs/>
                      <w:color w:val="auto"/>
                      <w:sz w:val="21"/>
                      <w:szCs w:val="21"/>
                      <w:u w:val="single" w:color="auto"/>
                      <w:vertAlign w:val="superscript"/>
                      <w:lang w:val="en-US" w:eastAsia="zh-CN"/>
                    </w:rPr>
                    <w:t>3</w:t>
                  </w:r>
                  <w:r>
                    <w:rPr>
                      <w:rFonts w:hint="eastAsia" w:ascii="Times New Roman" w:hAnsi="Times New Roman" w:eastAsia="宋体" w:cs="Times New Roman"/>
                      <w:b w:val="0"/>
                      <w:bCs/>
                      <w:color w:val="auto"/>
                      <w:sz w:val="21"/>
                      <w:szCs w:val="21"/>
                      <w:u w:val="single" w:color="auto"/>
                      <w:vertAlign w:val="baseline"/>
                      <w:lang w:val="en-US" w:eastAsia="zh-CN"/>
                    </w:rPr>
                    <w:t>）</w:t>
                  </w:r>
                </w:p>
              </w:tc>
              <w:tc>
                <w:tcPr>
                  <w:tcW w:w="1895" w:type="dxa"/>
                  <w:tcBorders>
                    <w:tl2br w:val="nil"/>
                    <w:tr2bl w:val="nil"/>
                  </w:tcBorders>
                  <w:noWrap w:val="0"/>
                  <w:vAlign w:val="center"/>
                </w:tcPr>
                <w:p w14:paraId="091F3D68">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lang w:val="en-US" w:eastAsia="zh-CN"/>
                    </w:rPr>
                  </w:pPr>
                  <w:r>
                    <w:rPr>
                      <w:rFonts w:hint="eastAsia" w:ascii="Times New Roman" w:hAnsi="Times New Roman" w:eastAsia="宋体" w:cs="Times New Roman"/>
                      <w:b w:val="0"/>
                      <w:bCs/>
                      <w:color w:val="auto"/>
                      <w:sz w:val="21"/>
                      <w:szCs w:val="21"/>
                      <w:u w:val="single" w:color="auto"/>
                      <w:vertAlign w:val="baseline"/>
                      <w:lang w:val="en-US" w:eastAsia="zh-CN"/>
                    </w:rPr>
                    <w:t>2.0</w:t>
                  </w:r>
                </w:p>
              </w:tc>
            </w:tr>
            <w:tr w14:paraId="684EE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747" w:type="dxa"/>
                  <w:vMerge w:val="continue"/>
                  <w:tcBorders>
                    <w:tl2br w:val="nil"/>
                    <w:tr2bl w:val="nil"/>
                  </w:tcBorders>
                  <w:noWrap w:val="0"/>
                  <w:vAlign w:val="center"/>
                </w:tcPr>
                <w:p w14:paraId="00747129">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rPr>
                  </w:pPr>
                </w:p>
              </w:tc>
              <w:tc>
                <w:tcPr>
                  <w:tcW w:w="3196" w:type="dxa"/>
                  <w:tcBorders>
                    <w:tl2br w:val="nil"/>
                    <w:tr2bl w:val="nil"/>
                  </w:tcBorders>
                  <w:noWrap w:val="0"/>
                  <w:vAlign w:val="center"/>
                </w:tcPr>
                <w:p w14:paraId="29672F33">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lang w:val="en-US" w:eastAsia="zh-CN"/>
                    </w:rPr>
                  </w:pPr>
                  <w:r>
                    <w:rPr>
                      <w:rFonts w:hint="eastAsia" w:ascii="Times New Roman" w:hAnsi="Times New Roman" w:eastAsia="宋体" w:cs="Times New Roman"/>
                      <w:b w:val="0"/>
                      <w:bCs/>
                      <w:color w:val="auto"/>
                      <w:sz w:val="21"/>
                      <w:szCs w:val="21"/>
                      <w:u w:val="single" w:color="auto"/>
                      <w:vertAlign w:val="baseline"/>
                      <w:lang w:eastAsia="zh-CN"/>
                    </w:rPr>
                    <w:t>净化设施最低去除效率（</w:t>
                  </w:r>
                  <w:r>
                    <w:rPr>
                      <w:rFonts w:hint="eastAsia" w:ascii="Times New Roman" w:hAnsi="Times New Roman" w:eastAsia="宋体" w:cs="Times New Roman"/>
                      <w:b w:val="0"/>
                      <w:bCs/>
                      <w:color w:val="auto"/>
                      <w:sz w:val="21"/>
                      <w:szCs w:val="21"/>
                      <w:u w:val="single" w:color="auto"/>
                      <w:vertAlign w:val="baseline"/>
                      <w:lang w:val="en-US" w:eastAsia="zh-CN"/>
                    </w:rPr>
                    <w:t>%）</w:t>
                  </w:r>
                </w:p>
              </w:tc>
              <w:tc>
                <w:tcPr>
                  <w:tcW w:w="1895" w:type="dxa"/>
                  <w:tcBorders>
                    <w:tl2br w:val="nil"/>
                    <w:tr2bl w:val="nil"/>
                  </w:tcBorders>
                  <w:noWrap w:val="0"/>
                  <w:vAlign w:val="center"/>
                </w:tcPr>
                <w:p w14:paraId="7D152872">
                  <w:pPr>
                    <w:pStyle w:val="7"/>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u w:val="single" w:color="auto"/>
                      <w:vertAlign w:val="baseline"/>
                      <w:lang w:val="en-US" w:eastAsia="zh-CN"/>
                    </w:rPr>
                  </w:pPr>
                  <w:r>
                    <w:rPr>
                      <w:rFonts w:hint="eastAsia" w:ascii="Times New Roman" w:hAnsi="Times New Roman" w:eastAsia="宋体" w:cs="Times New Roman"/>
                      <w:b w:val="0"/>
                      <w:bCs/>
                      <w:color w:val="auto"/>
                      <w:sz w:val="21"/>
                      <w:szCs w:val="21"/>
                      <w:u w:val="single" w:color="auto"/>
                      <w:vertAlign w:val="baseline"/>
                      <w:lang w:val="en-US" w:eastAsia="zh-CN"/>
                    </w:rPr>
                    <w:t>60</w:t>
                  </w:r>
                </w:p>
              </w:tc>
            </w:tr>
          </w:tbl>
          <w:p w14:paraId="7521742E">
            <w:pPr>
              <w:adjustRightInd w:val="0"/>
              <w:snapToGrid w:val="0"/>
              <w:spacing w:line="360" w:lineRule="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single" w:color="auto"/>
                <w14:textFill>
                  <w14:solidFill>
                    <w14:schemeClr w14:val="tx1"/>
                  </w14:solidFill>
                </w14:textFill>
              </w:rPr>
              <w:t>3、噪声排放标准</w:t>
            </w:r>
          </w:p>
          <w:p w14:paraId="6BB89130">
            <w:pPr>
              <w:adjustRightInd w:val="0"/>
              <w:snapToGrid w:val="0"/>
              <w:spacing w:line="360" w:lineRule="auto"/>
              <w:ind w:firstLine="480" w:firstLineChars="200"/>
              <w:rPr>
                <w:rFonts w:hint="eastAsia" w:ascii="Times New Roman" w:hAnsi="Times New Roman" w:eastAsia="宋体" w:cs="Times New Roman"/>
                <w:color w:val="000000" w:themeColor="text1"/>
                <w:sz w:val="24"/>
                <w:u w:val="single" w:color="auto"/>
                <w:lang w:eastAsia="zh-CN"/>
                <w14:textFill>
                  <w14:solidFill>
                    <w14:schemeClr w14:val="tx1"/>
                  </w14:solidFill>
                </w14:textFill>
              </w:rPr>
            </w:pPr>
            <w:r>
              <w:rPr>
                <w:rFonts w:hint="default" w:ascii="Times New Roman" w:hAnsi="Times New Roman" w:eastAsia="宋体" w:cs="Times New Roman"/>
                <w:snapToGrid w:val="0"/>
                <w:color w:val="auto"/>
                <w:spacing w:val="0"/>
                <w:position w:val="0"/>
                <w:sz w:val="24"/>
                <w:highlight w:val="none"/>
                <w:u w:val="single" w:color="auto"/>
                <w:lang w:val="en-US" w:eastAsia="zh-CN"/>
              </w:rPr>
              <w:t>运营期</w:t>
            </w:r>
            <w:r>
              <w:rPr>
                <w:rFonts w:hint="eastAsia" w:ascii="Times New Roman" w:hAnsi="Times New Roman" w:eastAsia="宋体" w:cs="Times New Roman"/>
                <w:snapToGrid w:val="0"/>
                <w:color w:val="auto"/>
                <w:spacing w:val="0"/>
                <w:position w:val="0"/>
                <w:sz w:val="24"/>
                <w:highlight w:val="none"/>
                <w:u w:val="single" w:color="auto"/>
                <w:lang w:val="en-US" w:eastAsia="zh-CN"/>
              </w:rPr>
              <w:t>噪声</w:t>
            </w:r>
            <w:r>
              <w:rPr>
                <w:rFonts w:hint="default" w:ascii="Times New Roman" w:hAnsi="Times New Roman" w:eastAsia="宋体" w:cs="Times New Roman"/>
                <w:snapToGrid w:val="0"/>
                <w:color w:val="auto"/>
                <w:spacing w:val="0"/>
                <w:position w:val="0"/>
                <w:sz w:val="24"/>
                <w:highlight w:val="none"/>
                <w:u w:val="single" w:color="auto"/>
                <w:lang w:val="en-US" w:eastAsia="zh-CN"/>
              </w:rPr>
              <w:t>执行</w:t>
            </w:r>
            <w:r>
              <w:rPr>
                <w:rFonts w:hint="eastAsia" w:cs="Times New Roman"/>
                <w:snapToGrid w:val="0"/>
                <w:color w:val="auto"/>
                <w:spacing w:val="0"/>
                <w:position w:val="0"/>
                <w:sz w:val="24"/>
                <w:highlight w:val="none"/>
                <w:u w:val="single" w:color="auto"/>
                <w:lang w:val="en-US" w:eastAsia="zh-CN"/>
              </w:rPr>
              <w:t>《社会生活环境噪声排放标准》（GB 22337-2008）</w:t>
            </w:r>
            <w:r>
              <w:rPr>
                <w:rFonts w:hint="default" w:ascii="Times New Roman" w:hAnsi="Times New Roman" w:eastAsia="宋体" w:cs="Times New Roman"/>
                <w:snapToGrid w:val="0"/>
                <w:color w:val="auto"/>
                <w:spacing w:val="0"/>
                <w:position w:val="0"/>
                <w:sz w:val="24"/>
                <w:highlight w:val="none"/>
                <w:u w:val="single" w:color="auto"/>
                <w:lang w:val="en-US" w:eastAsia="zh-CN"/>
              </w:rPr>
              <w:t>中的</w:t>
            </w:r>
            <w:r>
              <w:rPr>
                <w:rFonts w:hint="eastAsia" w:ascii="Times New Roman" w:hAnsi="Times New Roman" w:eastAsia="宋体" w:cs="Times New Roman"/>
                <w:snapToGrid w:val="0"/>
                <w:color w:val="auto"/>
                <w:spacing w:val="0"/>
                <w:position w:val="0"/>
                <w:sz w:val="24"/>
                <w:highlight w:val="none"/>
                <w:u w:val="single" w:color="auto"/>
                <w:lang w:val="en-US" w:eastAsia="zh-CN"/>
              </w:rPr>
              <w:t>2</w:t>
            </w:r>
            <w:r>
              <w:rPr>
                <w:rFonts w:hint="default" w:ascii="Times New Roman" w:hAnsi="Times New Roman" w:eastAsia="宋体" w:cs="Times New Roman"/>
                <w:snapToGrid w:val="0"/>
                <w:color w:val="auto"/>
                <w:spacing w:val="0"/>
                <w:position w:val="0"/>
                <w:sz w:val="24"/>
                <w:highlight w:val="none"/>
                <w:u w:val="single" w:color="auto"/>
                <w:lang w:val="en-US" w:eastAsia="zh-CN"/>
              </w:rPr>
              <w:t>类标准</w:t>
            </w:r>
            <w:r>
              <w:rPr>
                <w:rFonts w:hint="default" w:ascii="Times New Roman" w:hAnsi="Times New Roman" w:cs="Times New Roman"/>
                <w:color w:val="000000" w:themeColor="text1"/>
                <w:sz w:val="24"/>
                <w:u w:val="single" w:color="auto"/>
                <w14:textFill>
                  <w14:solidFill>
                    <w14:schemeClr w14:val="tx1"/>
                  </w14:solidFill>
                </w14:textFill>
              </w:rPr>
              <w:t>，具体标准值见</w:t>
            </w:r>
            <w:r>
              <w:rPr>
                <w:rFonts w:hint="default" w:ascii="Times New Roman" w:hAnsi="Times New Roman" w:cs="Times New Roman"/>
                <w:color w:val="000000" w:themeColor="text1"/>
                <w:sz w:val="24"/>
                <w:highlight w:val="none"/>
                <w:u w:val="single" w:color="auto"/>
                <w14:textFill>
                  <w14:solidFill>
                    <w14:schemeClr w14:val="tx1"/>
                  </w14:solidFill>
                </w14:textFill>
              </w:rPr>
              <w:t>表</w:t>
            </w:r>
            <w:r>
              <w:rPr>
                <w:rFonts w:hint="default" w:ascii="Times New Roman" w:hAnsi="Times New Roman" w:cs="Times New Roman"/>
                <w:color w:val="000000" w:themeColor="text1"/>
                <w:sz w:val="24"/>
                <w:highlight w:val="none"/>
                <w:u w:val="single" w:color="auto"/>
                <w:lang w:val="en-US" w:eastAsia="zh-CN"/>
                <w14:textFill>
                  <w14:solidFill>
                    <w14:schemeClr w14:val="tx1"/>
                  </w14:solidFill>
                </w14:textFill>
              </w:rPr>
              <w:t>3-</w:t>
            </w:r>
            <w:r>
              <w:rPr>
                <w:rFonts w:hint="eastAsia" w:cs="Times New Roman"/>
                <w:color w:val="000000" w:themeColor="text1"/>
                <w:sz w:val="24"/>
                <w:highlight w:val="none"/>
                <w:u w:val="single" w:color="auto"/>
                <w:lang w:val="en-US" w:eastAsia="zh-CN"/>
                <w14:textFill>
                  <w14:solidFill>
                    <w14:schemeClr w14:val="tx1"/>
                  </w14:solidFill>
                </w14:textFill>
              </w:rPr>
              <w:t>8</w:t>
            </w:r>
            <w:r>
              <w:rPr>
                <w:rFonts w:hint="eastAsia" w:cs="Times New Roman"/>
                <w:color w:val="000000" w:themeColor="text1"/>
                <w:sz w:val="24"/>
                <w:highlight w:val="none"/>
                <w:u w:val="single" w:color="auto"/>
                <w:lang w:eastAsia="zh-CN"/>
                <w14:textFill>
                  <w14:solidFill>
                    <w14:schemeClr w14:val="tx1"/>
                  </w14:solidFill>
                </w14:textFill>
              </w:rPr>
              <w:t>。</w:t>
            </w:r>
          </w:p>
          <w:p w14:paraId="67EC45A7">
            <w:pPr>
              <w:adjustRightInd w:val="0"/>
              <w:snapToGrid w:val="0"/>
              <w:spacing w:line="240" w:lineRule="auto"/>
              <w:ind w:firstLine="422" w:firstLineChars="200"/>
              <w:jc w:val="center"/>
              <w:rPr>
                <w:rFonts w:hint="eastAsia" w:eastAsia="宋体" w:cs="Times New Roman"/>
                <w:b/>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b/>
                <w:color w:val="000000" w:themeColor="text1"/>
                <w:sz w:val="21"/>
                <w:szCs w:val="21"/>
                <w:u w:val="single" w:color="auto"/>
                <w:lang w:val="zh-CN"/>
                <w14:textFill>
                  <w14:solidFill>
                    <w14:schemeClr w14:val="tx1"/>
                  </w14:solidFill>
                </w14:textFill>
              </w:rPr>
              <w:t>表3-</w:t>
            </w:r>
            <w:r>
              <w:rPr>
                <w:rFonts w:hint="eastAsia" w:cs="Times New Roman"/>
                <w:b/>
                <w:color w:val="000000" w:themeColor="text1"/>
                <w:sz w:val="21"/>
                <w:szCs w:val="21"/>
                <w:u w:val="single" w:color="auto"/>
                <w:lang w:val="en-US" w:eastAsia="zh-CN"/>
                <w14:textFill>
                  <w14:solidFill>
                    <w14:schemeClr w14:val="tx1"/>
                  </w14:solidFill>
                </w14:textFill>
              </w:rPr>
              <w:t xml:space="preserve">8 </w:t>
            </w:r>
            <w:r>
              <w:rPr>
                <w:rFonts w:hint="default" w:ascii="Times New Roman" w:hAnsi="Times New Roman" w:cs="Times New Roman"/>
                <w:b/>
                <w:color w:val="000000" w:themeColor="text1"/>
                <w:sz w:val="21"/>
                <w:szCs w:val="21"/>
                <w:u w:val="single" w:color="auto"/>
                <w:lang w:val="en-US" w:eastAsia="zh-CN"/>
                <w14:textFill>
                  <w14:solidFill>
                    <w14:schemeClr w14:val="tx1"/>
                  </w14:solidFill>
                </w14:textFill>
              </w:rPr>
              <w:t xml:space="preserve"> </w:t>
            </w:r>
            <w:r>
              <w:rPr>
                <w:rFonts w:hint="eastAsia" w:cs="Times New Roman"/>
                <w:b/>
                <w:color w:val="000000" w:themeColor="text1"/>
                <w:sz w:val="21"/>
                <w:szCs w:val="21"/>
                <w:u w:val="single" w:color="auto"/>
                <w:lang w:val="en-US" w:eastAsia="zh-CN"/>
                <w14:textFill>
                  <w14:solidFill>
                    <w14:schemeClr w14:val="tx1"/>
                  </w14:solidFill>
                </w14:textFill>
              </w:rPr>
              <w:t xml:space="preserve"> </w:t>
            </w:r>
            <w:r>
              <w:rPr>
                <w:rFonts w:hint="eastAsia" w:cs="Times New Roman"/>
                <w:b/>
                <w:color w:val="000000" w:themeColor="text1"/>
                <w:sz w:val="21"/>
                <w:szCs w:val="21"/>
                <w:u w:val="single" w:color="auto"/>
                <w:lang w:eastAsia="zh-CN"/>
                <w14:textFill>
                  <w14:solidFill>
                    <w14:schemeClr w14:val="tx1"/>
                  </w14:solidFill>
                </w14:textFill>
              </w:rPr>
              <w:t>《社会生活环境噪声排放标准》（GB 22337-2008）</w:t>
            </w:r>
          </w:p>
          <w:p w14:paraId="628B8817">
            <w:pPr>
              <w:adjustRightInd w:val="0"/>
              <w:snapToGrid w:val="0"/>
              <w:spacing w:line="240" w:lineRule="auto"/>
              <w:ind w:firstLine="422" w:firstLineChars="200"/>
              <w:jc w:val="center"/>
              <w:rPr>
                <w:rFonts w:hint="default" w:ascii="Times New Roman" w:hAnsi="Times New Roman" w:cs="Times New Roman"/>
                <w:b/>
                <w:color w:val="000000" w:themeColor="text1"/>
                <w:sz w:val="21"/>
                <w:szCs w:val="21"/>
                <w:u w:val="single" w:color="auto"/>
                <w:lang w:val="zh-CN"/>
                <w14:textFill>
                  <w14:solidFill>
                    <w14:schemeClr w14:val="tx1"/>
                  </w14:solidFill>
                </w14:textFill>
              </w:rPr>
            </w:pPr>
            <w:r>
              <w:rPr>
                <w:rFonts w:hint="eastAsia" w:cs="Times New Roman"/>
                <w:b/>
                <w:color w:val="000000" w:themeColor="text1"/>
                <w:sz w:val="21"/>
                <w:szCs w:val="21"/>
                <w:u w:val="single" w:color="auto"/>
                <w:lang w:eastAsia="zh-CN"/>
                <w14:textFill>
                  <w14:solidFill>
                    <w14:schemeClr w14:val="tx1"/>
                  </w14:solidFill>
                </w14:textFill>
              </w:rPr>
              <w:t>（</w:t>
            </w:r>
            <w:r>
              <w:rPr>
                <w:rFonts w:hint="default" w:ascii="Times New Roman" w:hAnsi="Times New Roman" w:cs="Times New Roman"/>
                <w:b/>
                <w:color w:val="000000" w:themeColor="text1"/>
                <w:sz w:val="21"/>
                <w:szCs w:val="21"/>
                <w:u w:val="single" w:color="auto"/>
                <w:lang w:val="zh-CN"/>
                <w14:textFill>
                  <w14:solidFill>
                    <w14:schemeClr w14:val="tx1"/>
                  </w14:solidFill>
                </w14:textFill>
              </w:rPr>
              <w:t>单位：dB（A）</w:t>
            </w:r>
            <w:r>
              <w:rPr>
                <w:rFonts w:hint="eastAsia" w:cs="Times New Roman"/>
                <w:b/>
                <w:color w:val="000000" w:themeColor="text1"/>
                <w:sz w:val="21"/>
                <w:szCs w:val="21"/>
                <w:u w:val="single" w:color="auto"/>
                <w:lang w:eastAsia="zh-CN"/>
                <w14:textFill>
                  <w14:solidFill>
                    <w14:schemeClr w14:val="tx1"/>
                  </w14:solidFill>
                </w14:textFill>
              </w:rPr>
              <w:t>）</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988"/>
              <w:gridCol w:w="1915"/>
              <w:gridCol w:w="1915"/>
            </w:tblGrid>
            <w:tr w14:paraId="17C03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14:paraId="42DFDE2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类别</w:t>
                  </w:r>
                </w:p>
              </w:tc>
              <w:tc>
                <w:tcPr>
                  <w:tcW w:w="1224" w:type="pct"/>
                  <w:vAlign w:val="center"/>
                </w:tcPr>
                <w:p w14:paraId="6D80A996">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昼间</w:t>
                  </w:r>
                </w:p>
              </w:tc>
              <w:tc>
                <w:tcPr>
                  <w:tcW w:w="1224" w:type="pct"/>
                  <w:vAlign w:val="center"/>
                </w:tcPr>
                <w:p w14:paraId="5BEB9E9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夜间</w:t>
                  </w:r>
                </w:p>
              </w:tc>
            </w:tr>
            <w:tr w14:paraId="4E6EB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550" w:type="pct"/>
                  <w:vAlign w:val="center"/>
                </w:tcPr>
                <w:p w14:paraId="44652142">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single" w:color="auto"/>
                      <w14:textFill>
                        <w14:solidFill>
                          <w14:schemeClr w14:val="tx1"/>
                        </w14:solidFill>
                      </w14:textFill>
                    </w:rPr>
                  </w:pPr>
                  <w:r>
                    <w:rPr>
                      <w:rFonts w:hint="eastAsia" w:cs="Times New Roman"/>
                      <w:spacing w:val="0"/>
                      <w:position w:val="0"/>
                      <w:sz w:val="21"/>
                      <w:szCs w:val="21"/>
                      <w:highlight w:val="none"/>
                      <w:u w:val="single" w:color="auto"/>
                      <w:lang w:val="en-US" w:eastAsia="zh-CN"/>
                    </w:rPr>
                    <w:t>《社会生活环境噪声排放标准》（GB 22337-2008）</w:t>
                  </w:r>
                  <w:r>
                    <w:rPr>
                      <w:rFonts w:hint="default" w:ascii="Times New Roman" w:hAnsi="Times New Roman" w:eastAsia="宋体" w:cs="Times New Roman"/>
                      <w:spacing w:val="0"/>
                      <w:position w:val="0"/>
                      <w:sz w:val="21"/>
                      <w:szCs w:val="21"/>
                      <w:highlight w:val="none"/>
                      <w:u w:val="single" w:color="auto"/>
                      <w:lang w:val="en-US" w:eastAsia="zh-CN"/>
                    </w:rPr>
                    <w:t>中的</w:t>
                  </w:r>
                  <w:r>
                    <w:rPr>
                      <w:rFonts w:hint="eastAsia" w:cs="Times New Roman"/>
                      <w:spacing w:val="0"/>
                      <w:position w:val="0"/>
                      <w:sz w:val="21"/>
                      <w:szCs w:val="21"/>
                      <w:highlight w:val="none"/>
                      <w:u w:val="single" w:color="auto"/>
                      <w:lang w:val="en-US" w:eastAsia="zh-CN"/>
                    </w:rPr>
                    <w:t>2</w:t>
                  </w:r>
                  <w:r>
                    <w:rPr>
                      <w:rFonts w:hint="default" w:ascii="Times New Roman" w:hAnsi="Times New Roman" w:eastAsia="宋体" w:cs="Times New Roman"/>
                      <w:spacing w:val="0"/>
                      <w:position w:val="0"/>
                      <w:sz w:val="21"/>
                      <w:szCs w:val="21"/>
                      <w:highlight w:val="none"/>
                      <w:u w:val="single" w:color="auto"/>
                      <w:lang w:val="en-US" w:eastAsia="zh-CN"/>
                    </w:rPr>
                    <w:t>类标准</w:t>
                  </w:r>
                </w:p>
              </w:tc>
              <w:tc>
                <w:tcPr>
                  <w:tcW w:w="1224" w:type="pct"/>
                  <w:vAlign w:val="center"/>
                </w:tcPr>
                <w:p w14:paraId="59D159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60</w:t>
                  </w:r>
                </w:p>
              </w:tc>
              <w:tc>
                <w:tcPr>
                  <w:tcW w:w="1224" w:type="pct"/>
                  <w:vAlign w:val="center"/>
                </w:tcPr>
                <w:p w14:paraId="74C2CBE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50</w:t>
                  </w:r>
                </w:p>
              </w:tc>
            </w:tr>
          </w:tbl>
          <w:p w14:paraId="0F482FC4">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bCs/>
                <w:color w:val="000000" w:themeColor="text1"/>
                <w:sz w:val="24"/>
                <w:u w:val="single" w:color="auto"/>
                <w14:textFill>
                  <w14:solidFill>
                    <w14:schemeClr w14:val="tx1"/>
                  </w14:solidFill>
                </w14:textFill>
              </w:rPr>
            </w:pPr>
            <w:r>
              <w:rPr>
                <w:rFonts w:hint="default" w:ascii="Times New Roman" w:hAnsi="Times New Roman" w:cs="Times New Roman"/>
                <w:b/>
                <w:bCs/>
                <w:color w:val="000000" w:themeColor="text1"/>
                <w:sz w:val="24"/>
                <w:u w:val="single" w:color="auto"/>
                <w14:textFill>
                  <w14:solidFill>
                    <w14:schemeClr w14:val="tx1"/>
                  </w14:solidFill>
                </w14:textFill>
              </w:rPr>
              <w:t>4、固体废物</w:t>
            </w:r>
          </w:p>
          <w:p w14:paraId="0F878010">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Times New Roman" w:hAnsi="Times New Roman" w:cs="Times New Roman"/>
                <w:color w:val="000000" w:themeColor="text1"/>
                <w:sz w:val="24"/>
                <w:u w:val="single" w:color="auto"/>
                <w14:textFill>
                  <w14:solidFill>
                    <w14:schemeClr w14:val="tx1"/>
                  </w14:solidFill>
                </w14:textFill>
              </w:rPr>
            </w:pPr>
            <w:r>
              <w:rPr>
                <w:rFonts w:hint="eastAsia" w:cs="Times New Roman"/>
                <w:color w:val="000000" w:themeColor="text1"/>
                <w:sz w:val="24"/>
                <w:u w:val="single" w:color="auto"/>
                <w:lang w:eastAsia="zh-CN"/>
                <w14:textFill>
                  <w14:solidFill>
                    <w14:schemeClr w14:val="tx1"/>
                  </w14:solidFill>
                </w14:textFill>
              </w:rPr>
              <w:t>（</w:t>
            </w:r>
            <w:r>
              <w:rPr>
                <w:rFonts w:hint="eastAsia" w:cs="Times New Roman"/>
                <w:color w:val="000000" w:themeColor="text1"/>
                <w:sz w:val="24"/>
                <w:u w:val="single" w:color="auto"/>
                <w:lang w:val="en-US" w:eastAsia="zh-CN"/>
                <w14:textFill>
                  <w14:solidFill>
                    <w14:schemeClr w14:val="tx1"/>
                  </w14:solidFill>
                </w14:textFill>
              </w:rPr>
              <w:t>1</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生活垃圾</w:t>
            </w:r>
            <w:r>
              <w:rPr>
                <w:rFonts w:hint="eastAsia" w:cs="Times New Roman"/>
                <w:color w:val="000000" w:themeColor="text1"/>
                <w:sz w:val="24"/>
                <w:u w:val="single" w:color="auto"/>
                <w:lang w:val="en-US" w:eastAsia="zh-CN"/>
                <w14:textFill>
                  <w14:solidFill>
                    <w14:schemeClr w14:val="tx1"/>
                  </w14:solidFill>
                </w14:textFill>
              </w:rPr>
              <w:t>收集后由环卫部门统一清运</w:t>
            </w:r>
            <w:r>
              <w:rPr>
                <w:rFonts w:hint="default" w:ascii="Times New Roman" w:hAnsi="Times New Roman" w:cs="Times New Roman"/>
                <w:color w:val="000000" w:themeColor="text1"/>
                <w:sz w:val="24"/>
                <w:u w:val="single" w:color="auto"/>
                <w14:textFill>
                  <w14:solidFill>
                    <w14:schemeClr w14:val="tx1"/>
                  </w14:solidFill>
                </w14:textFill>
              </w:rPr>
              <w:t>。</w:t>
            </w:r>
          </w:p>
          <w:p w14:paraId="341131C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bCs/>
                <w:color w:val="auto"/>
                <w:kern w:val="21"/>
                <w:sz w:val="24"/>
                <w:szCs w:val="24"/>
                <w:u w:val="single" w:color="auto"/>
              </w:rPr>
            </w:pPr>
            <w:r>
              <w:rPr>
                <w:rFonts w:hint="eastAsia"/>
                <w:bCs/>
                <w:color w:val="auto"/>
                <w:kern w:val="21"/>
                <w:sz w:val="24"/>
                <w:szCs w:val="24"/>
                <w:u w:val="single" w:color="auto"/>
                <w:lang w:eastAsia="zh-CN"/>
              </w:rPr>
              <w:t>（</w:t>
            </w:r>
            <w:r>
              <w:rPr>
                <w:rFonts w:hint="eastAsia"/>
                <w:bCs/>
                <w:color w:val="auto"/>
                <w:kern w:val="21"/>
                <w:sz w:val="24"/>
                <w:szCs w:val="24"/>
                <w:u w:val="single" w:color="auto"/>
                <w:lang w:val="en-US" w:eastAsia="zh-CN"/>
              </w:rPr>
              <w:t>2</w:t>
            </w:r>
            <w:r>
              <w:rPr>
                <w:rFonts w:hint="eastAsia"/>
                <w:bCs/>
                <w:color w:val="auto"/>
                <w:kern w:val="21"/>
                <w:sz w:val="24"/>
                <w:szCs w:val="24"/>
                <w:u w:val="single" w:color="auto"/>
                <w:lang w:eastAsia="zh-CN"/>
              </w:rPr>
              <w:t>）</w:t>
            </w:r>
            <w:r>
              <w:rPr>
                <w:rFonts w:hint="eastAsia"/>
                <w:bCs/>
                <w:color w:val="auto"/>
                <w:kern w:val="21"/>
                <w:sz w:val="24"/>
                <w:szCs w:val="24"/>
                <w:u w:val="single" w:color="auto"/>
              </w:rPr>
              <w:t>污水处理系统污泥清掏前须达到《医疗机构水污染物排放标准》（GB18466-2005）中表4医疗机构污泥控制标准，相关项目限值见表3</w:t>
            </w:r>
            <w:r>
              <w:rPr>
                <w:rFonts w:hint="eastAsia"/>
                <w:bCs/>
                <w:color w:val="auto"/>
                <w:kern w:val="21"/>
                <w:sz w:val="24"/>
                <w:szCs w:val="24"/>
                <w:u w:val="single" w:color="auto"/>
                <w:lang w:val="en-US" w:eastAsia="zh-CN"/>
              </w:rPr>
              <w:t>-8</w:t>
            </w:r>
            <w:r>
              <w:rPr>
                <w:rFonts w:hint="eastAsia"/>
                <w:bCs/>
                <w:color w:val="auto"/>
                <w:kern w:val="21"/>
                <w:sz w:val="24"/>
                <w:szCs w:val="24"/>
                <w:u w:val="single" w:color="auto"/>
              </w:rPr>
              <w:t>。</w:t>
            </w:r>
          </w:p>
          <w:p w14:paraId="466EB185">
            <w:pPr>
              <w:spacing w:line="240" w:lineRule="auto"/>
              <w:jc w:val="center"/>
              <w:rPr>
                <w:rFonts w:hint="eastAsia"/>
                <w:b/>
                <w:bCs w:val="0"/>
                <w:sz w:val="21"/>
                <w:szCs w:val="21"/>
                <w:u w:val="single" w:color="auto"/>
                <w:lang w:val="en-US" w:eastAsia="zh-CN"/>
              </w:rPr>
            </w:pPr>
            <w:r>
              <w:rPr>
                <w:rFonts w:hint="eastAsia"/>
                <w:b/>
                <w:bCs w:val="0"/>
                <w:sz w:val="21"/>
                <w:szCs w:val="21"/>
                <w:u w:val="single" w:color="auto"/>
                <w:lang w:val="en-US" w:eastAsia="zh-CN"/>
              </w:rPr>
              <w:t>表3-9   医疗机构水污染物排放标准</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3295"/>
              <w:gridCol w:w="2564"/>
              <w:gridCol w:w="1959"/>
            </w:tblGrid>
            <w:tr w14:paraId="42842B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3485" w:type="dxa"/>
                  <w:tcBorders>
                    <w:tl2br w:val="nil"/>
                    <w:tr2bl w:val="nil"/>
                  </w:tcBorders>
                  <w:noWrap w:val="0"/>
                  <w:vAlign w:val="center"/>
                </w:tcPr>
                <w:p w14:paraId="477AEA65">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医疗机构类别</w:t>
                  </w:r>
                </w:p>
              </w:tc>
              <w:tc>
                <w:tcPr>
                  <w:tcW w:w="2653" w:type="dxa"/>
                  <w:tcBorders>
                    <w:tl2br w:val="nil"/>
                    <w:tr2bl w:val="nil"/>
                  </w:tcBorders>
                  <w:noWrap w:val="0"/>
                  <w:vAlign w:val="center"/>
                </w:tcPr>
                <w:p w14:paraId="7B895426">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粪大肠菌群数</w:t>
                  </w:r>
                </w:p>
                <w:p w14:paraId="4B116C28">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（MPN/L）</w:t>
                  </w:r>
                </w:p>
              </w:tc>
              <w:tc>
                <w:tcPr>
                  <w:tcW w:w="2038" w:type="dxa"/>
                  <w:tcBorders>
                    <w:tl2br w:val="nil"/>
                    <w:tr2bl w:val="nil"/>
                  </w:tcBorders>
                  <w:noWrap w:val="0"/>
                  <w:vAlign w:val="center"/>
                </w:tcPr>
                <w:p w14:paraId="039271F1">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蛔虫卵死亡率</w:t>
                  </w:r>
                </w:p>
                <w:p w14:paraId="5770BAEF">
                  <w:pPr>
                    <w:spacing w:line="240" w:lineRule="auto"/>
                    <w:ind w:firstLine="0" w:firstLineChars="0"/>
                    <w:jc w:val="center"/>
                    <w:rPr>
                      <w:rFonts w:hint="eastAsia"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w:t>
                  </w:r>
                </w:p>
              </w:tc>
            </w:tr>
            <w:tr w14:paraId="6EB26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3485" w:type="dxa"/>
                  <w:tcBorders>
                    <w:tl2br w:val="nil"/>
                    <w:tr2bl w:val="nil"/>
                  </w:tcBorders>
                  <w:noWrap w:val="0"/>
                  <w:vAlign w:val="center"/>
                </w:tcPr>
                <w:p w14:paraId="3124BF90">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综合医疗机构和其他医疗机构</w:t>
                  </w:r>
                </w:p>
              </w:tc>
              <w:tc>
                <w:tcPr>
                  <w:tcW w:w="2653" w:type="dxa"/>
                  <w:tcBorders>
                    <w:tl2br w:val="nil"/>
                    <w:tr2bl w:val="nil"/>
                  </w:tcBorders>
                  <w:noWrap w:val="0"/>
                  <w:vAlign w:val="center"/>
                </w:tcPr>
                <w:p w14:paraId="313E83E8">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≤100</w:t>
                  </w:r>
                </w:p>
              </w:tc>
              <w:tc>
                <w:tcPr>
                  <w:tcW w:w="2038" w:type="dxa"/>
                  <w:tcBorders>
                    <w:tl2br w:val="nil"/>
                    <w:tr2bl w:val="nil"/>
                  </w:tcBorders>
                  <w:noWrap w:val="0"/>
                  <w:vAlign w:val="center"/>
                </w:tcPr>
                <w:p w14:paraId="540A595B">
                  <w:pPr>
                    <w:spacing w:line="240" w:lineRule="auto"/>
                    <w:ind w:firstLine="0" w:firstLineChars="0"/>
                    <w:jc w:val="center"/>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&gt;95</w:t>
                  </w:r>
                </w:p>
              </w:tc>
            </w:tr>
          </w:tbl>
          <w:p w14:paraId="6EE43A6C">
            <w:pPr>
              <w:widowControl/>
              <w:adjustRightInd w:val="0"/>
              <w:snapToGrid w:val="0"/>
              <w:spacing w:before="157" w:beforeLines="50" w:line="360" w:lineRule="auto"/>
              <w:ind w:firstLine="480" w:firstLineChars="200"/>
              <w:rPr>
                <w:rFonts w:hint="eastAsia"/>
                <w:bCs/>
                <w:color w:val="auto"/>
                <w:kern w:val="21"/>
                <w:sz w:val="24"/>
                <w:u w:val="single" w:color="auto"/>
                <w:lang w:eastAsia="zh-CN"/>
              </w:rPr>
            </w:pPr>
            <w:r>
              <w:rPr>
                <w:rFonts w:hint="eastAsia"/>
                <w:bCs/>
                <w:color w:val="auto"/>
                <w:kern w:val="21"/>
                <w:sz w:val="24"/>
                <w:szCs w:val="24"/>
                <w:u w:val="single" w:color="auto"/>
              </w:rPr>
              <w:t>根据《医疗机构水污染物排放标准》（GB18466-2005），污水处理</w:t>
            </w:r>
            <w:r>
              <w:rPr>
                <w:rFonts w:hint="eastAsia"/>
                <w:bCs/>
                <w:color w:val="auto"/>
                <w:kern w:val="21"/>
                <w:sz w:val="24"/>
                <w:szCs w:val="24"/>
                <w:u w:val="single" w:color="auto"/>
                <w:lang w:eastAsia="zh-CN"/>
              </w:rPr>
              <w:t>站</w:t>
            </w:r>
            <w:r>
              <w:rPr>
                <w:rFonts w:hint="eastAsia"/>
                <w:bCs/>
                <w:color w:val="auto"/>
                <w:kern w:val="21"/>
                <w:sz w:val="24"/>
                <w:szCs w:val="24"/>
                <w:u w:val="single" w:color="auto"/>
              </w:rPr>
              <w:t>污泥属危险废物</w:t>
            </w:r>
            <w:r>
              <w:rPr>
                <w:rFonts w:hint="eastAsia"/>
                <w:bCs/>
                <w:color w:val="auto"/>
                <w:kern w:val="21"/>
                <w:sz w:val="24"/>
                <w:szCs w:val="24"/>
                <w:u w:val="single" w:color="auto"/>
                <w:lang w:eastAsia="zh-CN"/>
              </w:rPr>
              <w:t>，应按危险废物进行处理和处置</w:t>
            </w:r>
            <w:r>
              <w:rPr>
                <w:rFonts w:hint="eastAsia"/>
                <w:bCs/>
                <w:color w:val="auto"/>
                <w:kern w:val="21"/>
                <w:sz w:val="24"/>
                <w:szCs w:val="24"/>
                <w:u w:val="single" w:color="auto"/>
              </w:rPr>
              <w:t>。</w:t>
            </w:r>
            <w:r>
              <w:rPr>
                <w:rFonts w:hint="eastAsia"/>
                <w:bCs/>
                <w:color w:val="auto"/>
                <w:kern w:val="21"/>
                <w:sz w:val="24"/>
                <w:u w:val="single" w:color="auto"/>
              </w:rPr>
              <w:t>危险废物贮存执行《危险废物贮存污染控制标准》</w:t>
            </w:r>
            <w:r>
              <w:rPr>
                <w:rFonts w:hint="eastAsia"/>
                <w:bCs/>
                <w:color w:val="auto"/>
                <w:kern w:val="21"/>
                <w:sz w:val="24"/>
                <w:u w:val="single" w:color="auto"/>
                <w:lang w:eastAsia="zh-CN"/>
              </w:rPr>
              <w:t>（</w:t>
            </w:r>
            <w:r>
              <w:rPr>
                <w:rFonts w:hint="eastAsia"/>
                <w:bCs/>
                <w:color w:val="auto"/>
                <w:kern w:val="21"/>
                <w:sz w:val="24"/>
                <w:u w:val="single" w:color="auto"/>
              </w:rPr>
              <w:t>GB18597-2023</w:t>
            </w:r>
            <w:r>
              <w:rPr>
                <w:rFonts w:hint="eastAsia"/>
                <w:bCs/>
                <w:color w:val="auto"/>
                <w:kern w:val="21"/>
                <w:sz w:val="24"/>
                <w:u w:val="single" w:color="auto"/>
                <w:lang w:eastAsia="zh-CN"/>
              </w:rPr>
              <w:t>）</w:t>
            </w:r>
            <w:r>
              <w:rPr>
                <w:rFonts w:hint="eastAsia"/>
                <w:bCs/>
                <w:color w:val="auto"/>
                <w:kern w:val="21"/>
                <w:sz w:val="24"/>
                <w:u w:val="single" w:color="auto"/>
              </w:rPr>
              <w:t>。危险废物收集、贮存、运输执行《危险废物收集、贮存、运输技术规范》</w:t>
            </w:r>
            <w:r>
              <w:rPr>
                <w:rFonts w:hint="eastAsia"/>
                <w:bCs/>
                <w:color w:val="auto"/>
                <w:kern w:val="21"/>
                <w:sz w:val="24"/>
                <w:u w:val="single" w:color="auto"/>
                <w:lang w:eastAsia="zh-CN"/>
              </w:rPr>
              <w:t>（</w:t>
            </w:r>
            <w:r>
              <w:rPr>
                <w:rFonts w:hint="eastAsia"/>
                <w:bCs/>
                <w:color w:val="auto"/>
                <w:kern w:val="21"/>
                <w:sz w:val="24"/>
                <w:u w:val="single" w:color="auto"/>
              </w:rPr>
              <w:t>HJ2025-2012</w:t>
            </w:r>
            <w:r>
              <w:rPr>
                <w:rFonts w:hint="eastAsia"/>
                <w:bCs/>
                <w:color w:val="auto"/>
                <w:kern w:val="21"/>
                <w:sz w:val="24"/>
                <w:u w:val="single" w:color="auto"/>
                <w:lang w:eastAsia="zh-CN"/>
              </w:rPr>
              <w:t>）。</w:t>
            </w:r>
          </w:p>
          <w:p w14:paraId="4D64A66F">
            <w:pPr>
              <w:numPr>
                <w:ilvl w:val="0"/>
                <w:numId w:val="1"/>
              </w:numPr>
              <w:bidi w:val="0"/>
              <w:ind w:firstLine="480" w:firstLineChars="200"/>
              <w:rPr>
                <w:rFonts w:hint="default" w:ascii="Times New Roman" w:hAnsi="Times New Roman" w:cs="Times New Roman"/>
                <w:color w:val="000000" w:themeColor="text1"/>
                <w:sz w:val="24"/>
                <w:u w:val="single" w:color="auto"/>
                <w14:textFill>
                  <w14:solidFill>
                    <w14:schemeClr w14:val="tx1"/>
                  </w14:solidFill>
                </w14:textFill>
              </w:rPr>
            </w:pPr>
            <w:r>
              <w:rPr>
                <w:rFonts w:hint="default" w:ascii="Times New Roman" w:hAnsi="Times New Roman" w:cs="Times New Roman"/>
                <w:color w:val="000000" w:themeColor="text1"/>
                <w:sz w:val="24"/>
                <w:u w:val="single" w:color="auto"/>
                <w14:textFill>
                  <w14:solidFill>
                    <w14:schemeClr w14:val="tx1"/>
                  </w14:solidFill>
                </w14:textFill>
              </w:rPr>
              <w:t>医疗固废暂存、储运过程按照《医疗废物管理条例》</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国务院2003-380号令</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、《医疗卫生机构医疗废物管理方法》</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中华人民共和国卫生部第36号令</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《医疗废物集中处置技术规范</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试行</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环发[2003]206号</w:t>
            </w:r>
            <w:r>
              <w:rPr>
                <w:rFonts w:hint="eastAsia" w:cs="Times New Roman"/>
                <w:color w:val="000000" w:themeColor="text1"/>
                <w:sz w:val="24"/>
                <w:u w:val="single" w:color="auto"/>
                <w:lang w:eastAsia="zh-CN"/>
                <w14:textFill>
                  <w14:solidFill>
                    <w14:schemeClr w14:val="tx1"/>
                  </w14:solidFill>
                </w14:textFill>
              </w:rPr>
              <w:t>）</w:t>
            </w:r>
            <w:r>
              <w:rPr>
                <w:rFonts w:hint="default" w:ascii="Times New Roman" w:hAnsi="Times New Roman" w:cs="Times New Roman"/>
                <w:color w:val="000000" w:themeColor="text1"/>
                <w:sz w:val="24"/>
                <w:u w:val="single" w:color="auto"/>
                <w14:textFill>
                  <w14:solidFill>
                    <w14:schemeClr w14:val="tx1"/>
                  </w14:solidFill>
                </w14:textFill>
              </w:rPr>
              <w:t>等相关要求执行。</w:t>
            </w:r>
          </w:p>
          <w:p w14:paraId="24C16C72">
            <w:pPr>
              <w:numPr>
                <w:ilvl w:val="0"/>
                <w:numId w:val="1"/>
              </w:numPr>
              <w:bidi w:val="0"/>
              <w:ind w:firstLine="480" w:firstLineChars="200"/>
              <w:rPr>
                <w:rFonts w:hint="eastAsia"/>
                <w:lang w:val="en-US" w:eastAsia="zh-CN"/>
              </w:rPr>
            </w:pPr>
            <w:r>
              <w:rPr>
                <w:rFonts w:hint="default" w:ascii="Times New Roman" w:hAnsi="Times New Roman" w:eastAsia="宋体" w:cs="Times New Roman"/>
                <w:snapToGrid w:val="0"/>
                <w:color w:val="000000"/>
                <w:kern w:val="0"/>
                <w:sz w:val="24"/>
                <w:szCs w:val="24"/>
                <w:u w:val="single" w:color="auto"/>
                <w:lang w:val="en-US" w:eastAsia="zh-CN" w:bidi="ar"/>
              </w:rPr>
              <w:t>一般工业固体废物执行《一般工业固体废物贮存和填埋污染控制标准》（GB18599-2020）</w:t>
            </w:r>
            <w:r>
              <w:rPr>
                <w:rFonts w:hint="eastAsia" w:ascii="Times New Roman" w:hAnsi="Times New Roman" w:eastAsia="宋体" w:cs="Times New Roman"/>
                <w:snapToGrid w:val="0"/>
                <w:color w:val="000000"/>
                <w:kern w:val="0"/>
                <w:sz w:val="24"/>
                <w:szCs w:val="24"/>
                <w:u w:val="single" w:color="auto"/>
                <w:lang w:val="en-US" w:eastAsia="zh-CN" w:bidi="ar"/>
              </w:rPr>
              <w:t>；</w:t>
            </w:r>
            <w:r>
              <w:rPr>
                <w:rFonts w:hint="eastAsia"/>
                <w:bCs/>
                <w:color w:val="auto"/>
                <w:kern w:val="21"/>
                <w:sz w:val="24"/>
                <w:u w:val="single" w:color="auto"/>
                <w:lang w:eastAsia="zh-CN"/>
              </w:rPr>
              <w:t>生活垃圾经收集后由环卫部门统一清运处置。</w:t>
            </w:r>
          </w:p>
        </w:tc>
      </w:tr>
      <w:tr w14:paraId="4FB1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 w:type="dxa"/>
            <w:vAlign w:val="center"/>
          </w:tcPr>
          <w:p w14:paraId="4E70683B">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总量</w:t>
            </w:r>
          </w:p>
          <w:p w14:paraId="05A9681D">
            <w:pPr>
              <w:adjustRightInd w:val="0"/>
              <w:snapToGrid w:val="0"/>
              <w:spacing w:line="240" w:lineRule="auto"/>
              <w:jc w:val="center"/>
              <w:rPr>
                <w:rFonts w:ascii="Times New Roman" w:hAnsi="Times New Roman" w:eastAsia="宋体" w:cs="Times New Roman"/>
                <w:kern w:val="0"/>
                <w:sz w:val="24"/>
                <w:szCs w:val="24"/>
                <w:highlight w:val="none"/>
              </w:rPr>
            </w:pPr>
            <w:r>
              <w:rPr>
                <w:rFonts w:ascii="Times New Roman" w:hAnsi="Times New Roman" w:eastAsia="宋体" w:cs="Times New Roman"/>
                <w:kern w:val="0"/>
                <w:sz w:val="24"/>
                <w:szCs w:val="24"/>
                <w:highlight w:val="none"/>
              </w:rPr>
              <w:t>控制</w:t>
            </w:r>
          </w:p>
          <w:p w14:paraId="0BDD187F">
            <w:pPr>
              <w:keepNext w:val="0"/>
              <w:keepLines w:val="0"/>
              <w:pageBreakBefore w:val="0"/>
              <w:widowControl w:val="0"/>
              <w:kinsoku/>
              <w:wordWrap/>
              <w:overflowPunct/>
              <w:topLinePunct w:val="0"/>
              <w:autoSpaceDE/>
              <w:autoSpaceDN/>
              <w:bidi w:val="0"/>
              <w:spacing w:line="240" w:lineRule="auto"/>
              <w:jc w:val="center"/>
              <w:textAlignment w:val="auto"/>
              <w:rPr>
                <w:rFonts w:hint="default" w:ascii="Times New Roman" w:hAnsi="Times New Roman" w:eastAsia="宋体" w:cs="Times New Roman"/>
                <w:color w:val="auto"/>
                <w:spacing w:val="0"/>
                <w:kern w:val="0"/>
                <w:sz w:val="24"/>
                <w:szCs w:val="24"/>
              </w:rPr>
            </w:pPr>
            <w:r>
              <w:rPr>
                <w:rFonts w:ascii="Times New Roman" w:hAnsi="Times New Roman" w:eastAsia="宋体" w:cs="Times New Roman"/>
                <w:kern w:val="0"/>
                <w:sz w:val="24"/>
                <w:szCs w:val="24"/>
                <w:highlight w:val="none"/>
              </w:rPr>
              <w:t>指标</w:t>
            </w:r>
          </w:p>
        </w:tc>
        <w:tc>
          <w:tcPr>
            <w:tcW w:w="7658" w:type="dxa"/>
            <w:vAlign w:val="center"/>
          </w:tcPr>
          <w:p w14:paraId="0D035D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sz w:val="24"/>
                <w:szCs w:val="24"/>
                <w:u w:val="single" w:color="auto"/>
              </w:rPr>
            </w:pPr>
            <w:r>
              <w:rPr>
                <w:rFonts w:hint="eastAsia"/>
                <w:color w:val="auto"/>
                <w:sz w:val="24"/>
                <w:szCs w:val="24"/>
                <w:u w:val="single" w:color="auto"/>
              </w:rPr>
              <w:t>根据《建设项目主要污染物排放总量指标审核及管理暂行办法》（环发[2014]197号）的要求：严格落实污染物排放总量控制制度，把主要污染物排放总量指标作为建设项目环境影响评价审批的前置条件。排放主要污染物的建设项目，在环境影响评价文件审批前，须取得主要污染物排放总量指标。本项目总量污染物控制因子为</w:t>
            </w:r>
            <w:r>
              <w:rPr>
                <w:rFonts w:hint="eastAsia"/>
                <w:color w:val="auto"/>
                <w:sz w:val="24"/>
                <w:szCs w:val="24"/>
                <w:highlight w:val="none"/>
                <w:u w:val="single" w:color="auto"/>
                <w:lang w:val="en-US" w:eastAsia="zh-CN"/>
              </w:rPr>
              <w:t>COD、NH</w:t>
            </w:r>
            <w:r>
              <w:rPr>
                <w:rFonts w:hint="eastAsia"/>
                <w:color w:val="auto"/>
                <w:sz w:val="24"/>
                <w:szCs w:val="24"/>
                <w:highlight w:val="none"/>
                <w:u w:val="single" w:color="auto"/>
                <w:vertAlign w:val="subscript"/>
                <w:lang w:val="en-US" w:eastAsia="zh-CN"/>
              </w:rPr>
              <w:t>3</w:t>
            </w:r>
            <w:r>
              <w:rPr>
                <w:rFonts w:hint="eastAsia"/>
                <w:color w:val="auto"/>
                <w:sz w:val="24"/>
                <w:szCs w:val="24"/>
                <w:highlight w:val="none"/>
                <w:u w:val="single" w:color="auto"/>
                <w:lang w:val="en-US" w:eastAsia="zh-CN"/>
              </w:rPr>
              <w:t>-N、总磷</w:t>
            </w:r>
            <w:r>
              <w:rPr>
                <w:rFonts w:hint="eastAsia"/>
                <w:color w:val="auto"/>
                <w:sz w:val="24"/>
                <w:szCs w:val="24"/>
                <w:u w:val="single" w:color="auto"/>
              </w:rPr>
              <w:t>。</w:t>
            </w:r>
          </w:p>
          <w:p w14:paraId="7E7D83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u w:val="single" w:color="auto"/>
              </w:rPr>
            </w:pPr>
            <w:r>
              <w:rPr>
                <w:rFonts w:hint="eastAsia"/>
                <w:color w:val="auto"/>
                <w:sz w:val="24"/>
                <w:szCs w:val="24"/>
                <w:u w:val="single" w:color="auto"/>
              </w:rPr>
              <w:t>根据工程分析，确定本项目总量控制建议值情况见表3-</w:t>
            </w:r>
            <w:r>
              <w:rPr>
                <w:rFonts w:hint="eastAsia"/>
                <w:color w:val="auto"/>
                <w:sz w:val="24"/>
                <w:szCs w:val="24"/>
                <w:u w:val="single" w:color="auto"/>
                <w:lang w:val="en-US" w:eastAsia="zh-CN"/>
              </w:rPr>
              <w:t>10</w:t>
            </w:r>
            <w:r>
              <w:rPr>
                <w:rFonts w:hint="eastAsia"/>
                <w:color w:val="auto"/>
                <w:sz w:val="24"/>
                <w:szCs w:val="24"/>
                <w:u w:val="single" w:color="auto"/>
              </w:rPr>
              <w:t>。</w:t>
            </w:r>
          </w:p>
          <w:p w14:paraId="3E94F0F1">
            <w:pPr>
              <w:spacing w:line="240" w:lineRule="auto"/>
              <w:jc w:val="center"/>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b/>
                <w:color w:val="auto"/>
                <w:sz w:val="21"/>
                <w:szCs w:val="21"/>
                <w:highlight w:val="none"/>
                <w:u w:val="single" w:color="auto"/>
              </w:rPr>
              <w:t>表3-</w:t>
            </w:r>
            <w:r>
              <w:rPr>
                <w:rFonts w:hint="eastAsia" w:cs="Times New Roman"/>
                <w:b/>
                <w:color w:val="auto"/>
                <w:sz w:val="21"/>
                <w:szCs w:val="21"/>
                <w:highlight w:val="none"/>
                <w:u w:val="single" w:color="auto"/>
                <w:lang w:val="en-US" w:eastAsia="zh-CN"/>
              </w:rPr>
              <w:t xml:space="preserve">10  </w:t>
            </w:r>
            <w:r>
              <w:rPr>
                <w:rFonts w:hint="default" w:ascii="Times New Roman" w:hAnsi="Times New Roman" w:eastAsia="宋体" w:cs="Times New Roman"/>
                <w:b/>
                <w:color w:val="auto"/>
                <w:sz w:val="21"/>
                <w:szCs w:val="21"/>
                <w:highlight w:val="none"/>
                <w:u w:val="single" w:color="auto"/>
              </w:rPr>
              <w:t>总量核算一览表</w:t>
            </w:r>
          </w:p>
          <w:tbl>
            <w:tblPr>
              <w:tblStyle w:val="24"/>
              <w:tblW w:w="78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48"/>
              <w:gridCol w:w="1691"/>
              <w:gridCol w:w="1693"/>
              <w:gridCol w:w="1693"/>
              <w:gridCol w:w="1694"/>
            </w:tblGrid>
            <w:tr w14:paraId="71E39F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70" w:type="pct"/>
                  <w:noWrap w:val="0"/>
                  <w:vAlign w:val="center"/>
                </w:tcPr>
                <w:p w14:paraId="4387F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eastAsia" w:cs="Times New Roman"/>
                      <w:color w:val="auto"/>
                      <w:sz w:val="21"/>
                      <w:szCs w:val="21"/>
                      <w:highlight w:val="none"/>
                      <w:u w:val="single" w:color="auto"/>
                      <w:lang w:val="en-US" w:eastAsia="zh-CN"/>
                    </w:rPr>
                    <w:t>类</w:t>
                  </w:r>
                  <w:r>
                    <w:rPr>
                      <w:rFonts w:hint="default" w:ascii="Times New Roman" w:hAnsi="Times New Roman" w:eastAsia="宋体" w:cs="Times New Roman"/>
                      <w:color w:val="auto"/>
                      <w:sz w:val="21"/>
                      <w:szCs w:val="21"/>
                      <w:highlight w:val="none"/>
                      <w:u w:val="single" w:color="auto"/>
                    </w:rPr>
                    <w:t>别</w:t>
                  </w:r>
                </w:p>
              </w:tc>
              <w:tc>
                <w:tcPr>
                  <w:tcW w:w="1081" w:type="pct"/>
                  <w:noWrap w:val="0"/>
                  <w:vAlign w:val="center"/>
                </w:tcPr>
                <w:p w14:paraId="53998C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指标名称</w:t>
                  </w:r>
                </w:p>
              </w:tc>
              <w:tc>
                <w:tcPr>
                  <w:tcW w:w="1082" w:type="pct"/>
                  <w:noWrap w:val="0"/>
                  <w:vAlign w:val="center"/>
                </w:tcPr>
                <w:p w14:paraId="08D2CE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城镇污水处理厂排放标准mg/L</w:t>
                  </w:r>
                </w:p>
              </w:tc>
              <w:tc>
                <w:tcPr>
                  <w:tcW w:w="1082" w:type="pct"/>
                  <w:noWrap w:val="0"/>
                  <w:vAlign w:val="center"/>
                </w:tcPr>
                <w:p w14:paraId="4DDA42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排放总量t/a</w:t>
                  </w:r>
                </w:p>
              </w:tc>
              <w:tc>
                <w:tcPr>
                  <w:tcW w:w="1083" w:type="pct"/>
                  <w:noWrap w:val="0"/>
                  <w:vAlign w:val="center"/>
                </w:tcPr>
                <w:p w14:paraId="394899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eastAsia"/>
                      <w:color w:val="auto"/>
                      <w:sz w:val="21"/>
                      <w:szCs w:val="21"/>
                      <w:highlight w:val="none"/>
                      <w:u w:val="single" w:color="auto"/>
                    </w:rPr>
                    <w:t>总量建议值</w:t>
                  </w:r>
                </w:p>
              </w:tc>
            </w:tr>
            <w:tr w14:paraId="5E459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70" w:type="pct"/>
                  <w:vMerge w:val="restart"/>
                  <w:noWrap w:val="0"/>
                  <w:vAlign w:val="center"/>
                </w:tcPr>
                <w:p w14:paraId="496A98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废水</w:t>
                  </w:r>
                </w:p>
              </w:tc>
              <w:tc>
                <w:tcPr>
                  <w:tcW w:w="1081" w:type="pct"/>
                  <w:noWrap w:val="0"/>
                  <w:vAlign w:val="center"/>
                </w:tcPr>
                <w:p w14:paraId="7D01BE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lang w:val="en-US" w:eastAsia="zh-CN"/>
                    </w:rPr>
                  </w:pPr>
                  <w:r>
                    <w:rPr>
                      <w:rFonts w:hint="default" w:ascii="Times New Roman" w:hAnsi="Times New Roman" w:eastAsia="宋体" w:cs="Times New Roman"/>
                      <w:color w:val="auto"/>
                      <w:sz w:val="21"/>
                      <w:szCs w:val="21"/>
                      <w:highlight w:val="none"/>
                      <w:u w:val="single" w:color="auto"/>
                    </w:rPr>
                    <w:t>COD</w:t>
                  </w:r>
                  <w:r>
                    <w:rPr>
                      <w:rFonts w:hint="eastAsia" w:cs="Times New Roman"/>
                      <w:color w:val="auto"/>
                      <w:sz w:val="21"/>
                      <w:szCs w:val="21"/>
                      <w:highlight w:val="none"/>
                      <w:u w:val="single" w:color="auto"/>
                      <w:lang w:val="en-US" w:eastAsia="zh-CN"/>
                    </w:rPr>
                    <w:t>cr</w:t>
                  </w:r>
                </w:p>
              </w:tc>
              <w:tc>
                <w:tcPr>
                  <w:tcW w:w="1082" w:type="pct"/>
                  <w:noWrap w:val="0"/>
                  <w:vAlign w:val="center"/>
                </w:tcPr>
                <w:p w14:paraId="19B6683E">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60</w:t>
                  </w:r>
                </w:p>
              </w:tc>
              <w:tc>
                <w:tcPr>
                  <w:tcW w:w="1082" w:type="pct"/>
                  <w:noWrap w:val="0"/>
                  <w:vAlign w:val="center"/>
                </w:tcPr>
                <w:p w14:paraId="667FF74A">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0.319</w:t>
                  </w:r>
                </w:p>
              </w:tc>
              <w:tc>
                <w:tcPr>
                  <w:tcW w:w="1694" w:type="dxa"/>
                  <w:noWrap w:val="0"/>
                  <w:vAlign w:val="center"/>
                </w:tcPr>
                <w:p w14:paraId="4FA097F9">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0.319</w:t>
                  </w:r>
                </w:p>
              </w:tc>
            </w:tr>
            <w:tr w14:paraId="5F15A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0" w:type="pct"/>
                  <w:vMerge w:val="continue"/>
                  <w:noWrap w:val="0"/>
                  <w:vAlign w:val="center"/>
                </w:tcPr>
                <w:p w14:paraId="412AC6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p>
              </w:tc>
              <w:tc>
                <w:tcPr>
                  <w:tcW w:w="1081" w:type="pct"/>
                  <w:noWrap w:val="0"/>
                  <w:vAlign w:val="center"/>
                </w:tcPr>
                <w:p w14:paraId="16AF15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氨氮</w:t>
                  </w:r>
                </w:p>
              </w:tc>
              <w:tc>
                <w:tcPr>
                  <w:tcW w:w="1082" w:type="pct"/>
                  <w:noWrap w:val="0"/>
                  <w:vAlign w:val="center"/>
                </w:tcPr>
                <w:p w14:paraId="6D4B3CB1">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8</w:t>
                  </w:r>
                </w:p>
              </w:tc>
              <w:tc>
                <w:tcPr>
                  <w:tcW w:w="1082" w:type="pct"/>
                  <w:noWrap w:val="0"/>
                  <w:vAlign w:val="center"/>
                </w:tcPr>
                <w:p w14:paraId="5CB361C3">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eastAsia="宋体"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0.043</w:t>
                  </w:r>
                </w:p>
              </w:tc>
              <w:tc>
                <w:tcPr>
                  <w:tcW w:w="1694" w:type="dxa"/>
                  <w:noWrap w:val="0"/>
                  <w:vAlign w:val="center"/>
                </w:tcPr>
                <w:p w14:paraId="13C119CD">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0.043</w:t>
                  </w:r>
                </w:p>
              </w:tc>
            </w:tr>
            <w:tr w14:paraId="2CF8A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0" w:type="pct"/>
                  <w:vMerge w:val="continue"/>
                  <w:noWrap w:val="0"/>
                  <w:vAlign w:val="center"/>
                </w:tcPr>
                <w:p w14:paraId="57EA4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p>
              </w:tc>
              <w:tc>
                <w:tcPr>
                  <w:tcW w:w="1081" w:type="pct"/>
                  <w:noWrap w:val="0"/>
                  <w:vAlign w:val="center"/>
                </w:tcPr>
                <w:p w14:paraId="20FEE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none"/>
                      <w:u w:val="single" w:color="auto"/>
                    </w:rPr>
                  </w:pPr>
                  <w:r>
                    <w:rPr>
                      <w:rFonts w:hint="eastAsia"/>
                      <w:color w:val="auto"/>
                      <w:sz w:val="24"/>
                      <w:szCs w:val="24"/>
                      <w:highlight w:val="none"/>
                      <w:u w:val="single" w:color="auto"/>
                      <w:lang w:val="en-US" w:eastAsia="zh-CN"/>
                    </w:rPr>
                    <w:t>总磷</w:t>
                  </w:r>
                </w:p>
              </w:tc>
              <w:tc>
                <w:tcPr>
                  <w:tcW w:w="1082" w:type="pct"/>
                  <w:noWrap w:val="0"/>
                  <w:vAlign w:val="center"/>
                </w:tcPr>
                <w:p w14:paraId="5027B3F1">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1</w:t>
                  </w:r>
                </w:p>
              </w:tc>
              <w:tc>
                <w:tcPr>
                  <w:tcW w:w="1082" w:type="pct"/>
                  <w:noWrap w:val="0"/>
                  <w:vAlign w:val="center"/>
                </w:tcPr>
                <w:p w14:paraId="2D088F71">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ascii="Times New Roman" w:hAnsi="Times New Roman"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0.005</w:t>
                  </w:r>
                </w:p>
              </w:tc>
              <w:tc>
                <w:tcPr>
                  <w:tcW w:w="1694" w:type="dxa"/>
                  <w:noWrap w:val="0"/>
                  <w:vAlign w:val="center"/>
                </w:tcPr>
                <w:p w14:paraId="1B7DB07B">
                  <w:pPr>
                    <w:pStyle w:val="38"/>
                    <w:keepNext w:val="0"/>
                    <w:keepLines w:val="0"/>
                    <w:pageBreakBefore w:val="0"/>
                    <w:kinsoku/>
                    <w:wordWrap/>
                    <w:topLinePunct w:val="0"/>
                    <w:bidi w:val="0"/>
                    <w:adjustRightInd w:val="0"/>
                    <w:snapToGrid w:val="0"/>
                    <w:spacing w:line="240" w:lineRule="auto"/>
                    <w:ind w:left="0" w:leftChars="0" w:firstLine="0" w:firstLineChars="0"/>
                    <w:jc w:val="center"/>
                    <w:rPr>
                      <w:rFonts w:hint="default" w:cs="Times New Roman"/>
                      <w:color w:val="auto"/>
                      <w:sz w:val="21"/>
                      <w:szCs w:val="21"/>
                      <w:highlight w:val="none"/>
                      <w:u w:val="single" w:color="auto"/>
                      <w:lang w:val="en-US" w:eastAsia="zh-CN"/>
                    </w:rPr>
                  </w:pPr>
                  <w:r>
                    <w:rPr>
                      <w:rFonts w:hint="eastAsia" w:cs="Times New Roman"/>
                      <w:color w:val="auto"/>
                      <w:sz w:val="21"/>
                      <w:szCs w:val="21"/>
                      <w:highlight w:val="none"/>
                      <w:u w:val="single" w:color="auto"/>
                      <w:lang w:val="en-US" w:eastAsia="zh-CN"/>
                    </w:rPr>
                    <w:t>0.005</w:t>
                  </w:r>
                </w:p>
              </w:tc>
            </w:tr>
          </w:tbl>
          <w:p w14:paraId="28F60848">
            <w:pPr>
              <w:bidi w:val="0"/>
              <w:ind w:firstLine="480" w:firstLineChars="200"/>
              <w:rPr>
                <w:rFonts w:hint="eastAsia" w:ascii="Times New Roman" w:hAnsi="Times New Roman" w:eastAsia="宋体" w:cs="Times New Roman"/>
                <w:color w:val="auto"/>
                <w:sz w:val="24"/>
                <w:highlight w:val="none"/>
                <w:u w:val="single" w:color="auto"/>
                <w:lang w:eastAsia="zh-CN"/>
              </w:rPr>
            </w:pPr>
            <w:r>
              <w:rPr>
                <w:rFonts w:hint="eastAsia" w:cs="Times New Roman"/>
                <w:color w:val="auto"/>
                <w:sz w:val="24"/>
                <w:highlight w:val="none"/>
                <w:u w:val="single" w:color="auto"/>
                <w:lang w:val="en-US" w:eastAsia="zh-CN"/>
              </w:rPr>
              <w:t>本项目废水排入城镇污水处理厂统一深度处理后排放，其排放总量统一纳入</w:t>
            </w:r>
            <w:r>
              <w:rPr>
                <w:rFonts w:hint="eastAsia" w:cs="Times New Roman"/>
                <w:color w:val="000000" w:themeColor="text1"/>
                <w:kern w:val="2"/>
                <w:sz w:val="24"/>
                <w:szCs w:val="24"/>
                <w:u w:val="single" w:color="auto"/>
                <w:lang w:val="en-US" w:eastAsia="zh-CN" w:bidi="ar-SA"/>
                <w14:textFill>
                  <w14:solidFill>
                    <w14:schemeClr w14:val="tx1"/>
                  </w14:solidFill>
                </w14:textFill>
              </w:rPr>
              <w:t>污水处理厂</w:t>
            </w:r>
            <w:r>
              <w:rPr>
                <w:rFonts w:hint="eastAsia" w:cs="Times New Roman"/>
                <w:color w:val="auto"/>
                <w:sz w:val="24"/>
                <w:highlight w:val="none"/>
                <w:u w:val="single" w:color="auto"/>
                <w:lang w:val="en-US" w:eastAsia="zh-CN"/>
              </w:rPr>
              <w:t>管理，无需进行总量指标交易购买</w:t>
            </w:r>
            <w:r>
              <w:rPr>
                <w:rFonts w:hint="eastAsia" w:ascii="Times New Roman" w:hAnsi="Times New Roman" w:eastAsia="宋体" w:cs="Times New Roman"/>
                <w:color w:val="auto"/>
                <w:sz w:val="24"/>
                <w:highlight w:val="none"/>
                <w:u w:val="single" w:color="auto"/>
                <w:lang w:eastAsia="zh-CN"/>
              </w:rPr>
              <w:t>。</w:t>
            </w:r>
          </w:p>
          <w:p w14:paraId="4A49C31D">
            <w:pPr>
              <w:bidi w:val="0"/>
              <w:ind w:firstLine="480" w:firstLineChars="200"/>
              <w:rPr>
                <w:rFonts w:hint="eastAsia" w:ascii="Times New Roman" w:hAnsi="Times New Roman" w:eastAsia="宋体" w:cs="Times New Roman"/>
                <w:color w:val="auto"/>
                <w:sz w:val="24"/>
                <w:highlight w:val="none"/>
                <w:u w:val="single" w:color="auto"/>
                <w:lang w:eastAsia="zh-CN"/>
              </w:rPr>
            </w:pPr>
          </w:p>
          <w:p w14:paraId="7B98F1CB">
            <w:pPr>
              <w:bidi w:val="0"/>
              <w:ind w:firstLine="480" w:firstLineChars="200"/>
              <w:rPr>
                <w:rFonts w:hint="eastAsia" w:ascii="Times New Roman" w:hAnsi="Times New Roman" w:eastAsia="宋体" w:cs="Times New Roman"/>
                <w:color w:val="auto"/>
                <w:sz w:val="24"/>
                <w:highlight w:val="none"/>
                <w:u w:val="single" w:color="auto"/>
                <w:lang w:eastAsia="zh-CN"/>
              </w:rPr>
            </w:pPr>
          </w:p>
          <w:p w14:paraId="3EA747E9">
            <w:pPr>
              <w:bidi w:val="0"/>
              <w:ind w:firstLine="480" w:firstLineChars="200"/>
              <w:rPr>
                <w:rFonts w:hint="eastAsia" w:ascii="Times New Roman" w:hAnsi="Times New Roman" w:eastAsia="宋体" w:cs="Times New Roman"/>
                <w:color w:val="auto"/>
                <w:sz w:val="24"/>
                <w:highlight w:val="none"/>
                <w:u w:val="single" w:color="auto"/>
                <w:lang w:eastAsia="zh-CN"/>
              </w:rPr>
            </w:pPr>
          </w:p>
          <w:p w14:paraId="0C36BA94">
            <w:pPr>
              <w:bidi w:val="0"/>
              <w:ind w:firstLine="480" w:firstLineChars="200"/>
              <w:rPr>
                <w:rFonts w:hint="eastAsia" w:ascii="Times New Roman" w:hAnsi="Times New Roman" w:eastAsia="宋体" w:cs="Times New Roman"/>
                <w:color w:val="auto"/>
                <w:sz w:val="24"/>
                <w:highlight w:val="none"/>
                <w:u w:val="single" w:color="auto"/>
                <w:lang w:eastAsia="zh-CN"/>
              </w:rPr>
            </w:pPr>
          </w:p>
        </w:tc>
      </w:tr>
    </w:tbl>
    <w:p w14:paraId="111F7562">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26F30B2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0"/>
        <w:rPr>
          <w:b/>
          <w:bCs/>
          <w:snapToGrid w:val="0"/>
          <w:sz w:val="30"/>
          <w:szCs w:val="30"/>
        </w:rPr>
      </w:pPr>
      <w:bookmarkStart w:id="17" w:name="_Toc15789"/>
      <w:bookmarkStart w:id="18" w:name="_Toc18350"/>
      <w:r>
        <w:rPr>
          <w:rFonts w:hint="eastAsia" w:ascii="Times New Roman" w:hAnsi="Times New Roman" w:eastAsia="宋体" w:cs="Times New Roman"/>
          <w:b/>
          <w:bCs/>
          <w:snapToGrid w:val="0"/>
          <w:kern w:val="2"/>
          <w:sz w:val="30"/>
          <w:szCs w:val="30"/>
          <w:lang w:val="en-US" w:eastAsia="zh-CN" w:bidi="ar-SA"/>
        </w:rPr>
        <w:t>四、</w:t>
      </w:r>
      <w:r>
        <w:rPr>
          <w:b/>
          <w:bCs/>
          <w:snapToGrid w:val="0"/>
          <w:sz w:val="30"/>
          <w:szCs w:val="30"/>
        </w:rPr>
        <w:t>主要环境影响和保护措施</w:t>
      </w:r>
      <w:bookmarkEnd w:id="17"/>
      <w:bookmarkEnd w:id="18"/>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8025"/>
      </w:tblGrid>
      <w:tr w14:paraId="62E1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58155E1B">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施工期环境保护措施</w:t>
            </w:r>
          </w:p>
        </w:tc>
        <w:tc>
          <w:tcPr>
            <w:tcW w:w="7808" w:type="dxa"/>
            <w:vAlign w:val="top"/>
          </w:tcPr>
          <w:p w14:paraId="4CECBA87">
            <w:pPr>
              <w:spacing w:line="360" w:lineRule="auto"/>
              <w:ind w:firstLine="480" w:firstLineChars="200"/>
              <w:rPr>
                <w:rFonts w:hint="default"/>
                <w:b/>
                <w:bCs/>
                <w:snapToGrid w:val="0"/>
                <w:sz w:val="30"/>
                <w:szCs w:val="30"/>
                <w:vertAlign w:val="baseline"/>
                <w:lang w:val="en-US" w:eastAsia="zh-CN"/>
              </w:rPr>
            </w:pPr>
            <w:r>
              <w:rPr>
                <w:rFonts w:hint="default" w:ascii="Times New Roman" w:hAnsi="Times New Roman" w:cs="Times New Roman"/>
                <w:color w:val="000000" w:themeColor="text1"/>
                <w:sz w:val="24"/>
                <w14:textFill>
                  <w14:solidFill>
                    <w14:schemeClr w14:val="tx1"/>
                  </w14:solidFill>
                </w14:textFill>
              </w:rPr>
              <w:t>根据建设单位提供资料以及现场踏勘调查，项目已投入运行多年</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现为完善项目相关环保手续</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根据现场踏勘，项目施工期已结束，根据与建设单位核实和与周边居民询问，项目施工期间未收到环保投诉，故本环评对其施工期不再进行环境影响评价。</w:t>
            </w:r>
          </w:p>
        </w:tc>
      </w:tr>
      <w:tr w14:paraId="779D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14:paraId="68746484">
            <w:pPr>
              <w:pStyle w:val="1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bCs/>
                <w:color w:val="000000" w:themeColor="text1"/>
                <w:sz w:val="24"/>
                <w14:textFill>
                  <w14:solidFill>
                    <w14:schemeClr w14:val="tx1"/>
                  </w14:solidFill>
                </w14:textFill>
              </w:rPr>
              <w:t>运营期环境影响和保护措施</w:t>
            </w:r>
          </w:p>
        </w:tc>
        <w:tc>
          <w:tcPr>
            <w:tcW w:w="7808" w:type="dxa"/>
            <w:vAlign w:val="top"/>
          </w:tcPr>
          <w:p w14:paraId="556E4628">
            <w:pPr>
              <w:numPr>
                <w:ilvl w:val="0"/>
                <w:numId w:val="0"/>
              </w:numPr>
              <w:outlineLvl w:val="9"/>
              <w:rPr>
                <w:rFonts w:hint="default" w:ascii="Times New Roman" w:hAnsi="Times New Roman" w:eastAsia="宋体" w:cs="Times New Roman"/>
                <w:b/>
                <w:bCs/>
                <w:color w:val="auto"/>
                <w:sz w:val="24"/>
                <w:szCs w:val="24"/>
                <w:u w:val="none" w:color="auto"/>
                <w:lang w:val="en-US" w:eastAsia="zh-CN"/>
              </w:rPr>
            </w:pPr>
            <w:r>
              <w:rPr>
                <w:rFonts w:hint="eastAsia" w:cs="Times New Roman"/>
                <w:b/>
                <w:bCs/>
                <w:color w:val="auto"/>
                <w:kern w:val="2"/>
                <w:sz w:val="24"/>
                <w:szCs w:val="24"/>
                <w:u w:val="none" w:color="auto"/>
                <w:lang w:val="en-US" w:eastAsia="zh-CN" w:bidi="ar-SA"/>
              </w:rPr>
              <w:t>一</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运营期大气环境影响和保护措施</w:t>
            </w:r>
          </w:p>
          <w:p w14:paraId="794B792D">
            <w:pPr>
              <w:pStyle w:val="15"/>
              <w:spacing w:after="0" w:line="360" w:lineRule="auto"/>
              <w:ind w:firstLine="480" w:firstLineChars="200"/>
              <w:rPr>
                <w:rFonts w:hint="default" w:ascii="Times New Roman" w:hAnsi="Times New Roman" w:cs="Times New Roman"/>
                <w:b/>
                <w:bCs/>
                <w:color w:val="000000" w:themeColor="text1"/>
                <w:sz w:val="24"/>
                <w14:textFill>
                  <w14:solidFill>
                    <w14:schemeClr w14:val="tx1"/>
                  </w14:solidFill>
                </w14:textFill>
              </w:rPr>
            </w:pPr>
            <w:r>
              <w:rPr>
                <w:rFonts w:hint="eastAsia" w:cs="Times New Roman"/>
                <w:b w:val="0"/>
                <w:bCs w:val="0"/>
                <w:sz w:val="24"/>
                <w:szCs w:val="24"/>
                <w:u w:val="none" w:color="auto"/>
                <w:lang w:val="en-US" w:eastAsia="zh-CN"/>
              </w:rPr>
              <w:t>1、</w:t>
            </w:r>
            <w:r>
              <w:rPr>
                <w:rFonts w:hint="eastAsia" w:ascii="Times New Roman" w:hAnsi="Times New Roman" w:eastAsia="宋体" w:cs="Times New Roman"/>
                <w:b w:val="0"/>
                <w:bCs w:val="0"/>
                <w:sz w:val="24"/>
                <w:szCs w:val="24"/>
                <w:u w:val="none" w:color="auto"/>
                <w:lang w:val="en-US" w:eastAsia="zh-CN"/>
              </w:rPr>
              <w:t>废气</w:t>
            </w:r>
            <w:r>
              <w:rPr>
                <w:rFonts w:hint="default" w:ascii="Times New Roman" w:hAnsi="Times New Roman" w:eastAsia="宋体" w:cs="Times New Roman"/>
                <w:b w:val="0"/>
                <w:bCs w:val="0"/>
                <w:sz w:val="24"/>
                <w:szCs w:val="24"/>
                <w:u w:val="none" w:color="auto"/>
              </w:rPr>
              <w:t>产生</w:t>
            </w:r>
            <w:r>
              <w:rPr>
                <w:rFonts w:hint="eastAsia" w:ascii="Times New Roman" w:hAnsi="Times New Roman" w:eastAsia="宋体" w:cs="Times New Roman"/>
                <w:b w:val="0"/>
                <w:bCs w:val="0"/>
                <w:sz w:val="24"/>
                <w:szCs w:val="24"/>
                <w:u w:val="none" w:color="auto"/>
                <w:lang w:val="en-US" w:eastAsia="zh-CN"/>
              </w:rPr>
              <w:t>及排放情况</w:t>
            </w:r>
          </w:p>
          <w:p w14:paraId="610217AB">
            <w:pPr>
              <w:spacing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本项目废气主要为煎药废气、</w:t>
            </w:r>
            <w:r>
              <w:rPr>
                <w:rFonts w:hint="eastAsia" w:cs="Times New Roman"/>
                <w:color w:val="000000" w:themeColor="text1"/>
                <w:sz w:val="24"/>
                <w:lang w:eastAsia="zh-CN"/>
                <w14:textFill>
                  <w14:solidFill>
                    <w14:schemeClr w14:val="tx1"/>
                  </w14:solidFill>
                </w14:textFill>
              </w:rPr>
              <w:t>污水处理站废气、</w:t>
            </w:r>
            <w:r>
              <w:rPr>
                <w:rFonts w:hint="eastAsia" w:ascii="宋体" w:hAnsi="宋体" w:eastAsia="宋体" w:cs="宋体"/>
                <w:color w:val="000000"/>
                <w:kern w:val="0"/>
                <w:sz w:val="24"/>
                <w:szCs w:val="24"/>
                <w:highlight w:val="none"/>
                <w:u w:val="none" w:color="auto"/>
                <w:lang w:val="en-US" w:eastAsia="zh-CN" w:bidi="ar"/>
              </w:rPr>
              <w:t>医废暂存间异味</w:t>
            </w:r>
            <w:r>
              <w:rPr>
                <w:rFonts w:hint="eastAsia" w:ascii="宋体" w:hAnsi="宋体" w:cs="宋体"/>
                <w:color w:val="000000"/>
                <w:kern w:val="0"/>
                <w:sz w:val="24"/>
                <w:szCs w:val="24"/>
                <w:highlight w:val="none"/>
                <w:u w:val="none" w:color="auto"/>
                <w:lang w:val="en-US" w:eastAsia="zh-CN" w:bidi="ar"/>
              </w:rPr>
              <w:t>、</w:t>
            </w:r>
            <w:r>
              <w:rPr>
                <w:rFonts w:hint="eastAsia" w:ascii="宋体" w:hAnsi="宋体" w:eastAsia="宋体" w:cs="宋体"/>
                <w:color w:val="000000"/>
                <w:kern w:val="0"/>
                <w:sz w:val="24"/>
                <w:szCs w:val="24"/>
                <w:highlight w:val="none"/>
                <w:u w:val="none" w:color="auto"/>
                <w:lang w:val="en-US" w:eastAsia="zh-CN" w:bidi="ar"/>
              </w:rPr>
              <w:t>医疗废气</w:t>
            </w:r>
            <w:r>
              <w:rPr>
                <w:rFonts w:hint="eastAsia" w:ascii="宋体" w:hAnsi="宋体" w:cs="宋体"/>
                <w:color w:val="000000"/>
                <w:kern w:val="0"/>
                <w:sz w:val="24"/>
                <w:szCs w:val="24"/>
                <w:highlight w:val="none"/>
                <w:u w:val="none" w:color="auto"/>
                <w:lang w:val="en-US" w:eastAsia="zh-CN" w:bidi="ar"/>
              </w:rPr>
              <w:t>和食堂油烟废气</w:t>
            </w:r>
            <w:r>
              <w:rPr>
                <w:rFonts w:hint="default" w:ascii="Times New Roman" w:hAnsi="Times New Roman" w:cs="Times New Roman"/>
                <w:color w:val="000000" w:themeColor="text1"/>
                <w:sz w:val="24"/>
                <w:highlight w:val="none"/>
                <w14:textFill>
                  <w14:solidFill>
                    <w14:schemeClr w14:val="tx1"/>
                  </w14:solidFill>
                </w14:textFill>
              </w:rPr>
              <w:t>。</w:t>
            </w:r>
          </w:p>
          <w:p w14:paraId="042A097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煎药废气</w:t>
            </w:r>
          </w:p>
          <w:p w14:paraId="3C18705E">
            <w:pPr>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项目采用电加热自动煎药机，煎药过程中会产生少量中药异味，煎药废气通过加强房间通风处理后呈无组织排放；</w:t>
            </w:r>
            <w:r>
              <w:rPr>
                <w:rFonts w:hint="default" w:ascii="Times New Roman" w:hAnsi="Times New Roman" w:cs="Times New Roman"/>
                <w:color w:val="000000" w:themeColor="text1"/>
                <w:kern w:val="0"/>
                <w:sz w:val="24"/>
                <w:szCs w:val="20"/>
                <w14:textFill>
                  <w14:solidFill>
                    <w14:schemeClr w14:val="tx1"/>
                  </w14:solidFill>
                </w14:textFill>
              </w:rPr>
              <w:t>医院应从源头控制废气的排放，严格控制煎药时间段</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并定时对中药煎煮区进行消毒和强制通风</w:t>
            </w:r>
            <w:r>
              <w:rPr>
                <w:rFonts w:hint="eastAsia" w:cs="Times New Roman"/>
                <w:color w:val="000000" w:themeColor="text1"/>
                <w:kern w:val="0"/>
                <w:sz w:val="24"/>
                <w:szCs w:val="20"/>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对周边环境影响较小。</w:t>
            </w:r>
          </w:p>
          <w:p w14:paraId="30D18C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cs="Times New Roman"/>
                <w:color w:val="000000" w:themeColor="text1"/>
                <w:sz w:val="24"/>
                <w:highlight w:val="none"/>
                <w:lang w:val="en-US" w:eastAsia="zh-CN"/>
                <w14:textFill>
                  <w14:solidFill>
                    <w14:schemeClr w14:val="tx1"/>
                  </w14:solidFill>
                </w14:textFill>
              </w:rPr>
              <w:t>2</w:t>
            </w:r>
            <w:r>
              <w:rPr>
                <w:rFonts w:hint="eastAsia" w:ascii="Times New Roman" w:hAnsi="Times New Roman" w:cs="Times New Roman"/>
                <w:color w:val="000000" w:themeColor="text1"/>
                <w:sz w:val="24"/>
                <w:highlight w:val="none"/>
                <w:lang w:eastAsia="zh-CN"/>
                <w14:textFill>
                  <w14:solidFill>
                    <w14:schemeClr w14:val="tx1"/>
                  </w14:solidFill>
                </w14:textFill>
              </w:rPr>
              <w:t>）</w:t>
            </w:r>
            <w:r>
              <w:rPr>
                <w:rFonts w:hint="eastAsia" w:ascii="Times New Roman" w:hAnsi="Times New Roman" w:eastAsia="宋体" w:cs="Times New Roman"/>
                <w:sz w:val="24"/>
                <w:szCs w:val="24"/>
                <w:highlight w:val="none"/>
                <w:lang w:val="en-US" w:eastAsia="zh-CN"/>
              </w:rPr>
              <w:t>医疗暂存间异味</w:t>
            </w:r>
          </w:p>
          <w:p w14:paraId="70CBC8B0">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医废暂存间异味来源于医疗废物在医废暂存间暂时贮存产生的恶臭，该部分恶臭产生量较小，本评价不进行定量计算，仅做定性分析</w:t>
            </w:r>
            <w:r>
              <w:rPr>
                <w:rFonts w:hint="default" w:ascii="Times New Roman" w:hAnsi="Times New Roman" w:eastAsia="宋体" w:cs="Times New Roman"/>
                <w:sz w:val="24"/>
                <w:szCs w:val="24"/>
                <w:highlight w:val="none"/>
                <w:u w:val="none" w:color="auto"/>
                <w:vertAlign w:val="baseline"/>
                <w:lang w:val="en-US" w:eastAsia="zh-CN"/>
              </w:rPr>
              <w:t>。</w:t>
            </w:r>
          </w:p>
          <w:p w14:paraId="3A4B572C">
            <w:pPr>
              <w:spacing w:line="360" w:lineRule="auto"/>
              <w:ind w:firstLine="480" w:firstLineChars="200"/>
              <w:rPr>
                <w:rFonts w:hint="eastAsia" w:ascii="Times New Roman" w:hAnsi="Times New Roman" w:eastAsia="宋体" w:cs="Times New Roman"/>
                <w:sz w:val="24"/>
                <w:szCs w:val="24"/>
                <w:highlight w:val="none"/>
                <w:u w:val="none" w:color="auto"/>
                <w:vertAlign w:val="baseline"/>
                <w:lang w:val="en-US" w:eastAsia="zh-CN"/>
              </w:rPr>
            </w:pPr>
            <w:r>
              <w:rPr>
                <w:rFonts w:hint="eastAsia" w:ascii="Times New Roman" w:hAnsi="Times New Roman" w:eastAsia="宋体" w:cs="Times New Roman"/>
                <w:sz w:val="24"/>
                <w:szCs w:val="24"/>
                <w:highlight w:val="none"/>
                <w:u w:val="none" w:color="auto"/>
                <w:vertAlign w:val="baseline"/>
                <w:lang w:val="en-US" w:eastAsia="zh-CN"/>
              </w:rPr>
              <w:t>本项目医废暂存间位于</w:t>
            </w:r>
            <w:r>
              <w:rPr>
                <w:rFonts w:hint="eastAsia" w:cs="Times New Roman"/>
                <w:sz w:val="24"/>
                <w:szCs w:val="24"/>
                <w:highlight w:val="none"/>
                <w:u w:val="none" w:color="auto"/>
                <w:vertAlign w:val="baseline"/>
                <w:lang w:val="en-US" w:eastAsia="zh-CN"/>
              </w:rPr>
              <w:t>门诊</w:t>
            </w:r>
            <w:r>
              <w:rPr>
                <w:rFonts w:hint="eastAsia" w:ascii="Times New Roman" w:hAnsi="Times New Roman" w:eastAsia="宋体" w:cs="Times New Roman"/>
                <w:sz w:val="24"/>
                <w:szCs w:val="24"/>
                <w:highlight w:val="none"/>
                <w:u w:val="none" w:color="auto"/>
                <w:vertAlign w:val="baseline"/>
                <w:lang w:val="en-US" w:eastAsia="zh-CN"/>
              </w:rPr>
              <w:t>大楼</w:t>
            </w:r>
            <w:r>
              <w:rPr>
                <w:rFonts w:hint="eastAsia" w:cs="Times New Roman"/>
                <w:sz w:val="24"/>
                <w:szCs w:val="24"/>
                <w:highlight w:val="none"/>
                <w:u w:val="none" w:color="auto"/>
                <w:vertAlign w:val="baseline"/>
                <w:lang w:val="en-US" w:eastAsia="zh-CN"/>
              </w:rPr>
              <w:t>东北</w:t>
            </w:r>
            <w:r>
              <w:rPr>
                <w:rFonts w:hint="eastAsia" w:ascii="Times New Roman" w:hAnsi="Times New Roman" w:eastAsia="宋体" w:cs="Times New Roman"/>
                <w:sz w:val="24"/>
                <w:szCs w:val="24"/>
                <w:highlight w:val="none"/>
                <w:u w:val="none" w:color="auto"/>
                <w:vertAlign w:val="baseline"/>
                <w:lang w:val="en-US" w:eastAsia="zh-CN"/>
              </w:rPr>
              <w:t>侧，为独立封闭空间，院内产生的医疗废物经院内各科室设置专用医疗废物收集桶分类收集，再集中到院内医疗废物暂存间分类暂存，设置防漏胶袋打包密封，最大程度可降低恶臭溢出，医疗暂存间地面进行定期清洁和消毒。采取上述措施后，项目医疗废物在院内暂时贮存逸散的恶臭可达到有效削减，不会对周边环境造成明显影响。</w:t>
            </w:r>
          </w:p>
          <w:p w14:paraId="450023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u w:val="none" w:color="auto"/>
                <w:vertAlign w:val="baseline"/>
                <w:lang w:val="en-US" w:eastAsia="zh-CN"/>
              </w:rPr>
              <w:t>（3）</w:t>
            </w:r>
            <w:r>
              <w:rPr>
                <w:rFonts w:hint="eastAsia" w:ascii="Times New Roman" w:hAnsi="Times New Roman" w:eastAsia="宋体" w:cs="Times New Roman"/>
                <w:sz w:val="24"/>
                <w:szCs w:val="24"/>
                <w:highlight w:val="none"/>
                <w:lang w:val="en-US" w:eastAsia="zh-CN"/>
              </w:rPr>
              <w:t>医疗废气</w:t>
            </w:r>
          </w:p>
          <w:p w14:paraId="3A53DD4C">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sz w:val="24"/>
                <w:szCs w:val="24"/>
                <w:highlight w:val="none"/>
                <w:u w:val="none" w:color="auto"/>
                <w:vertAlign w:val="baseline"/>
                <w:lang w:val="en-US" w:eastAsia="zh-CN"/>
              </w:rPr>
            </w:pPr>
            <w:r>
              <w:rPr>
                <w:rFonts w:hint="default" w:ascii="Times New Roman" w:hAnsi="Times New Roman" w:eastAsia="宋体" w:cs="Times New Roman"/>
                <w:sz w:val="24"/>
                <w:szCs w:val="24"/>
                <w:lang w:val="en-US" w:eastAsia="zh-CN"/>
              </w:rPr>
              <w:t>为降低院内各楼栋、楼层内空间中的含菌量，院内经常使用消毒剂对楼道、病房、卫生间等进行消毒处理，此过程产生少量异味，其产生量较小，</w:t>
            </w:r>
            <w:r>
              <w:rPr>
                <w:rFonts w:hint="default" w:ascii="Times New Roman" w:hAnsi="Times New Roman" w:eastAsia="宋体" w:cs="Times New Roman"/>
                <w:sz w:val="24"/>
                <w:szCs w:val="24"/>
                <w:highlight w:val="none"/>
                <w:u w:val="none" w:color="auto"/>
                <w:vertAlign w:val="baseline"/>
                <w:lang w:val="en-US" w:eastAsia="zh-CN"/>
              </w:rPr>
              <w:t>本评价不进行定量计算，仅作定性分析。</w:t>
            </w:r>
          </w:p>
          <w:p w14:paraId="67653602">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u w:val="none" w:color="auto"/>
                <w:vertAlign w:val="baseline"/>
                <w:lang w:val="en-US" w:eastAsia="zh-CN"/>
              </w:rPr>
              <w:t>医疗废气</w:t>
            </w:r>
            <w:r>
              <w:rPr>
                <w:rFonts w:hint="default" w:ascii="Times New Roman" w:hAnsi="Times New Roman" w:eastAsia="宋体" w:cs="Times New Roman"/>
                <w:sz w:val="24"/>
                <w:szCs w:val="24"/>
                <w:lang w:val="en-US" w:eastAsia="zh-CN"/>
              </w:rPr>
              <w:t>经院内各楼层常开窗通风换气，呈无组织排放，对周边环境影响较小。</w:t>
            </w:r>
          </w:p>
          <w:p w14:paraId="0CB16A58">
            <w:pPr>
              <w:pStyle w:val="15"/>
              <w:numPr>
                <w:ilvl w:val="0"/>
                <w:numId w:val="0"/>
              </w:numPr>
              <w:spacing w:after="0" w:line="360" w:lineRule="auto"/>
              <w:ind w:left="1202" w:leftChars="0" w:hanging="720" w:firstLineChars="0"/>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kern w:val="2"/>
                <w:sz w:val="24"/>
                <w:szCs w:val="24"/>
                <w:lang w:val="en-US" w:eastAsia="zh-CN" w:bidi="ar-SA"/>
                <w14:textFill>
                  <w14:solidFill>
                    <w14:schemeClr w14:val="tx1"/>
                  </w14:solidFill>
                </w14:textFill>
              </w:rPr>
              <w:t>4</w:t>
            </w:r>
            <w:r>
              <w:rPr>
                <w:rFonts w:hint="default" w:ascii="Times New Roman" w:hAnsi="Times New Roman"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cs="Times New Roman"/>
                <w:b w:val="0"/>
                <w:bCs w:val="0"/>
                <w:color w:val="000000" w:themeColor="text1"/>
                <w:sz w:val="24"/>
                <w:lang w:eastAsia="zh-CN"/>
                <w14:textFill>
                  <w14:solidFill>
                    <w14:schemeClr w14:val="tx1"/>
                  </w14:solidFill>
                </w14:textFill>
              </w:rPr>
              <w:t>污水处理站</w:t>
            </w:r>
            <w:r>
              <w:rPr>
                <w:rFonts w:hint="default" w:ascii="Times New Roman" w:hAnsi="Times New Roman" w:cs="Times New Roman"/>
                <w:b w:val="0"/>
                <w:bCs w:val="0"/>
                <w:color w:val="000000" w:themeColor="text1"/>
                <w:sz w:val="24"/>
                <w14:textFill>
                  <w14:solidFill>
                    <w14:schemeClr w14:val="tx1"/>
                  </w14:solidFill>
                </w14:textFill>
              </w:rPr>
              <w:t>废气</w:t>
            </w:r>
          </w:p>
          <w:p w14:paraId="7EC2F2C4">
            <w:pPr>
              <w:pStyle w:val="15"/>
              <w:spacing w:after="0"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根据美国EPA对城市污水处理厂恶臭污染情况的研究，每去除1g的BOD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可产生NH</w:t>
            </w:r>
            <w:r>
              <w:rPr>
                <w:rFonts w:hint="default" w:ascii="Times New Roman" w:hAnsi="Times New Roman" w:cs="Times New Roman"/>
                <w:color w:val="000000" w:themeColor="text1"/>
                <w:sz w:val="24"/>
                <w:vertAlign w:val="subscript"/>
                <w14:textFill>
                  <w14:solidFill>
                    <w14:schemeClr w14:val="tx1"/>
                  </w14:solidFill>
                </w14:textFill>
              </w:rPr>
              <w:t>3</w:t>
            </w:r>
            <w:r>
              <w:rPr>
                <w:rFonts w:hint="default" w:ascii="Times New Roman" w:hAnsi="Times New Roman" w:cs="Times New Roman"/>
                <w:color w:val="000000" w:themeColor="text1"/>
                <w:sz w:val="24"/>
                <w14:textFill>
                  <w14:solidFill>
                    <w14:schemeClr w14:val="tx1"/>
                  </w14:solidFill>
                </w14:textFill>
              </w:rPr>
              <w:t>0.0031g、H</w:t>
            </w:r>
            <w:r>
              <w:rPr>
                <w:rFonts w:hint="default" w:ascii="Times New Roman" w:hAnsi="Times New Roman" w:cs="Times New Roman"/>
                <w:color w:val="000000" w:themeColor="text1"/>
                <w:sz w:val="24"/>
                <w:vertAlign w:val="subscript"/>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S0.00012g。</w:t>
            </w:r>
          </w:p>
          <w:p w14:paraId="6C76069C">
            <w:pPr>
              <w:pStyle w:val="15"/>
              <w:spacing w:after="0" w:line="360" w:lineRule="auto"/>
              <w:ind w:firstLine="480" w:firstLineChars="200"/>
              <w:rPr>
                <w:rFonts w:hint="eastAsia" w:eastAsia="宋体" w:cs="Times New Roman"/>
                <w:color w:val="000000" w:themeColor="text1"/>
                <w:sz w:val="24"/>
                <w:lang w:val="en-US" w:eastAsia="zh-CN"/>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根据《医疗</w:t>
            </w:r>
            <w:r>
              <w:rPr>
                <w:rFonts w:hint="eastAsia" w:cs="Times New Roman"/>
                <w:color w:val="000000" w:themeColor="text1"/>
                <w:sz w:val="24"/>
                <w:lang w:eastAsia="zh-CN"/>
                <w14:textFill>
                  <w14:solidFill>
                    <w14:schemeClr w14:val="tx1"/>
                  </w14:solidFill>
                </w14:textFill>
              </w:rPr>
              <w:t>污水处理工程技术规范</w:t>
            </w:r>
            <w:r>
              <w:rPr>
                <w:rFonts w:hint="default" w:ascii="Times New Roman" w:hAnsi="Times New Roman" w:cs="Times New Roman"/>
                <w:color w:val="000000" w:themeColor="text1"/>
                <w:sz w:val="24"/>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HJ2029-2013</w:t>
            </w:r>
            <w:r>
              <w:rPr>
                <w:rFonts w:hint="default" w:ascii="Times New Roman" w:hAnsi="Times New Roman" w:cs="Times New Roman"/>
                <w:color w:val="000000" w:themeColor="text1"/>
                <w:sz w:val="24"/>
                <w14:textFill>
                  <w14:solidFill>
                    <w14:schemeClr w14:val="tx1"/>
                  </w14:solidFill>
                </w14:textFill>
              </w:rPr>
              <w:t>）：医院污水</w:t>
            </w:r>
            <w:r>
              <w:rPr>
                <w:rFonts w:hint="eastAsia" w:cs="Times New Roman"/>
                <w:color w:val="000000" w:themeColor="text1"/>
                <w:sz w:val="24"/>
                <w:lang w:eastAsia="zh-CN"/>
                <w14:textFill>
                  <w14:solidFill>
                    <w14:schemeClr w14:val="tx1"/>
                  </w14:solidFill>
                </w14:textFill>
              </w:rPr>
              <w:t>水质指标</w:t>
            </w:r>
            <w:r>
              <w:rPr>
                <w:rFonts w:hint="default" w:ascii="Times New Roman" w:hAnsi="Times New Roman" w:cs="Times New Roman"/>
                <w:color w:val="000000" w:themeColor="text1"/>
                <w:sz w:val="24"/>
                <w14:textFill>
                  <w14:solidFill>
                    <w14:schemeClr w14:val="tx1"/>
                  </w14:solidFill>
                </w14:textFill>
              </w:rPr>
              <w:t>中BOD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产生浓度为</w:t>
            </w:r>
            <w:r>
              <w:rPr>
                <w:rFonts w:hint="eastAsia" w:cs="Times New Roman"/>
                <w:color w:val="000000" w:themeColor="text1"/>
                <w:sz w:val="24"/>
                <w:lang w:val="en-US" w:eastAsia="zh-CN"/>
                <w14:textFill>
                  <w14:solidFill>
                    <w14:schemeClr w14:val="tx1"/>
                  </w14:solidFill>
                </w14:textFill>
              </w:rPr>
              <w:t>80</w:t>
            </w:r>
            <w:r>
              <w:rPr>
                <w:rFonts w:hint="default" w:ascii="Times New Roman" w:hAnsi="Times New Roman" w:cs="Times New Roman"/>
                <w:color w:val="000000" w:themeColor="text1"/>
                <w:sz w:val="24"/>
                <w:lang w:val="en-US"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150mg/L，</w:t>
            </w:r>
            <w:r>
              <w:rPr>
                <w:rFonts w:hint="eastAsia" w:cs="Times New Roman"/>
                <w:color w:val="000000" w:themeColor="text1"/>
                <w:sz w:val="24"/>
                <w:lang w:eastAsia="zh-CN"/>
                <w14:textFill>
                  <w14:solidFill>
                    <w14:schemeClr w14:val="tx1"/>
                  </w14:solidFill>
                </w14:textFill>
              </w:rPr>
              <w:t>本次评价取</w:t>
            </w:r>
            <w:r>
              <w:rPr>
                <w:rFonts w:hint="eastAsia" w:cs="Times New Roman"/>
                <w:color w:val="000000" w:themeColor="text1"/>
                <w:sz w:val="24"/>
                <w:lang w:val="en-US" w:eastAsia="zh-CN"/>
                <w14:textFill>
                  <w14:solidFill>
                    <w14:schemeClr w14:val="tx1"/>
                  </w14:solidFill>
                </w14:textFill>
              </w:rPr>
              <w:t>150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《医疗机构水污染排放标准》（GB18466-2005）</w:t>
            </w:r>
            <w:r>
              <w:rPr>
                <w:rFonts w:hint="eastAsia" w:cs="Times New Roman"/>
                <w:color w:val="000000" w:themeColor="text1"/>
                <w:sz w:val="24"/>
                <w:lang w:eastAsia="zh-CN"/>
                <w14:textFill>
                  <w14:solidFill>
                    <w14:schemeClr w14:val="tx1"/>
                  </w14:solidFill>
                </w14:textFill>
              </w:rPr>
              <w:t>表</w:t>
            </w:r>
            <w:r>
              <w:rPr>
                <w:rFonts w:hint="eastAsia" w:cs="Times New Roman"/>
                <w:color w:val="000000" w:themeColor="text1"/>
                <w:sz w:val="24"/>
                <w:lang w:val="en-US" w:eastAsia="zh-CN"/>
                <w14:textFill>
                  <w14:solidFill>
                    <w14:schemeClr w14:val="tx1"/>
                  </w14:solidFill>
                </w14:textFill>
              </w:rPr>
              <w:t>2</w:t>
            </w:r>
            <w:r>
              <w:rPr>
                <w:rFonts w:hint="default" w:ascii="Times New Roman" w:hAnsi="Times New Roman" w:cs="Times New Roman"/>
                <w:color w:val="000000" w:themeColor="text1"/>
                <w:sz w:val="24"/>
                <w14:textFill>
                  <w14:solidFill>
                    <w14:schemeClr w14:val="tx1"/>
                  </w14:solidFill>
                </w14:textFill>
              </w:rPr>
              <w:t>综合医疗机构和其他医疗机构水污染物排放限值</w:t>
            </w:r>
            <w:r>
              <w:rPr>
                <w:rFonts w:hint="eastAsia" w:cs="Times New Roman"/>
                <w:color w:val="000000" w:themeColor="text1"/>
                <w:sz w:val="24"/>
                <w:lang w:eastAsia="zh-CN"/>
                <w14:textFill>
                  <w14:solidFill>
                    <w14:schemeClr w14:val="tx1"/>
                  </w14:solidFill>
                </w14:textFill>
              </w:rPr>
              <w:t>明确：</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ascii="Times New Roman" w:hAnsi="Times New Roman" w:cs="Times New Roman"/>
                <w:color w:val="000000" w:themeColor="text1"/>
                <w:sz w:val="24"/>
                <w14:textFill>
                  <w14:solidFill>
                    <w14:schemeClr w14:val="tx1"/>
                  </w14:solidFill>
                </w14:textFill>
              </w:rPr>
              <w:t>的预处理标准</w:t>
            </w:r>
            <w:r>
              <w:rPr>
                <w:rFonts w:hint="eastAsia" w:cs="Times New Roman"/>
                <w:color w:val="000000" w:themeColor="text1"/>
                <w:sz w:val="24"/>
                <w:lang w:eastAsia="zh-CN"/>
                <w14:textFill>
                  <w14:solidFill>
                    <w14:schemeClr w14:val="tx1"/>
                  </w14:solidFill>
                </w14:textFill>
              </w:rPr>
              <w:t>限值浓度为</w:t>
            </w:r>
            <w:r>
              <w:rPr>
                <w:rFonts w:hint="eastAsia" w:cs="Times New Roman"/>
                <w:color w:val="000000" w:themeColor="text1"/>
                <w:sz w:val="24"/>
                <w:lang w:val="en-US" w:eastAsia="zh-CN"/>
                <w14:textFill>
                  <w14:solidFill>
                    <w14:schemeClr w14:val="tx1"/>
                  </w14:solidFill>
                </w14:textFill>
              </w:rPr>
              <w:t>100</w:t>
            </w:r>
            <w:r>
              <w:rPr>
                <w:rFonts w:hint="default" w:ascii="Times New Roman" w:hAnsi="Times New Roman" w:cs="Times New Roman"/>
                <w:color w:val="000000" w:themeColor="text1"/>
                <w:sz w:val="24"/>
                <w14:textFill>
                  <w14:solidFill>
                    <w14:schemeClr w14:val="tx1"/>
                  </w14:solidFill>
                </w14:textFill>
              </w:rPr>
              <w:t>mg/L</w:t>
            </w:r>
            <w:r>
              <w:rPr>
                <w:rFonts w:hint="eastAsia" w:cs="Times New Roman"/>
                <w:color w:val="000000" w:themeColor="text1"/>
                <w:sz w:val="24"/>
                <w:lang w:eastAsia="zh-CN"/>
                <w14:textFill>
                  <w14:solidFill>
                    <w14:schemeClr w14:val="tx1"/>
                  </w14:solidFill>
                </w14:textFill>
              </w:rPr>
              <w:t>。</w:t>
            </w:r>
          </w:p>
          <w:p w14:paraId="4CD1911F">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eastAsia" w:cs="Times New Roman"/>
                <w:color w:val="000000" w:themeColor="text1"/>
                <w:sz w:val="24"/>
                <w:lang w:eastAsia="zh-CN"/>
                <w14:textFill>
                  <w14:solidFill>
                    <w14:schemeClr w14:val="tx1"/>
                  </w14:solidFill>
                </w14:textFill>
              </w:rPr>
              <w:t>同时，</w:t>
            </w:r>
            <w:r>
              <w:rPr>
                <w:rFonts w:hint="default" w:ascii="Times New Roman" w:hAnsi="Times New Roman" w:cs="Times New Roman"/>
                <w:color w:val="000000" w:themeColor="text1"/>
                <w:sz w:val="24"/>
                <w14:textFill>
                  <w14:solidFill>
                    <w14:schemeClr w14:val="tx1"/>
                  </w14:solidFill>
                </w14:textFill>
              </w:rPr>
              <w:t>本项目</w:t>
            </w:r>
            <w:r>
              <w:rPr>
                <w:rFonts w:hint="eastAsia" w:cs="Times New Roman"/>
                <w:color w:val="000000" w:themeColor="text1"/>
                <w:sz w:val="24"/>
                <w:lang w:eastAsia="zh-CN"/>
                <w14:textFill>
                  <w14:solidFill>
                    <w14:schemeClr w14:val="tx1"/>
                  </w14:solidFill>
                </w14:textFill>
              </w:rPr>
              <w:t>综合</w:t>
            </w:r>
            <w:r>
              <w:rPr>
                <w:rFonts w:hint="default" w:ascii="Times New Roman" w:hAnsi="Times New Roman" w:cs="Times New Roman"/>
                <w:color w:val="000000" w:themeColor="text1"/>
                <w:sz w:val="24"/>
                <w14:textFill>
                  <w14:solidFill>
                    <w14:schemeClr w14:val="tx1"/>
                  </w14:solidFill>
                </w14:textFill>
              </w:rPr>
              <w:t>医疗废水产生量</w:t>
            </w:r>
            <w:r>
              <w:rPr>
                <w:rFonts w:hint="default" w:ascii="Times New Roman" w:hAnsi="Times New Roman" w:cs="Times New Roman"/>
                <w:color w:val="000000" w:themeColor="text1"/>
                <w:sz w:val="24"/>
                <w:u w:val="none" w:color="auto"/>
                <w14:textFill>
                  <w14:solidFill>
                    <w14:schemeClr w14:val="tx1"/>
                  </w14:solidFill>
                </w14:textFill>
              </w:rPr>
              <w:t>为</w:t>
            </w:r>
            <w:r>
              <w:rPr>
                <w:rFonts w:hint="eastAsia" w:cs="Times New Roman"/>
                <w:color w:val="auto"/>
                <w:sz w:val="24"/>
                <w:szCs w:val="24"/>
                <w:u w:val="none" w:color="auto"/>
                <w:vertAlign w:val="baseline"/>
                <w:lang w:val="en-US" w:eastAsia="zh-CN"/>
              </w:rPr>
              <w:t>14.568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（5317.32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，则综合医疗废水中</w:t>
            </w:r>
            <w:r>
              <w:rPr>
                <w:rFonts w:hint="default" w:ascii="Times New Roman" w:hAnsi="Times New Roman" w:cs="Times New Roman"/>
                <w:color w:val="000000" w:themeColor="text1"/>
                <w:sz w:val="24"/>
                <w14:textFill>
                  <w14:solidFill>
                    <w14:schemeClr w14:val="tx1"/>
                  </w14:solidFill>
                </w14:textFill>
              </w:rPr>
              <w:t>BOD</w:t>
            </w:r>
            <w:r>
              <w:rPr>
                <w:rFonts w:hint="default" w:ascii="Times New Roman" w:hAnsi="Times New Roman" w:cs="Times New Roman"/>
                <w:color w:val="000000" w:themeColor="text1"/>
                <w:sz w:val="24"/>
                <w:vertAlign w:val="subscript"/>
                <w14:textFill>
                  <w14:solidFill>
                    <w14:schemeClr w14:val="tx1"/>
                  </w14:solidFill>
                </w14:textFill>
              </w:rPr>
              <w:t>5</w:t>
            </w:r>
            <w:r>
              <w:rPr>
                <w:rFonts w:hint="default" w:cs="Times New Roman"/>
                <w:color w:val="000000" w:themeColor="text1"/>
                <w:sz w:val="24"/>
                <w:vertAlign w:val="baseline"/>
                <w:lang w:eastAsia="zh-CN"/>
                <w14:textFill>
                  <w14:solidFill>
                    <w14:schemeClr w14:val="tx1"/>
                  </w14:solidFill>
                </w14:textFill>
              </w:rPr>
              <w:t>的</w:t>
            </w:r>
            <w:r>
              <w:rPr>
                <w:rFonts w:hint="eastAsia" w:cs="Times New Roman"/>
                <w:color w:val="000000" w:themeColor="text1"/>
                <w:sz w:val="24"/>
                <w:vertAlign w:val="baseline"/>
                <w:lang w:eastAsia="zh-CN"/>
                <w14:textFill>
                  <w14:solidFill>
                    <w14:schemeClr w14:val="tx1"/>
                  </w14:solidFill>
                </w14:textFill>
              </w:rPr>
              <w:t>去除量</w:t>
            </w:r>
            <w:r>
              <w:rPr>
                <w:rFonts w:hint="default" w:cs="Times New Roman"/>
                <w:color w:val="000000" w:themeColor="text1"/>
                <w:sz w:val="24"/>
                <w:vertAlign w:val="baseline"/>
                <w:lang w:eastAsia="zh-CN"/>
                <w14:textFill>
                  <w14:solidFill>
                    <w14:schemeClr w14:val="tx1"/>
                  </w14:solidFill>
                </w14:textFill>
              </w:rPr>
              <w:t>为</w:t>
            </w:r>
            <w:r>
              <w:rPr>
                <w:rFonts w:hint="eastAsia" w:cs="Times New Roman"/>
                <w:color w:val="000000" w:themeColor="text1"/>
                <w:sz w:val="24"/>
                <w:vertAlign w:val="baseline"/>
                <w:lang w:val="en-US" w:eastAsia="zh-CN"/>
                <w14:textFill>
                  <w14:solidFill>
                    <w14:schemeClr w14:val="tx1"/>
                  </w14:solidFill>
                </w14:textFill>
              </w:rPr>
              <w:t>0.266</w:t>
            </w:r>
            <w:r>
              <w:rPr>
                <w:rFonts w:hint="default" w:ascii="Times New Roman" w:hAnsi="Times New Roman" w:cs="Times New Roman"/>
                <w:color w:val="000000" w:themeColor="text1"/>
                <w:sz w:val="24"/>
                <w14:textFill>
                  <w14:solidFill>
                    <w14:schemeClr w14:val="tx1"/>
                  </w14:solidFill>
                </w14:textFill>
              </w:rPr>
              <w:t>t/a</w:t>
            </w:r>
            <w:r>
              <w:rPr>
                <w:rFonts w:hint="eastAsia"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highlight w:val="none"/>
                <w14:textFill>
                  <w14:solidFill>
                    <w14:schemeClr w14:val="tx1"/>
                  </w14:solidFill>
                </w14:textFill>
              </w:rPr>
              <w:t>本项目污水处理站NH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highlight w:val="none"/>
                <w:lang w:eastAsia="zh-CN"/>
                <w14:textFill>
                  <w14:solidFill>
                    <w14:schemeClr w14:val="tx1"/>
                  </w14:solidFill>
                </w14:textFill>
              </w:rPr>
              <w:t>的产生量</w:t>
            </w:r>
            <w:r>
              <w:rPr>
                <w:rFonts w:hint="default" w:ascii="Times New Roman" w:hAnsi="Times New Roman" w:cs="Times New Roman"/>
                <w:color w:val="000000" w:themeColor="text1"/>
                <w:sz w:val="24"/>
                <w:highlight w:val="none"/>
                <w14:textFill>
                  <w14:solidFill>
                    <w14:schemeClr w14:val="tx1"/>
                  </w14:solidFill>
                </w14:textFill>
              </w:rPr>
              <w:t>分别为</w:t>
            </w:r>
            <w:r>
              <w:rPr>
                <w:rFonts w:hint="eastAsia" w:cs="Times New Roman"/>
                <w:color w:val="000000" w:themeColor="text1"/>
                <w:sz w:val="24"/>
                <w:highlight w:val="none"/>
                <w:lang w:val="en-US" w:eastAsia="zh-CN"/>
                <w14:textFill>
                  <w14:solidFill>
                    <w14:schemeClr w14:val="tx1"/>
                  </w14:solidFill>
                </w14:textFill>
              </w:rPr>
              <w:t>0.825</w:t>
            </w:r>
            <w:r>
              <w:rPr>
                <w:rFonts w:hint="default" w:ascii="Times New Roman" w:hAnsi="Times New Roman" w:cs="Times New Roman"/>
                <w:color w:val="000000" w:themeColor="text1"/>
                <w:sz w:val="24"/>
                <w:highlight w:val="none"/>
                <w14:textFill>
                  <w14:solidFill>
                    <w14:schemeClr w14:val="tx1"/>
                  </w14:solidFill>
                </w14:textFill>
              </w:rPr>
              <w:t>kg/a、</w:t>
            </w:r>
            <w:r>
              <w:rPr>
                <w:rFonts w:hint="default" w:ascii="Times New Roman" w:hAnsi="Times New Roman" w:cs="Times New Roman"/>
                <w:color w:val="000000" w:themeColor="text1"/>
                <w:sz w:val="24"/>
                <w:highlight w:val="none"/>
                <w:lang w:val="en-US" w:eastAsia="zh-CN"/>
                <w14:textFill>
                  <w14:solidFill>
                    <w14:schemeClr w14:val="tx1"/>
                  </w14:solidFill>
                </w14:textFill>
              </w:rPr>
              <w:t>0.0</w:t>
            </w:r>
            <w:r>
              <w:rPr>
                <w:rFonts w:hint="eastAsia" w:cs="Times New Roman"/>
                <w:color w:val="000000" w:themeColor="text1"/>
                <w:sz w:val="24"/>
                <w:highlight w:val="none"/>
                <w:lang w:val="en-US" w:eastAsia="zh-CN"/>
                <w14:textFill>
                  <w14:solidFill>
                    <w14:schemeClr w14:val="tx1"/>
                  </w14:solidFill>
                </w14:textFill>
              </w:rPr>
              <w:t>32</w:t>
            </w:r>
            <w:r>
              <w:rPr>
                <w:rFonts w:hint="default" w:ascii="Times New Roman" w:hAnsi="Times New Roman" w:cs="Times New Roman"/>
                <w:color w:val="000000" w:themeColor="text1"/>
                <w:sz w:val="24"/>
                <w:highlight w:val="none"/>
                <w14:textFill>
                  <w14:solidFill>
                    <w14:schemeClr w14:val="tx1"/>
                  </w14:solidFill>
                </w14:textFill>
              </w:rPr>
              <w:t>kg/a。本项目污水处理站恶臭经加盖密封</w:t>
            </w:r>
            <w:r>
              <w:rPr>
                <w:rFonts w:hint="eastAsia" w:cs="Times New Roman"/>
                <w:color w:val="000000" w:themeColor="text1"/>
                <w:sz w:val="24"/>
                <w:u w:val="none"/>
                <w:lang w:val="en-US" w:eastAsia="zh-CN"/>
                <w14:textFill>
                  <w14:solidFill>
                    <w14:schemeClr w14:val="tx1"/>
                  </w14:solidFill>
                </w14:textFill>
              </w:rPr>
              <w:t>，投放除臭剂</w:t>
            </w:r>
            <w:r>
              <w:rPr>
                <w:rFonts w:hint="default" w:ascii="Times New Roman" w:hAnsi="Times New Roman" w:cs="Times New Roman"/>
                <w:color w:val="000000" w:themeColor="text1"/>
                <w:sz w:val="24"/>
                <w:highlight w:val="none"/>
                <w14:textFill>
                  <w14:solidFill>
                    <w14:schemeClr w14:val="tx1"/>
                  </w14:solidFill>
                </w14:textFill>
              </w:rPr>
              <w:t>后无组织排放。</w:t>
            </w:r>
          </w:p>
          <w:p w14:paraId="4CCAB728">
            <w:pPr>
              <w:pStyle w:val="15"/>
              <w:spacing w:after="0" w:line="360" w:lineRule="auto"/>
              <w:ind w:firstLine="480" w:firstLineChars="200"/>
              <w:rPr>
                <w:rFonts w:hint="default" w:eastAsia="宋体" w:cs="Times New Roman"/>
                <w:color w:val="000000" w:themeColor="text1"/>
                <w:sz w:val="24"/>
                <w:lang w:eastAsia="zh-CN"/>
                <w14:textFill>
                  <w14:solidFill>
                    <w14:schemeClr w14:val="tx1"/>
                  </w14:solidFill>
                </w14:textFill>
              </w:rPr>
            </w:pPr>
            <w:r>
              <w:rPr>
                <w:rFonts w:hint="eastAsia" w:cs="Times New Roman"/>
                <w:color w:val="000000" w:themeColor="text1"/>
                <w:sz w:val="24"/>
                <w:lang w:eastAsia="zh-CN"/>
                <w14:textFill>
                  <w14:solidFill>
                    <w14:schemeClr w14:val="tx1"/>
                  </w14:solidFill>
                </w14:textFill>
              </w:rPr>
              <w:t>本项目污水处理站产生的恶臭气体（</w:t>
            </w:r>
            <w:r>
              <w:rPr>
                <w:rFonts w:hint="default" w:ascii="Times New Roman" w:hAnsi="Times New Roman" w:cs="Times New Roman"/>
                <w:color w:val="000000" w:themeColor="text1"/>
                <w:sz w:val="24"/>
                <w:highlight w:val="none"/>
                <w14:textFill>
                  <w14:solidFill>
                    <w14:schemeClr w14:val="tx1"/>
                  </w14:solidFill>
                </w14:textFill>
              </w:rPr>
              <w:t>NH</w:t>
            </w:r>
            <w:r>
              <w:rPr>
                <w:rFonts w:hint="default" w:ascii="Times New Roman" w:hAnsi="Times New Roman" w:cs="Times New Roman"/>
                <w:color w:val="000000" w:themeColor="text1"/>
                <w:sz w:val="24"/>
                <w:highlight w:val="none"/>
                <w:vertAlign w:val="subscript"/>
                <w14:textFill>
                  <w14:solidFill>
                    <w14:schemeClr w14:val="tx1"/>
                  </w14:solidFill>
                </w14:textFill>
              </w:rPr>
              <w:t>3</w:t>
            </w:r>
            <w:r>
              <w:rPr>
                <w:rFonts w:hint="default" w:ascii="Times New Roman" w:hAnsi="Times New Roman" w:cs="Times New Roman"/>
                <w:color w:val="000000" w:themeColor="text1"/>
                <w:sz w:val="24"/>
                <w:highlight w:val="none"/>
                <w14:textFill>
                  <w14:solidFill>
                    <w14:schemeClr w14:val="tx1"/>
                  </w14:solidFill>
                </w14:textFill>
              </w:rPr>
              <w:t>、H</w:t>
            </w:r>
            <w:r>
              <w:rPr>
                <w:rFonts w:hint="default" w:ascii="Times New Roman" w:hAnsi="Times New Roman" w:cs="Times New Roman"/>
                <w:color w:val="000000" w:themeColor="text1"/>
                <w:sz w:val="24"/>
                <w:highlight w:val="none"/>
                <w:vertAlign w:val="subscript"/>
                <w14:textFill>
                  <w14:solidFill>
                    <w14:schemeClr w14:val="tx1"/>
                  </w14:solidFill>
                </w14:textFill>
              </w:rPr>
              <w:t>2</w:t>
            </w:r>
            <w:r>
              <w:rPr>
                <w:rFonts w:hint="default" w:ascii="Times New Roman" w:hAnsi="Times New Roman" w:cs="Times New Roman"/>
                <w:color w:val="000000" w:themeColor="text1"/>
                <w:sz w:val="24"/>
                <w:highlight w:val="none"/>
                <w14:textFill>
                  <w14:solidFill>
                    <w14:schemeClr w14:val="tx1"/>
                  </w14:solidFill>
                </w14:textFill>
              </w:rPr>
              <w:t>S</w:t>
            </w:r>
            <w:r>
              <w:rPr>
                <w:rFonts w:hint="eastAsia" w:cs="Times New Roman"/>
                <w:color w:val="000000" w:themeColor="text1"/>
                <w:sz w:val="24"/>
                <w:lang w:eastAsia="zh-CN"/>
                <w14:textFill>
                  <w14:solidFill>
                    <w14:schemeClr w14:val="tx1"/>
                  </w14:solidFill>
                </w14:textFill>
              </w:rPr>
              <w:t>）</w:t>
            </w:r>
            <w:r>
              <w:rPr>
                <w:rFonts w:hint="default" w:eastAsia="宋体" w:cs="Times New Roman"/>
                <w:color w:val="000000" w:themeColor="text1"/>
                <w:sz w:val="24"/>
                <w:lang w:eastAsia="zh-CN"/>
                <w14:textFill>
                  <w14:solidFill>
                    <w14:schemeClr w14:val="tx1"/>
                  </w14:solidFill>
                </w14:textFill>
              </w:rPr>
              <w:t>经</w:t>
            </w:r>
            <w:r>
              <w:rPr>
                <w:rFonts w:hint="eastAsia" w:cs="Times New Roman"/>
                <w:color w:val="000000" w:themeColor="text1"/>
                <w:sz w:val="24"/>
                <w:lang w:eastAsia="zh-CN"/>
                <w14:textFill>
                  <w14:solidFill>
                    <w14:schemeClr w14:val="tx1"/>
                  </w14:solidFill>
                </w14:textFill>
              </w:rPr>
              <w:t>采取地埋式</w:t>
            </w:r>
            <w:r>
              <w:rPr>
                <w:rFonts w:hint="default" w:eastAsia="宋体" w:cs="Times New Roman"/>
                <w:color w:val="000000" w:themeColor="text1"/>
                <w:sz w:val="24"/>
                <w:lang w:eastAsia="zh-CN"/>
                <w14:textFill>
                  <w14:solidFill>
                    <w14:schemeClr w14:val="tx1"/>
                  </w14:solidFill>
                </w14:textFill>
              </w:rPr>
              <w:t>密闭加盖</w:t>
            </w:r>
            <w:r>
              <w:rPr>
                <w:rFonts w:hint="eastAsia" w:cs="Times New Roman"/>
                <w:color w:val="000000" w:themeColor="text1"/>
                <w:sz w:val="24"/>
                <w:lang w:eastAsia="zh-CN"/>
                <w14:textFill>
                  <w14:solidFill>
                    <w14:schemeClr w14:val="tx1"/>
                  </w14:solidFill>
                </w14:textFill>
              </w:rPr>
              <w:t>、</w:t>
            </w:r>
            <w:r>
              <w:rPr>
                <w:rFonts w:hint="eastAsia" w:cs="Times New Roman"/>
                <w:color w:val="000000" w:themeColor="text1"/>
                <w:sz w:val="24"/>
                <w:lang w:val="en-US" w:eastAsia="zh-CN"/>
                <w14:textFill>
                  <w14:solidFill>
                    <w14:schemeClr w14:val="tx1"/>
                  </w14:solidFill>
                </w14:textFill>
              </w:rPr>
              <w:t>周边绿化</w:t>
            </w:r>
            <w:r>
              <w:rPr>
                <w:rFonts w:hint="eastAsia" w:cs="Times New Roman"/>
                <w:color w:val="000000" w:themeColor="text1"/>
                <w:sz w:val="24"/>
                <w:lang w:eastAsia="zh-CN"/>
                <w14:textFill>
                  <w14:solidFill>
                    <w14:schemeClr w14:val="tx1"/>
                  </w14:solidFill>
                </w14:textFill>
              </w:rPr>
              <w:t>等措施后</w:t>
            </w:r>
            <w:r>
              <w:rPr>
                <w:rFonts w:hint="default" w:eastAsia="宋体" w:cs="Times New Roman"/>
                <w:color w:val="000000" w:themeColor="text1"/>
                <w:sz w:val="24"/>
                <w:lang w:eastAsia="zh-CN"/>
                <w14:textFill>
                  <w14:solidFill>
                    <w14:schemeClr w14:val="tx1"/>
                  </w14:solidFill>
                </w14:textFill>
              </w:rPr>
              <w:t>，</w:t>
            </w:r>
            <w:r>
              <w:rPr>
                <w:rFonts w:hint="eastAsia" w:cs="Times New Roman"/>
                <w:color w:val="000000" w:themeColor="text1"/>
                <w:sz w:val="24"/>
                <w:lang w:eastAsia="zh-CN"/>
                <w14:textFill>
                  <w14:solidFill>
                    <w14:schemeClr w14:val="tx1"/>
                  </w14:solidFill>
                </w14:textFill>
              </w:rPr>
              <w:t>可大幅减低其排放量</w:t>
            </w:r>
            <w:r>
              <w:rPr>
                <w:rFonts w:hint="default" w:eastAsia="宋体" w:cs="Times New Roman"/>
                <w:color w:val="000000" w:themeColor="text1"/>
                <w:sz w:val="24"/>
                <w:lang w:eastAsia="zh-CN"/>
                <w14:textFill>
                  <w14:solidFill>
                    <w14:schemeClr w14:val="tx1"/>
                  </w14:solidFill>
                </w14:textFill>
              </w:rPr>
              <w:t>。</w:t>
            </w:r>
          </w:p>
          <w:p w14:paraId="0A099F6C">
            <w:pPr>
              <w:pStyle w:val="15"/>
              <w:spacing w:after="0" w:line="360" w:lineRule="auto"/>
              <w:ind w:firstLine="480" w:firstLineChars="200"/>
              <w:rPr>
                <w:rFonts w:hint="default" w:ascii="Times New Roman" w:hAnsi="Times New Roman" w:cs="Times New Roman"/>
                <w:color w:val="000000" w:themeColor="text1"/>
                <w:sz w:val="24"/>
                <w:highlight w:val="none"/>
                <w14:textFill>
                  <w14:solidFill>
                    <w14:schemeClr w14:val="tx1"/>
                  </w14:solidFill>
                </w14:textFill>
              </w:rPr>
            </w:pPr>
            <w:r>
              <w:rPr>
                <w:rFonts w:hint="default" w:ascii="Times New Roman" w:hAnsi="Times New Roman" w:cs="Times New Roman"/>
                <w:color w:val="000000" w:themeColor="text1"/>
                <w:sz w:val="24"/>
                <w:highlight w:val="none"/>
                <w14:textFill>
                  <w14:solidFill>
                    <w14:schemeClr w14:val="tx1"/>
                  </w14:solidFill>
                </w14:textFill>
              </w:rPr>
              <w:t>项目废气排放情况见表4</w:t>
            </w:r>
            <w:r>
              <w:rPr>
                <w:rFonts w:hint="default" w:ascii="Times New Roman" w:hAnsi="Times New Roman" w:cs="Times New Roman"/>
                <w:color w:val="000000" w:themeColor="text1"/>
                <w:sz w:val="24"/>
                <w:highlight w:val="none"/>
                <w:lang w:val="en-US" w:eastAsia="zh-CN"/>
                <w14:textFill>
                  <w14:solidFill>
                    <w14:schemeClr w14:val="tx1"/>
                  </w14:solidFill>
                </w14:textFill>
              </w:rPr>
              <w:t>-1</w:t>
            </w:r>
            <w:r>
              <w:rPr>
                <w:rFonts w:hint="default" w:ascii="Times New Roman" w:hAnsi="Times New Roman" w:cs="Times New Roman"/>
                <w:color w:val="000000" w:themeColor="text1"/>
                <w:sz w:val="24"/>
                <w:highlight w:val="none"/>
                <w14:textFill>
                  <w14:solidFill>
                    <w14:schemeClr w14:val="tx1"/>
                  </w14:solidFill>
                </w14:textFill>
              </w:rPr>
              <w:t>。</w:t>
            </w:r>
          </w:p>
          <w:p w14:paraId="52D87A03">
            <w:pPr>
              <w:spacing w:line="240" w:lineRule="auto"/>
              <w:ind w:firstLine="422" w:firstLineChars="200"/>
              <w:jc w:val="center"/>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lang w:val="en-US" w:eastAsia="zh-CN"/>
              </w:rPr>
              <w:t>表4-1  项目废气排放情况</w:t>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autofit"/>
              <w:tblCellMar>
                <w:top w:w="0" w:type="dxa"/>
                <w:left w:w="108" w:type="dxa"/>
                <w:bottom w:w="0" w:type="dxa"/>
                <w:right w:w="108" w:type="dxa"/>
              </w:tblCellMar>
            </w:tblPr>
            <w:tblGrid>
              <w:gridCol w:w="900"/>
              <w:gridCol w:w="1105"/>
              <w:gridCol w:w="1186"/>
              <w:gridCol w:w="1625"/>
              <w:gridCol w:w="1051"/>
              <w:gridCol w:w="1636"/>
            </w:tblGrid>
            <w:tr w14:paraId="06CFB328">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tcBorders>
                    <w:tl2br w:val="nil"/>
                    <w:tr2bl w:val="nil"/>
                  </w:tcBorders>
                  <w:vAlign w:val="center"/>
                </w:tcPr>
                <w:p w14:paraId="129746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产污</w:t>
                  </w:r>
                </w:p>
                <w:p w14:paraId="1A25F4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环节</w:t>
                  </w:r>
                </w:p>
              </w:tc>
              <w:tc>
                <w:tcPr>
                  <w:tcW w:w="1105" w:type="dxa"/>
                  <w:tcBorders>
                    <w:tl2br w:val="nil"/>
                    <w:tr2bl w:val="nil"/>
                  </w:tcBorders>
                  <w:vAlign w:val="center"/>
                </w:tcPr>
                <w:p w14:paraId="246DCE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污染因子</w:t>
                  </w:r>
                </w:p>
              </w:tc>
              <w:tc>
                <w:tcPr>
                  <w:tcW w:w="1186" w:type="dxa"/>
                  <w:tcBorders>
                    <w:tl2br w:val="nil"/>
                    <w:tr2bl w:val="nil"/>
                  </w:tcBorders>
                  <w:vAlign w:val="center"/>
                </w:tcPr>
                <w:p w14:paraId="2F863C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产生量</w:t>
                  </w:r>
                </w:p>
              </w:tc>
              <w:tc>
                <w:tcPr>
                  <w:tcW w:w="1625" w:type="dxa"/>
                  <w:tcBorders>
                    <w:tl2br w:val="nil"/>
                    <w:tr2bl w:val="nil"/>
                  </w:tcBorders>
                  <w:vAlign w:val="center"/>
                </w:tcPr>
                <w:p w14:paraId="48E2B1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处理措施</w:t>
                  </w:r>
                </w:p>
              </w:tc>
              <w:tc>
                <w:tcPr>
                  <w:tcW w:w="1007" w:type="dxa"/>
                  <w:tcBorders>
                    <w:tl2br w:val="nil"/>
                    <w:tr2bl w:val="nil"/>
                  </w:tcBorders>
                  <w:vAlign w:val="center"/>
                </w:tcPr>
                <w:p w14:paraId="1ACA02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排放量</w:t>
                  </w:r>
                </w:p>
              </w:tc>
              <w:tc>
                <w:tcPr>
                  <w:tcW w:w="1636" w:type="dxa"/>
                  <w:tcBorders>
                    <w:tl2br w:val="nil"/>
                    <w:tr2bl w:val="nil"/>
                  </w:tcBorders>
                  <w:vAlign w:val="center"/>
                </w:tcPr>
                <w:p w14:paraId="6FC22E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hint="eastAsia" w:cs="Times New Roman"/>
                      <w:b/>
                      <w:bCs/>
                      <w:color w:val="000000" w:themeColor="text1"/>
                      <w:sz w:val="21"/>
                      <w:szCs w:val="21"/>
                      <w:lang w:eastAsia="zh-CN"/>
                      <w14:textFill>
                        <w14:solidFill>
                          <w14:schemeClr w14:val="tx1"/>
                        </w14:solidFill>
                      </w14:textFill>
                    </w:rPr>
                    <w:t>排放方式</w:t>
                  </w:r>
                </w:p>
              </w:tc>
            </w:tr>
            <w:tr w14:paraId="01D65E47">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44" w:hRule="atLeast"/>
              </w:trPr>
              <w:tc>
                <w:tcPr>
                  <w:tcW w:w="900" w:type="dxa"/>
                  <w:vMerge w:val="restart"/>
                  <w:tcBorders>
                    <w:tl2br w:val="nil"/>
                    <w:tr2bl w:val="nil"/>
                  </w:tcBorders>
                  <w:vAlign w:val="center"/>
                </w:tcPr>
                <w:p w14:paraId="3454A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污水处理站</w:t>
                  </w:r>
                </w:p>
              </w:tc>
              <w:tc>
                <w:tcPr>
                  <w:tcW w:w="1105" w:type="dxa"/>
                  <w:tcBorders>
                    <w:tl2br w:val="nil"/>
                    <w:tr2bl w:val="nil"/>
                  </w:tcBorders>
                  <w:vAlign w:val="center"/>
                </w:tcPr>
                <w:p w14:paraId="5E5E8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氨</w:t>
                  </w:r>
                </w:p>
              </w:tc>
              <w:tc>
                <w:tcPr>
                  <w:tcW w:w="1186" w:type="dxa"/>
                  <w:tcBorders>
                    <w:tl2br w:val="nil"/>
                    <w:tr2bl w:val="nil"/>
                  </w:tcBorders>
                  <w:vAlign w:val="center"/>
                </w:tcPr>
                <w:p w14:paraId="267D5B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825</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restart"/>
                  <w:tcBorders>
                    <w:tl2br w:val="nil"/>
                    <w:tr2bl w:val="nil"/>
                  </w:tcBorders>
                  <w:vAlign w:val="center"/>
                </w:tcPr>
                <w:p w14:paraId="6EA5C2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地埋式</w:t>
                  </w:r>
                  <w:r>
                    <w:rPr>
                      <w:rFonts w:hint="default" w:ascii="Times New Roman" w:hAnsi="Times New Roman" w:cs="Times New Roman"/>
                      <w:color w:val="000000" w:themeColor="text1"/>
                      <w:sz w:val="21"/>
                      <w:szCs w:val="21"/>
                      <w14:textFill>
                        <w14:solidFill>
                          <w14:schemeClr w14:val="tx1"/>
                        </w14:solidFill>
                      </w14:textFill>
                    </w:rPr>
                    <w:t>密闭</w:t>
                  </w:r>
                  <w:r>
                    <w:rPr>
                      <w:rFonts w:hint="eastAsia" w:cs="Times New Roman"/>
                      <w:color w:val="000000" w:themeColor="text1"/>
                      <w:sz w:val="21"/>
                      <w:szCs w:val="21"/>
                      <w:lang w:eastAsia="zh-CN"/>
                      <w14:textFill>
                        <w14:solidFill>
                          <w14:schemeClr w14:val="tx1"/>
                        </w14:solidFill>
                      </w14:textFill>
                    </w:rPr>
                    <w:t>加盖</w:t>
                  </w:r>
                </w:p>
              </w:tc>
              <w:tc>
                <w:tcPr>
                  <w:tcW w:w="1007" w:type="dxa"/>
                  <w:tcBorders>
                    <w:tl2br w:val="nil"/>
                    <w:tr2bl w:val="nil"/>
                  </w:tcBorders>
                  <w:vAlign w:val="center"/>
                </w:tcPr>
                <w:p w14:paraId="5012E0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w:t>
                  </w:r>
                  <w:r>
                    <w:rPr>
                      <w:rFonts w:hint="eastAsia" w:cs="Times New Roman"/>
                      <w:color w:val="000000" w:themeColor="text1"/>
                      <w:sz w:val="21"/>
                      <w:szCs w:val="21"/>
                      <w:highlight w:val="none"/>
                      <w:lang w:val="en-US" w:eastAsia="zh-CN"/>
                      <w14:textFill>
                        <w14:solidFill>
                          <w14:schemeClr w14:val="tx1"/>
                        </w14:solidFill>
                      </w14:textFill>
                    </w:rPr>
                    <w:t>825</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restart"/>
                  <w:tcBorders>
                    <w:tl2br w:val="nil"/>
                    <w:tr2bl w:val="nil"/>
                  </w:tcBorders>
                  <w:vAlign w:val="center"/>
                </w:tcPr>
                <w:p w14:paraId="06497D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无组织排放</w:t>
                  </w:r>
                </w:p>
              </w:tc>
            </w:tr>
            <w:tr w14:paraId="03534CE4">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c>
                <w:tcPr>
                  <w:tcW w:w="900" w:type="dxa"/>
                  <w:vMerge w:val="continue"/>
                  <w:tcBorders>
                    <w:tl2br w:val="nil"/>
                    <w:tr2bl w:val="nil"/>
                  </w:tcBorders>
                  <w:vAlign w:val="center"/>
                </w:tcPr>
                <w:p w14:paraId="71181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105" w:type="dxa"/>
                  <w:tcBorders>
                    <w:tl2br w:val="nil"/>
                    <w:tr2bl w:val="nil"/>
                  </w:tcBorders>
                  <w:vAlign w:val="center"/>
                </w:tcPr>
                <w:p w14:paraId="40412C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硫化氢</w:t>
                  </w:r>
                </w:p>
              </w:tc>
              <w:tc>
                <w:tcPr>
                  <w:tcW w:w="1186" w:type="dxa"/>
                  <w:tcBorders>
                    <w:tl2br w:val="nil"/>
                    <w:tr2bl w:val="nil"/>
                  </w:tcBorders>
                  <w:vAlign w:val="center"/>
                </w:tcPr>
                <w:p w14:paraId="515CE1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FF0000"/>
                      <w:sz w:val="21"/>
                      <w:szCs w:val="21"/>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32</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25" w:type="dxa"/>
                  <w:vMerge w:val="continue"/>
                  <w:tcBorders>
                    <w:tl2br w:val="nil"/>
                    <w:tr2bl w:val="nil"/>
                  </w:tcBorders>
                  <w:vAlign w:val="center"/>
                </w:tcPr>
                <w:p w14:paraId="561C07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c>
                <w:tcPr>
                  <w:tcW w:w="1007" w:type="dxa"/>
                  <w:tcBorders>
                    <w:tl2br w:val="nil"/>
                    <w:tr2bl w:val="nil"/>
                  </w:tcBorders>
                  <w:vAlign w:val="center"/>
                </w:tcPr>
                <w:p w14:paraId="10B11D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US" w:eastAsia="zh-CN"/>
                      <w14:textFill>
                        <w14:solidFill>
                          <w14:schemeClr w14:val="tx1"/>
                        </w14:solidFill>
                      </w14:textFill>
                    </w:rPr>
                    <w:t>0.0</w:t>
                  </w:r>
                  <w:r>
                    <w:rPr>
                      <w:rFonts w:hint="eastAsia" w:cs="Times New Roman"/>
                      <w:color w:val="000000" w:themeColor="text1"/>
                      <w:sz w:val="21"/>
                      <w:szCs w:val="21"/>
                      <w:highlight w:val="none"/>
                      <w:lang w:val="en-US" w:eastAsia="zh-CN"/>
                      <w14:textFill>
                        <w14:solidFill>
                          <w14:schemeClr w14:val="tx1"/>
                        </w14:solidFill>
                      </w14:textFill>
                    </w:rPr>
                    <w:t>32</w:t>
                  </w:r>
                  <w:r>
                    <w:rPr>
                      <w:rFonts w:hint="default" w:ascii="Times New Roman" w:hAnsi="Times New Roman" w:cs="Times New Roman"/>
                      <w:color w:val="000000" w:themeColor="text1"/>
                      <w:sz w:val="21"/>
                      <w:szCs w:val="21"/>
                      <w:highlight w:val="none"/>
                      <w14:textFill>
                        <w14:solidFill>
                          <w14:schemeClr w14:val="tx1"/>
                        </w14:solidFill>
                      </w14:textFill>
                    </w:rPr>
                    <w:t>kg/a</w:t>
                  </w:r>
                </w:p>
              </w:tc>
              <w:tc>
                <w:tcPr>
                  <w:tcW w:w="1636" w:type="dxa"/>
                  <w:vMerge w:val="continue"/>
                  <w:tcBorders>
                    <w:tl2br w:val="nil"/>
                    <w:tr2bl w:val="nil"/>
                  </w:tcBorders>
                  <w:vAlign w:val="center"/>
                </w:tcPr>
                <w:p w14:paraId="62CFE8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p>
              </w:tc>
            </w:tr>
          </w:tbl>
          <w:p w14:paraId="6B144807">
            <w:pPr>
              <w:spacing w:line="360" w:lineRule="auto"/>
              <w:ind w:firstLine="482" w:firstLineChars="200"/>
              <w:rPr>
                <w:rFonts w:hint="eastAsia" w:cs="Times New Roman"/>
                <w:color w:val="000000" w:themeColor="text1"/>
                <w:sz w:val="24"/>
                <w:u w:val="none"/>
                <w:lang w:val="en-US" w:eastAsia="zh-CN"/>
                <w14:textFill>
                  <w14:solidFill>
                    <w14:schemeClr w14:val="tx1"/>
                  </w14:solidFill>
                </w14:textFill>
              </w:rPr>
            </w:pPr>
            <w:r>
              <w:rPr>
                <w:rFonts w:hint="eastAsia" w:cs="Times New Roman"/>
                <w:b/>
                <w:bCs/>
                <w:color w:val="000000" w:themeColor="text1"/>
                <w:sz w:val="24"/>
                <w:u w:val="none"/>
                <w:lang w:eastAsia="zh-CN"/>
                <w14:textFill>
                  <w14:solidFill>
                    <w14:schemeClr w14:val="tx1"/>
                  </w14:solidFill>
                </w14:textFill>
              </w:rPr>
              <w:t>废气处理措施可行性分析：</w:t>
            </w:r>
            <w:r>
              <w:rPr>
                <w:rFonts w:hint="eastAsia" w:cs="Times New Roman"/>
                <w:color w:val="000000" w:themeColor="text1"/>
                <w:sz w:val="24"/>
                <w:u w:val="none"/>
                <w:lang w:eastAsia="zh-CN"/>
                <w14:textFill>
                  <w14:solidFill>
                    <w14:schemeClr w14:val="tx1"/>
                  </w14:solidFill>
                </w14:textFill>
              </w:rPr>
              <w:t>《排污许可证申请与核发技术规范</w:t>
            </w:r>
            <w:r>
              <w:rPr>
                <w:rFonts w:hint="eastAsia" w:cs="Times New Roman"/>
                <w:color w:val="000000" w:themeColor="text1"/>
                <w:sz w:val="24"/>
                <w:u w:val="none"/>
                <w:lang w:val="en-US" w:eastAsia="zh-CN"/>
                <w14:textFill>
                  <w14:solidFill>
                    <w14:schemeClr w14:val="tx1"/>
                  </w14:solidFill>
                </w14:textFill>
              </w:rPr>
              <w:t xml:space="preserve"> </w:t>
            </w:r>
            <w:r>
              <w:rPr>
                <w:rFonts w:hint="eastAsia" w:cs="Times New Roman"/>
                <w:color w:val="000000" w:themeColor="text1"/>
                <w:sz w:val="24"/>
                <w:u w:val="none"/>
                <w:lang w:eastAsia="zh-CN"/>
                <w14:textFill>
                  <w14:solidFill>
                    <w14:schemeClr w14:val="tx1"/>
                  </w14:solidFill>
                </w14:textFill>
              </w:rPr>
              <w:t>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明确：污水处理站所产生的污染物（氨、硫化氢、臭气浓度）采取无组织排放所对应的可行技术为“产生恶臭区域加罩或者加盖，投放除臭剂”。由此可知，本项目污水处理站废气所采取的措施“地埋式密闭加盖，投放除臭剂”属于</w:t>
            </w:r>
            <w:r>
              <w:rPr>
                <w:rFonts w:hint="eastAsia" w:cs="Times New Roman"/>
                <w:color w:val="000000" w:themeColor="text1"/>
                <w:sz w:val="24"/>
                <w:u w:val="none"/>
                <w:lang w:eastAsia="zh-CN"/>
                <w14:textFill>
                  <w14:solidFill>
                    <w14:schemeClr w14:val="tx1"/>
                  </w14:solidFill>
                </w14:textFill>
              </w:rPr>
              <w:t>《排污许可证申请与核发技术规范医疗机构》（</w:t>
            </w:r>
            <w:r>
              <w:rPr>
                <w:rFonts w:hint="eastAsia" w:cs="Times New Roman"/>
                <w:color w:val="000000" w:themeColor="text1"/>
                <w:sz w:val="24"/>
                <w:u w:val="none"/>
                <w:lang w:val="en-US" w:eastAsia="zh-CN"/>
                <w14:textFill>
                  <w14:solidFill>
                    <w14:schemeClr w14:val="tx1"/>
                  </w14:solidFill>
                </w14:textFill>
              </w:rPr>
              <w:t>HJ1105-2020</w:t>
            </w:r>
            <w:r>
              <w:rPr>
                <w:rFonts w:hint="eastAsia" w:cs="Times New Roman"/>
                <w:color w:val="000000" w:themeColor="text1"/>
                <w:sz w:val="24"/>
                <w:u w:val="none"/>
                <w:lang w:eastAsia="zh-CN"/>
                <w14:textFill>
                  <w14:solidFill>
                    <w14:schemeClr w14:val="tx1"/>
                  </w14:solidFill>
                </w14:textFill>
              </w:rPr>
              <w:t>）附录</w:t>
            </w:r>
            <w:r>
              <w:rPr>
                <w:rFonts w:hint="eastAsia" w:cs="Times New Roman"/>
                <w:color w:val="000000" w:themeColor="text1"/>
                <w:sz w:val="24"/>
                <w:u w:val="none"/>
                <w:lang w:val="en-US" w:eastAsia="zh-CN"/>
                <w14:textFill>
                  <w14:solidFill>
                    <w14:schemeClr w14:val="tx1"/>
                  </w14:solidFill>
                </w14:textFill>
              </w:rPr>
              <w:t>A.1医疗机构排污单位废气治理可行技术参照表中可行技术，则措施可行。</w:t>
            </w:r>
          </w:p>
          <w:p w14:paraId="085E034D">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default" w:ascii="Times New Roman" w:hAnsi="Times New Roman" w:cs="Times New Roman"/>
                <w:color w:val="000000"/>
                <w:kern w:val="0"/>
                <w:sz w:val="24"/>
                <w:szCs w:val="24"/>
                <w:highlight w:val="none"/>
                <w:u w:val="none" w:color="auto"/>
                <w:lang w:val="en-US" w:eastAsia="zh-CN" w:bidi="ar"/>
              </w:rPr>
            </w:pPr>
            <w:r>
              <w:rPr>
                <w:rFonts w:hint="default" w:ascii="Times New Roman" w:hAnsi="Times New Roman" w:eastAsia="宋体" w:cs="Times New Roman"/>
                <w:color w:val="000000"/>
                <w:kern w:val="0"/>
                <w:sz w:val="24"/>
                <w:szCs w:val="24"/>
                <w:u w:color="auto"/>
                <w:lang w:val="en-US" w:eastAsia="zh-CN" w:bidi="ar"/>
              </w:rPr>
              <w:t>（5）</w:t>
            </w:r>
            <w:r>
              <w:rPr>
                <w:rFonts w:hint="default" w:ascii="Times New Roman" w:hAnsi="Times New Roman" w:cs="Times New Roman"/>
                <w:color w:val="000000"/>
                <w:kern w:val="0"/>
                <w:sz w:val="24"/>
                <w:szCs w:val="24"/>
                <w:highlight w:val="none"/>
                <w:u w:val="none" w:color="auto"/>
                <w:lang w:val="en-US" w:eastAsia="zh-CN" w:bidi="ar"/>
              </w:rPr>
              <w:t>食堂油烟废气</w:t>
            </w:r>
          </w:p>
          <w:p w14:paraId="510110C9">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cs="宋体"/>
                <w:color w:val="000000"/>
                <w:kern w:val="0"/>
                <w:sz w:val="24"/>
                <w:szCs w:val="24"/>
                <w:highlight w:val="none"/>
                <w:u w:val="none" w:color="auto"/>
                <w:lang w:val="en-US" w:eastAsia="zh-CN" w:bidi="ar"/>
              </w:rPr>
            </w:pPr>
            <w:r>
              <w:rPr>
                <w:rFonts w:hint="default" w:ascii="Times New Roman" w:hAnsi="Times New Roman" w:eastAsia="宋体" w:cs="Times New Roman"/>
                <w:color w:val="auto"/>
                <w:sz w:val="24"/>
                <w:szCs w:val="22"/>
                <w:highlight w:val="none"/>
                <w:u w:val="none" w:color="auto"/>
                <w:lang w:val="en-US" w:eastAsia="zh-CN" w:bidi="ar-SA"/>
              </w:rPr>
              <w:t>本项目厂区内设职工食堂提供午</w:t>
            </w:r>
            <w:r>
              <w:rPr>
                <w:rFonts w:hint="eastAsia" w:ascii="Times New Roman" w:hAnsi="Times New Roman" w:eastAsia="宋体" w:cs="Times New Roman"/>
                <w:color w:val="auto"/>
                <w:sz w:val="24"/>
                <w:szCs w:val="22"/>
                <w:highlight w:val="none"/>
                <w:u w:val="none" w:color="auto"/>
                <w:lang w:val="en-US" w:eastAsia="zh-CN" w:bidi="ar-SA"/>
              </w:rPr>
              <w:t>晚</w:t>
            </w:r>
            <w:r>
              <w:rPr>
                <w:rFonts w:hint="default" w:ascii="Times New Roman" w:hAnsi="Times New Roman" w:eastAsia="宋体" w:cs="Times New Roman"/>
                <w:color w:val="auto"/>
                <w:sz w:val="24"/>
                <w:szCs w:val="22"/>
                <w:highlight w:val="none"/>
                <w:u w:val="none" w:color="auto"/>
                <w:lang w:val="en-US" w:eastAsia="zh-CN" w:bidi="ar-SA"/>
              </w:rPr>
              <w:t>餐，位于综合大楼西</w:t>
            </w:r>
            <w:r>
              <w:rPr>
                <w:rFonts w:hint="eastAsia" w:cs="Times New Roman"/>
                <w:color w:val="auto"/>
                <w:sz w:val="24"/>
                <w:szCs w:val="22"/>
                <w:highlight w:val="none"/>
                <w:u w:val="none" w:color="auto"/>
                <w:lang w:val="en-US" w:eastAsia="zh-CN" w:bidi="ar-SA"/>
              </w:rPr>
              <w:t>北</w:t>
            </w:r>
            <w:r>
              <w:rPr>
                <w:rFonts w:hint="default" w:ascii="Times New Roman" w:hAnsi="Times New Roman" w:eastAsia="宋体" w:cs="Times New Roman"/>
                <w:color w:val="auto"/>
                <w:sz w:val="24"/>
                <w:szCs w:val="22"/>
                <w:highlight w:val="none"/>
                <w:u w:val="none" w:color="auto"/>
                <w:lang w:val="en-US" w:eastAsia="zh-CN" w:bidi="ar-SA"/>
              </w:rPr>
              <w:t>侧；平均每日就餐人数</w:t>
            </w:r>
            <w:r>
              <w:rPr>
                <w:rFonts w:hint="eastAsia" w:ascii="Times New Roman" w:hAnsi="Times New Roman" w:eastAsia="宋体" w:cs="Times New Roman"/>
                <w:color w:val="auto"/>
                <w:sz w:val="24"/>
                <w:szCs w:val="22"/>
                <w:highlight w:val="none"/>
                <w:u w:val="none" w:color="auto"/>
                <w:lang w:val="en-US" w:eastAsia="zh-CN" w:bidi="ar-SA"/>
              </w:rPr>
              <w:t>4</w:t>
            </w:r>
            <w:r>
              <w:rPr>
                <w:rFonts w:hint="eastAsia" w:cs="Times New Roman"/>
                <w:color w:val="auto"/>
                <w:sz w:val="24"/>
                <w:szCs w:val="22"/>
                <w:highlight w:val="none"/>
                <w:u w:val="none" w:color="auto"/>
                <w:lang w:val="en-US" w:eastAsia="zh-CN" w:bidi="ar-SA"/>
              </w:rPr>
              <w:t>8</w:t>
            </w:r>
            <w:r>
              <w:rPr>
                <w:rFonts w:hint="default" w:ascii="Times New Roman" w:hAnsi="Times New Roman" w:eastAsia="宋体" w:cs="Times New Roman"/>
                <w:color w:val="auto"/>
                <w:sz w:val="24"/>
                <w:szCs w:val="22"/>
                <w:highlight w:val="none"/>
                <w:u w:val="none" w:color="auto"/>
                <w:lang w:val="en-US" w:eastAsia="zh-CN" w:bidi="ar-SA"/>
              </w:rPr>
              <w:t>人</w:t>
            </w:r>
            <w:r>
              <w:rPr>
                <w:rFonts w:hint="default" w:ascii="Times New Roman" w:hAnsi="Times New Roman" w:cs="Times New Roman"/>
                <w:color w:val="auto"/>
                <w:sz w:val="24"/>
                <w:highlight w:val="none"/>
                <w:u w:val="none" w:color="auto"/>
                <w:lang w:eastAsia="zh-CN"/>
              </w:rPr>
              <w:t>，年工作</w:t>
            </w:r>
            <w:r>
              <w:rPr>
                <w:rFonts w:hint="eastAsia" w:ascii="Times New Roman" w:hAnsi="Times New Roman" w:cs="Times New Roman"/>
                <w:color w:val="auto"/>
                <w:sz w:val="24"/>
                <w:highlight w:val="none"/>
                <w:u w:val="none" w:color="auto"/>
                <w:lang w:val="en-US" w:eastAsia="zh-CN"/>
              </w:rPr>
              <w:t>36</w:t>
            </w:r>
            <w:r>
              <w:rPr>
                <w:rFonts w:hint="eastAsia" w:cs="Times New Roman"/>
                <w:color w:val="auto"/>
                <w:sz w:val="24"/>
                <w:highlight w:val="none"/>
                <w:u w:val="none" w:color="auto"/>
                <w:lang w:val="en-US" w:eastAsia="zh-CN"/>
              </w:rPr>
              <w:t>5</w:t>
            </w:r>
            <w:r>
              <w:rPr>
                <w:rFonts w:hint="default" w:ascii="Times New Roman" w:hAnsi="Times New Roman" w:cs="Times New Roman"/>
                <w:color w:val="auto"/>
                <w:sz w:val="24"/>
                <w:highlight w:val="none"/>
                <w:u w:val="none" w:color="auto"/>
                <w:lang w:val="en-US" w:eastAsia="zh-CN"/>
              </w:rPr>
              <w:t>天，人均食用油消耗量按30g/（cap·d）计，挥发量按总耗油量的3%计，则油烟产生量约为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43</w:t>
            </w:r>
            <w:r>
              <w:rPr>
                <w:rFonts w:hint="default" w:ascii="Times New Roman" w:hAnsi="Times New Roman" w:cs="Times New Roman"/>
                <w:color w:val="auto"/>
                <w:sz w:val="24"/>
                <w:highlight w:val="none"/>
                <w:u w:val="none" w:color="auto"/>
                <w:lang w:val="en-US" w:eastAsia="zh-CN"/>
              </w:rPr>
              <w:t>kg/d。</w:t>
            </w:r>
            <w:r>
              <w:rPr>
                <w:rFonts w:hint="eastAsia" w:ascii="Times New Roman" w:hAnsi="Times New Roman" w:eastAsia="宋体" w:cs="Times New Roman"/>
                <w:color w:val="auto"/>
                <w:sz w:val="24"/>
                <w:szCs w:val="22"/>
                <w:highlight w:val="none"/>
                <w:u w:val="none" w:color="auto"/>
                <w:lang w:val="en-US" w:eastAsia="zh-CN" w:bidi="ar-SA"/>
              </w:rPr>
              <w:t>厂区</w:t>
            </w:r>
            <w:r>
              <w:rPr>
                <w:rFonts w:hint="default" w:ascii="Times New Roman" w:hAnsi="Times New Roman" w:cs="Times New Roman"/>
                <w:color w:val="auto"/>
                <w:sz w:val="24"/>
                <w:highlight w:val="none"/>
                <w:u w:val="none" w:color="auto"/>
                <w:lang w:val="en-US" w:eastAsia="zh-CN"/>
              </w:rPr>
              <w:t>食堂共</w:t>
            </w:r>
            <w:r>
              <w:rPr>
                <w:rFonts w:hint="eastAsia" w:cs="Times New Roman"/>
                <w:color w:val="auto"/>
                <w:sz w:val="24"/>
                <w:highlight w:val="none"/>
                <w:u w:val="none" w:color="auto"/>
                <w:lang w:val="en-US" w:eastAsia="zh-CN"/>
              </w:rPr>
              <w:t>1</w:t>
            </w:r>
            <w:r>
              <w:rPr>
                <w:rFonts w:hint="default" w:ascii="Times New Roman" w:hAnsi="Times New Roman" w:cs="Times New Roman"/>
                <w:color w:val="auto"/>
                <w:sz w:val="24"/>
                <w:highlight w:val="none"/>
                <w:u w:val="none" w:color="auto"/>
                <w:lang w:val="en-US" w:eastAsia="zh-CN"/>
              </w:rPr>
              <w:t>个灶头，</w:t>
            </w:r>
            <w:r>
              <w:rPr>
                <w:rFonts w:hint="eastAsia" w:ascii="Times New Roman" w:hAnsi="Times New Roman" w:cs="Times New Roman"/>
                <w:color w:val="auto"/>
                <w:sz w:val="24"/>
                <w:highlight w:val="none"/>
                <w:u w:val="none" w:color="auto"/>
                <w:lang w:val="en-US" w:eastAsia="zh-CN"/>
              </w:rPr>
              <w:t>属于小型食堂，总</w:t>
            </w:r>
            <w:r>
              <w:rPr>
                <w:rFonts w:hint="default" w:ascii="Times New Roman" w:hAnsi="Times New Roman" w:cs="Times New Roman"/>
                <w:color w:val="auto"/>
                <w:sz w:val="24"/>
                <w:highlight w:val="none"/>
                <w:u w:val="none" w:color="auto"/>
                <w:lang w:val="en-US" w:eastAsia="zh-CN"/>
              </w:rPr>
              <w:t>风量为</w:t>
            </w:r>
            <w:r>
              <w:rPr>
                <w:rFonts w:hint="eastAsia" w:cs="Times New Roman"/>
                <w:color w:val="auto"/>
                <w:sz w:val="24"/>
                <w:highlight w:val="none"/>
                <w:u w:val="none" w:color="auto"/>
                <w:lang w:val="en-US" w:eastAsia="zh-CN"/>
              </w:rPr>
              <w:t>3</w:t>
            </w:r>
            <w:r>
              <w:rPr>
                <w:rFonts w:hint="eastAsia" w:ascii="Times New Roman" w:hAnsi="Times New Roman" w:cs="Times New Roman"/>
                <w:color w:val="auto"/>
                <w:sz w:val="24"/>
                <w:highlight w:val="none"/>
                <w:u w:val="none" w:color="auto"/>
                <w:lang w:val="en-US" w:eastAsia="zh-CN"/>
              </w:rPr>
              <w:t>000</w:t>
            </w:r>
            <w:r>
              <w:rPr>
                <w:rFonts w:hint="default" w:ascii="Times New Roman" w:hAnsi="Times New Roman" w:cs="Times New Roman"/>
                <w:color w:val="auto"/>
                <w:sz w:val="24"/>
                <w:highlight w:val="none"/>
                <w:u w:val="none" w:color="auto"/>
                <w:lang w:val="en-US" w:eastAsia="zh-CN"/>
              </w:rPr>
              <w:t>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/h，每日用餐高峰期按</w:t>
            </w:r>
            <w:r>
              <w:rPr>
                <w:rFonts w:hint="eastAsia" w:ascii="Times New Roman" w:hAnsi="Times New Roman" w:cs="Times New Roman"/>
                <w:color w:val="auto"/>
                <w:sz w:val="24"/>
                <w:highlight w:val="none"/>
                <w:u w:val="none" w:color="auto"/>
                <w:lang w:val="en-US" w:eastAsia="zh-CN"/>
              </w:rPr>
              <w:t>6</w:t>
            </w:r>
            <w:r>
              <w:rPr>
                <w:rFonts w:hint="default" w:ascii="Times New Roman" w:hAnsi="Times New Roman" w:cs="Times New Roman"/>
                <w:color w:val="auto"/>
                <w:sz w:val="24"/>
                <w:highlight w:val="none"/>
                <w:u w:val="none" w:color="auto"/>
                <w:lang w:val="en-US" w:eastAsia="zh-CN"/>
              </w:rPr>
              <w:t>h计，则高峰期产生的油烟量为</w:t>
            </w:r>
            <w:r>
              <w:rPr>
                <w:rFonts w:hint="eastAsia" w:ascii="Times New Roman" w:hAnsi="Times New Roman" w:cs="Times New Roman"/>
                <w:color w:val="auto"/>
                <w:sz w:val="24"/>
                <w:highlight w:val="none"/>
                <w:u w:val="none" w:color="auto"/>
                <w:lang w:val="en-US" w:eastAsia="zh-CN"/>
              </w:rPr>
              <w:t>0.0</w:t>
            </w:r>
            <w:r>
              <w:rPr>
                <w:rFonts w:hint="eastAsia" w:cs="Times New Roman"/>
                <w:color w:val="auto"/>
                <w:sz w:val="24"/>
                <w:highlight w:val="none"/>
                <w:u w:val="none" w:color="auto"/>
                <w:lang w:val="en-US" w:eastAsia="zh-CN"/>
              </w:rPr>
              <w:t>07</w:t>
            </w:r>
            <w:r>
              <w:rPr>
                <w:rFonts w:hint="eastAsia" w:ascii="Times New Roman" w:hAnsi="Times New Roman" w:cs="Times New Roman"/>
                <w:color w:val="auto"/>
                <w:sz w:val="24"/>
                <w:highlight w:val="none"/>
                <w:u w:val="none" w:color="auto"/>
                <w:lang w:val="en-US" w:eastAsia="zh-CN"/>
              </w:rPr>
              <w:t>kg</w:t>
            </w:r>
            <w:r>
              <w:rPr>
                <w:rFonts w:hint="default" w:ascii="Times New Roman" w:hAnsi="Times New Roman" w:cs="Times New Roman"/>
                <w:color w:val="auto"/>
                <w:sz w:val="24"/>
                <w:highlight w:val="none"/>
                <w:u w:val="none" w:color="auto"/>
                <w:lang w:val="en-US" w:eastAsia="zh-CN"/>
              </w:rPr>
              <w:t>/h，油烟产生浓度为</w:t>
            </w:r>
            <w:r>
              <w:rPr>
                <w:rFonts w:hint="eastAsia" w:cs="Times New Roman"/>
                <w:color w:val="auto"/>
                <w:sz w:val="24"/>
                <w:highlight w:val="none"/>
                <w:u w:val="none" w:color="auto"/>
                <w:lang w:val="en-US" w:eastAsia="zh-CN"/>
              </w:rPr>
              <w:t>2.3</w:t>
            </w:r>
            <w:r>
              <w:rPr>
                <w:rFonts w:hint="default" w:ascii="Times New Roman" w:hAnsi="Times New Roman" w:cs="Times New Roman"/>
                <w:color w:val="auto"/>
                <w:sz w:val="24"/>
                <w:highlight w:val="none"/>
                <w:u w:val="none" w:color="auto"/>
                <w:lang w:val="en-US" w:eastAsia="zh-CN"/>
              </w:rPr>
              <w:t>mg/m</w:t>
            </w:r>
            <w:r>
              <w:rPr>
                <w:rFonts w:hint="default" w:ascii="Times New Roman" w:hAnsi="Times New Roman" w:cs="Times New Roman"/>
                <w:color w:val="auto"/>
                <w:sz w:val="24"/>
                <w:highlight w:val="none"/>
                <w:u w:val="none" w:color="auto"/>
                <w:vertAlign w:val="superscript"/>
                <w:lang w:val="en-US" w:eastAsia="zh-CN"/>
              </w:rPr>
              <w:t>3</w:t>
            </w:r>
            <w:r>
              <w:rPr>
                <w:rFonts w:hint="default" w:ascii="Times New Roman" w:hAnsi="Times New Roman" w:cs="Times New Roman"/>
                <w:color w:val="auto"/>
                <w:sz w:val="24"/>
                <w:highlight w:val="none"/>
                <w:u w:val="none" w:color="auto"/>
                <w:lang w:val="en-US" w:eastAsia="zh-CN"/>
              </w:rPr>
              <w:t>。</w:t>
            </w:r>
            <w:r>
              <w:rPr>
                <w:rFonts w:hint="eastAsia" w:ascii="Times New Roman" w:hAnsi="Times New Roman" w:cs="Times New Roman"/>
                <w:color w:val="auto"/>
                <w:sz w:val="24"/>
                <w:highlight w:val="none"/>
                <w:u w:val="none" w:color="auto"/>
                <w:lang w:val="en-US" w:eastAsia="zh-CN"/>
              </w:rPr>
              <w:t>该</w:t>
            </w:r>
            <w:r>
              <w:rPr>
                <w:rFonts w:hint="eastAsia" w:ascii="Times New Roman" w:hAnsi="Times New Roman" w:eastAsia="宋体" w:cs="Times New Roman"/>
                <w:color w:val="auto"/>
                <w:sz w:val="24"/>
                <w:highlight w:val="none"/>
                <w:u w:val="none" w:color="auto"/>
                <w:lang w:val="en-US" w:eastAsia="zh-CN"/>
              </w:rPr>
              <w:t>食堂油烟废气采用油烟净化器处理，经处理后屋顶高空排放，油烟净化器净化效率按</w:t>
            </w:r>
            <w:r>
              <w:rPr>
                <w:rFonts w:hint="eastAsia" w:cs="Times New Roman"/>
                <w:color w:val="auto"/>
                <w:sz w:val="24"/>
                <w:highlight w:val="none"/>
                <w:u w:val="none" w:color="auto"/>
                <w:lang w:val="en-US" w:eastAsia="zh-CN"/>
              </w:rPr>
              <w:t>60</w:t>
            </w:r>
            <w:r>
              <w:rPr>
                <w:rFonts w:hint="eastAsia" w:ascii="Times New Roman" w:hAnsi="Times New Roman" w:eastAsia="宋体" w:cs="Times New Roman"/>
                <w:color w:val="auto"/>
                <w:sz w:val="24"/>
                <w:highlight w:val="none"/>
                <w:u w:val="none" w:color="auto"/>
                <w:lang w:val="en-US" w:eastAsia="zh-CN"/>
              </w:rPr>
              <w:t>%计，则油烟排放量为0.00</w:t>
            </w:r>
            <w:r>
              <w:rPr>
                <w:rFonts w:hint="eastAsia" w:cs="Times New Roman"/>
                <w:color w:val="auto"/>
                <w:sz w:val="24"/>
                <w:highlight w:val="none"/>
                <w:u w:val="none" w:color="auto"/>
                <w:lang w:val="en-US" w:eastAsia="zh-CN"/>
              </w:rPr>
              <w:t>6</w:t>
            </w:r>
            <w:r>
              <w:rPr>
                <w:rFonts w:hint="eastAsia" w:ascii="Times New Roman" w:hAnsi="Times New Roman" w:eastAsia="宋体" w:cs="Times New Roman"/>
                <w:color w:val="auto"/>
                <w:sz w:val="24"/>
                <w:highlight w:val="none"/>
                <w:u w:val="none" w:color="auto"/>
                <w:lang w:val="en-US" w:eastAsia="zh-CN"/>
              </w:rPr>
              <w:t>t/a，排放浓度为0.</w:t>
            </w:r>
            <w:r>
              <w:rPr>
                <w:rFonts w:hint="eastAsia" w:cs="Times New Roman"/>
                <w:color w:val="auto"/>
                <w:sz w:val="24"/>
                <w:highlight w:val="none"/>
                <w:u w:val="none" w:color="auto"/>
                <w:lang w:val="en-US" w:eastAsia="zh-CN"/>
              </w:rPr>
              <w:t>9m</w:t>
            </w:r>
            <w:r>
              <w:rPr>
                <w:rFonts w:hint="eastAsia" w:ascii="Times New Roman" w:hAnsi="Times New Roman" w:eastAsia="宋体" w:cs="Times New Roman"/>
                <w:color w:val="auto"/>
                <w:sz w:val="24"/>
                <w:highlight w:val="none"/>
                <w:u w:val="none" w:color="auto"/>
                <w:lang w:val="en-US" w:eastAsia="zh-CN"/>
              </w:rPr>
              <w:t>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，能达《饮食业油烟排放标准</w:t>
            </w:r>
            <w:r>
              <w:rPr>
                <w:rFonts w:hint="eastAsia" w:cs="Times New Roman"/>
                <w:color w:val="auto"/>
                <w:sz w:val="24"/>
                <w:highlight w:val="none"/>
                <w:u w:val="none" w:color="auto"/>
                <w:lang w:val="en-US" w:eastAsia="zh-CN"/>
              </w:rPr>
              <w:t>（试行）</w:t>
            </w:r>
            <w:r>
              <w:rPr>
                <w:rFonts w:hint="eastAsia" w:ascii="Times New Roman" w:hAnsi="Times New Roman" w:eastAsia="宋体" w:cs="Times New Roman"/>
                <w:color w:val="auto"/>
                <w:sz w:val="24"/>
                <w:highlight w:val="none"/>
                <w:u w:val="none" w:color="auto"/>
                <w:lang w:val="en-US" w:eastAsia="zh-CN"/>
              </w:rPr>
              <w:t>》（GB18483-2001）中规定的2mg/m</w:t>
            </w:r>
            <w:r>
              <w:rPr>
                <w:rFonts w:hint="eastAsia" w:ascii="Times New Roman" w:hAnsi="Times New Roman" w:eastAsia="宋体" w:cs="Times New Roman"/>
                <w:color w:val="auto"/>
                <w:sz w:val="24"/>
                <w:highlight w:val="none"/>
                <w:u w:val="none" w:color="auto"/>
                <w:vertAlign w:val="superscript"/>
                <w:lang w:val="en-US" w:eastAsia="zh-CN"/>
              </w:rPr>
              <w:t>3</w:t>
            </w:r>
            <w:r>
              <w:rPr>
                <w:rFonts w:hint="eastAsia" w:ascii="Times New Roman" w:hAnsi="Times New Roman" w:eastAsia="宋体" w:cs="Times New Roman"/>
                <w:color w:val="auto"/>
                <w:sz w:val="24"/>
                <w:highlight w:val="none"/>
                <w:u w:val="none" w:color="auto"/>
                <w:lang w:val="en-US" w:eastAsia="zh-CN"/>
              </w:rPr>
              <w:t>的标准限值。</w:t>
            </w:r>
          </w:p>
          <w:p w14:paraId="4B7DCEBD">
            <w:pPr>
              <w:pStyle w:val="37"/>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2、</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非正常工况</w:t>
            </w:r>
          </w:p>
          <w:p w14:paraId="304E1706">
            <w:pPr>
              <w:pStyle w:val="37"/>
              <w:numPr>
                <w:ilvl w:val="0"/>
                <w:numId w:val="0"/>
              </w:numPr>
              <w:spacing w:line="360" w:lineRule="auto"/>
              <w:ind w:left="23" w:leftChars="0" w:firstLine="480" w:firstLineChars="200"/>
              <w:jc w:val="both"/>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本项目污水处理站设施检修时尽量选择在夜间等没有水或排入水量少的时候进行，污水处理站设备及环保设备有专人负责</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以便出现运转异常时可立即停产检修，待所有设备、环保设施恢复正常后再投入运营。因此，预计本项目非正常排放单次持续时间为0.5h</w:t>
            </w:r>
            <w:r>
              <w:rPr>
                <w:rFonts w:hint="eastAsia" w:cs="Times New Roman"/>
                <w:b w:val="0"/>
                <w:bCs w:val="0"/>
                <w:color w:val="000000" w:themeColor="text1"/>
                <w:kern w:val="0"/>
                <w:sz w:val="24"/>
                <w:szCs w:val="20"/>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lang w:val="en-US" w:eastAsia="zh-CN" w:bidi="ar-SA"/>
                <w14:textFill>
                  <w14:solidFill>
                    <w14:schemeClr w14:val="tx1"/>
                  </w14:solidFill>
                </w14:textFill>
              </w:rPr>
              <w:t>年发生频次≤2次。</w:t>
            </w:r>
          </w:p>
          <w:p w14:paraId="3EFBF2A8">
            <w:pPr>
              <w:pStyle w:val="37"/>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eastAsia" w:cs="Times New Roman"/>
                <w:b w:val="0"/>
                <w:bCs w:val="0"/>
                <w:color w:val="000000" w:themeColor="text1"/>
                <w:kern w:val="0"/>
                <w:sz w:val="24"/>
                <w:szCs w:val="20"/>
                <w:u w:val="none"/>
                <w:lang w:val="en-US" w:eastAsia="zh-CN" w:bidi="ar-SA"/>
                <w14:textFill>
                  <w14:solidFill>
                    <w14:schemeClr w14:val="tx1"/>
                  </w14:solidFill>
                </w14:textFill>
              </w:rPr>
              <w:t>3、</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周边居民敏感点影响分析</w:t>
            </w:r>
          </w:p>
          <w:p w14:paraId="120548A7">
            <w:pPr>
              <w:pStyle w:val="37"/>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根据现场调查，项目产生</w:t>
            </w:r>
            <w:r>
              <w:rPr>
                <w:rFonts w:hint="eastAsia" w:ascii="Times New Roman" w:hAnsi="Times New Roman" w:eastAsia="宋体" w:cs="Times New Roman"/>
                <w:sz w:val="24"/>
                <w:szCs w:val="24"/>
                <w:highlight w:val="none"/>
                <w:u w:val="none"/>
                <w:lang w:val="en-US" w:eastAsia="zh-CN"/>
              </w:rPr>
              <w:t>医疗废气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在确保室内通风次数，基本可被大部分去除，不会对外环境</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敏感点居民造成影响</w:t>
            </w:r>
            <w:r>
              <w:rPr>
                <w:rFonts w:hint="eastAsia" w:cs="Times New Roman"/>
                <w:b w:val="0"/>
                <w:bCs w:val="0"/>
                <w:color w:val="000000" w:themeColor="text1"/>
                <w:kern w:val="0"/>
                <w:sz w:val="24"/>
                <w:szCs w:val="20"/>
                <w:highlight w:val="none"/>
                <w:u w:val="none"/>
                <w:lang w:val="en-US" w:eastAsia="zh-CN" w:bidi="ar-SA"/>
                <w14:textFill>
                  <w14:solidFill>
                    <w14:schemeClr w14:val="tx1"/>
                  </w14:solidFill>
                </w14:textFill>
              </w:rPr>
              <w:t>；</w:t>
            </w:r>
            <w:r>
              <w:rPr>
                <w:rFonts w:hint="default" w:ascii="Times New Roman" w:hAnsi="Times New Roman" w:eastAsia="宋体" w:cs="Times New Roman"/>
                <w:b w:val="0"/>
                <w:bCs w:val="0"/>
                <w:color w:val="000000" w:themeColor="text1"/>
                <w:kern w:val="0"/>
                <w:sz w:val="24"/>
                <w:szCs w:val="20"/>
                <w:highlight w:val="none"/>
                <w:u w:val="none"/>
                <w:lang w:val="en-US" w:eastAsia="zh-CN" w:bidi="ar-SA"/>
                <w14:textFill>
                  <w14:solidFill>
                    <w14:schemeClr w14:val="tx1"/>
                  </w14:solidFill>
                </w14:textFill>
              </w:rPr>
              <w:t>污水处理站设于一层，采用地埋式设计，各污水处理构筑物均设</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密封盖板，埋设于地下。污水处理系统产生的臭气主要集中在地下，且产生量极小</w:t>
            </w:r>
            <w:r>
              <w:rPr>
                <w:rFonts w:hint="eastAsia" w:cs="Times New Roman"/>
                <w:b w:val="0"/>
                <w:bCs w:val="0"/>
                <w:color w:val="000000" w:themeColor="text1"/>
                <w:kern w:val="0"/>
                <w:sz w:val="24"/>
                <w:szCs w:val="20"/>
                <w:u w:val="none"/>
                <w:lang w:val="en-US" w:eastAsia="zh-CN" w:bidi="ar-SA"/>
                <w14:textFill>
                  <w14:solidFill>
                    <w14:schemeClr w14:val="tx1"/>
                  </w14:solidFill>
                </w14:textFill>
              </w:rPr>
              <w:t>，对周围环境敏感点较小</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w:t>
            </w:r>
            <w:r>
              <w:rPr>
                <w:rFonts w:hint="eastAsia" w:cs="Times New Roman"/>
                <w:b w:val="0"/>
                <w:bCs w:val="0"/>
                <w:color w:val="000000" w:themeColor="text1"/>
                <w:kern w:val="0"/>
                <w:sz w:val="24"/>
                <w:szCs w:val="20"/>
                <w:u w:val="none"/>
                <w:lang w:val="en-US" w:eastAsia="zh-CN" w:bidi="ar-SA"/>
                <w14:textFill>
                  <w14:solidFill>
                    <w14:schemeClr w14:val="tx1"/>
                  </w14:solidFill>
                </w14:textFill>
              </w:rPr>
              <w:t>同时，</w:t>
            </w:r>
            <w:r>
              <w:rPr>
                <w:rFonts w:hint="eastAsia"/>
                <w:color w:val="000000" w:themeColor="text1"/>
                <w:sz w:val="24"/>
                <w:szCs w:val="24"/>
                <w:u w:val="none"/>
                <w:lang w:val="en-US" w:eastAsia="zh-CN"/>
                <w14:textFill>
                  <w14:solidFill>
                    <w14:schemeClr w14:val="tx1"/>
                  </w14:solidFill>
                </w14:textFill>
              </w:rPr>
              <w:t>新田县三井镇卫生院</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自建设运营至今，未出现因污水处理站恶臭产生的居民投诉事件。</w:t>
            </w:r>
          </w:p>
          <w:p w14:paraId="06D40E1F">
            <w:pPr>
              <w:pStyle w:val="37"/>
              <w:numPr>
                <w:ilvl w:val="0"/>
                <w:numId w:val="0"/>
              </w:numPr>
              <w:spacing w:line="360" w:lineRule="auto"/>
              <w:ind w:left="22" w:leftChars="0" w:firstLine="480" w:firstLineChars="200"/>
              <w:jc w:val="left"/>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综上可知，项目</w:t>
            </w:r>
            <w:r>
              <w:rPr>
                <w:rFonts w:hint="eastAsia" w:cs="Times New Roman"/>
                <w:b w:val="0"/>
                <w:bCs w:val="0"/>
                <w:color w:val="000000" w:themeColor="text1"/>
                <w:kern w:val="0"/>
                <w:sz w:val="24"/>
                <w:szCs w:val="20"/>
                <w:u w:val="none"/>
                <w:lang w:val="en-US" w:eastAsia="zh-CN" w:bidi="ar-SA"/>
                <w14:textFill>
                  <w14:solidFill>
                    <w14:schemeClr w14:val="tx1"/>
                  </w14:solidFill>
                </w14:textFill>
              </w:rPr>
              <w:t>营运期废气</w:t>
            </w:r>
            <w:r>
              <w:rPr>
                <w:rFonts w:hint="default" w:ascii="Times New Roman" w:hAnsi="Times New Roman" w:eastAsia="宋体" w:cs="Times New Roman"/>
                <w:b w:val="0"/>
                <w:bCs w:val="0"/>
                <w:color w:val="000000" w:themeColor="text1"/>
                <w:kern w:val="0"/>
                <w:sz w:val="24"/>
                <w:szCs w:val="20"/>
                <w:u w:val="none"/>
                <w:lang w:val="en-US" w:eastAsia="zh-CN" w:bidi="ar-SA"/>
                <w14:textFill>
                  <w14:solidFill>
                    <w14:schemeClr w14:val="tx1"/>
                  </w14:solidFill>
                </w14:textFill>
              </w:rPr>
              <w:t>对外环境及周边敏感目标影响很小。</w:t>
            </w:r>
          </w:p>
          <w:p w14:paraId="53D8F896">
            <w:pPr>
              <w:pStyle w:val="37"/>
              <w:numPr>
                <w:ilvl w:val="0"/>
                <w:numId w:val="0"/>
              </w:numPr>
              <w:spacing w:line="360" w:lineRule="auto"/>
              <w:ind w:left="22" w:leftChars="0" w:firstLine="480" w:firstLineChars="200"/>
              <w:jc w:val="left"/>
              <w:rPr>
                <w:rFonts w:hint="default" w:ascii="Times New Roman" w:hAnsi="Times New Roman" w:cs="Times New Roman"/>
                <w:b/>
                <w:bCs/>
                <w:color w:val="000000" w:themeColor="text1"/>
                <w:kern w:val="0"/>
                <w:sz w:val="24"/>
                <w:szCs w:val="20"/>
                <w14:textFill>
                  <w14:solidFill>
                    <w14:schemeClr w14:val="tx1"/>
                  </w14:solidFill>
                </w14:textFill>
              </w:rPr>
            </w:pPr>
            <w:r>
              <w:rPr>
                <w:rFonts w:hint="eastAsia" w:cs="Times New Roman"/>
                <w:b w:val="0"/>
                <w:bCs w:val="0"/>
                <w:color w:val="000000" w:themeColor="text1"/>
                <w:kern w:val="0"/>
                <w:sz w:val="24"/>
                <w:szCs w:val="20"/>
                <w:lang w:val="en-US" w:eastAsia="zh-CN" w:bidi="ar-SA"/>
                <w14:textFill>
                  <w14:solidFill>
                    <w14:schemeClr w14:val="tx1"/>
                  </w14:solidFill>
                </w14:textFill>
              </w:rPr>
              <w:t>4、</w:t>
            </w:r>
            <w:r>
              <w:rPr>
                <w:rFonts w:hint="eastAsia" w:cs="Times New Roman"/>
                <w:b w:val="0"/>
                <w:bCs w:val="0"/>
                <w:color w:val="000000" w:themeColor="text1"/>
                <w:kern w:val="0"/>
                <w:sz w:val="24"/>
                <w:szCs w:val="20"/>
                <w:lang w:eastAsia="zh-CN"/>
                <w14:textFill>
                  <w14:solidFill>
                    <w14:schemeClr w14:val="tx1"/>
                  </w14:solidFill>
                </w14:textFill>
              </w:rPr>
              <w:t>废气</w:t>
            </w:r>
            <w:r>
              <w:rPr>
                <w:rFonts w:hint="default" w:ascii="Times New Roman" w:hAnsi="Times New Roman" w:cs="Times New Roman"/>
                <w:b w:val="0"/>
                <w:bCs w:val="0"/>
                <w:color w:val="000000" w:themeColor="text1"/>
                <w:kern w:val="0"/>
                <w:sz w:val="24"/>
                <w:szCs w:val="20"/>
                <w14:textFill>
                  <w14:solidFill>
                    <w14:schemeClr w14:val="tx1"/>
                  </w14:solidFill>
                </w14:textFill>
              </w:rPr>
              <w:t>监测计划</w:t>
            </w:r>
          </w:p>
          <w:p w14:paraId="2A623310">
            <w:pPr>
              <w:pStyle w:val="37"/>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根据《排污单位自行监测技术指南 总则》（HJ819-2017）</w:t>
            </w:r>
            <w:r>
              <w:rPr>
                <w:rFonts w:hint="eastAsia" w:cs="Times New Roman"/>
                <w:color w:val="000000" w:themeColor="text1"/>
                <w:kern w:val="0"/>
                <w:sz w:val="24"/>
                <w:szCs w:val="20"/>
                <w:lang w:eastAsia="zh-CN"/>
                <w14:textFill>
                  <w14:solidFill>
                    <w14:schemeClr w14:val="tx1"/>
                  </w14:solidFill>
                </w14:textFill>
              </w:rPr>
              <w:t>和</w:t>
            </w:r>
            <w:r>
              <w:rPr>
                <w:rFonts w:hint="default" w:ascii="Times New Roman" w:hAnsi="Times New Roman" w:cs="Times New Roman"/>
                <w:color w:val="000000" w:themeColor="text1"/>
                <w:kern w:val="0"/>
                <w:sz w:val="24"/>
                <w:szCs w:val="20"/>
                <w14:textFill>
                  <w14:solidFill>
                    <w14:schemeClr w14:val="tx1"/>
                  </w14:solidFill>
                </w14:textFill>
              </w:rPr>
              <w:t>《排污许可证申请与核发技术规范</w:t>
            </w:r>
            <w:r>
              <w:rPr>
                <w:rFonts w:hint="eastAsia" w:cs="Times New Roman"/>
                <w:color w:val="000000" w:themeColor="text1"/>
                <w:kern w:val="0"/>
                <w:sz w:val="24"/>
                <w:szCs w:val="20"/>
                <w:lang w:val="en-US" w:eastAsia="zh-CN"/>
                <w14:textFill>
                  <w14:solidFill>
                    <w14:schemeClr w14:val="tx1"/>
                  </w14:solidFill>
                </w14:textFill>
              </w:rPr>
              <w:t xml:space="preserve"> </w:t>
            </w:r>
            <w:r>
              <w:rPr>
                <w:rFonts w:hint="default" w:ascii="Times New Roman" w:hAnsi="Times New Roman" w:cs="Times New Roman"/>
                <w:color w:val="000000" w:themeColor="text1"/>
                <w:kern w:val="0"/>
                <w:sz w:val="24"/>
                <w:szCs w:val="20"/>
                <w14:textFill>
                  <w14:solidFill>
                    <w14:schemeClr w14:val="tx1"/>
                  </w14:solidFill>
                </w14:textFill>
              </w:rPr>
              <w:t>医疗机构》（HJ1105-2020）相关要求</w:t>
            </w:r>
            <w:r>
              <w:rPr>
                <w:rFonts w:hint="eastAsia" w:cs="Times New Roman"/>
                <w:color w:val="000000" w:themeColor="text1"/>
                <w:kern w:val="0"/>
                <w:sz w:val="24"/>
                <w:szCs w:val="20"/>
                <w:lang w:eastAsia="zh-CN"/>
                <w14:textFill>
                  <w14:solidFill>
                    <w14:schemeClr w14:val="tx1"/>
                  </w14:solidFill>
                </w14:textFill>
              </w:rPr>
              <w:t>，本项目废气</w:t>
            </w:r>
            <w:r>
              <w:rPr>
                <w:rFonts w:hint="default" w:ascii="Times New Roman" w:hAnsi="Times New Roman" w:cs="Times New Roman"/>
                <w:color w:val="000000" w:themeColor="text1"/>
                <w:kern w:val="0"/>
                <w:sz w:val="24"/>
                <w:szCs w:val="20"/>
                <w14:textFill>
                  <w14:solidFill>
                    <w14:schemeClr w14:val="tx1"/>
                  </w14:solidFill>
                </w14:textFill>
              </w:rPr>
              <w:t>监测计划如下表4-</w:t>
            </w: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14:textFill>
                  <w14:solidFill>
                    <w14:schemeClr w14:val="tx1"/>
                  </w14:solidFill>
                </w14:textFill>
              </w:rPr>
              <w:t>。</w:t>
            </w:r>
          </w:p>
          <w:p w14:paraId="7BE8502E">
            <w:pPr>
              <w:spacing w:line="240" w:lineRule="auto"/>
              <w:ind w:firstLine="422" w:firstLineChars="200"/>
              <w:jc w:val="center"/>
              <w:rPr>
                <w:rFonts w:hint="default" w:ascii="Times New Roman" w:hAnsi="Times New Roman" w:eastAsia="宋体" w:cs="Times New Roman"/>
                <w:b/>
                <w:color w:val="auto"/>
                <w:sz w:val="24"/>
                <w:lang w:val="en-US"/>
              </w:rPr>
            </w:pPr>
            <w:r>
              <w:rPr>
                <w:rFonts w:hint="default" w:ascii="Times New Roman" w:hAnsi="Times New Roman" w:eastAsia="宋体" w:cs="Times New Roman"/>
                <w:b/>
                <w:color w:val="auto"/>
                <w:sz w:val="21"/>
                <w:szCs w:val="21"/>
                <w:lang w:val="en-US"/>
              </w:rPr>
              <w:t>表4-</w:t>
            </w:r>
            <w:r>
              <w:rPr>
                <w:rFonts w:hint="eastAsia" w:ascii="Times New Roman" w:hAnsi="Times New Roman" w:eastAsia="宋体" w:cs="Times New Roman"/>
                <w:b/>
                <w:color w:val="auto"/>
                <w:sz w:val="21"/>
                <w:szCs w:val="21"/>
                <w:lang w:val="en-US" w:eastAsia="zh-CN"/>
              </w:rPr>
              <w:t>2</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lang w:val="en-US"/>
              </w:rPr>
              <w:t>项目废气监测计划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250"/>
              <w:gridCol w:w="3811"/>
              <w:gridCol w:w="1572"/>
            </w:tblGrid>
            <w:tr w14:paraId="3D946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6632C5EF">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排放形式</w:t>
                  </w:r>
                </w:p>
              </w:tc>
              <w:tc>
                <w:tcPr>
                  <w:tcW w:w="803" w:type="pct"/>
                  <w:tcBorders>
                    <w:tl2br w:val="nil"/>
                    <w:tr2bl w:val="nil"/>
                  </w:tcBorders>
                  <w:vAlign w:val="center"/>
                </w:tcPr>
                <w:p w14:paraId="326A5061">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监测点位</w:t>
                  </w:r>
                </w:p>
              </w:tc>
              <w:tc>
                <w:tcPr>
                  <w:tcW w:w="2449" w:type="pct"/>
                  <w:tcBorders>
                    <w:tl2br w:val="nil"/>
                    <w:tr2bl w:val="nil"/>
                  </w:tcBorders>
                  <w:vAlign w:val="center"/>
                </w:tcPr>
                <w:p w14:paraId="2CCD0B71">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监测指标</w:t>
                  </w:r>
                </w:p>
              </w:tc>
              <w:tc>
                <w:tcPr>
                  <w:tcW w:w="1010" w:type="pct"/>
                  <w:tcBorders>
                    <w:tl2br w:val="nil"/>
                    <w:tr2bl w:val="nil"/>
                  </w:tcBorders>
                  <w:vAlign w:val="center"/>
                </w:tcPr>
                <w:p w14:paraId="36AEF3A8">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000000" w:themeColor="text1"/>
                      <w:kern w:val="0"/>
                      <w:sz w:val="21"/>
                      <w:szCs w:val="21"/>
                      <w14:textFill>
                        <w14:solidFill>
                          <w14:schemeClr w14:val="tx1"/>
                        </w14:solidFill>
                      </w14:textFill>
                    </w:rPr>
                  </w:pPr>
                  <w:r>
                    <w:rPr>
                      <w:rFonts w:hint="default" w:ascii="Times New Roman" w:hAnsi="Times New Roman" w:cs="Times New Roman"/>
                      <w:b/>
                      <w:bCs/>
                      <w:color w:val="000000" w:themeColor="text1"/>
                      <w:kern w:val="0"/>
                      <w:sz w:val="21"/>
                      <w:szCs w:val="21"/>
                      <w14:textFill>
                        <w14:solidFill>
                          <w14:schemeClr w14:val="tx1"/>
                        </w14:solidFill>
                      </w14:textFill>
                    </w:rPr>
                    <w:t>监测频次</w:t>
                  </w:r>
                </w:p>
              </w:tc>
            </w:tr>
            <w:tr w14:paraId="2E930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7" w:type="pct"/>
                  <w:tcBorders>
                    <w:tl2br w:val="nil"/>
                    <w:tr2bl w:val="nil"/>
                  </w:tcBorders>
                  <w:vAlign w:val="center"/>
                </w:tcPr>
                <w:p w14:paraId="6095C800">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无组织</w:t>
                  </w:r>
                </w:p>
              </w:tc>
              <w:tc>
                <w:tcPr>
                  <w:tcW w:w="803" w:type="pct"/>
                  <w:tcBorders>
                    <w:tl2br w:val="nil"/>
                    <w:tr2bl w:val="nil"/>
                  </w:tcBorders>
                  <w:vAlign w:val="center"/>
                </w:tcPr>
                <w:p w14:paraId="002D055E">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污水处理站周边</w:t>
                  </w:r>
                </w:p>
              </w:tc>
              <w:tc>
                <w:tcPr>
                  <w:tcW w:w="2449" w:type="pct"/>
                  <w:tcBorders>
                    <w:tl2br w:val="nil"/>
                    <w:tr2bl w:val="nil"/>
                  </w:tcBorders>
                  <w:vAlign w:val="center"/>
                </w:tcPr>
                <w:p w14:paraId="0A282E07">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氨、硫化氢、臭气浓度</w:t>
                  </w:r>
                </w:p>
              </w:tc>
              <w:tc>
                <w:tcPr>
                  <w:tcW w:w="1010" w:type="pct"/>
                  <w:tcBorders>
                    <w:tl2br w:val="nil"/>
                    <w:tr2bl w:val="nil"/>
                  </w:tcBorders>
                  <w:vAlign w:val="center"/>
                </w:tcPr>
                <w:p w14:paraId="141D09ED">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1次/</w:t>
                  </w:r>
                  <w:r>
                    <w:rPr>
                      <w:rFonts w:hint="eastAsia" w:cs="Times New Roman"/>
                      <w:color w:val="000000" w:themeColor="text1"/>
                      <w:kern w:val="0"/>
                      <w:sz w:val="21"/>
                      <w:szCs w:val="21"/>
                      <w:lang w:val="en-US" w:eastAsia="zh-CN"/>
                      <w14:textFill>
                        <w14:solidFill>
                          <w14:schemeClr w14:val="tx1"/>
                        </w14:solidFill>
                      </w14:textFill>
                    </w:rPr>
                    <w:t>季度</w:t>
                  </w:r>
                </w:p>
              </w:tc>
            </w:tr>
          </w:tbl>
          <w:p w14:paraId="799112B1">
            <w:pPr>
              <w:numPr>
                <w:ilvl w:val="0"/>
                <w:numId w:val="0"/>
              </w:numPr>
              <w:bidi w:val="0"/>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val="none" w:color="auto"/>
                <w:lang w:val="en-US" w:eastAsia="zh-CN" w:bidi="ar-SA"/>
              </w:rPr>
              <w:t>二、</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水</w:t>
            </w:r>
            <w:r>
              <w:rPr>
                <w:rFonts w:hint="default" w:ascii="Times New Roman" w:hAnsi="Times New Roman" w:eastAsia="宋体" w:cs="Times New Roman"/>
                <w:b/>
                <w:bCs/>
                <w:color w:val="auto"/>
                <w:sz w:val="24"/>
                <w:szCs w:val="24"/>
                <w:u w:val="none" w:color="auto"/>
                <w:lang w:val="en-US" w:eastAsia="zh-CN"/>
              </w:rPr>
              <w:t>环境影响和保护措施</w:t>
            </w:r>
          </w:p>
          <w:p w14:paraId="76BBE618">
            <w:pPr>
              <w:pStyle w:val="15"/>
              <w:numPr>
                <w:ilvl w:val="0"/>
                <w:numId w:val="0"/>
              </w:numPr>
              <w:spacing w:after="0" w:line="360" w:lineRule="auto"/>
              <w:ind w:firstLine="480" w:firstLineChars="200"/>
              <w:rPr>
                <w:rFonts w:hint="default" w:ascii="Times New Roman" w:hAnsi="Times New Roman" w:cs="Times New Roman"/>
                <w:b/>
                <w:bCs/>
                <w:color w:val="000000" w:themeColor="text1"/>
                <w:sz w:val="24"/>
                <w14:textFill>
                  <w14:solidFill>
                    <w14:schemeClr w14:val="tx1"/>
                  </w14:solidFill>
                </w14:textFill>
              </w:rPr>
            </w:pPr>
            <w:bookmarkStart w:id="19" w:name="_Toc15601"/>
            <w:bookmarkStart w:id="20" w:name="_Toc21593"/>
            <w:r>
              <w:rPr>
                <w:rFonts w:hint="default" w:ascii="Times New Roman" w:hAnsi="Times New Roman" w:eastAsia="宋体" w:cs="Times New Roman"/>
                <w:b w:val="0"/>
                <w:bCs w:val="0"/>
                <w:color w:val="auto"/>
                <w:kern w:val="2"/>
                <w:sz w:val="24"/>
                <w:szCs w:val="24"/>
                <w:u w:val="none" w:color="auto"/>
                <w:lang w:val="en-US" w:eastAsia="zh-CN" w:bidi="ar-SA"/>
              </w:rPr>
              <w:t>1、废水产生及排放情况</w:t>
            </w:r>
            <w:bookmarkEnd w:id="19"/>
            <w:bookmarkEnd w:id="20"/>
          </w:p>
          <w:p w14:paraId="36316F6C">
            <w:pPr>
              <w:pStyle w:val="15"/>
              <w:spacing w:after="0" w:line="360" w:lineRule="auto"/>
              <w:ind w:firstLine="480" w:firstLineChars="200"/>
              <w:rPr>
                <w:rFonts w:hint="eastAsia"/>
                <w:sz w:val="24"/>
                <w:u w:val="none"/>
                <w:lang w:eastAsia="zh-CN"/>
              </w:rPr>
            </w:pPr>
            <w:r>
              <w:rPr>
                <w:rFonts w:hint="eastAsia"/>
                <w:sz w:val="24"/>
                <w:u w:val="none"/>
              </w:rPr>
              <w:t>本</w:t>
            </w:r>
            <w:r>
              <w:rPr>
                <w:sz w:val="24"/>
                <w:u w:val="none"/>
              </w:rPr>
              <w:t>项目废水混合收集，主要包括一般性医疗废水、</w:t>
            </w:r>
            <w:r>
              <w:rPr>
                <w:rFonts w:hint="eastAsia"/>
                <w:sz w:val="24"/>
                <w:u w:val="none"/>
                <w:lang w:eastAsia="zh-CN"/>
              </w:rPr>
              <w:t>医护职工</w:t>
            </w:r>
            <w:r>
              <w:rPr>
                <w:sz w:val="24"/>
                <w:u w:val="none"/>
              </w:rPr>
              <w:t>生活污水、食堂废水等。一般性医疗废水经</w:t>
            </w:r>
            <w:r>
              <w:rPr>
                <w:rFonts w:hint="eastAsia"/>
                <w:sz w:val="24"/>
                <w:u w:val="none"/>
                <w:lang w:val="en-US" w:eastAsia="zh-CN"/>
              </w:rPr>
              <w:t>化粪池处理后排入</w:t>
            </w:r>
            <w:r>
              <w:rPr>
                <w:sz w:val="24"/>
                <w:u w:val="none"/>
              </w:rPr>
              <w:t>污水处理站处理；食堂废水</w:t>
            </w:r>
            <w:r>
              <w:rPr>
                <w:rFonts w:hint="eastAsia"/>
                <w:sz w:val="24"/>
                <w:u w:val="none"/>
                <w:lang w:val="en-US" w:eastAsia="zh-CN"/>
              </w:rPr>
              <w:t>与</w:t>
            </w:r>
            <w:r>
              <w:rPr>
                <w:rFonts w:hint="eastAsia"/>
                <w:sz w:val="24"/>
                <w:u w:val="none"/>
                <w:lang w:eastAsia="zh-CN"/>
              </w:rPr>
              <w:t>医护职工</w:t>
            </w:r>
            <w:r>
              <w:rPr>
                <w:sz w:val="24"/>
                <w:u w:val="none"/>
              </w:rPr>
              <w:t>生活污水一同排入</w:t>
            </w:r>
            <w:r>
              <w:rPr>
                <w:rFonts w:hint="eastAsia"/>
                <w:sz w:val="24"/>
                <w:u w:val="none"/>
                <w:lang w:val="en-US" w:eastAsia="zh-CN"/>
              </w:rPr>
              <w:t>化粪池处理，再排入</w:t>
            </w:r>
            <w:r>
              <w:rPr>
                <w:sz w:val="24"/>
                <w:u w:val="none"/>
              </w:rPr>
              <w:t>污水处理站处理。本项目不接纳传染性患者。项目医学检验科所用试剂均为外购的成品试剂盒（即标准溶液），不需单独配置标准溶液，无重金属等废液产生。检验科化验为常规简单化验，主要承担临床检验血、尿、便及常见液体分泌物常规分析，所用检验试剂为常规试剂，检验室采集的样本直接进入仪器进行分析，试剂滴在器皿上处理样本，最后作为检验废液纳入医疗废物，交由有资质单位处理。因此检验室不产生酸碱废水，在运营过程中无含氰废水、含汞废水、含铬废水</w:t>
            </w:r>
            <w:r>
              <w:rPr>
                <w:rFonts w:hint="eastAsia"/>
                <w:sz w:val="24"/>
                <w:u w:val="none"/>
                <w:lang w:eastAsia="zh-CN"/>
              </w:rPr>
              <w:t>。</w:t>
            </w:r>
          </w:p>
          <w:p w14:paraId="516A58C8">
            <w:pPr>
              <w:pStyle w:val="15"/>
              <w:spacing w:after="0" w:line="360" w:lineRule="auto"/>
              <w:ind w:firstLine="480" w:firstLineChars="200"/>
              <w:rPr>
                <w:rFonts w:hint="default" w:eastAsia="宋体" w:cs="Times New Roman"/>
                <w:b w:val="0"/>
                <w:bCs w:val="0"/>
                <w:color w:val="000000" w:themeColor="text1"/>
                <w:sz w:val="24"/>
                <w:szCs w:val="24"/>
                <w:highlight w:val="none"/>
                <w:u w:val="none"/>
                <w:lang w:val="en-US" w:eastAsia="zh-CN"/>
                <w14:textFill>
                  <w14:solidFill>
                    <w14:schemeClr w14:val="tx1"/>
                  </w14:solidFill>
                </w14:textFill>
              </w:rPr>
            </w:pPr>
            <w:r>
              <w:rPr>
                <w:rFonts w:hint="eastAsia"/>
                <w:sz w:val="24"/>
                <w:u w:val="none"/>
                <w:lang w:eastAsia="zh-CN"/>
              </w:rPr>
              <w:t>综上，本项目不产生特殊医疗废水</w:t>
            </w:r>
            <w:r>
              <w:rPr>
                <w:rFonts w:hint="eastAsia" w:cs="Times New Roman"/>
                <w:color w:val="auto"/>
                <w:sz w:val="24"/>
                <w:lang w:val="en-US" w:eastAsia="zh-CN"/>
              </w:rPr>
              <w:t>，营运期废水为综合医疗废水，其</w:t>
            </w:r>
            <w:r>
              <w:rPr>
                <w:rFonts w:hint="default"/>
                <w:color w:val="auto"/>
                <w:sz w:val="24"/>
                <w:szCs w:val="24"/>
                <w:u w:val="none" w:color="auto"/>
                <w:lang w:val="en-US" w:eastAsia="zh-CN"/>
              </w:rPr>
              <w:t>废水</w:t>
            </w:r>
            <w:r>
              <w:rPr>
                <w:rFonts w:hint="eastAsia" w:cs="Times New Roman"/>
                <w:color w:val="auto"/>
                <w:sz w:val="24"/>
                <w:szCs w:val="24"/>
                <w:u w:val="none" w:color="auto"/>
                <w:vertAlign w:val="baseline"/>
                <w:lang w:val="en-US" w:eastAsia="zh-CN"/>
              </w:rPr>
              <w:t>产生量为14.568</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/d</w:t>
            </w:r>
            <w:r>
              <w:rPr>
                <w:rFonts w:hint="eastAsia" w:cs="Times New Roman"/>
                <w:color w:val="000000" w:themeColor="text1"/>
                <w:sz w:val="24"/>
                <w:szCs w:val="24"/>
                <w:u w:val="none" w:color="auto"/>
                <w:vertAlign w:val="baseline"/>
                <w:lang w:val="en-US" w:eastAsia="zh-CN"/>
                <w14:textFill>
                  <w14:solidFill>
                    <w14:schemeClr w14:val="tx1"/>
                  </w14:solidFill>
                </w14:textFill>
              </w:rPr>
              <w:t>（5317.32</w:t>
            </w:r>
            <w:r>
              <w:rPr>
                <w:rFonts w:hint="default"/>
                <w:color w:val="000000" w:themeColor="text1"/>
                <w:sz w:val="24"/>
                <w:szCs w:val="24"/>
                <w:u w:val="none" w:color="auto"/>
                <w:lang w:val="en-US" w:eastAsia="zh-CN"/>
                <w14:textFill>
                  <w14:solidFill>
                    <w14:schemeClr w14:val="tx1"/>
                  </w14:solidFill>
                </w14:textFill>
              </w:rPr>
              <w:t>m</w:t>
            </w:r>
            <w:r>
              <w:rPr>
                <w:rFonts w:hint="default"/>
                <w:color w:val="000000" w:themeColor="text1"/>
                <w:sz w:val="24"/>
                <w:szCs w:val="24"/>
                <w:u w:val="none" w:color="auto"/>
                <w:vertAlign w:val="superscript"/>
                <w:lang w:val="en-US" w:eastAsia="zh-CN"/>
                <w14:textFill>
                  <w14:solidFill>
                    <w14:schemeClr w14:val="tx1"/>
                  </w14:solidFill>
                </w14:textFill>
              </w:rPr>
              <w:t>3</w:t>
            </w:r>
            <w:r>
              <w:rPr>
                <w:rFonts w:hint="default"/>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w:t>
            </w:r>
            <w:r>
              <w:rPr>
                <w:rFonts w:hint="eastAsia" w:cs="Times New Roman"/>
                <w:color w:val="000000" w:themeColor="text1"/>
                <w:sz w:val="24"/>
                <w:szCs w:val="24"/>
                <w:u w:val="none" w:color="auto"/>
                <w:vertAlign w:val="baseline"/>
                <w:lang w:val="en-US" w:eastAsia="zh-CN"/>
                <w14:textFill>
                  <w14:solidFill>
                    <w14:schemeClr w14:val="tx1"/>
                  </w14:solidFill>
                </w14:textFill>
              </w:rPr>
              <w:t>）</w:t>
            </w:r>
            <w:r>
              <w:rPr>
                <w:rFonts w:hint="eastAsia"/>
                <w:color w:val="auto"/>
                <w:sz w:val="24"/>
                <w:szCs w:val="24"/>
                <w:u w:val="none" w:color="auto"/>
                <w:lang w:val="en-US" w:eastAsia="zh-CN"/>
              </w:rPr>
              <w:t>。</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根据《医院污水处理工程技术规范》（</w:t>
            </w:r>
            <w:r>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HJ2029-2013</w:t>
            </w: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）中医院污水水质平均浓度及类比同行业项目浓度</w:t>
            </w:r>
            <w:r>
              <w:rPr>
                <w:rFonts w:ascii="Times New Roman" w:hAnsi="Times New Roman"/>
                <w:color w:val="000000" w:themeColor="text1"/>
                <w:sz w:val="24"/>
                <w:highlight w:val="none"/>
                <w:u w:val="none"/>
                <w14:textFill>
                  <w14:solidFill>
                    <w14:schemeClr w14:val="tx1"/>
                  </w14:solidFill>
                </w14:textFill>
              </w:rPr>
              <w:t>，其中COD：</w:t>
            </w:r>
            <w:r>
              <w:rPr>
                <w:rFonts w:hint="eastAsia" w:ascii="Times New Roman" w:hAnsi="Times New Roman"/>
                <w:color w:val="000000" w:themeColor="text1"/>
                <w:sz w:val="24"/>
                <w:highlight w:val="none"/>
                <w:u w:val="none"/>
                <w:lang w:val="en-US" w:eastAsia="zh-CN"/>
                <w14:textFill>
                  <w14:solidFill>
                    <w14:schemeClr w14:val="tx1"/>
                  </w14:solidFill>
                </w14:textFill>
              </w:rPr>
              <w:t>300</w:t>
            </w:r>
            <w:r>
              <w:rPr>
                <w:rFonts w:ascii="Times New Roman" w:hAnsi="Times New Roman"/>
                <w:color w:val="000000" w:themeColor="text1"/>
                <w:sz w:val="24"/>
                <w:highlight w:val="none"/>
                <w:u w:val="none"/>
                <w14:textFill>
                  <w14:solidFill>
                    <w14:schemeClr w14:val="tx1"/>
                  </w14:solidFill>
                </w14:textFill>
              </w:rPr>
              <w:t xml:space="preserve"> mg/L、BOD</w:t>
            </w:r>
            <w:r>
              <w:rPr>
                <w:rFonts w:ascii="Times New Roman" w:hAnsi="Times New Roman"/>
                <w:color w:val="000000" w:themeColor="text1"/>
                <w:sz w:val="24"/>
                <w:highlight w:val="none"/>
                <w:u w:val="none"/>
                <w:vertAlign w:val="subscript"/>
                <w14:textFill>
                  <w14:solidFill>
                    <w14:schemeClr w14:val="tx1"/>
                  </w14:solidFill>
                </w14:textFill>
              </w:rPr>
              <w:t>5</w:t>
            </w:r>
            <w:r>
              <w:rPr>
                <w:rFonts w:ascii="Times New Roman" w:hAnsi="Times New Roman"/>
                <w:color w:val="000000" w:themeColor="text1"/>
                <w:sz w:val="24"/>
                <w:highlight w:val="none"/>
                <w:u w:val="none"/>
                <w14:textFill>
                  <w14:solidFill>
                    <w14:schemeClr w14:val="tx1"/>
                  </w14:solidFill>
                </w14:textFill>
              </w:rPr>
              <w:t>：</w:t>
            </w:r>
            <w:r>
              <w:rPr>
                <w:rFonts w:hint="eastAsia" w:ascii="Times New Roman" w:hAnsi="Times New Roman"/>
                <w:color w:val="000000" w:themeColor="text1"/>
                <w:sz w:val="24"/>
                <w:highlight w:val="none"/>
                <w:u w:val="none"/>
                <w:lang w:val="en-US" w:eastAsia="zh-CN"/>
                <w14:textFill>
                  <w14:solidFill>
                    <w14:schemeClr w14:val="tx1"/>
                  </w14:solidFill>
                </w14:textFill>
              </w:rPr>
              <w:t>150</w:t>
            </w:r>
            <w:r>
              <w:rPr>
                <w:rFonts w:ascii="Times New Roman" w:hAnsi="Times New Roman"/>
                <w:color w:val="000000" w:themeColor="text1"/>
                <w:sz w:val="24"/>
                <w:highlight w:val="none"/>
                <w:u w:val="none"/>
                <w14:textFill>
                  <w14:solidFill>
                    <w14:schemeClr w14:val="tx1"/>
                  </w14:solidFill>
                </w14:textFill>
              </w:rPr>
              <w:t>mg/L、SS：</w:t>
            </w:r>
            <w:r>
              <w:rPr>
                <w:rFonts w:hint="eastAsia" w:ascii="Times New Roman" w:hAnsi="Times New Roman"/>
                <w:color w:val="000000" w:themeColor="text1"/>
                <w:sz w:val="24"/>
                <w:highlight w:val="none"/>
                <w:u w:val="none"/>
                <w:lang w:val="en-US" w:eastAsia="zh-CN"/>
                <w14:textFill>
                  <w14:solidFill>
                    <w14:schemeClr w14:val="tx1"/>
                  </w14:solidFill>
                </w14:textFill>
              </w:rPr>
              <w:t>120</w:t>
            </w:r>
            <w:r>
              <w:rPr>
                <w:rFonts w:ascii="Times New Roman" w:hAnsi="Times New Roman"/>
                <w:color w:val="000000" w:themeColor="text1"/>
                <w:sz w:val="24"/>
                <w:highlight w:val="none"/>
                <w:u w:val="none"/>
                <w14:textFill>
                  <w14:solidFill>
                    <w14:schemeClr w14:val="tx1"/>
                  </w14:solidFill>
                </w14:textFill>
              </w:rPr>
              <w:t>mg/L、NH</w:t>
            </w:r>
            <w:r>
              <w:rPr>
                <w:rFonts w:ascii="Times New Roman" w:hAnsi="Times New Roman"/>
                <w:color w:val="000000" w:themeColor="text1"/>
                <w:sz w:val="24"/>
                <w:highlight w:val="none"/>
                <w:u w:val="none"/>
                <w:vertAlign w:val="subscript"/>
                <w14:textFill>
                  <w14:solidFill>
                    <w14:schemeClr w14:val="tx1"/>
                  </w14:solidFill>
                </w14:textFill>
              </w:rPr>
              <w:t>3</w:t>
            </w:r>
            <w:r>
              <w:rPr>
                <w:rFonts w:ascii="Times New Roman" w:hAnsi="Times New Roman"/>
                <w:color w:val="000000" w:themeColor="text1"/>
                <w:sz w:val="24"/>
                <w:highlight w:val="none"/>
                <w:u w:val="none"/>
                <w14:textFill>
                  <w14:solidFill>
                    <w14:schemeClr w14:val="tx1"/>
                  </w14:solidFill>
                </w14:textFill>
              </w:rPr>
              <w:t>-N：</w:t>
            </w:r>
            <w:r>
              <w:rPr>
                <w:rFonts w:hint="eastAsia" w:ascii="Times New Roman" w:hAnsi="Times New Roman"/>
                <w:color w:val="000000" w:themeColor="text1"/>
                <w:sz w:val="24"/>
                <w:highlight w:val="none"/>
                <w:u w:val="none"/>
                <w:lang w:val="en-US" w:eastAsia="zh-CN"/>
                <w14:textFill>
                  <w14:solidFill>
                    <w14:schemeClr w14:val="tx1"/>
                  </w14:solidFill>
                </w14:textFill>
              </w:rPr>
              <w:t>50</w:t>
            </w:r>
            <w:r>
              <w:rPr>
                <w:rFonts w:ascii="Times New Roman" w:hAnsi="Times New Roman"/>
                <w:color w:val="000000" w:themeColor="text1"/>
                <w:sz w:val="24"/>
                <w:highlight w:val="none"/>
                <w:u w:val="none"/>
                <w14:textFill>
                  <w14:solidFill>
                    <w14:schemeClr w14:val="tx1"/>
                  </w14:solidFill>
                </w14:textFill>
              </w:rPr>
              <w:t xml:space="preserve"> mg/L</w:t>
            </w:r>
            <w:r>
              <w:rPr>
                <w:rFonts w:hint="eastAsia" w:ascii="Times New Roman" w:hAnsi="Times New Roman"/>
                <w:color w:val="000000" w:themeColor="text1"/>
                <w:sz w:val="24"/>
                <w:highlight w:val="none"/>
                <w:u w:val="none"/>
                <w:lang w:val="en-US" w:eastAsia="zh-CN"/>
                <w14:textFill>
                  <w14:solidFill>
                    <w14:schemeClr w14:val="tx1"/>
                  </w14:solidFill>
                </w14:textFill>
              </w:rPr>
              <w:t>、粪大肠菌群数：</w:t>
            </w:r>
            <w:r>
              <w:rPr>
                <w:rFonts w:hint="default" w:cs="Times New Roman"/>
                <w:b w:val="0"/>
                <w:bCs w:val="0"/>
                <w:color w:val="000000" w:themeColor="text1"/>
                <w:sz w:val="24"/>
                <w:szCs w:val="24"/>
                <w:u w:val="none"/>
                <w:lang w:val="en-US" w:eastAsia="zh-CN"/>
                <w14:textFill>
                  <w14:solidFill>
                    <w14:schemeClr w14:val="tx1"/>
                  </w14:solidFill>
                </w14:textFill>
              </w:rPr>
              <w:t>3.0</w:t>
            </w:r>
            <w:r>
              <w:rPr>
                <w:rFonts w:hint="default" w:ascii="Times New Roman" w:hAnsi="Times New Roman" w:cs="Times New Roman"/>
                <w:b w:val="0"/>
                <w:bCs w:val="0"/>
                <w:color w:val="000000" w:themeColor="text1"/>
                <w:sz w:val="24"/>
                <w:szCs w:val="24"/>
                <w:u w:val="none"/>
                <w:lang w:val="en-US" w:eastAsia="zh-CN"/>
                <w14:textFill>
                  <w14:solidFill>
                    <w14:schemeClr w14:val="tx1"/>
                  </w14:solidFill>
                </w14:textFill>
              </w:rPr>
              <w:t>×</w:t>
            </w:r>
            <w:r>
              <w:rPr>
                <w:rFonts w:hint="default" w:cs="Times New Roman"/>
                <w:b w:val="0"/>
                <w:bCs w:val="0"/>
                <w:color w:val="000000" w:themeColor="text1"/>
                <w:sz w:val="24"/>
                <w:szCs w:val="24"/>
                <w:u w:val="none"/>
                <w:lang w:val="en-US" w:eastAsia="zh-CN"/>
                <w14:textFill>
                  <w14:solidFill>
                    <w14:schemeClr w14:val="tx1"/>
                  </w14:solidFill>
                </w14:textFill>
              </w:rPr>
              <w:t>10</w:t>
            </w:r>
            <w:r>
              <w:rPr>
                <w:rFonts w:hint="default" w:cs="Times New Roman"/>
                <w:b w:val="0"/>
                <w:bCs w:val="0"/>
                <w:color w:val="000000" w:themeColor="text1"/>
                <w:sz w:val="24"/>
                <w:szCs w:val="24"/>
                <w:u w:val="none"/>
                <w:vertAlign w:val="superscript"/>
                <w:lang w:val="en-US" w:eastAsia="zh-CN"/>
                <w14:textFill>
                  <w14:solidFill>
                    <w14:schemeClr w14:val="tx1"/>
                  </w14:solidFill>
                </w14:textFill>
              </w:rPr>
              <w:t>8</w:t>
            </w:r>
            <w:r>
              <w:rPr>
                <w:rFonts w:hint="default" w:cs="Times New Roman"/>
                <w:b w:val="0"/>
                <w:bCs w:val="0"/>
                <w:color w:val="000000" w:themeColor="text1"/>
                <w:sz w:val="24"/>
                <w:szCs w:val="24"/>
                <w:u w:val="none"/>
                <w:lang w:val="en-US" w:eastAsia="zh-CN"/>
                <w14:textFill>
                  <w14:solidFill>
                    <w14:schemeClr w14:val="tx1"/>
                  </w14:solidFill>
                </w14:textFill>
              </w:rPr>
              <w:t>个/</w:t>
            </w:r>
            <w:r>
              <w:rPr>
                <w:rFonts w:hint="default" w:cs="Times New Roman"/>
                <w:b w:val="0"/>
                <w:bCs w:val="0"/>
                <w:color w:val="000000" w:themeColor="text1"/>
                <w:sz w:val="24"/>
                <w:szCs w:val="24"/>
                <w:highlight w:val="none"/>
                <w:u w:val="none"/>
                <w:lang w:val="en-US" w:eastAsia="zh-CN"/>
                <w14:textFill>
                  <w14:solidFill>
                    <w14:schemeClr w14:val="tx1"/>
                  </w14:solidFill>
                </w14:textFill>
              </w:rPr>
              <w:t>L</w:t>
            </w:r>
            <w:r>
              <w:rPr>
                <w:rFonts w:hint="eastAsia" w:ascii="Times New Roman" w:hAnsi="Times New Roman" w:eastAsia="宋体" w:cs="Times New Roman"/>
                <w:color w:val="000000" w:themeColor="text1"/>
                <w:sz w:val="24"/>
                <w:highlight w:val="none"/>
                <w:u w:val="none"/>
                <w:lang w:eastAsia="zh-CN"/>
                <w14:textFill>
                  <w14:solidFill>
                    <w14:schemeClr w14:val="tx1"/>
                  </w14:solidFill>
                </w14:textFill>
              </w:rPr>
              <w:t>、动植物油：</w:t>
            </w:r>
            <w:r>
              <w:rPr>
                <w:rFonts w:hint="eastAsia" w:ascii="Times New Roman" w:hAnsi="Times New Roman" w:eastAsia="宋体" w:cs="Times New Roman"/>
                <w:color w:val="000000" w:themeColor="text1"/>
                <w:sz w:val="24"/>
                <w:highlight w:val="none"/>
                <w:u w:val="none"/>
                <w:lang w:val="en-US" w:eastAsia="zh-CN"/>
                <w14:textFill>
                  <w14:solidFill>
                    <w14:schemeClr w14:val="tx1"/>
                  </w14:solidFill>
                </w14:textFill>
              </w:rPr>
              <w:t>50</w:t>
            </w:r>
            <w:r>
              <w:rPr>
                <w:rFonts w:ascii="Times New Roman" w:hAnsi="Times New Roman"/>
                <w:color w:val="000000" w:themeColor="text1"/>
                <w:sz w:val="24"/>
                <w:highlight w:val="none"/>
                <w:u w:val="none"/>
                <w14:textFill>
                  <w14:solidFill>
                    <w14:schemeClr w14:val="tx1"/>
                  </w14:solidFill>
                </w14:textFill>
              </w:rPr>
              <w:t>mg/L</w:t>
            </w:r>
            <w:r>
              <w:rPr>
                <w:rFonts w:hint="eastAsia" w:ascii="Times New Roman" w:hAnsi="Times New Roman" w:eastAsia="宋体" w:cs="Times New Roman"/>
                <w:color w:val="000000" w:themeColor="text1"/>
                <w:sz w:val="24"/>
                <w:highlight w:val="none"/>
                <w:u w:val="none"/>
                <w:lang w:val="en-US" w:eastAsia="zh-CN"/>
                <w14:textFill>
                  <w14:solidFill>
                    <w14:schemeClr w14:val="tx1"/>
                  </w14:solidFill>
                </w14:textFill>
              </w:rPr>
              <w:t>、阴离子表面活性剂：30</w:t>
            </w:r>
            <w:r>
              <w:rPr>
                <w:rFonts w:ascii="Times New Roman" w:hAnsi="Times New Roman"/>
                <w:color w:val="000000" w:themeColor="text1"/>
                <w:sz w:val="24"/>
                <w:highlight w:val="none"/>
                <w:u w:val="none"/>
                <w14:textFill>
                  <w14:solidFill>
                    <w14:schemeClr w14:val="tx1"/>
                  </w14:solidFill>
                </w14:textFill>
              </w:rPr>
              <w:t>mg/L</w:t>
            </w:r>
            <w:r>
              <w:rPr>
                <w:rFonts w:ascii="Times New Roman" w:hAnsi="Times New Roman" w:eastAsia="宋体" w:cs="Times New Roman"/>
                <w:color w:val="000000" w:themeColor="text1"/>
                <w:sz w:val="24"/>
                <w:highlight w:val="none"/>
                <w:u w:val="none"/>
                <w14:textFill>
                  <w14:solidFill>
                    <w14:schemeClr w14:val="tx1"/>
                  </w14:solidFill>
                </w14:textFill>
              </w:rPr>
              <w:t>。</w:t>
            </w:r>
          </w:p>
          <w:p w14:paraId="7978E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kern w:val="0"/>
                <w:sz w:val="24"/>
                <w:szCs w:val="24"/>
                <w:highlight w:val="none"/>
                <w:u w:val="none" w:color="auto"/>
                <w:lang w:val="en-US" w:eastAsia="zh-CN"/>
              </w:rPr>
            </w:pPr>
            <w:r>
              <w:rPr>
                <w:rFonts w:hint="eastAsia" w:cs="Times New Roman"/>
                <w:b w:val="0"/>
                <w:bCs w:val="0"/>
                <w:color w:val="000000" w:themeColor="text1"/>
                <w:sz w:val="24"/>
                <w:szCs w:val="24"/>
                <w:u w:val="none"/>
                <w:lang w:eastAsia="zh-CN"/>
                <w14:textFill>
                  <w14:solidFill>
                    <w14:schemeClr w14:val="tx1"/>
                  </w14:solidFill>
                </w14:textFill>
              </w:rPr>
              <w:t>废水处理措施及去向：</w:t>
            </w:r>
            <w:r>
              <w:rPr>
                <w:rFonts w:hint="eastAsia"/>
                <w:color w:val="000000" w:themeColor="text1"/>
                <w:sz w:val="24"/>
                <w:szCs w:val="24"/>
                <w:lang w:val="en-US" w:eastAsia="zh-CN"/>
                <w14:textFill>
                  <w14:solidFill>
                    <w14:schemeClr w14:val="tx1"/>
                  </w14:solidFill>
                </w14:textFill>
              </w:rPr>
              <w:t>综合医疗废水</w:t>
            </w:r>
            <w:r>
              <w:rPr>
                <w:rFonts w:hint="eastAsia" w:cs="Times New Roman"/>
                <w:color w:val="000000" w:themeColor="text1"/>
                <w:kern w:val="0"/>
                <w:sz w:val="24"/>
                <w:szCs w:val="24"/>
                <w:highlight w:val="none"/>
                <w:u w:val="none" w:color="auto"/>
                <w:lang w:val="en-US" w:eastAsia="zh-CN"/>
                <w14:textFill>
                  <w14:solidFill>
                    <w14:schemeClr w14:val="tx1"/>
                  </w14:solidFill>
                </w14:textFill>
              </w:rPr>
              <w:t>经自建污水处理站（调节池+沉淀池+消毒池（活性氧））处理后由城镇污水管网接入污水处理厂深度处理，尾水排入新田河支流油麻岭河。</w:t>
            </w:r>
          </w:p>
          <w:p w14:paraId="0A20F3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 w:val="0"/>
                <w:bCs w:val="0"/>
                <w:color w:val="auto"/>
                <w:sz w:val="24"/>
                <w:u w:val="none"/>
                <w:lang w:val="en-US" w:eastAsia="zh-CN"/>
              </w:rPr>
            </w:pPr>
            <w:r>
              <w:rPr>
                <w:rFonts w:hint="eastAsia" w:cs="Times New Roman"/>
                <w:b w:val="0"/>
                <w:bCs w:val="0"/>
                <w:color w:val="auto"/>
                <w:sz w:val="24"/>
                <w:u w:val="none"/>
                <w:lang w:val="en-US" w:eastAsia="zh-CN"/>
              </w:rPr>
              <w:t>综上，本项目营运期废水中各污染物产排情况详见下表。</w:t>
            </w:r>
          </w:p>
          <w:p w14:paraId="3E75C28A">
            <w:pPr>
              <w:spacing w:line="240" w:lineRule="auto"/>
              <w:jc w:val="center"/>
              <w:rPr>
                <w:rFonts w:hint="eastAsia" w:ascii="Times New Roman" w:cs="Times New Roman"/>
                <w:color w:val="000000" w:themeColor="text1"/>
                <w:u w:val="none" w:color="auto"/>
                <w:lang w:val="en-US" w:eastAsia="zh-CN"/>
                <w14:textFill>
                  <w14:solidFill>
                    <w14:schemeClr w14:val="tx1"/>
                  </w14:solidFill>
                </w14:textFill>
              </w:rPr>
            </w:pPr>
            <w:r>
              <w:rPr>
                <w:rFonts w:hint="default" w:ascii="Times New Roman" w:hAnsi="Times New Roman" w:eastAsia="宋体" w:cs="Times New Roman"/>
                <w:b/>
                <w:color w:val="000000" w:themeColor="text1"/>
                <w:sz w:val="21"/>
                <w:szCs w:val="21"/>
                <w:u w:val="none" w:color="auto"/>
                <w14:textFill>
                  <w14:solidFill>
                    <w14:schemeClr w14:val="tx1"/>
                  </w14:solidFill>
                </w14:textFill>
              </w:rPr>
              <w:t>表4-</w:t>
            </w:r>
            <w:r>
              <w:rPr>
                <w:rFonts w:hint="eastAsia" w:ascii="Times New Roman" w:hAnsi="Times New Roman" w:eastAsia="宋体" w:cs="Times New Roman"/>
                <w:b/>
                <w:color w:val="000000" w:themeColor="text1"/>
                <w:sz w:val="21"/>
                <w:szCs w:val="21"/>
                <w:u w:val="none" w:color="auto"/>
                <w:lang w:val="en-US" w:eastAsia="zh-CN"/>
                <w14:textFill>
                  <w14:solidFill>
                    <w14:schemeClr w14:val="tx1"/>
                  </w14:solidFill>
                </w14:textFill>
              </w:rPr>
              <w:t>3</w:t>
            </w:r>
            <w:r>
              <w:rPr>
                <w:rFonts w:hint="default" w:ascii="Times New Roman" w:hAnsi="Times New Roman" w:eastAsia="宋体" w:cs="Times New Roman"/>
                <w:b/>
                <w:color w:val="000000" w:themeColor="text1"/>
                <w:sz w:val="21"/>
                <w:szCs w:val="21"/>
                <w:u w:val="none" w:color="auto"/>
                <w:lang w:val="en-US" w:eastAsia="zh-CN"/>
                <w14:textFill>
                  <w14:solidFill>
                    <w14:schemeClr w14:val="tx1"/>
                  </w14:solidFill>
                </w14:textFill>
              </w:rPr>
              <w:t xml:space="preserve">  </w:t>
            </w:r>
            <w:r>
              <w:rPr>
                <w:rFonts w:hint="eastAsia" w:cs="Times New Roman"/>
                <w:b/>
                <w:color w:val="000000" w:themeColor="text1"/>
                <w:sz w:val="21"/>
                <w:szCs w:val="21"/>
                <w:u w:val="none" w:color="auto"/>
                <w:lang w:val="en-US" w:eastAsia="zh-CN"/>
                <w14:textFill>
                  <w14:solidFill>
                    <w14:schemeClr w14:val="tx1"/>
                  </w14:solidFill>
                </w14:textFill>
              </w:rPr>
              <w:t>项目废水污染物产排情况一览表</w:t>
            </w:r>
          </w:p>
          <w:tbl>
            <w:tblPr>
              <w:tblStyle w:val="35"/>
              <w:tblW w:w="7573" w:type="dxa"/>
              <w:tblInd w:w="-1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86"/>
              <w:gridCol w:w="632"/>
              <w:gridCol w:w="805"/>
              <w:gridCol w:w="647"/>
              <w:gridCol w:w="802"/>
              <w:gridCol w:w="1072"/>
              <w:gridCol w:w="837"/>
              <w:gridCol w:w="997"/>
              <w:gridCol w:w="695"/>
            </w:tblGrid>
            <w:tr w14:paraId="41DCB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restart"/>
                  <w:tcBorders>
                    <w:tl2br w:val="nil"/>
                    <w:tr2bl w:val="nil"/>
                  </w:tcBorders>
                  <w:noWrap w:val="0"/>
                  <w:vAlign w:val="center"/>
                </w:tcPr>
                <w:p w14:paraId="2F8AAF7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废水类型</w:t>
                  </w:r>
                </w:p>
              </w:tc>
              <w:tc>
                <w:tcPr>
                  <w:tcW w:w="452" w:type="pct"/>
                  <w:vMerge w:val="restart"/>
                  <w:tcBorders>
                    <w:tl2br w:val="nil"/>
                    <w:tr2bl w:val="nil"/>
                  </w:tcBorders>
                  <w:noWrap w:val="0"/>
                  <w:vAlign w:val="center"/>
                </w:tcPr>
                <w:p w14:paraId="5D70D996">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污染物</w:t>
                  </w:r>
                </w:p>
              </w:tc>
              <w:tc>
                <w:tcPr>
                  <w:tcW w:w="566" w:type="pct"/>
                  <w:vMerge w:val="restart"/>
                  <w:tcBorders>
                    <w:tl2br w:val="nil"/>
                    <w:tr2bl w:val="nil"/>
                  </w:tcBorders>
                  <w:noWrap w:val="0"/>
                  <w:vAlign w:val="center"/>
                </w:tcPr>
                <w:p w14:paraId="6727293E">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产生浓度 mg/L</w:t>
                  </w:r>
                </w:p>
              </w:tc>
              <w:tc>
                <w:tcPr>
                  <w:tcW w:w="462" w:type="pct"/>
                  <w:vMerge w:val="restart"/>
                  <w:tcBorders>
                    <w:tl2br w:val="nil"/>
                    <w:tr2bl w:val="nil"/>
                  </w:tcBorders>
                  <w:noWrap w:val="0"/>
                  <w:vAlign w:val="center"/>
                </w:tcPr>
                <w:p w14:paraId="602DDD36">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产生量t/a</w:t>
                  </w:r>
                </w:p>
              </w:tc>
              <w:tc>
                <w:tcPr>
                  <w:tcW w:w="564" w:type="pct"/>
                  <w:vMerge w:val="restart"/>
                  <w:tcBorders>
                    <w:tl2br w:val="nil"/>
                    <w:tr2bl w:val="nil"/>
                  </w:tcBorders>
                  <w:noWrap w:val="0"/>
                  <w:vAlign w:val="center"/>
                </w:tcPr>
                <w:p w14:paraId="393FCCC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处理措施</w:t>
                  </w:r>
                </w:p>
              </w:tc>
              <w:tc>
                <w:tcPr>
                  <w:tcW w:w="572" w:type="pct"/>
                  <w:vMerge w:val="restart"/>
                  <w:tcBorders>
                    <w:tl2br w:val="nil"/>
                    <w:tr2bl w:val="nil"/>
                  </w:tcBorders>
                  <w:noWrap w:val="0"/>
                  <w:vAlign w:val="center"/>
                </w:tcPr>
                <w:p w14:paraId="1117D966">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排放浓度 mg/L</w:t>
                  </w:r>
                </w:p>
              </w:tc>
              <w:tc>
                <w:tcPr>
                  <w:tcW w:w="587" w:type="pct"/>
                  <w:vMerge w:val="restart"/>
                  <w:tcBorders>
                    <w:tl2br w:val="nil"/>
                    <w:tr2bl w:val="nil"/>
                  </w:tcBorders>
                  <w:noWrap w:val="0"/>
                  <w:vAlign w:val="center"/>
                </w:tcPr>
                <w:p w14:paraId="5A4BA9C8">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eastAsia="zh-CN"/>
                    </w:rPr>
                    <w:t>排放量</w:t>
                  </w:r>
                  <w:r>
                    <w:rPr>
                      <w:rFonts w:ascii="Times New Roman" w:hAnsi="Times New Roman" w:eastAsia="宋体" w:cs="Times New Roman"/>
                      <w:color w:val="auto"/>
                      <w:sz w:val="21"/>
                      <w:szCs w:val="21"/>
                      <w:u w:val="none"/>
                    </w:rPr>
                    <w:t>t/a</w:t>
                  </w:r>
                </w:p>
              </w:tc>
              <w:tc>
                <w:tcPr>
                  <w:tcW w:w="1186" w:type="pct"/>
                  <w:gridSpan w:val="2"/>
                  <w:tcBorders>
                    <w:tl2br w:val="nil"/>
                    <w:tr2bl w:val="nil"/>
                  </w:tcBorders>
                  <w:noWrap w:val="0"/>
                  <w:vAlign w:val="center"/>
                </w:tcPr>
                <w:p w14:paraId="632A8FFF">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《城镇污水处理厂污染物排放标准》GB18918-2002一级</w:t>
                  </w:r>
                  <w:r>
                    <w:rPr>
                      <w:rFonts w:hint="eastAsia" w:cs="Times New Roman"/>
                      <w:color w:val="auto"/>
                      <w:sz w:val="21"/>
                      <w:szCs w:val="21"/>
                      <w:u w:val="none"/>
                      <w:lang w:val="en-US" w:eastAsia="zh-CN"/>
                    </w:rPr>
                    <w:t>B</w:t>
                  </w:r>
                  <w:r>
                    <w:rPr>
                      <w:rFonts w:hint="eastAsia" w:ascii="Times New Roman" w:hAnsi="Times New Roman" w:eastAsia="宋体" w:cs="Times New Roman"/>
                      <w:color w:val="auto"/>
                      <w:sz w:val="21"/>
                      <w:szCs w:val="21"/>
                      <w:u w:val="none"/>
                      <w:lang w:eastAsia="zh-CN"/>
                    </w:rPr>
                    <w:t>标准</w:t>
                  </w:r>
                </w:p>
              </w:tc>
            </w:tr>
            <w:tr w14:paraId="14A36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14:paraId="1F41DBDB">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452" w:type="pct"/>
                  <w:vMerge w:val="continue"/>
                  <w:tcBorders>
                    <w:tl2br w:val="nil"/>
                    <w:tr2bl w:val="nil"/>
                  </w:tcBorders>
                  <w:noWrap w:val="0"/>
                  <w:vAlign w:val="center"/>
                </w:tcPr>
                <w:p w14:paraId="10BB3AF3">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566" w:type="pct"/>
                  <w:vMerge w:val="continue"/>
                  <w:tcBorders>
                    <w:tl2br w:val="nil"/>
                    <w:tr2bl w:val="nil"/>
                  </w:tcBorders>
                  <w:noWrap w:val="0"/>
                  <w:vAlign w:val="center"/>
                </w:tcPr>
                <w:p w14:paraId="78D5B3FA">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462" w:type="pct"/>
                  <w:vMerge w:val="continue"/>
                  <w:tcBorders>
                    <w:tl2br w:val="nil"/>
                    <w:tr2bl w:val="nil"/>
                  </w:tcBorders>
                  <w:noWrap w:val="0"/>
                  <w:vAlign w:val="center"/>
                </w:tcPr>
                <w:p w14:paraId="183F9A95">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564" w:type="pct"/>
                  <w:vMerge w:val="continue"/>
                  <w:tcBorders>
                    <w:tl2br w:val="nil"/>
                    <w:tr2bl w:val="nil"/>
                  </w:tcBorders>
                  <w:noWrap w:val="0"/>
                  <w:vAlign w:val="center"/>
                </w:tcPr>
                <w:p w14:paraId="38F41B79">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572" w:type="pct"/>
                  <w:vMerge w:val="continue"/>
                  <w:tcBorders>
                    <w:tl2br w:val="nil"/>
                    <w:tr2bl w:val="nil"/>
                  </w:tcBorders>
                  <w:noWrap w:val="0"/>
                  <w:vAlign w:val="center"/>
                </w:tcPr>
                <w:p w14:paraId="1DAA2B59">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587" w:type="pct"/>
                  <w:vMerge w:val="continue"/>
                  <w:tcBorders>
                    <w:tl2br w:val="nil"/>
                    <w:tr2bl w:val="nil"/>
                  </w:tcBorders>
                  <w:noWrap w:val="0"/>
                  <w:vAlign w:val="center"/>
                </w:tcPr>
                <w:p w14:paraId="49410E01">
                  <w:pPr>
                    <w:pageBreakBefore w:val="0"/>
                    <w:kinsoku/>
                    <w:overflowPunct/>
                    <w:topLinePunct w:val="0"/>
                    <w:bidi w:val="0"/>
                    <w:adjustRightInd w:val="0"/>
                    <w:snapToGrid w:val="0"/>
                    <w:spacing w:line="240" w:lineRule="auto"/>
                    <w:jc w:val="center"/>
                    <w:rPr>
                      <w:rFonts w:ascii="Times New Roman" w:hAnsi="Times New Roman" w:eastAsia="宋体" w:cs="Times New Roman"/>
                      <w:sz w:val="21"/>
                      <w:szCs w:val="21"/>
                      <w:u w:val="none"/>
                    </w:rPr>
                  </w:pPr>
                </w:p>
              </w:tc>
              <w:tc>
                <w:tcPr>
                  <w:tcW w:w="693" w:type="pct"/>
                  <w:tcBorders>
                    <w:tl2br w:val="nil"/>
                    <w:tr2bl w:val="nil"/>
                  </w:tcBorders>
                  <w:noWrap w:val="0"/>
                  <w:vAlign w:val="center"/>
                </w:tcPr>
                <w:p w14:paraId="42856F83">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ascii="Times New Roman" w:hAnsi="Times New Roman" w:eastAsia="宋体" w:cs="Times New Roman"/>
                      <w:color w:val="auto"/>
                      <w:sz w:val="21"/>
                      <w:szCs w:val="21"/>
                      <w:u w:val="none"/>
                    </w:rPr>
                    <w:t>排放浓度mg/L</w:t>
                  </w:r>
                </w:p>
              </w:tc>
              <w:tc>
                <w:tcPr>
                  <w:tcW w:w="493" w:type="pct"/>
                  <w:tcBorders>
                    <w:tl2br w:val="nil"/>
                    <w:tr2bl w:val="nil"/>
                  </w:tcBorders>
                  <w:noWrap w:val="0"/>
                  <w:vAlign w:val="center"/>
                </w:tcPr>
                <w:p w14:paraId="1AEC5205">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kern w:val="2"/>
                      <w:sz w:val="21"/>
                      <w:szCs w:val="21"/>
                      <w:u w:val="none"/>
                      <w:lang w:val="en-US" w:eastAsia="zh-CN" w:bidi="ar-SA"/>
                    </w:rPr>
                  </w:pPr>
                  <w:r>
                    <w:rPr>
                      <w:rFonts w:hint="eastAsia" w:ascii="Times New Roman" w:hAnsi="Times New Roman" w:eastAsia="宋体" w:cs="Times New Roman"/>
                      <w:color w:val="auto"/>
                      <w:sz w:val="21"/>
                      <w:szCs w:val="21"/>
                      <w:u w:val="none"/>
                      <w:lang w:eastAsia="zh-CN"/>
                    </w:rPr>
                    <w:t>排放量</w:t>
                  </w:r>
                  <w:r>
                    <w:rPr>
                      <w:rFonts w:ascii="Times New Roman" w:hAnsi="Times New Roman" w:eastAsia="宋体" w:cs="Times New Roman"/>
                      <w:color w:val="auto"/>
                      <w:sz w:val="21"/>
                      <w:szCs w:val="21"/>
                      <w:u w:val="none"/>
                    </w:rPr>
                    <w:t>t/a</w:t>
                  </w:r>
                </w:p>
              </w:tc>
            </w:tr>
            <w:tr w14:paraId="111562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restart"/>
                  <w:tcBorders>
                    <w:tl2br w:val="nil"/>
                    <w:tr2bl w:val="nil"/>
                  </w:tcBorders>
                  <w:noWrap w:val="0"/>
                  <w:vAlign w:val="center"/>
                </w:tcPr>
                <w:p w14:paraId="5528333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eastAsia="zh-CN"/>
                    </w:rPr>
                    <w:t>综合废水</w:t>
                  </w:r>
                  <w:r>
                    <w:rPr>
                      <w:rFonts w:hint="eastAsia" w:cs="Times New Roman"/>
                      <w:color w:val="auto"/>
                      <w:sz w:val="21"/>
                      <w:szCs w:val="21"/>
                      <w:u w:val="none"/>
                      <w:lang w:val="en-US" w:eastAsia="zh-CN"/>
                    </w:rPr>
                    <w:t>5317.32</w:t>
                  </w:r>
                  <w:r>
                    <w:rPr>
                      <w:rFonts w:ascii="Times New Roman" w:hAnsi="Times New Roman" w:eastAsia="宋体" w:cs="Times New Roman"/>
                      <w:color w:val="auto"/>
                      <w:sz w:val="21"/>
                      <w:szCs w:val="21"/>
                      <w:u w:val="none"/>
                    </w:rPr>
                    <w:t>m</w:t>
                  </w:r>
                  <w:r>
                    <w:rPr>
                      <w:rFonts w:ascii="Times New Roman" w:hAnsi="Times New Roman" w:eastAsia="宋体" w:cs="Times New Roman"/>
                      <w:color w:val="auto"/>
                      <w:sz w:val="21"/>
                      <w:szCs w:val="21"/>
                      <w:u w:val="none"/>
                      <w:vertAlign w:val="superscript"/>
                    </w:rPr>
                    <w:t>3</w:t>
                  </w:r>
                  <w:r>
                    <w:rPr>
                      <w:rFonts w:ascii="Times New Roman" w:hAnsi="Times New Roman" w:eastAsia="宋体" w:cs="Times New Roman"/>
                      <w:color w:val="auto"/>
                      <w:sz w:val="21"/>
                      <w:szCs w:val="21"/>
                      <w:u w:val="none"/>
                    </w:rPr>
                    <w:t>/a</w:t>
                  </w:r>
                </w:p>
              </w:tc>
              <w:tc>
                <w:tcPr>
                  <w:tcW w:w="452" w:type="pct"/>
                  <w:tcBorders>
                    <w:tl2br w:val="nil"/>
                    <w:tr2bl w:val="nil"/>
                  </w:tcBorders>
                  <w:noWrap w:val="0"/>
                  <w:vAlign w:val="center"/>
                </w:tcPr>
                <w:p w14:paraId="3B21FFE5">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COD</w:t>
                  </w:r>
                </w:p>
              </w:tc>
              <w:tc>
                <w:tcPr>
                  <w:tcW w:w="566" w:type="pct"/>
                  <w:tcBorders>
                    <w:tl2br w:val="nil"/>
                    <w:tr2bl w:val="nil"/>
                  </w:tcBorders>
                  <w:noWrap w:val="0"/>
                  <w:vAlign w:val="center"/>
                </w:tcPr>
                <w:p w14:paraId="7C306A45">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300</w:t>
                  </w:r>
                </w:p>
              </w:tc>
              <w:tc>
                <w:tcPr>
                  <w:tcW w:w="647" w:type="dxa"/>
                  <w:tcBorders>
                    <w:tl2br w:val="nil"/>
                    <w:tr2bl w:val="nil"/>
                  </w:tcBorders>
                  <w:noWrap w:val="0"/>
                  <w:vAlign w:val="center"/>
                </w:tcPr>
                <w:p w14:paraId="459C93D0">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1.595 </w:t>
                  </w:r>
                </w:p>
              </w:tc>
              <w:tc>
                <w:tcPr>
                  <w:tcW w:w="564" w:type="pct"/>
                  <w:vMerge w:val="restart"/>
                  <w:tcBorders>
                    <w:tl2br w:val="nil"/>
                    <w:tr2bl w:val="nil"/>
                  </w:tcBorders>
                  <w:noWrap w:val="0"/>
                  <w:vAlign w:val="center"/>
                </w:tcPr>
                <w:p w14:paraId="2A3138F3">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rPr>
                  </w:pPr>
                  <w:r>
                    <w:rPr>
                      <w:rFonts w:hint="eastAsia" w:ascii="Times New Roman" w:hAnsi="Times New Roman" w:eastAsia="宋体" w:cs="Times New Roman"/>
                      <w:color w:val="000000" w:themeColor="text1"/>
                      <w:kern w:val="0"/>
                      <w:sz w:val="21"/>
                      <w:szCs w:val="21"/>
                      <w:u w:val="none" w:color="auto"/>
                      <w:lang w:eastAsia="zh-CN"/>
                      <w14:textFill>
                        <w14:solidFill>
                          <w14:schemeClr w14:val="tx1"/>
                        </w14:solidFill>
                      </w14:textFill>
                    </w:rPr>
                    <w:t>化粪池</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+污水处理站（</w:t>
                  </w:r>
                  <w:r>
                    <w:rPr>
                      <w:rFonts w:hint="eastAsia" w:cs="Times New Roman"/>
                      <w:color w:val="000000" w:themeColor="text1"/>
                      <w:kern w:val="0"/>
                      <w:sz w:val="21"/>
                      <w:szCs w:val="21"/>
                      <w:u w:val="none" w:color="auto"/>
                      <w:lang w:val="en-US" w:eastAsia="zh-CN"/>
                      <w14:textFill>
                        <w14:solidFill>
                          <w14:schemeClr w14:val="tx1"/>
                        </w14:solidFill>
                      </w14:textFill>
                    </w:rPr>
                    <w:t>调节池+沉淀池</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+消毒）</w:t>
                  </w:r>
                </w:p>
              </w:tc>
              <w:tc>
                <w:tcPr>
                  <w:tcW w:w="572" w:type="pct"/>
                  <w:tcBorders>
                    <w:tl2br w:val="nil"/>
                    <w:tr2bl w:val="nil"/>
                  </w:tcBorders>
                  <w:noWrap w:val="0"/>
                  <w:vAlign w:val="center"/>
                </w:tcPr>
                <w:p w14:paraId="71E136E4">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w:t>
                  </w:r>
                  <w:r>
                    <w:rPr>
                      <w:rFonts w:hint="eastAsia" w:cs="Times New Roman"/>
                      <w:color w:val="auto"/>
                      <w:sz w:val="21"/>
                      <w:szCs w:val="21"/>
                      <w:u w:val="none"/>
                      <w:lang w:val="en-US" w:eastAsia="zh-CN"/>
                    </w:rPr>
                    <w:t>5</w:t>
                  </w:r>
                  <w:r>
                    <w:rPr>
                      <w:rFonts w:hint="eastAsia" w:ascii="Times New Roman" w:hAnsi="Times New Roman" w:eastAsia="宋体" w:cs="Times New Roman"/>
                      <w:color w:val="auto"/>
                      <w:sz w:val="21"/>
                      <w:szCs w:val="21"/>
                      <w:u w:val="none"/>
                      <w:lang w:val="en-US" w:eastAsia="zh-CN"/>
                    </w:rPr>
                    <w:t>0</w:t>
                  </w:r>
                </w:p>
              </w:tc>
              <w:tc>
                <w:tcPr>
                  <w:tcW w:w="837" w:type="dxa"/>
                  <w:tcBorders>
                    <w:tl2br w:val="nil"/>
                    <w:tr2bl w:val="nil"/>
                  </w:tcBorders>
                  <w:noWrap w:val="0"/>
                  <w:vAlign w:val="center"/>
                </w:tcPr>
                <w:p w14:paraId="59AB4A82">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1.329 </w:t>
                  </w:r>
                </w:p>
              </w:tc>
              <w:tc>
                <w:tcPr>
                  <w:tcW w:w="997" w:type="dxa"/>
                  <w:tcBorders>
                    <w:tl2br w:val="nil"/>
                    <w:tr2bl w:val="nil"/>
                  </w:tcBorders>
                  <w:noWrap w:val="0"/>
                  <w:vAlign w:val="center"/>
                </w:tcPr>
                <w:p w14:paraId="4483B37E">
                  <w:pPr>
                    <w:keepNext w:val="0"/>
                    <w:keepLines w:val="0"/>
                    <w:widowControl/>
                    <w:suppressLineNumbers w:val="0"/>
                    <w:jc w:val="center"/>
                    <w:textAlignment w:val="center"/>
                    <w:rPr>
                      <w:rFonts w:hint="eastAsia" w:ascii="Times New Roman" w:hAnsi="Times New Roman" w:eastAsia="宋体" w:cs="Times New Roman"/>
                      <w:b w:val="0"/>
                      <w:bCs w:val="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695" w:type="dxa"/>
                  <w:tcBorders>
                    <w:tl2br w:val="nil"/>
                    <w:tr2bl w:val="nil"/>
                  </w:tcBorders>
                  <w:noWrap w:val="0"/>
                  <w:vAlign w:val="center"/>
                </w:tcPr>
                <w:p w14:paraId="40EA9850">
                  <w:pPr>
                    <w:keepNext w:val="0"/>
                    <w:keepLines w:val="0"/>
                    <w:widowControl/>
                    <w:suppressLineNumbers w:val="0"/>
                    <w:jc w:val="center"/>
                    <w:textAlignment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0.319 </w:t>
                  </w:r>
                </w:p>
              </w:tc>
            </w:tr>
            <w:tr w14:paraId="1CF5E0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14:paraId="52C7C87F">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14:paraId="5DF963F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BOD</w:t>
                  </w:r>
                  <w:r>
                    <w:rPr>
                      <w:rFonts w:ascii="Times New Roman" w:hAnsi="Times New Roman" w:eastAsia="宋体" w:cs="Times New Roman"/>
                      <w:color w:val="auto"/>
                      <w:sz w:val="21"/>
                      <w:szCs w:val="21"/>
                      <w:u w:val="none"/>
                      <w:vertAlign w:val="subscript"/>
                    </w:rPr>
                    <w:t>5</w:t>
                  </w:r>
                </w:p>
              </w:tc>
              <w:tc>
                <w:tcPr>
                  <w:tcW w:w="566" w:type="pct"/>
                  <w:tcBorders>
                    <w:tl2br w:val="nil"/>
                    <w:tr2bl w:val="nil"/>
                  </w:tcBorders>
                  <w:noWrap w:val="0"/>
                  <w:vAlign w:val="center"/>
                </w:tcPr>
                <w:p w14:paraId="3535F459">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150</w:t>
                  </w:r>
                </w:p>
              </w:tc>
              <w:tc>
                <w:tcPr>
                  <w:tcW w:w="647" w:type="dxa"/>
                  <w:tcBorders>
                    <w:tl2br w:val="nil"/>
                    <w:tr2bl w:val="nil"/>
                  </w:tcBorders>
                  <w:noWrap w:val="0"/>
                  <w:vAlign w:val="center"/>
                </w:tcPr>
                <w:p w14:paraId="13CC09E4">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0.798 </w:t>
                  </w:r>
                </w:p>
              </w:tc>
              <w:tc>
                <w:tcPr>
                  <w:tcW w:w="564" w:type="pct"/>
                  <w:vMerge w:val="continue"/>
                  <w:tcBorders>
                    <w:tl2br w:val="nil"/>
                    <w:tr2bl w:val="nil"/>
                  </w:tcBorders>
                  <w:noWrap w:val="0"/>
                  <w:vAlign w:val="center"/>
                </w:tcPr>
                <w:p w14:paraId="62557678">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14:paraId="06914E06">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100</w:t>
                  </w:r>
                </w:p>
              </w:tc>
              <w:tc>
                <w:tcPr>
                  <w:tcW w:w="837" w:type="dxa"/>
                  <w:tcBorders>
                    <w:tl2br w:val="nil"/>
                    <w:tr2bl w:val="nil"/>
                  </w:tcBorders>
                  <w:noWrap w:val="0"/>
                  <w:vAlign w:val="center"/>
                </w:tcPr>
                <w:p w14:paraId="26991DF6">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0.532 </w:t>
                  </w:r>
                </w:p>
              </w:tc>
              <w:tc>
                <w:tcPr>
                  <w:tcW w:w="997" w:type="dxa"/>
                  <w:tcBorders>
                    <w:tl2br w:val="nil"/>
                    <w:tr2bl w:val="nil"/>
                  </w:tcBorders>
                  <w:noWrap w:val="0"/>
                  <w:vAlign w:val="center"/>
                </w:tcPr>
                <w:p w14:paraId="44CA2649">
                  <w:pPr>
                    <w:keepNext w:val="0"/>
                    <w:keepLines w:val="0"/>
                    <w:widowControl/>
                    <w:suppressLineNumbers w:val="0"/>
                    <w:jc w:val="center"/>
                    <w:textAlignment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95" w:type="dxa"/>
                  <w:tcBorders>
                    <w:tl2br w:val="nil"/>
                    <w:tr2bl w:val="nil"/>
                  </w:tcBorders>
                  <w:noWrap w:val="0"/>
                  <w:vAlign w:val="center"/>
                </w:tcPr>
                <w:p w14:paraId="1C370A55">
                  <w:pPr>
                    <w:keepNext w:val="0"/>
                    <w:keepLines w:val="0"/>
                    <w:widowControl/>
                    <w:suppressLineNumbers w:val="0"/>
                    <w:jc w:val="center"/>
                    <w:textAlignment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0.106 </w:t>
                  </w:r>
                </w:p>
              </w:tc>
            </w:tr>
            <w:tr w14:paraId="40236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14:paraId="5E535E11">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14:paraId="5B808DD4">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氨氮</w:t>
                  </w:r>
                </w:p>
              </w:tc>
              <w:tc>
                <w:tcPr>
                  <w:tcW w:w="566" w:type="pct"/>
                  <w:tcBorders>
                    <w:tl2br w:val="nil"/>
                    <w:tr2bl w:val="nil"/>
                  </w:tcBorders>
                  <w:noWrap w:val="0"/>
                  <w:vAlign w:val="center"/>
                </w:tcPr>
                <w:p w14:paraId="05C8741C">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50</w:t>
                  </w:r>
                </w:p>
              </w:tc>
              <w:tc>
                <w:tcPr>
                  <w:tcW w:w="647" w:type="dxa"/>
                  <w:tcBorders>
                    <w:tl2br w:val="nil"/>
                    <w:tr2bl w:val="nil"/>
                  </w:tcBorders>
                  <w:noWrap w:val="0"/>
                  <w:vAlign w:val="center"/>
                </w:tcPr>
                <w:p w14:paraId="3833D95D">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0.266 </w:t>
                  </w:r>
                </w:p>
              </w:tc>
              <w:tc>
                <w:tcPr>
                  <w:tcW w:w="564" w:type="pct"/>
                  <w:vMerge w:val="continue"/>
                  <w:tcBorders>
                    <w:tl2br w:val="nil"/>
                    <w:tr2bl w:val="nil"/>
                  </w:tcBorders>
                  <w:noWrap w:val="0"/>
                  <w:vAlign w:val="center"/>
                </w:tcPr>
                <w:p w14:paraId="517E9C97">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14:paraId="1ED9B1B8">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35</w:t>
                  </w:r>
                </w:p>
              </w:tc>
              <w:tc>
                <w:tcPr>
                  <w:tcW w:w="837" w:type="dxa"/>
                  <w:tcBorders>
                    <w:tl2br w:val="nil"/>
                    <w:tr2bl w:val="nil"/>
                  </w:tcBorders>
                  <w:noWrap w:val="0"/>
                  <w:vAlign w:val="center"/>
                </w:tcPr>
                <w:p w14:paraId="5ACAA233">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0.186 </w:t>
                  </w:r>
                </w:p>
              </w:tc>
              <w:tc>
                <w:tcPr>
                  <w:tcW w:w="997" w:type="dxa"/>
                  <w:tcBorders>
                    <w:tl2br w:val="nil"/>
                    <w:tr2bl w:val="nil"/>
                  </w:tcBorders>
                  <w:noWrap w:val="0"/>
                  <w:vAlign w:val="center"/>
                </w:tcPr>
                <w:p w14:paraId="1EEEE213">
                  <w:pPr>
                    <w:keepNext w:val="0"/>
                    <w:keepLines w:val="0"/>
                    <w:widowControl/>
                    <w:suppressLineNumbers w:val="0"/>
                    <w:jc w:val="center"/>
                    <w:textAlignment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695" w:type="dxa"/>
                  <w:tcBorders>
                    <w:tl2br w:val="nil"/>
                    <w:tr2bl w:val="nil"/>
                  </w:tcBorders>
                  <w:noWrap w:val="0"/>
                  <w:vAlign w:val="center"/>
                </w:tcPr>
                <w:p w14:paraId="47EF63BA">
                  <w:pPr>
                    <w:keepNext w:val="0"/>
                    <w:keepLines w:val="0"/>
                    <w:widowControl/>
                    <w:suppressLineNumbers w:val="0"/>
                    <w:jc w:val="center"/>
                    <w:textAlignment w:val="center"/>
                    <w:rPr>
                      <w:rFonts w:hint="default"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0.043 </w:t>
                  </w:r>
                </w:p>
              </w:tc>
            </w:tr>
            <w:tr w14:paraId="1571F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14:paraId="02C4AE84">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14:paraId="6EFA233A">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ascii="Times New Roman" w:hAnsi="Times New Roman" w:eastAsia="宋体" w:cs="Times New Roman"/>
                      <w:color w:val="auto"/>
                      <w:sz w:val="21"/>
                      <w:szCs w:val="21"/>
                      <w:u w:val="none"/>
                    </w:rPr>
                    <w:t>SS</w:t>
                  </w:r>
                </w:p>
              </w:tc>
              <w:tc>
                <w:tcPr>
                  <w:tcW w:w="566" w:type="pct"/>
                  <w:tcBorders>
                    <w:tl2br w:val="nil"/>
                    <w:tr2bl w:val="nil"/>
                  </w:tcBorders>
                  <w:noWrap w:val="0"/>
                  <w:vAlign w:val="center"/>
                </w:tcPr>
                <w:p w14:paraId="33572FC0">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120</w:t>
                  </w:r>
                </w:p>
              </w:tc>
              <w:tc>
                <w:tcPr>
                  <w:tcW w:w="647" w:type="dxa"/>
                  <w:tcBorders>
                    <w:tl2br w:val="nil"/>
                    <w:tr2bl w:val="nil"/>
                  </w:tcBorders>
                  <w:noWrap w:val="0"/>
                  <w:vAlign w:val="center"/>
                </w:tcPr>
                <w:p w14:paraId="5F316802">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0.638 </w:t>
                  </w:r>
                </w:p>
              </w:tc>
              <w:tc>
                <w:tcPr>
                  <w:tcW w:w="564" w:type="pct"/>
                  <w:vMerge w:val="continue"/>
                  <w:tcBorders>
                    <w:tl2br w:val="nil"/>
                    <w:tr2bl w:val="nil"/>
                  </w:tcBorders>
                  <w:noWrap w:val="0"/>
                  <w:vAlign w:val="center"/>
                </w:tcPr>
                <w:p w14:paraId="03FB4AE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14:paraId="24BD0375">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60</w:t>
                  </w:r>
                </w:p>
              </w:tc>
              <w:tc>
                <w:tcPr>
                  <w:tcW w:w="837" w:type="dxa"/>
                  <w:tcBorders>
                    <w:tl2br w:val="nil"/>
                    <w:tr2bl w:val="nil"/>
                  </w:tcBorders>
                  <w:noWrap w:val="0"/>
                  <w:vAlign w:val="center"/>
                </w:tcPr>
                <w:p w14:paraId="38FF7D2D">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0.319 </w:t>
                  </w:r>
                </w:p>
              </w:tc>
              <w:tc>
                <w:tcPr>
                  <w:tcW w:w="997" w:type="dxa"/>
                  <w:tcBorders>
                    <w:tl2br w:val="nil"/>
                    <w:tr2bl w:val="nil"/>
                  </w:tcBorders>
                  <w:noWrap w:val="0"/>
                  <w:vAlign w:val="center"/>
                </w:tcPr>
                <w:p w14:paraId="4CC4D67B">
                  <w:pPr>
                    <w:keepNext w:val="0"/>
                    <w:keepLines w:val="0"/>
                    <w:widowControl/>
                    <w:suppressLineNumbers w:val="0"/>
                    <w:jc w:val="center"/>
                    <w:textAlignment w:val="center"/>
                    <w:rPr>
                      <w:rFonts w:hint="default"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695" w:type="dxa"/>
                  <w:tcBorders>
                    <w:tl2br w:val="nil"/>
                    <w:tr2bl w:val="nil"/>
                  </w:tcBorders>
                  <w:noWrap w:val="0"/>
                  <w:vAlign w:val="center"/>
                </w:tcPr>
                <w:p w14:paraId="6B251E7B">
                  <w:pPr>
                    <w:keepNext w:val="0"/>
                    <w:keepLines w:val="0"/>
                    <w:widowControl/>
                    <w:suppressLineNumbers w:val="0"/>
                    <w:jc w:val="center"/>
                    <w:textAlignment w:val="center"/>
                    <w:rPr>
                      <w:rFonts w:hint="eastAsia"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0.106 </w:t>
                  </w:r>
                </w:p>
              </w:tc>
            </w:tr>
            <w:tr w14:paraId="7711CC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14:paraId="29F9F973">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14:paraId="3F95E4E2">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粪大肠菌群</w:t>
                  </w:r>
                </w:p>
              </w:tc>
              <w:tc>
                <w:tcPr>
                  <w:tcW w:w="566" w:type="pct"/>
                  <w:tcBorders>
                    <w:tl2br w:val="nil"/>
                    <w:tr2bl w:val="nil"/>
                  </w:tcBorders>
                  <w:noWrap w:val="0"/>
                  <w:vAlign w:val="center"/>
                </w:tcPr>
                <w:p w14:paraId="67A7B797">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r>
                    <w:rPr>
                      <w:rFonts w:hint="eastAsia" w:ascii="Times New Roman" w:hAnsi="Times New Roman" w:eastAsia="宋体" w:cs="Times New Roman"/>
                      <w:color w:val="auto"/>
                      <w:sz w:val="21"/>
                      <w:szCs w:val="21"/>
                      <w:u w:val="none"/>
                      <w:lang w:val="en-US" w:eastAsia="zh-CN"/>
                    </w:rPr>
                    <w:t>3.0×10</w:t>
                  </w:r>
                  <w:r>
                    <w:rPr>
                      <w:rFonts w:hint="eastAsia" w:ascii="Times New Roman" w:hAnsi="Times New Roman" w:eastAsia="宋体" w:cs="Times New Roman"/>
                      <w:color w:val="auto"/>
                      <w:sz w:val="21"/>
                      <w:szCs w:val="21"/>
                      <w:u w:val="none"/>
                      <w:vertAlign w:val="superscript"/>
                      <w:lang w:val="en-US" w:eastAsia="zh-CN"/>
                    </w:rPr>
                    <w:t>8</w:t>
                  </w:r>
                  <w:r>
                    <w:rPr>
                      <w:rFonts w:hint="eastAsia" w:ascii="Times New Roman" w:hAnsi="Times New Roman" w:eastAsia="宋体" w:cs="Times New Roman"/>
                      <w:color w:val="auto"/>
                      <w:sz w:val="21"/>
                      <w:szCs w:val="21"/>
                      <w:u w:val="none"/>
                      <w:lang w:val="en-US" w:eastAsia="zh-CN"/>
                    </w:rPr>
                    <w:t>个/L</w:t>
                  </w:r>
                </w:p>
              </w:tc>
              <w:tc>
                <w:tcPr>
                  <w:tcW w:w="462" w:type="pct"/>
                  <w:tcBorders>
                    <w:tl2br w:val="nil"/>
                    <w:tr2bl w:val="nil"/>
                  </w:tcBorders>
                  <w:noWrap w:val="0"/>
                  <w:vAlign w:val="center"/>
                </w:tcPr>
                <w:p w14:paraId="5B118781">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vertAlign w:val="baseline"/>
                      <w:lang w:val="en-US" w:eastAsia="zh-CN"/>
                    </w:rPr>
                  </w:pPr>
                  <w:r>
                    <w:rPr>
                      <w:rFonts w:hint="eastAsia" w:ascii="Times New Roman" w:hAnsi="Times New Roman" w:eastAsia="宋体" w:cs="Times New Roman"/>
                      <w:color w:val="auto"/>
                      <w:sz w:val="21"/>
                      <w:szCs w:val="21"/>
                      <w:u w:val="none"/>
                      <w:vertAlign w:val="baseline"/>
                      <w:lang w:val="en-US" w:eastAsia="zh-CN"/>
                    </w:rPr>
                    <w:t>/</w:t>
                  </w:r>
                </w:p>
              </w:tc>
              <w:tc>
                <w:tcPr>
                  <w:tcW w:w="564" w:type="pct"/>
                  <w:vMerge w:val="continue"/>
                  <w:tcBorders>
                    <w:tl2br w:val="nil"/>
                    <w:tr2bl w:val="nil"/>
                  </w:tcBorders>
                  <w:noWrap w:val="0"/>
                  <w:vAlign w:val="center"/>
                </w:tcPr>
                <w:p w14:paraId="1C773D9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14:paraId="1FBE9711">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val="en-US" w:eastAsia="zh-CN"/>
                    </w:rPr>
                    <w:t>500</w:t>
                  </w:r>
                  <w:r>
                    <w:rPr>
                      <w:rFonts w:hint="eastAsia" w:ascii="Times New Roman" w:hAnsi="Times New Roman" w:eastAsia="宋体" w:cs="Times New Roman"/>
                      <w:color w:val="auto"/>
                      <w:sz w:val="21"/>
                      <w:szCs w:val="21"/>
                      <w:u w:val="none"/>
                      <w:lang w:val="en-US" w:eastAsia="zh-CN"/>
                    </w:rPr>
                    <w:t>0</w:t>
                  </w:r>
                  <w:r>
                    <w:rPr>
                      <w:rFonts w:hint="default" w:ascii="Times New Roman" w:hAnsi="Times New Roman" w:eastAsia="宋体" w:cs="Times New Roman"/>
                      <w:color w:val="auto"/>
                      <w:sz w:val="21"/>
                      <w:szCs w:val="21"/>
                      <w:u w:val="none"/>
                      <w:lang w:val="en-US" w:eastAsia="zh-CN"/>
                    </w:rPr>
                    <w:t>MPN/L</w:t>
                  </w:r>
                </w:p>
              </w:tc>
              <w:tc>
                <w:tcPr>
                  <w:tcW w:w="837" w:type="dxa"/>
                  <w:tcBorders>
                    <w:tl2br w:val="nil"/>
                    <w:tr2bl w:val="nil"/>
                  </w:tcBorders>
                  <w:noWrap w:val="0"/>
                  <w:vAlign w:val="center"/>
                </w:tcPr>
                <w:p w14:paraId="0A2C7C24">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eastAsia" w:ascii="Times New Roman" w:hAnsi="Times New Roman" w:eastAsia="宋体" w:cs="Times New Roman"/>
                      <w:sz w:val="21"/>
                      <w:szCs w:val="21"/>
                      <w:u w:val="none"/>
                      <w:lang w:val="en-US" w:eastAsia="zh-CN"/>
                    </w:rPr>
                    <w:t>/</w:t>
                  </w:r>
                </w:p>
              </w:tc>
              <w:tc>
                <w:tcPr>
                  <w:tcW w:w="693" w:type="pct"/>
                  <w:tcBorders>
                    <w:tl2br w:val="nil"/>
                    <w:tr2bl w:val="nil"/>
                  </w:tcBorders>
                  <w:noWrap w:val="0"/>
                  <w:vAlign w:val="center"/>
                </w:tcPr>
                <w:p w14:paraId="654E6717">
                  <w:pPr>
                    <w:bidi w:val="0"/>
                    <w:jc w:val="center"/>
                    <w:rPr>
                      <w:rFonts w:hint="default" w:ascii="Times New Roman" w:hAnsi="Times New Roman" w:eastAsia="宋体" w:cs="Times New Roman"/>
                      <w:kern w:val="2"/>
                      <w:sz w:val="21"/>
                      <w:szCs w:val="21"/>
                      <w:u w:val="none"/>
                      <w:lang w:val="en-US" w:eastAsia="zh-CN" w:bidi="ar-SA"/>
                    </w:rPr>
                  </w:pPr>
                  <w:r>
                    <w:rPr>
                      <w:rFonts w:hint="eastAsia" w:ascii="Times New Roman" w:hAnsi="Times New Roman" w:cs="Times New Roman"/>
                      <w:sz w:val="21"/>
                      <w:szCs w:val="21"/>
                      <w:u w:val="none"/>
                      <w:lang w:val="en-US" w:eastAsia="zh-CN"/>
                    </w:rPr>
                    <w:t>10000</w:t>
                  </w:r>
                  <w:r>
                    <w:rPr>
                      <w:rFonts w:hint="eastAsia" w:ascii="Times New Roman" w:hAnsi="Times New Roman" w:eastAsia="宋体" w:cs="Times New Roman"/>
                      <w:color w:val="auto"/>
                      <w:sz w:val="21"/>
                      <w:szCs w:val="21"/>
                      <w:u w:val="none"/>
                      <w:lang w:val="en-US" w:eastAsia="zh-CN"/>
                    </w:rPr>
                    <w:t>个/L</w:t>
                  </w:r>
                </w:p>
              </w:tc>
              <w:tc>
                <w:tcPr>
                  <w:tcW w:w="493" w:type="pct"/>
                  <w:tcBorders>
                    <w:tl2br w:val="nil"/>
                    <w:tr2bl w:val="nil"/>
                  </w:tcBorders>
                  <w:noWrap w:val="0"/>
                  <w:vAlign w:val="center"/>
                </w:tcPr>
                <w:p w14:paraId="4F0317CD">
                  <w:pPr>
                    <w:bidi w:val="0"/>
                    <w:jc w:val="center"/>
                    <w:rPr>
                      <w:rFonts w:hint="eastAsia" w:ascii="Times New Roman" w:hAnsi="Times New Roman" w:eastAsia="宋体" w:cs="Times New Roman"/>
                      <w:sz w:val="21"/>
                      <w:szCs w:val="21"/>
                      <w:u w:val="none"/>
                      <w:lang w:val="en-US" w:eastAsia="zh-CN"/>
                    </w:rPr>
                  </w:pPr>
                  <w:r>
                    <w:rPr>
                      <w:rFonts w:hint="eastAsia" w:ascii="Times New Roman" w:hAnsi="Times New Roman" w:eastAsia="宋体" w:cs="Times New Roman"/>
                      <w:sz w:val="21"/>
                      <w:szCs w:val="21"/>
                      <w:u w:val="none"/>
                      <w:lang w:val="en-US" w:eastAsia="zh-CN"/>
                    </w:rPr>
                    <w:t>/</w:t>
                  </w:r>
                </w:p>
              </w:tc>
            </w:tr>
            <w:tr w14:paraId="70F9A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14:paraId="73B1E8DC">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14:paraId="6C46F007">
                  <w:pPr>
                    <w:pageBreakBefore w:val="0"/>
                    <w:kinsoku/>
                    <w:overflowPunct/>
                    <w:topLinePunct w:val="0"/>
                    <w:bidi w:val="0"/>
                    <w:adjustRightInd w:val="0"/>
                    <w:snapToGrid w:val="0"/>
                    <w:spacing w:line="240" w:lineRule="auto"/>
                    <w:jc w:val="center"/>
                    <w:rPr>
                      <w:rFonts w:hint="eastAsia" w:ascii="Times New Roman" w:hAnsi="Times New Roman" w:eastAsia="宋体" w:cs="Times New Roman"/>
                      <w:color w:val="auto"/>
                      <w:sz w:val="21"/>
                      <w:szCs w:val="21"/>
                      <w:u w:val="none"/>
                      <w:lang w:eastAsia="zh-CN"/>
                    </w:rPr>
                  </w:pPr>
                  <w:r>
                    <w:rPr>
                      <w:rFonts w:hint="eastAsia" w:ascii="Times New Roman" w:hAnsi="Times New Roman" w:eastAsia="宋体" w:cs="Times New Roman"/>
                      <w:color w:val="auto"/>
                      <w:sz w:val="21"/>
                      <w:szCs w:val="21"/>
                      <w:u w:val="none"/>
                      <w:lang w:eastAsia="zh-CN"/>
                    </w:rPr>
                    <w:t>动植物油</w:t>
                  </w:r>
                </w:p>
              </w:tc>
              <w:tc>
                <w:tcPr>
                  <w:tcW w:w="566" w:type="pct"/>
                  <w:tcBorders>
                    <w:tl2br w:val="nil"/>
                    <w:tr2bl w:val="nil"/>
                  </w:tcBorders>
                  <w:noWrap w:val="0"/>
                  <w:vAlign w:val="center"/>
                </w:tcPr>
                <w:p w14:paraId="5985C36C">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rPr>
                  </w:pPr>
                  <w:r>
                    <w:rPr>
                      <w:rFonts w:hint="eastAsia" w:ascii="Times New Roman" w:hAnsi="Times New Roman" w:eastAsia="宋体" w:cs="Times New Roman"/>
                      <w:color w:val="auto"/>
                      <w:sz w:val="21"/>
                      <w:szCs w:val="21"/>
                      <w:u w:val="none"/>
                      <w:lang w:val="en-US" w:eastAsia="zh-CN"/>
                    </w:rPr>
                    <w:t>50</w:t>
                  </w:r>
                </w:p>
              </w:tc>
              <w:tc>
                <w:tcPr>
                  <w:tcW w:w="647" w:type="dxa"/>
                  <w:tcBorders>
                    <w:tl2br w:val="nil"/>
                    <w:tr2bl w:val="nil"/>
                  </w:tcBorders>
                  <w:noWrap w:val="0"/>
                  <w:vAlign w:val="center"/>
                </w:tcPr>
                <w:p w14:paraId="66BB37D2">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0.266 </w:t>
                  </w:r>
                </w:p>
              </w:tc>
              <w:tc>
                <w:tcPr>
                  <w:tcW w:w="564" w:type="pct"/>
                  <w:vMerge w:val="continue"/>
                  <w:tcBorders>
                    <w:tl2br w:val="nil"/>
                    <w:tr2bl w:val="nil"/>
                  </w:tcBorders>
                  <w:noWrap w:val="0"/>
                  <w:vAlign w:val="center"/>
                </w:tcPr>
                <w:p w14:paraId="1B879F09">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14:paraId="0FD21263">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20</w:t>
                  </w:r>
                </w:p>
              </w:tc>
              <w:tc>
                <w:tcPr>
                  <w:tcW w:w="837" w:type="dxa"/>
                  <w:tcBorders>
                    <w:tl2br w:val="nil"/>
                    <w:tr2bl w:val="nil"/>
                  </w:tcBorders>
                  <w:noWrap w:val="0"/>
                  <w:vAlign w:val="center"/>
                </w:tcPr>
                <w:p w14:paraId="5C776FBA">
                  <w:pPr>
                    <w:keepNext w:val="0"/>
                    <w:keepLines w:val="0"/>
                    <w:widowControl/>
                    <w:suppressLineNumbers w:val="0"/>
                    <w:jc w:val="center"/>
                    <w:textAlignment w:val="center"/>
                    <w:rPr>
                      <w:rFonts w:hint="default"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0.106 </w:t>
                  </w:r>
                </w:p>
              </w:tc>
              <w:tc>
                <w:tcPr>
                  <w:tcW w:w="997" w:type="dxa"/>
                  <w:tcBorders>
                    <w:tl2br w:val="nil"/>
                    <w:tr2bl w:val="nil"/>
                  </w:tcBorders>
                  <w:noWrap w:val="0"/>
                  <w:vAlign w:val="center"/>
                </w:tcPr>
                <w:p w14:paraId="554CF74F">
                  <w:pPr>
                    <w:keepNext w:val="0"/>
                    <w:keepLines w:val="0"/>
                    <w:widowControl/>
                    <w:suppressLineNumbers w:val="0"/>
                    <w:jc w:val="center"/>
                    <w:textAlignment w:val="center"/>
                    <w:rPr>
                      <w:rFonts w:hint="eastAsia" w:ascii="Times New Roman" w:hAnsi="Times New Roman" w:eastAsia="宋体" w:cs="Times New Roman"/>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695" w:type="dxa"/>
                  <w:tcBorders>
                    <w:tl2br w:val="nil"/>
                    <w:tr2bl w:val="nil"/>
                  </w:tcBorders>
                  <w:noWrap w:val="0"/>
                  <w:vAlign w:val="center"/>
                </w:tcPr>
                <w:p w14:paraId="4BD192BB">
                  <w:pPr>
                    <w:keepNext w:val="0"/>
                    <w:keepLines w:val="0"/>
                    <w:widowControl/>
                    <w:suppressLineNumbers w:val="0"/>
                    <w:jc w:val="center"/>
                    <w:textAlignment w:val="center"/>
                    <w:rPr>
                      <w:rFonts w:hint="eastAsia"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0.016 </w:t>
                  </w:r>
                </w:p>
              </w:tc>
            </w:tr>
            <w:tr w14:paraId="03B5C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08" w:type="pct"/>
                  <w:vMerge w:val="continue"/>
                  <w:tcBorders>
                    <w:tl2br w:val="nil"/>
                    <w:tr2bl w:val="nil"/>
                  </w:tcBorders>
                  <w:noWrap w:val="0"/>
                  <w:vAlign w:val="center"/>
                </w:tcPr>
                <w:p w14:paraId="0B6739D8">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452" w:type="pct"/>
                  <w:tcBorders>
                    <w:tl2br w:val="nil"/>
                    <w:tr2bl w:val="nil"/>
                  </w:tcBorders>
                  <w:noWrap w:val="0"/>
                  <w:vAlign w:val="center"/>
                </w:tcPr>
                <w:p w14:paraId="6FDF670E">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LAS</w:t>
                  </w:r>
                </w:p>
              </w:tc>
              <w:tc>
                <w:tcPr>
                  <w:tcW w:w="566" w:type="pct"/>
                  <w:tcBorders>
                    <w:tl2br w:val="nil"/>
                    <w:tr2bl w:val="nil"/>
                  </w:tcBorders>
                  <w:noWrap w:val="0"/>
                  <w:vAlign w:val="center"/>
                </w:tcPr>
                <w:p w14:paraId="3591C44A">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ascii="Times New Roman" w:hAnsi="Times New Roman" w:eastAsia="宋体" w:cs="Times New Roman"/>
                      <w:color w:val="auto"/>
                      <w:sz w:val="21"/>
                      <w:szCs w:val="21"/>
                      <w:u w:val="none"/>
                      <w:lang w:val="en-US" w:eastAsia="zh-CN"/>
                    </w:rPr>
                    <w:t>30</w:t>
                  </w:r>
                </w:p>
              </w:tc>
              <w:tc>
                <w:tcPr>
                  <w:tcW w:w="647" w:type="dxa"/>
                  <w:tcBorders>
                    <w:tl2br w:val="nil"/>
                    <w:tr2bl w:val="nil"/>
                  </w:tcBorders>
                  <w:noWrap w:val="0"/>
                  <w:vAlign w:val="center"/>
                </w:tcPr>
                <w:p w14:paraId="5AAECF72">
                  <w:pPr>
                    <w:keepNext w:val="0"/>
                    <w:keepLines w:val="0"/>
                    <w:widowControl/>
                    <w:suppressLineNumbers w:val="0"/>
                    <w:jc w:val="center"/>
                    <w:textAlignment w:val="center"/>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0.160 </w:t>
                  </w:r>
                </w:p>
              </w:tc>
              <w:tc>
                <w:tcPr>
                  <w:tcW w:w="564" w:type="pct"/>
                  <w:vMerge w:val="continue"/>
                  <w:tcBorders>
                    <w:tl2br w:val="nil"/>
                    <w:tr2bl w:val="nil"/>
                  </w:tcBorders>
                  <w:noWrap w:val="0"/>
                  <w:vAlign w:val="center"/>
                </w:tcPr>
                <w:p w14:paraId="4F3FC68E">
                  <w:pPr>
                    <w:pageBreakBefore w:val="0"/>
                    <w:kinsoku/>
                    <w:overflowPunct/>
                    <w:topLinePunct w:val="0"/>
                    <w:bidi w:val="0"/>
                    <w:adjustRightInd w:val="0"/>
                    <w:snapToGrid w:val="0"/>
                    <w:spacing w:line="240" w:lineRule="auto"/>
                    <w:jc w:val="center"/>
                    <w:rPr>
                      <w:rFonts w:ascii="Times New Roman" w:hAnsi="Times New Roman" w:eastAsia="宋体" w:cs="Times New Roman"/>
                      <w:color w:val="auto"/>
                      <w:sz w:val="21"/>
                      <w:szCs w:val="21"/>
                      <w:u w:val="none"/>
                    </w:rPr>
                  </w:pPr>
                </w:p>
              </w:tc>
              <w:tc>
                <w:tcPr>
                  <w:tcW w:w="572" w:type="pct"/>
                  <w:tcBorders>
                    <w:tl2br w:val="nil"/>
                    <w:tr2bl w:val="nil"/>
                  </w:tcBorders>
                  <w:noWrap w:val="0"/>
                  <w:vAlign w:val="center"/>
                </w:tcPr>
                <w:p w14:paraId="4EAFB508">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auto"/>
                      <w:sz w:val="21"/>
                      <w:szCs w:val="21"/>
                      <w:u w:val="none"/>
                      <w:lang w:val="en-US" w:eastAsia="zh-CN"/>
                    </w:rPr>
                  </w:pPr>
                  <w:r>
                    <w:rPr>
                      <w:rFonts w:hint="eastAsia" w:cs="Times New Roman"/>
                      <w:color w:val="auto"/>
                      <w:sz w:val="21"/>
                      <w:szCs w:val="21"/>
                      <w:u w:val="none"/>
                      <w:lang w:val="en-US" w:eastAsia="zh-CN"/>
                    </w:rPr>
                    <w:t>10</w:t>
                  </w:r>
                </w:p>
              </w:tc>
              <w:tc>
                <w:tcPr>
                  <w:tcW w:w="837" w:type="dxa"/>
                  <w:tcBorders>
                    <w:tl2br w:val="nil"/>
                    <w:tr2bl w:val="nil"/>
                  </w:tcBorders>
                  <w:noWrap w:val="0"/>
                  <w:vAlign w:val="center"/>
                </w:tcPr>
                <w:p w14:paraId="643BE48D">
                  <w:pPr>
                    <w:keepNext w:val="0"/>
                    <w:keepLines w:val="0"/>
                    <w:widowControl/>
                    <w:suppressLineNumbers w:val="0"/>
                    <w:jc w:val="center"/>
                    <w:textAlignment w:val="center"/>
                    <w:rPr>
                      <w:rFonts w:hint="eastAsia" w:ascii="Times New Roman" w:hAnsi="Times New Roman" w:eastAsia="宋体" w:cs="Times New Roman"/>
                      <w:color w:val="0000FF"/>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0.053 </w:t>
                  </w:r>
                </w:p>
              </w:tc>
              <w:tc>
                <w:tcPr>
                  <w:tcW w:w="997" w:type="dxa"/>
                  <w:tcBorders>
                    <w:tl2br w:val="nil"/>
                    <w:tr2bl w:val="nil"/>
                  </w:tcBorders>
                  <w:noWrap w:val="0"/>
                  <w:vAlign w:val="center"/>
                </w:tcPr>
                <w:p w14:paraId="6E5D61F4">
                  <w:pPr>
                    <w:keepNext w:val="0"/>
                    <w:keepLines w:val="0"/>
                    <w:widowControl/>
                    <w:suppressLineNumbers w:val="0"/>
                    <w:jc w:val="center"/>
                    <w:textAlignment w:val="center"/>
                    <w:rPr>
                      <w:rFonts w:hint="eastAsia"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695" w:type="dxa"/>
                  <w:tcBorders>
                    <w:tl2br w:val="nil"/>
                    <w:tr2bl w:val="nil"/>
                  </w:tcBorders>
                  <w:noWrap w:val="0"/>
                  <w:vAlign w:val="center"/>
                </w:tcPr>
                <w:p w14:paraId="78CD1759">
                  <w:pPr>
                    <w:keepNext w:val="0"/>
                    <w:keepLines w:val="0"/>
                    <w:widowControl/>
                    <w:suppressLineNumbers w:val="0"/>
                    <w:jc w:val="center"/>
                    <w:textAlignment w:val="center"/>
                    <w:rPr>
                      <w:rFonts w:hint="eastAsia" w:ascii="Times New Roman" w:hAnsi="Times New Roman" w:eastAsia="宋体" w:cs="Times New Roman"/>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 xml:space="preserve">0.005 </w:t>
                  </w:r>
                </w:p>
              </w:tc>
            </w:tr>
          </w:tbl>
          <w:p w14:paraId="4F89876A">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color w:val="000000" w:themeColor="text1"/>
                <w:sz w:val="24"/>
                <w:szCs w:val="24"/>
                <w:u w:val="single" w:color="auto"/>
                <w:lang w:eastAsia="zh-CN"/>
                <w14:textFill>
                  <w14:solidFill>
                    <w14:schemeClr w14:val="tx1"/>
                  </w14:solidFill>
                </w14:textFill>
              </w:rPr>
            </w:pPr>
            <w:r>
              <w:rPr>
                <w:rFonts w:hint="eastAsia" w:ascii="Times New Roman" w:cs="Times New Roman"/>
                <w:color w:val="000000" w:themeColor="text1"/>
                <w:u w:val="single" w:color="auto"/>
                <w:lang w:val="en-US" w:eastAsia="zh-CN"/>
                <w14:textFill>
                  <w14:solidFill>
                    <w14:schemeClr w14:val="tx1"/>
                  </w14:solidFill>
                </w14:textFill>
              </w:rPr>
              <w:t>2、</w:t>
            </w:r>
            <w:r>
              <w:rPr>
                <w:rFonts w:hint="default" w:ascii="Times New Roman" w:hAnsi="Times New Roman" w:cs="Times New Roman"/>
                <w:bCs/>
                <w:color w:val="000000" w:themeColor="text1"/>
                <w:sz w:val="24"/>
                <w:u w:val="single" w:color="auto"/>
                <w14:textFill>
                  <w14:solidFill>
                    <w14:schemeClr w14:val="tx1"/>
                  </w14:solidFill>
                </w14:textFill>
              </w:rPr>
              <w:t>废水处理</w:t>
            </w:r>
            <w:r>
              <w:rPr>
                <w:rFonts w:hint="default" w:ascii="Times New Roman" w:hAnsi="Times New Roman" w:cs="Times New Roman"/>
                <w:bCs/>
                <w:color w:val="000000" w:themeColor="text1"/>
                <w:sz w:val="24"/>
                <w:u w:val="single" w:color="auto"/>
                <w:lang w:eastAsia="zh-CN"/>
                <w14:textFill>
                  <w14:solidFill>
                    <w14:schemeClr w14:val="tx1"/>
                  </w14:solidFill>
                </w14:textFill>
              </w:rPr>
              <w:t>措施可行性分析</w:t>
            </w:r>
          </w:p>
          <w:p w14:paraId="2751F216">
            <w:pPr>
              <w:spacing w:line="360" w:lineRule="auto"/>
              <w:ind w:firstLine="480" w:firstLineChars="200"/>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项目污水处理站</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处理能力为20吨/d，项目废水排放量</w:t>
            </w:r>
            <w:r>
              <w:rPr>
                <w:rFonts w:hint="eastAsia" w:cs="Times New Roman"/>
                <w:color w:val="auto"/>
                <w:sz w:val="24"/>
                <w:szCs w:val="24"/>
                <w:u w:val="single" w:color="auto"/>
                <w:vertAlign w:val="baseline"/>
                <w:lang w:val="en-US" w:eastAsia="zh-CN"/>
              </w:rPr>
              <w:t>14.568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olor w:val="000000" w:themeColor="text1"/>
                <w:sz w:val="24"/>
                <w:szCs w:val="24"/>
                <w:u w:val="single" w:color="auto"/>
                <w:lang w:val="en-US" w:eastAsia="zh-CN"/>
                <w14:textFill>
                  <w14:solidFill>
                    <w14:schemeClr w14:val="tx1"/>
                  </w14:solidFill>
                </w14:textFill>
              </w:rPr>
              <w:t>，则污水处理站处理能力满足项目废水量排放要求。污水处理</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工艺采取“</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调节池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+沉淀池</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+消毒池（</w:t>
            </w:r>
            <w:r>
              <w:rPr>
                <w:rFonts w:hint="eastAsia" w:cs="Times New Roman"/>
                <w:color w:val="000000" w:themeColor="text1"/>
                <w:kern w:val="0"/>
                <w:sz w:val="24"/>
                <w:szCs w:val="24"/>
                <w:highlight w:val="none"/>
                <w:u w:val="single" w:color="auto"/>
                <w:lang w:val="en-US" w:eastAsia="zh-CN"/>
                <w14:textFill>
                  <w14:solidFill>
                    <w14:schemeClr w14:val="tx1"/>
                  </w14:solidFill>
                </w14:textFill>
              </w:rPr>
              <w:t>活性氧</w:t>
            </w:r>
            <w:r>
              <w:rPr>
                <w:rFonts w:hint="eastAsia" w:ascii="Times New Roman" w:hAnsi="Times New Roman" w:cs="Times New Roman"/>
                <w:color w:val="000000" w:themeColor="text1"/>
                <w:kern w:val="0"/>
                <w:sz w:val="24"/>
                <w:szCs w:val="24"/>
                <w:highlight w:val="none"/>
                <w:u w:val="single" w:color="auto"/>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t>”工艺。污水处理工艺流程如下：</w:t>
            </w:r>
          </w:p>
          <w:p w14:paraId="1169BCF3">
            <w:pPr>
              <w:spacing w:line="360" w:lineRule="auto"/>
              <w:rPr>
                <w:rFonts w:hint="eastAsia" w:ascii="Times New Roman" w:hAnsi="Times New Roman" w:cs="Times New Roman"/>
                <w:color w:val="000000" w:themeColor="text1"/>
                <w:kern w:val="0"/>
                <w:sz w:val="24"/>
                <w:szCs w:val="24"/>
                <w:highlight w:val="none"/>
                <w:u w:val="single" w:color="auto"/>
                <w:lang w:eastAsia="zh-CN"/>
                <w14:textFill>
                  <w14:solidFill>
                    <w14:schemeClr w14:val="tx1"/>
                  </w14:solidFill>
                </w14:textFill>
              </w:rPr>
            </w:pPr>
            <w:r>
              <w:rPr>
                <w:sz w:val="21"/>
                <w:szCs w:val="21"/>
                <w:u w:val="single" w:color="auto"/>
              </w:rPr>
              <mc:AlternateContent>
                <mc:Choice Requires="wpc">
                  <w:drawing>
                    <wp:inline distT="0" distB="0" distL="114300" distR="114300">
                      <wp:extent cx="4958715" cy="3566160"/>
                      <wp:effectExtent l="0" t="0" r="0" b="0"/>
                      <wp:docPr id="42" name="画布 42"/>
                      <wp:cNvGraphicFramePr/>
                      <a:graphic xmlns:a="http://schemas.openxmlformats.org/drawingml/2006/main">
                        <a:graphicData uri="http://schemas.microsoft.com/office/word/2010/wordprocessingCanvas">
                          <wpc:wpc>
                            <wpc:bg>
                              <a:noFill/>
                            </wpc:bg>
                            <wpc:whole>
                              <a:ln>
                                <a:noFill/>
                              </a:ln>
                            </wpc:whole>
                            <wps:wsp>
                              <wps:cNvPr id="5" name="矩形 5"/>
                              <wps:cNvSpPr/>
                              <wps:spPr>
                                <a:xfrm>
                                  <a:off x="95250" y="47625"/>
                                  <a:ext cx="1035050" cy="476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55128E">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wps:txbx>
                              <wps:bodyPr upright="1"/>
                            </wps:wsp>
                            <wps:wsp>
                              <wps:cNvPr id="6" name="直接连接符 6"/>
                              <wps:cNvCnPr/>
                              <wps:spPr>
                                <a:xfrm flipV="1">
                                  <a:off x="1125220" y="302260"/>
                                  <a:ext cx="244475" cy="635"/>
                                </a:xfrm>
                                <a:prstGeom prst="line">
                                  <a:avLst/>
                                </a:prstGeom>
                                <a:ln w="9525" cap="flat" cmpd="sng">
                                  <a:solidFill>
                                    <a:srgbClr val="000000"/>
                                  </a:solidFill>
                                  <a:prstDash val="solid"/>
                                  <a:headEnd type="none" w="med" len="med"/>
                                  <a:tailEnd type="arrow" w="med" len="med"/>
                                </a:ln>
                              </wps:spPr>
                              <wps:bodyPr upright="1"/>
                            </wps:wsp>
                            <wps:wsp>
                              <wps:cNvPr id="7" name="矩形 7"/>
                              <wps:cNvSpPr/>
                              <wps:spPr>
                                <a:xfrm>
                                  <a:off x="1390650" y="139065"/>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37C23">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wps:txbx>
                              <wps:bodyPr upright="1"/>
                            </wps:wsp>
                            <wps:wsp>
                              <wps:cNvPr id="9" name="直接连接符 9"/>
                              <wps:cNvCnPr/>
                              <wps:spPr>
                                <a:xfrm>
                                  <a:off x="2009140" y="292100"/>
                                  <a:ext cx="360680" cy="635"/>
                                </a:xfrm>
                                <a:prstGeom prst="line">
                                  <a:avLst/>
                                </a:prstGeom>
                                <a:ln w="9525" cap="flat" cmpd="sng">
                                  <a:solidFill>
                                    <a:srgbClr val="000000"/>
                                  </a:solidFill>
                                  <a:prstDash val="solid"/>
                                  <a:headEnd type="none" w="med" len="med"/>
                                  <a:tailEnd type="arrow" w="med" len="med"/>
                                </a:ln>
                              </wps:spPr>
                              <wps:bodyPr upright="1"/>
                            </wps:wsp>
                            <wps:wsp>
                              <wps:cNvPr id="10" name="矩形 10"/>
                              <wps:cNvSpPr/>
                              <wps:spPr>
                                <a:xfrm>
                                  <a:off x="2370455" y="152400"/>
                                  <a:ext cx="622300" cy="279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B9134D">
                                    <w:pPr>
                                      <w:spacing w:line="240" w:lineRule="auto"/>
                                      <w:rPr>
                                        <w:rFonts w:hint="default" w:eastAsia="宋体"/>
                                        <w:lang w:val="en-US" w:eastAsia="zh-CN"/>
                                      </w:rPr>
                                    </w:pPr>
                                    <w:r>
                                      <w:rPr>
                                        <w:rFonts w:hint="eastAsia" w:eastAsia="宋体"/>
                                        <w:sz w:val="21"/>
                                        <w:szCs w:val="21"/>
                                        <w:lang w:val="en-US" w:eastAsia="zh-CN"/>
                                      </w:rPr>
                                      <w:t>格栅井</w:t>
                                    </w:r>
                                  </w:p>
                                </w:txbxContent>
                              </wps:txbx>
                              <wps:bodyPr upright="1"/>
                            </wps:wsp>
                            <wps:wsp>
                              <wps:cNvPr id="11" name="直接连接符 11"/>
                              <wps:cNvCnPr/>
                              <wps:spPr>
                                <a:xfrm>
                                  <a:off x="2675890" y="434975"/>
                                  <a:ext cx="635" cy="292100"/>
                                </a:xfrm>
                                <a:prstGeom prst="line">
                                  <a:avLst/>
                                </a:prstGeom>
                                <a:ln w="9525" cap="flat" cmpd="sng">
                                  <a:solidFill>
                                    <a:srgbClr val="000000"/>
                                  </a:solidFill>
                                  <a:prstDash val="solid"/>
                                  <a:headEnd type="none" w="med" len="med"/>
                                  <a:tailEnd type="arrow" w="med" len="med"/>
                                </a:ln>
                              </wps:spPr>
                              <wps:bodyPr upright="1"/>
                            </wps:wsp>
                            <wps:wsp>
                              <wps:cNvPr id="12" name="矩形 12"/>
                              <wps:cNvSpPr/>
                              <wps:spPr>
                                <a:xfrm>
                                  <a:off x="2348230" y="746760"/>
                                  <a:ext cx="6223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775FB2">
                                    <w:pPr>
                                      <w:rPr>
                                        <w:rFonts w:hint="default" w:eastAsia="宋体"/>
                                        <w:lang w:val="en-US" w:eastAsia="zh-CN"/>
                                      </w:rPr>
                                    </w:pPr>
                                    <w:r>
                                      <w:rPr>
                                        <w:rFonts w:hint="eastAsia" w:eastAsia="宋体"/>
                                        <w:sz w:val="21"/>
                                        <w:szCs w:val="21"/>
                                        <w:lang w:val="en-US" w:eastAsia="zh-CN"/>
                                      </w:rPr>
                                      <w:t>调节池</w:t>
                                    </w:r>
                                  </w:p>
                                </w:txbxContent>
                              </wps:txbx>
                              <wps:bodyPr upright="1"/>
                            </wps:wsp>
                            <wps:wsp>
                              <wps:cNvPr id="13" name="直接连接符 13"/>
                              <wps:cNvCnPr/>
                              <wps:spPr>
                                <a:xfrm>
                                  <a:off x="2683510" y="1134745"/>
                                  <a:ext cx="0" cy="139700"/>
                                </a:xfrm>
                                <a:prstGeom prst="line">
                                  <a:avLst/>
                                </a:prstGeom>
                                <a:ln w="9525" cap="flat" cmpd="sng">
                                  <a:solidFill>
                                    <a:srgbClr val="000000"/>
                                  </a:solidFill>
                                  <a:prstDash val="solid"/>
                                  <a:headEnd type="none" w="med" len="med"/>
                                  <a:tailEnd type="arrow" w="med" len="med"/>
                                </a:ln>
                              </wps:spPr>
                              <wps:bodyPr upright="1"/>
                            </wps:wsp>
                            <wps:wsp>
                              <wps:cNvPr id="19" name="矩形 19"/>
                              <wps:cNvSpPr/>
                              <wps:spPr>
                                <a:xfrm>
                                  <a:off x="2355850" y="1280160"/>
                                  <a:ext cx="65976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06BF28">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wps:txbx>
                              <wps:bodyPr upright="1"/>
                            </wps:wsp>
                            <wps:wsp>
                              <wps:cNvPr id="20" name="直接连接符 20"/>
                              <wps:cNvCnPr/>
                              <wps:spPr>
                                <a:xfrm>
                                  <a:off x="2730500" y="2336166"/>
                                  <a:ext cx="0" cy="139700"/>
                                </a:xfrm>
                                <a:prstGeom prst="line">
                                  <a:avLst/>
                                </a:prstGeom>
                                <a:ln w="9525" cap="flat" cmpd="sng">
                                  <a:solidFill>
                                    <a:srgbClr val="000000"/>
                                  </a:solidFill>
                                  <a:prstDash val="solid"/>
                                  <a:headEnd type="none" w="med" len="med"/>
                                  <a:tailEnd type="arrow" w="med" len="med"/>
                                </a:ln>
                              </wps:spPr>
                              <wps:bodyPr upright="1"/>
                            </wps:wsp>
                            <wps:wsp>
                              <wps:cNvPr id="21" name="矩形 21"/>
                              <wps:cNvSpPr/>
                              <wps:spPr>
                                <a:xfrm>
                                  <a:off x="2399030" y="17595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2AA942">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wps:txbx>
                              <wps:bodyPr upright="1"/>
                            </wps:wsp>
                            <wps:wsp>
                              <wps:cNvPr id="22" name="直接连接符 22"/>
                              <wps:cNvCnPr/>
                              <wps:spPr>
                                <a:xfrm>
                                  <a:off x="2682875" y="1617980"/>
                                  <a:ext cx="0" cy="139700"/>
                                </a:xfrm>
                                <a:prstGeom prst="line">
                                  <a:avLst/>
                                </a:prstGeom>
                                <a:ln w="9525" cap="flat" cmpd="sng">
                                  <a:solidFill>
                                    <a:srgbClr val="000000"/>
                                  </a:solidFill>
                                  <a:prstDash val="solid"/>
                                  <a:headEnd type="none" w="med" len="med"/>
                                  <a:tailEnd type="arrow" w="med" len="med"/>
                                </a:ln>
                              </wps:spPr>
                              <wps:bodyPr upright="1"/>
                            </wps:wsp>
                            <wps:wsp>
                              <wps:cNvPr id="25" name="直接连接符 25"/>
                              <wps:cNvCnPr/>
                              <wps:spPr>
                                <a:xfrm>
                                  <a:off x="3082925" y="1495425"/>
                                  <a:ext cx="380365" cy="635"/>
                                </a:xfrm>
                                <a:prstGeom prst="line">
                                  <a:avLst/>
                                </a:prstGeom>
                                <a:ln w="9525" cap="flat" cmpd="sng">
                                  <a:solidFill>
                                    <a:srgbClr val="000000"/>
                                  </a:solidFill>
                                  <a:prstDash val="solid"/>
                                  <a:headEnd type="none" w="med" len="med"/>
                                  <a:tailEnd type="arrow" w="med" len="med"/>
                                </a:ln>
                              </wps:spPr>
                              <wps:bodyPr upright="1"/>
                            </wps:wsp>
                            <wps:wsp>
                              <wps:cNvPr id="26" name="矩形 26"/>
                              <wps:cNvSpPr/>
                              <wps:spPr>
                                <a:xfrm>
                                  <a:off x="3027680" y="1201420"/>
                                  <a:ext cx="495300" cy="335915"/>
                                </a:xfrm>
                                <a:prstGeom prst="rect">
                                  <a:avLst/>
                                </a:prstGeom>
                                <a:noFill/>
                                <a:ln>
                                  <a:noFill/>
                                </a:ln>
                              </wps:spPr>
                              <wps:txbx>
                                <w:txbxContent>
                                  <w:p w14:paraId="2A94B460">
                                    <w:pPr>
                                      <w:rPr>
                                        <w:rFonts w:hint="default" w:eastAsia="宋体"/>
                                        <w:sz w:val="21"/>
                                        <w:szCs w:val="21"/>
                                        <w:lang w:val="en-US" w:eastAsia="zh-CN"/>
                                      </w:rPr>
                                    </w:pPr>
                                    <w:r>
                                      <w:rPr>
                                        <w:rFonts w:hint="eastAsia" w:eastAsia="宋体"/>
                                        <w:sz w:val="21"/>
                                        <w:szCs w:val="21"/>
                                        <w:lang w:val="en-US" w:eastAsia="zh-CN"/>
                                      </w:rPr>
                                      <w:t>排泥</w:t>
                                    </w:r>
                                  </w:p>
                                </w:txbxContent>
                              </wps:txbx>
                              <wps:bodyPr upright="1"/>
                            </wps:wsp>
                            <wps:wsp>
                              <wps:cNvPr id="27" name="矩形 27"/>
                              <wps:cNvSpPr/>
                              <wps:spPr>
                                <a:xfrm>
                                  <a:off x="3477895" y="1332230"/>
                                  <a:ext cx="88201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AA1F54">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wps:txbx>
                              <wps:bodyPr upright="1"/>
                            </wps:wsp>
                            <wps:wsp>
                              <wps:cNvPr id="30" name="直接连接符 30"/>
                              <wps:cNvCnPr/>
                              <wps:spPr>
                                <a:xfrm flipH="1">
                                  <a:off x="3949700" y="1663700"/>
                                  <a:ext cx="6985" cy="217170"/>
                                </a:xfrm>
                                <a:prstGeom prst="line">
                                  <a:avLst/>
                                </a:prstGeom>
                                <a:ln w="9525" cap="flat" cmpd="sng">
                                  <a:solidFill>
                                    <a:srgbClr val="000000"/>
                                  </a:solidFill>
                                  <a:prstDash val="dash"/>
                                  <a:headEnd type="none" w="med" len="med"/>
                                  <a:tailEnd type="arrow" w="med" len="med"/>
                                </a:ln>
                              </wps:spPr>
                              <wps:bodyPr upright="1"/>
                            </wps:wsp>
                            <wps:wsp>
                              <wps:cNvPr id="31" name="矩形 31"/>
                              <wps:cNvSpPr/>
                              <wps:spPr>
                                <a:xfrm>
                                  <a:off x="3369945" y="1798320"/>
                                  <a:ext cx="1306830" cy="1029970"/>
                                </a:xfrm>
                                <a:prstGeom prst="rect">
                                  <a:avLst/>
                                </a:prstGeom>
                                <a:noFill/>
                                <a:ln>
                                  <a:noFill/>
                                </a:ln>
                              </wps:spPr>
                              <wps:txbx>
                                <w:txbxContent>
                                  <w:p w14:paraId="3BDD0A33">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wps:txbx>
                              <wps:bodyPr upright="1"/>
                            </wps:wsp>
                            <wps:wsp>
                              <wps:cNvPr id="33" name="直接连接符 33"/>
                              <wps:cNvCnPr/>
                              <wps:spPr>
                                <a:xfrm>
                                  <a:off x="2126615" y="1938655"/>
                                  <a:ext cx="266700" cy="0"/>
                                </a:xfrm>
                                <a:prstGeom prst="line">
                                  <a:avLst/>
                                </a:prstGeom>
                                <a:ln w="9525" cap="flat" cmpd="sng">
                                  <a:solidFill>
                                    <a:srgbClr val="000000"/>
                                  </a:solidFill>
                                  <a:prstDash val="solid"/>
                                  <a:headEnd type="none" w="med" len="med"/>
                                  <a:tailEnd type="arrow" w="med" len="med"/>
                                </a:ln>
                              </wps:spPr>
                              <wps:bodyPr upright="1"/>
                            </wps:wsp>
                            <wps:wsp>
                              <wps:cNvPr id="34" name="矩形 34"/>
                              <wps:cNvSpPr/>
                              <wps:spPr>
                                <a:xfrm>
                                  <a:off x="2414905" y="2216785"/>
                                  <a:ext cx="6096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B19EC6">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wps:txbx>
                              <wps:bodyPr upright="1"/>
                            </wps:wsp>
                            <wps:wsp>
                              <wps:cNvPr id="37" name="直接连接符 37"/>
                              <wps:cNvCnPr/>
                              <wps:spPr>
                                <a:xfrm>
                                  <a:off x="2705100" y="2070735"/>
                                  <a:ext cx="0" cy="139700"/>
                                </a:xfrm>
                                <a:prstGeom prst="line">
                                  <a:avLst/>
                                </a:prstGeom>
                                <a:ln w="9525" cap="flat" cmpd="sng">
                                  <a:solidFill>
                                    <a:srgbClr val="000000"/>
                                  </a:solidFill>
                                  <a:prstDash val="solid"/>
                                  <a:headEnd type="none" w="med" len="med"/>
                                  <a:tailEnd type="arrow" w="med" len="med"/>
                                </a:ln>
                              </wps:spPr>
                              <wps:bodyPr upright="1"/>
                            </wps:wsp>
                            <wps:wsp>
                              <wps:cNvPr id="38" name="矩形 38"/>
                              <wps:cNvSpPr/>
                              <wps:spPr>
                                <a:xfrm>
                                  <a:off x="1988185" y="2781300"/>
                                  <a:ext cx="1498600" cy="660400"/>
                                </a:xfrm>
                                <a:prstGeom prst="rect">
                                  <a:avLst/>
                                </a:prstGeom>
                                <a:solidFill>
                                  <a:srgbClr val="FFFFFF"/>
                                </a:solidFill>
                                <a:ln>
                                  <a:noFill/>
                                </a:ln>
                              </wps:spPr>
                              <wps:txbx>
                                <w:txbxContent>
                                  <w:p w14:paraId="475F7A14">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wps:txbx>
                              <wps:bodyPr upright="1"/>
                            </wps:wsp>
                            <wps:wsp>
                              <wps:cNvPr id="39" name="矩形 39"/>
                              <wps:cNvSpPr/>
                              <wps:spPr>
                                <a:xfrm>
                                  <a:off x="948690" y="1738630"/>
                                  <a:ext cx="1151255" cy="389890"/>
                                </a:xfrm>
                                <a:prstGeom prst="rect">
                                  <a:avLst/>
                                </a:prstGeom>
                                <a:noFill/>
                                <a:ln w="9525" cap="flat" cmpd="sng">
                                  <a:solidFill>
                                    <a:srgbClr val="000000"/>
                                  </a:solidFill>
                                  <a:prstDash val="solid"/>
                                  <a:miter/>
                                  <a:headEnd type="none" w="med" len="med"/>
                                  <a:tailEnd type="none" w="med" len="med"/>
                                </a:ln>
                              </wps:spPr>
                              <wps:txbx>
                                <w:txbxContent>
                                  <w:p w14:paraId="60116F47">
                                    <w:pPr>
                                      <w:jc w:val="center"/>
                                      <w:rPr>
                                        <w:rFonts w:hint="default" w:eastAsia="宋体"/>
                                        <w:sz w:val="21"/>
                                        <w:szCs w:val="21"/>
                                        <w:lang w:val="en-US" w:eastAsia="zh-CN"/>
                                      </w:rPr>
                                    </w:pPr>
                                    <w:r>
                                      <w:rPr>
                                        <w:rFonts w:hint="eastAsia" w:eastAsia="宋体"/>
                                        <w:sz w:val="21"/>
                                        <w:szCs w:val="21"/>
                                        <w:lang w:val="en-US" w:eastAsia="zh-CN"/>
                                      </w:rPr>
                                      <w:t>活性氧消毒</w:t>
                                    </w:r>
                                  </w:p>
                                </w:txbxContent>
                              </wps:txbx>
                              <wps:bodyPr upright="1"/>
                            </wps:wsp>
                            <wps:wsp>
                              <wps:cNvPr id="15" name="直接连接符 15"/>
                              <wps:cNvCnPr/>
                              <wps:spPr>
                                <a:xfrm flipH="1">
                                  <a:off x="2712085" y="2513330"/>
                                  <a:ext cx="1270" cy="229870"/>
                                </a:xfrm>
                                <a:prstGeom prst="line">
                                  <a:avLst/>
                                </a:prstGeom>
                                <a:ln w="9525" cap="flat" cmpd="sng">
                                  <a:solidFill>
                                    <a:srgbClr val="000000"/>
                                  </a:solidFill>
                                  <a:prstDash val="solid"/>
                                  <a:headEnd type="none" w="med" len="med"/>
                                  <a:tailEnd type="arrow" w="med" len="med"/>
                                </a:ln>
                              </wps:spPr>
                              <wps:bodyPr upright="1"/>
                            </wps:wsp>
                          </wpc:wpc>
                        </a:graphicData>
                      </a:graphic>
                    </wp:inline>
                  </w:drawing>
                </mc:Choice>
                <mc:Fallback>
                  <w:pict>
                    <v:group id="_x0000_s1026" o:spid="_x0000_s1026" o:spt="203" style="height:280.8pt;width:390.45pt;" coordsize="4958715,3566160" editas="canvas"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DYkHQNcAAAAFAQAADwAAAAAAAAABACAAAAAiAAAA&#10;ZHJzL2Rvd25yZXYueG1sUEsBAhQAFAAAAAgAh07iQBGEZIN8BgAAcjMAAA4AAAAAAAAAAQAgAAAA&#10;JgEAAGRycy9lMm9Eb2MueG1sUEsFBgAAAAAGAAYAWQEAABQKAAAAAA==&#10;">
                      <o:lock v:ext="edit" aspectratio="f"/>
                      <v:shape id="_x0000_s1026" o:spid="_x0000_s1026" style="position:absolute;left:0;top:0;height:3566160;width:4958715;"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">
                        <v:fill on="f" focussize="0,0"/>
                        <v:stroke on="f"/>
                        <v:imagedata o:title=""/>
                        <o:lock v:ext="edit" aspectratio="f"/>
                      </v:shape>
                      <v:rect id="_x0000_s1026" o:spid="_x0000_s1026" o:spt="1" style="position:absolute;left:95250;top:47625;height:476885;width:103505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6R2V1QAAAAUBAAAPAAAAAAAAAAEAIAAAACIAAABkcnMv&#10;ZG93bnJldi54bWxQSwECFAAUAAAACACHTuJAzbQp/QYCAAAxBAAADgAAAAAAAAABACAAAAAkAQAA&#10;ZHJzL2Uyb0RvYy54bWxQSwUGAAAAAAYABgBZAQAAnAUAAAAA&#10;">
                        <v:fill on="t" focussize="0,0"/>
                        <v:stroke color="#000000" joinstyle="miter"/>
                        <v:imagedata o:title=""/>
                        <o:lock v:ext="edit" aspectratio="f"/>
                        <v:textbox>
                          <w:txbxContent>
                            <w:p w14:paraId="3E55128E">
                              <w:pPr>
                                <w:spacing w:line="240" w:lineRule="auto"/>
                                <w:rPr>
                                  <w:rFonts w:hint="default" w:eastAsia="宋体"/>
                                  <w:sz w:val="21"/>
                                  <w:szCs w:val="21"/>
                                  <w:lang w:val="en-US" w:eastAsia="zh-CN"/>
                                </w:rPr>
                              </w:pPr>
                              <w:r>
                                <w:rPr>
                                  <w:rFonts w:hint="eastAsia" w:eastAsia="宋体"/>
                                  <w:sz w:val="21"/>
                                  <w:szCs w:val="21"/>
                                  <w:lang w:val="en-US" w:eastAsia="zh-CN"/>
                                </w:rPr>
                                <w:t>生活污水、医疗废水</w:t>
                              </w:r>
                            </w:p>
                          </w:txbxContent>
                        </v:textbox>
                      </v:rect>
                      <v:line id="_x0000_s1026" o:spid="_x0000_s1026" o:spt="20" style="position:absolute;left:1125220;top:302260;flip:y;height:635;width:244475;"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H+XGTVAAAABQEAAA8AAAAAAAAAAQAgAAAA&#10;IgAAAGRycy9kb3ducmV2LnhtbFBLAQIUABQAAAAIAIdO4kDcYOoCDgIAAPsDAAAOAAAAAAAAAAEA&#10;IAAAACQBAABkcnMvZTJvRG9jLnhtbFBLBQYAAAAABgAGAFkBAACkBQAAAAA=&#10;">
                        <v:fill on="f" focussize="0,0"/>
                        <v:stroke color="#000000" joinstyle="round" endarrow="open"/>
                        <v:imagedata o:title=""/>
                        <o:lock v:ext="edit" aspectratio="f"/>
                      </v:line>
                      <v:rect id="_x0000_s1026" o:spid="_x0000_s1026" o:spt="1" style="position:absolute;left:1390650;top:139065;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6R2V1QAAAAUBAAAPAAAAAAAAAAEAIAAAACIAAABkcnMv&#10;ZG93bnJldi54bWxQSwECFAAUAAAACACHTuJAm6/GFgYCAAAzBAAADgAAAAAAAAABACAAAAAkAQAA&#10;ZHJzL2Uyb0RvYy54bWxQSwUGAAAAAAYABgBZAQAAnAUAAAAA&#10;">
                        <v:fill on="t" focussize="0,0"/>
                        <v:stroke color="#000000" joinstyle="miter"/>
                        <v:imagedata o:title=""/>
                        <o:lock v:ext="edit" aspectratio="f"/>
                        <v:textbox>
                          <w:txbxContent>
                            <w:p w14:paraId="69D37C23">
                              <w:pPr>
                                <w:spacing w:line="240" w:lineRule="auto"/>
                                <w:rPr>
                                  <w:rFonts w:hint="default" w:eastAsia="宋体"/>
                                  <w:sz w:val="21"/>
                                  <w:szCs w:val="21"/>
                                  <w:lang w:val="en-US" w:eastAsia="zh-CN"/>
                                </w:rPr>
                              </w:pPr>
                              <w:r>
                                <w:rPr>
                                  <w:rFonts w:hint="eastAsia" w:eastAsia="宋体"/>
                                  <w:sz w:val="21"/>
                                  <w:szCs w:val="21"/>
                                  <w:lang w:val="en-US" w:eastAsia="zh-CN"/>
                                </w:rPr>
                                <w:t>化粪池</w:t>
                              </w:r>
                            </w:p>
                          </w:txbxContent>
                        </v:textbox>
                      </v:rect>
                      <v:line id="_x0000_s1026" o:spid="_x0000_s1026" o:spt="20" style="position:absolute;left:2009140;top:292100;height:635;width:36068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QHX61wAAAAUBAAAPAAAAAAAAAAEAIAAAACIAAABkcnMv&#10;ZG93bnJldi54bWxQSwECFAAUAAAACACHTuJAIypowgQCAADxAwAADgAAAAAAAAABACAAAAAmAQAA&#10;ZHJzL2Uyb0RvYy54bWxQSwUGAAAAAAYABgBZAQAAnAUAAAAA&#10;">
                        <v:fill on="f" focussize="0,0"/>
                        <v:stroke color="#000000" joinstyle="round" endarrow="open"/>
                        <v:imagedata o:title=""/>
                        <o:lock v:ext="edit" aspectratio="f"/>
                      </v:line>
                      <v:rect id="_x0000_s1026" o:spid="_x0000_s1026" o:spt="1" style="position:absolute;left:2370455;top:152400;height:27940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OkdldUAAAAFAQAADwAAAAAAAAABACAAAAAi&#10;AAAAZHJzL2Rvd25yZXYueG1sUEsBAhQAFAAAAAgAh07iQNeMgIENAgAANQQAAA4AAAAAAAAAAQAg&#10;AAAAJAEAAGRycy9lMm9Eb2MueG1sUEsFBgAAAAAGAAYAWQEAAKMFAAAAAA==&#10;">
                        <v:fill on="t" focussize="0,0"/>
                        <v:stroke color="#000000" joinstyle="miter"/>
                        <v:imagedata o:title=""/>
                        <o:lock v:ext="edit" aspectratio="f"/>
                        <v:textbox>
                          <w:txbxContent>
                            <w:p w14:paraId="52B9134D">
                              <w:pPr>
                                <w:spacing w:line="240" w:lineRule="auto"/>
                                <w:rPr>
                                  <w:rFonts w:hint="default" w:eastAsia="宋体"/>
                                  <w:lang w:val="en-US" w:eastAsia="zh-CN"/>
                                </w:rPr>
                              </w:pPr>
                              <w:r>
                                <w:rPr>
                                  <w:rFonts w:hint="eastAsia" w:eastAsia="宋体"/>
                                  <w:sz w:val="21"/>
                                  <w:szCs w:val="21"/>
                                  <w:lang w:val="en-US" w:eastAsia="zh-CN"/>
                                </w:rPr>
                                <w:t>格栅井</w:t>
                              </w:r>
                            </w:p>
                          </w:txbxContent>
                        </v:textbox>
                      </v:rect>
                      <v:line id="_x0000_s1026" o:spid="_x0000_s1026" o:spt="20" style="position:absolute;left:2675890;top:434975;height:292100;width:63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tAdfrXAAAABQEAAA8AAAAAAAAAAQAgAAAA&#10;IgAAAGRycy9kb3ducmV2LnhtbFBLAQIUABQAAAAIAIdO4kCbJy0EDAIAAPMDAAAOAAAAAAAAAAEA&#10;IAAAACYBAABkcnMvZTJvRG9jLnhtbFBLBQYAAAAABgAGAFkBAACkBQAAAAA=&#10;">
                        <v:fill on="f" focussize="0,0"/>
                        <v:stroke color="#000000" joinstyle="round" endarrow="open"/>
                        <v:imagedata o:title=""/>
                        <o:lock v:ext="edit" aspectratio="f"/>
                      </v:line>
                      <v:rect id="_x0000_s1026" o:spid="_x0000_s1026" o:spt="1" style="position:absolute;left:2348230;top:746760;height:345440;width:6223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CvYJDUDgIAADUEAAAOAAAAAAAAAAEA&#10;IAAAACQBAABkcnMvZTJvRG9jLnhtbFBLBQYAAAAABgAGAFkBAACkBQAAAAA=&#10;">
                        <v:fill on="t" focussize="0,0"/>
                        <v:stroke color="#000000" joinstyle="miter"/>
                        <v:imagedata o:title=""/>
                        <o:lock v:ext="edit" aspectratio="f"/>
                        <v:textbox>
                          <w:txbxContent>
                            <w:p w14:paraId="55775FB2">
                              <w:pPr>
                                <w:rPr>
                                  <w:rFonts w:hint="default" w:eastAsia="宋体"/>
                                  <w:lang w:val="en-US" w:eastAsia="zh-CN"/>
                                </w:rPr>
                              </w:pPr>
                              <w:r>
                                <w:rPr>
                                  <w:rFonts w:hint="eastAsia" w:eastAsia="宋体"/>
                                  <w:sz w:val="21"/>
                                  <w:szCs w:val="21"/>
                                  <w:lang w:val="en-US" w:eastAsia="zh-CN"/>
                                </w:rPr>
                                <w:t>调节池</w:t>
                              </w:r>
                            </w:p>
                          </w:txbxContent>
                        </v:textbox>
                      </v:rect>
                      <v:line id="_x0000_s1026" o:spid="_x0000_s1026" o:spt="20" style="position:absolute;left:2683510;top:113474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CQYIY8CQIAAPIDAAAOAAAAAAAAAAEAIAAA&#10;ACYBAABkcnMvZTJvRG9jLnhtbFBLBQYAAAAABgAGAFkBAAChBQAAAAA=&#10;">
                        <v:fill on="f" focussize="0,0"/>
                        <v:stroke color="#000000" joinstyle="round" endarrow="open"/>
                        <v:imagedata o:title=""/>
                        <o:lock v:ext="edit" aspectratio="f"/>
                      </v:line>
                      <v:rect id="_x0000_s1026" o:spid="_x0000_s1026" o:spt="1" style="position:absolute;left:2355850;top:1280160;height:314325;width:65976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6R2V1QAAAAUBAAAPAAAAAAAAAAEAIAAAACIA&#10;AABkcnMvZG93bnJldi54bWxQSwECFAAUAAAACACHTuJAWMVO6wwCAAA2BAAADgAAAAAAAAABACAA&#10;AAAkAQAAZHJzL2Uyb0RvYy54bWxQSwUGAAAAAAYABgBZAQAAogUAAAAA&#10;">
                        <v:fill on="t" focussize="0,0"/>
                        <v:stroke color="#000000" joinstyle="miter"/>
                        <v:imagedata o:title=""/>
                        <o:lock v:ext="edit" aspectratio="f"/>
                        <v:textbox>
                          <w:txbxContent>
                            <w:p w14:paraId="3706BF28">
                              <w:pPr>
                                <w:spacing w:line="240" w:lineRule="auto"/>
                                <w:rPr>
                                  <w:rFonts w:hint="default" w:eastAsia="宋体"/>
                                  <w:sz w:val="21"/>
                                  <w:szCs w:val="21"/>
                                  <w:lang w:val="en-US" w:eastAsia="zh-CN"/>
                                </w:rPr>
                              </w:pPr>
                              <w:r>
                                <w:rPr>
                                  <w:rFonts w:hint="eastAsia"/>
                                  <w:sz w:val="21"/>
                                  <w:szCs w:val="21"/>
                                  <w:lang w:val="en-US" w:eastAsia="zh-CN"/>
                                </w:rPr>
                                <w:t>沉淀</w:t>
                              </w:r>
                              <w:r>
                                <w:rPr>
                                  <w:rFonts w:hint="eastAsia" w:eastAsia="宋体"/>
                                  <w:sz w:val="21"/>
                                  <w:szCs w:val="21"/>
                                  <w:lang w:val="en-US" w:eastAsia="zh-CN"/>
                                </w:rPr>
                                <w:t>池</w:t>
                              </w:r>
                            </w:p>
                          </w:txbxContent>
                        </v:textbox>
                      </v:rect>
                      <v:line id="_x0000_s1026" o:spid="_x0000_s1026" o:spt="20" style="position:absolute;left:2730500;top:2336166;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dfrXAAAABQEAAA8AAAAAAAAAAQAgAAAAIgAAAGRy&#10;cy9kb3ducmV2LnhtbFBLAQIUABQAAAAIAIdO4kDrXTPiBgIAAPIDAAAOAAAAAAAAAAEAIAAAACYB&#10;AABkcnMvZTJvRG9jLnhtbFBLBQYAAAAABgAGAFkBAACeBQAAAAA=&#10;">
                        <v:fill on="f" focussize="0,0"/>
                        <v:stroke color="#000000" joinstyle="round" endarrow="open"/>
                        <v:imagedata o:title=""/>
                        <o:lock v:ext="edit" aspectratio="f"/>
                      </v:line>
                      <v:rect id="_x0000_s1026" o:spid="_x0000_s1026" o:spt="1" style="position:absolute;left:2399030;top:17595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6R2V1QAAAAUBAAAPAAAAAAAAAAEAIAAAACIA&#10;AABkcnMvZG93bnJldi54bWxQSwECFAAUAAAACACHTuJAuDZd8QwCAAA2BAAADgAAAAAAAAABACAA&#10;AAAkAQAAZHJzL2Uyb0RvYy54bWxQSwUGAAAAAAYABgBZAQAAogUAAAAA&#10;">
                        <v:fill on="t" focussize="0,0"/>
                        <v:stroke color="#000000" joinstyle="miter"/>
                        <v:imagedata o:title=""/>
                        <o:lock v:ext="edit" aspectratio="f"/>
                        <v:textbox>
                          <w:txbxContent>
                            <w:p w14:paraId="1C2AA942">
                              <w:pPr>
                                <w:spacing w:line="240" w:lineRule="auto"/>
                                <w:jc w:val="center"/>
                                <w:rPr>
                                  <w:rFonts w:hint="default" w:eastAsia="宋体"/>
                                  <w:sz w:val="21"/>
                                  <w:szCs w:val="21"/>
                                  <w:lang w:val="en-US" w:eastAsia="zh-CN"/>
                                </w:rPr>
                              </w:pPr>
                              <w:r>
                                <w:rPr>
                                  <w:rFonts w:hint="eastAsia" w:eastAsia="宋体"/>
                                  <w:sz w:val="21"/>
                                  <w:szCs w:val="21"/>
                                  <w:lang w:val="en-US" w:eastAsia="zh-CN"/>
                                </w:rPr>
                                <w:t>消毒池</w:t>
                              </w:r>
                            </w:p>
                          </w:txbxContent>
                        </v:textbox>
                      </v:rect>
                      <v:line id="_x0000_s1026" o:spid="_x0000_s1026" o:spt="20" style="position:absolute;left:2682875;top:1617980;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b76bNCQIAAPIDAAAOAAAAAAAAAAEAIAAA&#10;ACYBAABkcnMvZTJvRG9jLnhtbFBLBQYAAAAABgAGAFkBAAChBQAAAAA=&#10;">
                        <v:fill on="f" focussize="0,0"/>
                        <v:stroke color="#000000" joinstyle="round" endarrow="open"/>
                        <v:imagedata o:title=""/>
                        <o:lock v:ext="edit" aspectratio="f"/>
                      </v:line>
                      <v:line id="_x0000_s1026" o:spid="_x0000_s1026" o:spt="20" style="position:absolute;left:3082925;top:1495425;height:635;width:380365;"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tAdfrXAAAABQEAAA8AAAAAAAAAAQAgAAAAIgAA&#10;AGRycy9kb3ducmV2LnhtbFBLAQIUABQAAAAIAIdO4kBOZB+wCQIAAPQDAAAOAAAAAAAAAAEAIAAA&#10;ACYBAABkcnMvZTJvRG9jLnhtbFBLBQYAAAAABgAGAFkBAAChBQAAAAA=&#10;">
                        <v:fill on="f" focussize="0,0"/>
                        <v:stroke color="#000000" joinstyle="round" endarrow="open"/>
                        <v:imagedata o:title=""/>
                        <o:lock v:ext="edit" aspectratio="f"/>
                      </v:line>
                      <v:rect id="_x0000_s1026" o:spid="_x0000_s1026" o:spt="1" style="position:absolute;left:3027680;top:1201420;height:335915;width:49530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8USTD7ABAABOAwAADgAAAAAAAAABACAAAAAmAQAAZHJzL2Uyb0RvYy54bWxQSwUGAAAAAAYABgBZ&#10;AQAASAUAAAAA&#10;">
                        <v:fill on="f" focussize="0,0"/>
                        <v:stroke on="f"/>
                        <v:imagedata o:title=""/>
                        <o:lock v:ext="edit" aspectratio="f"/>
                        <v:textbox>
                          <w:txbxContent>
                            <w:p w14:paraId="2A94B460">
                              <w:pPr>
                                <w:rPr>
                                  <w:rFonts w:hint="default" w:eastAsia="宋体"/>
                                  <w:sz w:val="21"/>
                                  <w:szCs w:val="21"/>
                                  <w:lang w:val="en-US" w:eastAsia="zh-CN"/>
                                </w:rPr>
                              </w:pPr>
                              <w:r>
                                <w:rPr>
                                  <w:rFonts w:hint="eastAsia" w:eastAsia="宋体"/>
                                  <w:sz w:val="21"/>
                                  <w:szCs w:val="21"/>
                                  <w:lang w:val="en-US" w:eastAsia="zh-CN"/>
                                </w:rPr>
                                <w:t>排泥</w:t>
                              </w:r>
                            </w:p>
                          </w:txbxContent>
                        </v:textbox>
                      </v:rect>
                      <v:rect id="_x0000_s1026" o:spid="_x0000_s1026" o:spt="1" style="position:absolute;left:3477895;top:1332230;height:304800;width:882015;"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6R2V1QAAAAUBAAAPAAAAAAAAAAEAIAAA&#10;ACIAAABkcnMvZG93bnJldi54bWxQSwECFAAUAAAACACHTuJAYKoKDA8CAAA2BAAADgAAAAAAAAAB&#10;ACAAAAAkAQAAZHJzL2Uyb0RvYy54bWxQSwUGAAAAAAYABgBZAQAApQUAAAAA&#10;">
                        <v:fill on="t" focussize="0,0"/>
                        <v:stroke color="#000000" joinstyle="miter"/>
                        <v:imagedata o:title=""/>
                        <o:lock v:ext="edit" aspectratio="f"/>
                        <v:textbox>
                          <w:txbxContent>
                            <w:p w14:paraId="6AAA1F54">
                              <w:pPr>
                                <w:spacing w:line="240" w:lineRule="auto"/>
                                <w:rPr>
                                  <w:rFonts w:hint="default" w:eastAsia="宋体"/>
                                  <w:sz w:val="21"/>
                                  <w:szCs w:val="21"/>
                                  <w:lang w:val="en-US" w:eastAsia="zh-CN"/>
                                </w:rPr>
                              </w:pPr>
                              <w:r>
                                <w:rPr>
                                  <w:rFonts w:hint="eastAsia" w:eastAsia="宋体"/>
                                  <w:sz w:val="21"/>
                                  <w:szCs w:val="21"/>
                                  <w:lang w:val="en-US" w:eastAsia="zh-CN"/>
                                </w:rPr>
                                <w:t>污泥消化池</w:t>
                              </w:r>
                            </w:p>
                          </w:txbxContent>
                        </v:textbox>
                      </v:rect>
                      <v:line id="_x0000_s1026" o:spid="_x0000_s1026" o:spt="20" style="position:absolute;left:3949700;top:1663700;flip:x;height:217170;width:6985;" filled="f" stroked="t" coordsize="21600,21600" o:gfxdata="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DHXOtQAAAAFAQAADwAAAAAAAAABACAA&#10;AAAiAAAAZHJzL2Rvd25yZXYueG1sUEsBAhQAFAAAAAgAh07iQGLoxsQRAgAA/gMAAA4AAAAAAAAA&#10;AQAgAAAAIwEAAGRycy9lMm9Eb2MueG1sUEsFBgAAAAAGAAYAWQEAAKYFAAAAAA==&#10;">
                        <v:fill on="f" focussize="0,0"/>
                        <v:stroke color="#000000" joinstyle="round" dashstyle="dash" endarrow="open"/>
                        <v:imagedata o:title=""/>
                        <o:lock v:ext="edit" aspectratio="f"/>
                      </v:line>
                      <v:rect id="_x0000_s1026" o:spid="_x0000_s1026" o:spt="1" style="position:absolute;left:3369945;top:1798320;height:1029970;width:1306830;" filled="f" stroked="f" coordsize="21600,21600" o:gfxdata="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NiQdA&#10;1wAAAAUBAAAPAAAAAAAAAAEAIAAAACIAAABkcnMvZG93bnJldi54bWxQSwECFAAUAAAACACHTuJA&#10;xAYm3LABAABQAwAADgAAAAAAAAABACAAAAAmAQAAZHJzL2Uyb0RvYy54bWxQSwUGAAAAAAYABgBZ&#10;AQAASAUAAAAA&#10;">
                        <v:fill on="f" focussize="0,0"/>
                        <v:stroke on="f"/>
                        <v:imagedata o:title=""/>
                        <o:lock v:ext="edit" aspectratio="f"/>
                        <v:textbox>
                          <w:txbxContent>
                            <w:p w14:paraId="3BDD0A33">
                              <w:pPr>
                                <w:rPr>
                                  <w:rFonts w:hint="default" w:eastAsia="宋体"/>
                                  <w:lang w:val="en-US" w:eastAsia="zh-CN"/>
                                </w:rPr>
                              </w:pPr>
                              <w:r>
                                <w:rPr>
                                  <w:rFonts w:hint="eastAsia" w:eastAsia="宋体"/>
                                  <w:sz w:val="21"/>
                                  <w:szCs w:val="21"/>
                                  <w:lang w:val="en-US" w:eastAsia="zh-CN"/>
                                </w:rPr>
                                <w:t>剩余污泥经消毒处理后交由有资质的单位进行处理</w:t>
                              </w:r>
                            </w:p>
                          </w:txbxContent>
                        </v:textbox>
                      </v:rect>
                      <v:line id="_x0000_s1026" o:spid="_x0000_s1026" o:spt="20" style="position:absolute;left:2126615;top:1938655;height:0;width:26670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0B1+tcAAAAFAQAADwAAAAAAAAABACAAAAAi&#10;AAAAZHJzL2Rvd25yZXYueG1sUEsBAhQAFAAAAAgAh07iQCXWt+gLAgAA8gMAAA4AAAAAAAAAAQAg&#10;AAAAJgEAAGRycy9lMm9Eb2MueG1sUEsFBgAAAAAGAAYAWQEAAKMFAAAAAA==&#10;">
                        <v:fill on="f" focussize="0,0"/>
                        <v:stroke color="#000000" joinstyle="round" endarrow="open"/>
                        <v:imagedata o:title=""/>
                        <o:lock v:ext="edit" aspectratio="f"/>
                      </v:line>
                      <v:rect id="_x0000_s1026" o:spid="_x0000_s1026" o:spt="1" style="position:absolute;left:2414905;top:2216785;height:304800;width:609600;" fillcolor="#FFFFFF" filled="t" stroked="t" coordsize="21600,21600" o:gfxdata="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jpHZXVAAAABQEAAA8AAAAAAAAAAQAgAAAA&#10;IgAAAGRycy9kb3ducmV2LnhtbFBLAQIUABQAAAAIAIdO4kCNBqtEDgIAADYEAAAOAAAAAAAAAAEA&#10;IAAAACQBAABkcnMvZTJvRG9jLnhtbFBLBQYAAAAABgAGAFkBAACkBQAAAAA=&#10;">
                        <v:fill on="t" focussize="0,0"/>
                        <v:stroke color="#000000" joinstyle="miter"/>
                        <v:imagedata o:title=""/>
                        <o:lock v:ext="edit" aspectratio="f"/>
                        <v:textbox>
                          <w:txbxContent>
                            <w:p w14:paraId="4AB19EC6">
                              <w:pPr>
                                <w:spacing w:line="240" w:lineRule="auto"/>
                                <w:rPr>
                                  <w:rFonts w:hint="default" w:eastAsia="宋体"/>
                                  <w:lang w:val="en-US" w:eastAsia="zh-CN"/>
                                </w:rPr>
                              </w:pPr>
                              <w:r>
                                <w:rPr>
                                  <w:rFonts w:hint="eastAsia" w:eastAsia="宋体"/>
                                  <w:sz w:val="21"/>
                                  <w:szCs w:val="21"/>
                                  <w:lang w:val="en-US" w:eastAsia="zh-CN"/>
                                </w:rPr>
                                <w:t>清水</w:t>
                              </w:r>
                              <w:r>
                                <w:rPr>
                                  <w:rFonts w:hint="eastAsia" w:eastAsia="宋体"/>
                                  <w:lang w:val="en-US" w:eastAsia="zh-CN"/>
                                </w:rPr>
                                <w:t>池</w:t>
                              </w:r>
                            </w:p>
                          </w:txbxContent>
                        </v:textbox>
                      </v:rect>
                      <v:line id="_x0000_s1026" o:spid="_x0000_s1026" o:spt="20" style="position:absolute;left:2705100;top:2070735;height:139700;width:0;" filled="f" stroked="t" coordsize="21600,21600" o:gfxdata="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tAdfrXAAAABQEAAA8AAAAAAAAAAQAgAAAAIgAAAGRy&#10;cy9kb3ducmV2LnhtbFBLAQIUABQAAAAIAIdO4kCbsNBoBgIAAPIDAAAOAAAAAAAAAAEAIAAAACYB&#10;AABkcnMvZTJvRG9jLnhtbFBLBQYAAAAABgAGAFkBAACeBQAAAAA=&#10;">
                        <v:fill on="f" focussize="0,0"/>
                        <v:stroke color="#000000" joinstyle="round" endarrow="open"/>
                        <v:imagedata o:title=""/>
                        <o:lock v:ext="edit" aspectratio="f"/>
                      </v:line>
                      <v:rect id="_x0000_s1026" o:spid="_x0000_s1026" o:spt="1" style="position:absolute;left:1988185;top:2781300;height:660400;width:1498600;" fillcolor="#FFFFFF" filled="t" stroked="f" coordsize="21600,21600" o:gfxdata="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IQ0svUAAAABQEAAA8AAAAAAAAAAQAgAAAAIgAAAGRycy9kb3ducmV2Lnht&#10;bFBLAQIUABQAAAAIAIdO4kDzAkWfxAEAAHgDAAAOAAAAAAAAAAEAIAAAACMBAABkcnMvZTJvRG9j&#10;LnhtbFBLBQYAAAAABgAGAFkBAABZBQAAAAA=&#10;">
                        <v:fill on="t" focussize="0,0"/>
                        <v:stroke on="f"/>
                        <v:imagedata o:title=""/>
                        <o:lock v:ext="edit" aspectratio="f"/>
                        <v:textbox>
                          <w:txbxContent>
                            <w:p w14:paraId="475F7A14">
                              <w:pPr>
                                <w:jc w:val="center"/>
                                <w:rPr>
                                  <w:rFonts w:hint="default" w:eastAsia="宋体"/>
                                  <w:sz w:val="21"/>
                                  <w:szCs w:val="21"/>
                                  <w:lang w:val="en-US" w:eastAsia="zh-CN"/>
                                </w:rPr>
                              </w:pPr>
                              <w:r>
                                <w:rPr>
                                  <w:rFonts w:hint="eastAsia"/>
                                  <w:sz w:val="21"/>
                                  <w:szCs w:val="21"/>
                                  <w:lang w:eastAsia="zh-CN"/>
                                </w:rPr>
                                <w:t>废水经消毒后排入</w:t>
                              </w:r>
                              <w:r>
                                <w:rPr>
                                  <w:rFonts w:hint="eastAsia"/>
                                  <w:sz w:val="21"/>
                                  <w:szCs w:val="21"/>
                                  <w:lang w:val="en-US" w:eastAsia="zh-CN"/>
                                </w:rPr>
                                <w:t>城镇污水处理厂</w:t>
                              </w:r>
                            </w:p>
                          </w:txbxContent>
                        </v:textbox>
                      </v:rect>
                      <v:rect id="_x0000_s1026" o:spid="_x0000_s1026" o:spt="1" style="position:absolute;left:948690;top:1738630;height:389890;width:1151255;" filled="f" stroked="t" coordsize="21600,21600" o:gfxdata="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&#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H7lDPUAAAABQEAAA8AAAAAAAAAAQAgAAAAIgAAAGRy&#10;cy9kb3ducmV2LnhtbFBLAQIUABQAAAAIAIdO4kD/bn7OCQIAAA0EAAAOAAAAAAAAAAEAIAAAACMB&#10;AABkcnMvZTJvRG9jLnhtbFBLBQYAAAAABgAGAFkBAACeBQAAAAA=&#10;">
                        <v:fill on="f" focussize="0,0"/>
                        <v:stroke color="#000000" joinstyle="miter"/>
                        <v:imagedata o:title=""/>
                        <o:lock v:ext="edit" aspectratio="f"/>
                        <v:textbox>
                          <w:txbxContent>
                            <w:p w14:paraId="60116F47">
                              <w:pPr>
                                <w:jc w:val="center"/>
                                <w:rPr>
                                  <w:rFonts w:hint="default" w:eastAsia="宋体"/>
                                  <w:sz w:val="21"/>
                                  <w:szCs w:val="21"/>
                                  <w:lang w:val="en-US" w:eastAsia="zh-CN"/>
                                </w:rPr>
                              </w:pPr>
                              <w:r>
                                <w:rPr>
                                  <w:rFonts w:hint="eastAsia" w:eastAsia="宋体"/>
                                  <w:sz w:val="21"/>
                                  <w:szCs w:val="21"/>
                                  <w:lang w:val="en-US" w:eastAsia="zh-CN"/>
                                </w:rPr>
                                <w:t>活性氧消毒</w:t>
                              </w:r>
                            </w:p>
                          </w:txbxContent>
                        </v:textbox>
                      </v:rect>
                      <v:line id="_x0000_s1026" o:spid="_x0000_s1026" o:spt="20" style="position:absolute;left:2712085;top:2513330;flip:x;height:229870;width:1270;" filled="f" stroked="t" coordsize="21600,21600" o:gfxdata="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lxk1QAAAAUBAAAPAAAAAAAAAAEAIAAA&#10;ACIAAABkcnMvZG93bnJldi54bWxQSwECFAAUAAAACACHTuJAJ4RU/g8CAAD/AwAADgAAAAAAAAAB&#10;ACAAAAAkAQAAZHJzL2Uyb0RvYy54bWxQSwUGAAAAAAYABgBZAQAApQUAAAAA&#10;">
                        <v:fill on="f" focussize="0,0"/>
                        <v:stroke color="#000000" joinstyle="round" endarrow="open"/>
                        <v:imagedata o:title=""/>
                        <o:lock v:ext="edit" aspectratio="f"/>
                      </v:line>
                      <w10:wrap type="none"/>
                      <w10:anchorlock/>
                    </v:group>
                  </w:pict>
                </mc:Fallback>
              </mc:AlternateContent>
            </w:r>
          </w:p>
          <w:p w14:paraId="690B6B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图4-</w:t>
            </w:r>
            <w:r>
              <w:rPr>
                <w:rFonts w:hint="eastAsia" w:cs="Times New Roman"/>
                <w:b/>
                <w:bCs/>
                <w:color w:val="000000" w:themeColor="text1"/>
                <w:sz w:val="21"/>
                <w:szCs w:val="21"/>
                <w:highlight w:val="none"/>
                <w:u w:val="single" w:color="auto"/>
                <w:lang w:val="en-US" w:eastAsia="zh-CN"/>
                <w14:textFill>
                  <w14:solidFill>
                    <w14:schemeClr w14:val="tx1"/>
                  </w14:solidFill>
                </w14:textFill>
              </w:rPr>
              <w:t>1</w:t>
            </w:r>
            <w:r>
              <w:rPr>
                <w:rFonts w:hint="eastAsia" w:ascii="Times New Roman" w:hAnsi="Times New Roman" w:eastAsia="宋体" w:cs="Times New Roman"/>
                <w:b/>
                <w:bCs/>
                <w:color w:val="000000" w:themeColor="text1"/>
                <w:sz w:val="21"/>
                <w:szCs w:val="21"/>
                <w:highlight w:val="none"/>
                <w:u w:val="single" w:color="auto"/>
                <w:lang w:val="en-US" w:eastAsia="zh-CN"/>
                <w14:textFill>
                  <w14:solidFill>
                    <w14:schemeClr w14:val="tx1"/>
                  </w14:solidFill>
                </w14:textFill>
              </w:rPr>
              <w:t xml:space="preserve"> 废水处理工艺流程图</w:t>
            </w:r>
          </w:p>
          <w:p w14:paraId="178946B6">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pPr>
            <w:r>
              <w:rPr>
                <w:rFonts w:hint="default" w:ascii="Times New Roman" w:hAnsi="Times New Roman" w:cs="Times New Roman"/>
                <w:bCs/>
                <w:color w:val="000000" w:themeColor="text1"/>
                <w:sz w:val="24"/>
                <w:u w:val="single" w:color="auto"/>
                <w:lang w:eastAsia="zh-CN"/>
                <w14:textFill>
                  <w14:solidFill>
                    <w14:schemeClr w14:val="tx1"/>
                  </w14:solidFill>
                </w14:textFill>
              </w:rPr>
              <w:t>根据《排污许可证申请与核发技术规范</w:t>
            </w:r>
            <w:r>
              <w:rPr>
                <w:rFonts w:hint="eastAsia"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w:t>
            </w:r>
            <w:r>
              <w:rPr>
                <w:rFonts w:hint="eastAsia" w:ascii="Times New Roman" w:hAnsi="Times New Roman" w:cs="Times New Roman"/>
                <w:bCs/>
                <w:color w:val="000000" w:themeColor="text1"/>
                <w:sz w:val="24"/>
                <w:u w:val="single" w:color="auto"/>
                <w:lang w:eastAsia="zh-CN"/>
                <w14:textFill>
                  <w14:solidFill>
                    <w14:schemeClr w14:val="tx1"/>
                  </w14:solidFill>
                </w14:textFill>
              </w:rPr>
              <w:t>（</w:t>
            </w:r>
            <w:r>
              <w:rPr>
                <w:rFonts w:hint="default" w:ascii="Times New Roman" w:hAnsi="Times New Roman" w:cs="Times New Roman"/>
                <w:bCs/>
                <w:color w:val="000000" w:themeColor="text1"/>
                <w:sz w:val="24"/>
                <w:u w:val="single" w:color="auto"/>
                <w:lang w:eastAsia="zh-CN"/>
                <w14:textFill>
                  <w14:solidFill>
                    <w14:schemeClr w14:val="tx1"/>
                  </w14:solidFill>
                </w14:textFill>
              </w:rPr>
              <w:t>HJ1105- 2020）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w:t>
            </w:r>
            <w:r>
              <w:rPr>
                <w:rFonts w:hint="default" w:ascii="Times New Roman" w:hAnsi="Times New Roman" w:cs="Times New Roman"/>
                <w:bCs/>
                <w:color w:val="000000" w:themeColor="text1"/>
                <w:sz w:val="24"/>
                <w:u w:val="single" w:color="auto"/>
                <w:lang w:eastAsia="zh-CN"/>
                <w14:textFill>
                  <w14:solidFill>
                    <w14:schemeClr w14:val="tx1"/>
                  </w14:solidFill>
                </w14:textFill>
              </w:rPr>
              <w:t>相关要求，本项目废水类</w:t>
            </w:r>
            <w:r>
              <w:rPr>
                <w:rFonts w:hint="default" w:ascii="Times New Roman" w:hAnsi="Times New Roman" w:cs="Times New Roman"/>
                <w:bCs/>
                <w:color w:val="000000" w:themeColor="text1"/>
                <w:sz w:val="24"/>
                <w:highlight w:val="none"/>
                <w:u w:val="single" w:color="auto"/>
                <w:lang w:eastAsia="zh-CN"/>
                <w14:textFill>
                  <w14:solidFill>
                    <w14:schemeClr w14:val="tx1"/>
                  </w14:solidFill>
                </w14:textFill>
              </w:rPr>
              <w:t>别、排放形式及污染治理设施符合性分析，详见下表。</w:t>
            </w:r>
          </w:p>
          <w:p w14:paraId="00734E78">
            <w:pPr>
              <w:pStyle w:val="29"/>
              <w:spacing w:line="240" w:lineRule="auto"/>
              <w:ind w:firstLine="0" w:firstLineChars="0"/>
              <w:jc w:val="center"/>
              <w:rPr>
                <w:rFonts w:hint="default" w:ascii="Times New Roman" w:hAnsi="Times New Roman" w:cs="Times New Roman"/>
                <w:bCs/>
                <w:color w:val="000000" w:themeColor="text1"/>
                <w:sz w:val="24"/>
                <w:u w:val="single" w:color="auto"/>
                <w:lang w:val="en-US" w:eastAsia="zh-CN"/>
                <w14:textFill>
                  <w14:solidFill>
                    <w14:schemeClr w14:val="tx1"/>
                  </w14:solidFill>
                </w14:textFill>
              </w:rPr>
            </w:pPr>
            <w:r>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t>表</w:t>
            </w:r>
            <w:r>
              <w:rPr>
                <w:rFonts w:hint="eastAsia" w:ascii="Times New Roman" w:hAnsi="Times New Roman" w:cs="Times New Roman"/>
                <w:b/>
                <w:bCs w:val="0"/>
                <w:color w:val="000000" w:themeColor="text1"/>
                <w:sz w:val="21"/>
                <w:szCs w:val="21"/>
                <w:highlight w:val="none"/>
                <w:u w:val="single" w:color="auto"/>
                <w:lang w:val="en-US" w:eastAsia="zh-CN"/>
                <w14:textFill>
                  <w14:solidFill>
                    <w14:schemeClr w14:val="tx1"/>
                  </w14:solidFill>
                </w14:textFill>
              </w:rPr>
              <w:t>4-4 本</w:t>
            </w:r>
            <w:r>
              <w:rPr>
                <w:rFonts w:hint="eastAsia" w:ascii="Times New Roman" w:hAnsi="Times New Roman" w:cs="Times New Roman"/>
                <w:b/>
                <w:bCs w:val="0"/>
                <w:color w:val="000000" w:themeColor="text1"/>
                <w:sz w:val="21"/>
                <w:szCs w:val="21"/>
                <w:u w:val="single" w:color="auto"/>
                <w:lang w:val="en-US" w:eastAsia="zh-CN"/>
                <w14:textFill>
                  <w14:solidFill>
                    <w14:schemeClr w14:val="tx1"/>
                  </w14:solidFill>
                </w14:textFill>
              </w:rPr>
              <w:t>项目废水处理措施可行性分析一览表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49"/>
              <w:gridCol w:w="3464"/>
              <w:gridCol w:w="818"/>
              <w:gridCol w:w="1472"/>
              <w:gridCol w:w="656"/>
            </w:tblGrid>
            <w:tr w14:paraId="66193B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0" w:type="dxa"/>
                  <w:vMerge w:val="restart"/>
                  <w:tcBorders>
                    <w:tl2br w:val="nil"/>
                    <w:tr2bl w:val="nil"/>
                  </w:tcBorders>
                  <w:vAlign w:val="center"/>
                </w:tcPr>
                <w:p w14:paraId="5D6A6544">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废水类型</w:t>
                  </w:r>
                </w:p>
              </w:tc>
              <w:tc>
                <w:tcPr>
                  <w:tcW w:w="4113" w:type="dxa"/>
                  <w:gridSpan w:val="2"/>
                  <w:tcBorders>
                    <w:tl2br w:val="nil"/>
                    <w:tr2bl w:val="nil"/>
                  </w:tcBorders>
                  <w:vAlign w:val="center"/>
                </w:tcPr>
                <w:p w14:paraId="11B825B8">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技术规范要求</w:t>
                  </w:r>
                </w:p>
              </w:tc>
              <w:tc>
                <w:tcPr>
                  <w:tcW w:w="2290" w:type="dxa"/>
                  <w:gridSpan w:val="2"/>
                  <w:tcBorders>
                    <w:tl2br w:val="nil"/>
                    <w:tr2bl w:val="nil"/>
                  </w:tcBorders>
                  <w:vAlign w:val="center"/>
                </w:tcPr>
                <w:p w14:paraId="21FBA0CF">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本项目</w:t>
                  </w:r>
                </w:p>
              </w:tc>
              <w:tc>
                <w:tcPr>
                  <w:tcW w:w="656" w:type="dxa"/>
                  <w:vMerge w:val="restart"/>
                  <w:tcBorders>
                    <w:tl2br w:val="nil"/>
                    <w:tr2bl w:val="nil"/>
                  </w:tcBorders>
                  <w:vAlign w:val="center"/>
                </w:tcPr>
                <w:p w14:paraId="70BAC5AB">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符合性</w:t>
                  </w:r>
                </w:p>
              </w:tc>
            </w:tr>
            <w:tr w14:paraId="4ED110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20" w:type="dxa"/>
                  <w:vMerge w:val="continue"/>
                  <w:tcBorders>
                    <w:tl2br w:val="nil"/>
                    <w:tr2bl w:val="nil"/>
                  </w:tcBorders>
                  <w:vAlign w:val="center"/>
                </w:tcPr>
                <w:p w14:paraId="06D70FDE">
                  <w:pPr>
                    <w:pStyle w:val="29"/>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c>
                <w:tcPr>
                  <w:tcW w:w="649" w:type="dxa"/>
                  <w:tcBorders>
                    <w:tl2br w:val="nil"/>
                    <w:tr2bl w:val="nil"/>
                  </w:tcBorders>
                  <w:vAlign w:val="center"/>
                </w:tcPr>
                <w:p w14:paraId="1B69A3CB">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3464" w:type="dxa"/>
                  <w:tcBorders>
                    <w:tl2br w:val="nil"/>
                    <w:tr2bl w:val="nil"/>
                  </w:tcBorders>
                  <w:vAlign w:val="center"/>
                </w:tcPr>
                <w:p w14:paraId="1FC74B60">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可行技术</w:t>
                  </w:r>
                </w:p>
              </w:tc>
              <w:tc>
                <w:tcPr>
                  <w:tcW w:w="818" w:type="dxa"/>
                  <w:tcBorders>
                    <w:tl2br w:val="nil"/>
                    <w:tr2bl w:val="nil"/>
                  </w:tcBorders>
                  <w:vAlign w:val="center"/>
                </w:tcPr>
                <w:p w14:paraId="19B83BCE">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排放去向</w:t>
                  </w:r>
                </w:p>
              </w:tc>
              <w:tc>
                <w:tcPr>
                  <w:tcW w:w="1472" w:type="dxa"/>
                  <w:tcBorders>
                    <w:tl2br w:val="nil"/>
                    <w:tr2bl w:val="nil"/>
                  </w:tcBorders>
                  <w:vAlign w:val="center"/>
                </w:tcPr>
                <w:p w14:paraId="268FF549">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治理措施</w:t>
                  </w:r>
                </w:p>
              </w:tc>
              <w:tc>
                <w:tcPr>
                  <w:tcW w:w="656" w:type="dxa"/>
                  <w:vMerge w:val="continue"/>
                  <w:tcBorders>
                    <w:tl2br w:val="nil"/>
                    <w:tr2bl w:val="nil"/>
                  </w:tcBorders>
                  <w:vAlign w:val="center"/>
                </w:tcPr>
                <w:p w14:paraId="34C47BE7">
                  <w:pPr>
                    <w:pStyle w:val="29"/>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p>
              </w:tc>
            </w:tr>
            <w:tr w14:paraId="582D9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20" w:type="dxa"/>
                  <w:tcBorders>
                    <w:tl2br w:val="nil"/>
                    <w:tr2bl w:val="nil"/>
                  </w:tcBorders>
                  <w:vAlign w:val="center"/>
                </w:tcPr>
                <w:p w14:paraId="6A11EBC0">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医疗废水</w:t>
                  </w:r>
                </w:p>
              </w:tc>
              <w:tc>
                <w:tcPr>
                  <w:tcW w:w="649" w:type="dxa"/>
                  <w:tcBorders>
                    <w:tl2br w:val="nil"/>
                    <w:tr2bl w:val="nil"/>
                  </w:tcBorders>
                  <w:vAlign w:val="center"/>
                </w:tcPr>
                <w:p w14:paraId="472A1A3F">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排入城镇污水处理厂</w:t>
                  </w:r>
                </w:p>
              </w:tc>
              <w:tc>
                <w:tcPr>
                  <w:tcW w:w="3464" w:type="dxa"/>
                  <w:tcBorders>
                    <w:tl2br w:val="nil"/>
                    <w:tr2bl w:val="nil"/>
                  </w:tcBorders>
                  <w:vAlign w:val="center"/>
                </w:tcPr>
                <w:p w14:paraId="7496EB36">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一级处理/一级强化处理+消毒工艺。</w:t>
                  </w:r>
                </w:p>
                <w:p w14:paraId="5B16BBFB">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一级处理包括：筛滤法；沉淀法；气浮法；预曝气法。</w:t>
                  </w:r>
                </w:p>
                <w:p w14:paraId="4D416561">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一级强化处理包括：化学混凝处理、机械过滤或不完全生物处理。</w:t>
                  </w:r>
                </w:p>
                <w:p w14:paraId="07D71206">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both"/>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消毒工艺：加氯消毒，臭氧法消毒，次氯酸钠法、活性氧法消毒、紫外线消毒等。</w:t>
                  </w:r>
                </w:p>
              </w:tc>
              <w:tc>
                <w:tcPr>
                  <w:tcW w:w="818" w:type="dxa"/>
                  <w:tcBorders>
                    <w:tl2br w:val="nil"/>
                    <w:tr2bl w:val="nil"/>
                  </w:tcBorders>
                  <w:vAlign w:val="center"/>
                </w:tcPr>
                <w:p w14:paraId="7774EDA2">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排入</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污水处理厂</w:t>
                  </w:r>
                </w:p>
              </w:tc>
              <w:tc>
                <w:tcPr>
                  <w:tcW w:w="1472" w:type="dxa"/>
                  <w:tcBorders>
                    <w:tl2br w:val="nil"/>
                    <w:tr2bl w:val="nil"/>
                  </w:tcBorders>
                  <w:vAlign w:val="center"/>
                </w:tcPr>
                <w:p w14:paraId="63110C16">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default"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pP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化粪池+调节池+沉淀池+消毒池（</w:t>
                  </w:r>
                  <w:r>
                    <w:rPr>
                      <w:rFonts w:hint="eastAsia" w:ascii="Times New Roman" w:hAnsi="Times New Roman" w:eastAsia="宋体" w:cs="Times New Roman"/>
                      <w:bCs w:val="0"/>
                      <w:color w:val="000000" w:themeColor="text1"/>
                      <w:kern w:val="0"/>
                      <w:sz w:val="21"/>
                      <w:szCs w:val="21"/>
                      <w:highlight w:val="none"/>
                      <w:u w:val="single" w:color="auto"/>
                      <w:lang w:eastAsia="zh-CN"/>
                      <w14:textFill>
                        <w14:solidFill>
                          <w14:schemeClr w14:val="tx1"/>
                        </w14:solidFill>
                      </w14:textFill>
                    </w:rPr>
                    <w:t>活性氧</w:t>
                  </w:r>
                  <w:r>
                    <w:rPr>
                      <w:rFonts w:hint="eastAsia" w:ascii="Times New Roman" w:hAnsi="Times New Roman" w:eastAsia="宋体" w:cs="Times New Roman"/>
                      <w:bCs w:val="0"/>
                      <w:color w:val="000000" w:themeColor="text1"/>
                      <w:kern w:val="0"/>
                      <w:sz w:val="21"/>
                      <w:szCs w:val="21"/>
                      <w:highlight w:val="none"/>
                      <w:u w:val="single" w:color="auto"/>
                      <w:lang w:val="en-US" w:eastAsia="zh-CN"/>
                      <w14:textFill>
                        <w14:solidFill>
                          <w14:schemeClr w14:val="tx1"/>
                        </w14:solidFill>
                      </w14:textFill>
                    </w:rPr>
                    <w:t>）</w:t>
                  </w:r>
                  <w:r>
                    <w:rPr>
                      <w:rFonts w:hint="eastAsia" w:ascii="Times New Roman" w:hAnsi="Times New Roman" w:eastAsia="宋体" w:cs="Times New Roman"/>
                      <w:bCs w:val="0"/>
                      <w:color w:val="000000" w:themeColor="text1"/>
                      <w:sz w:val="21"/>
                      <w:szCs w:val="21"/>
                      <w:u w:val="single" w:color="auto"/>
                      <w:vertAlign w:val="baseline"/>
                      <w:lang w:val="en-US" w:eastAsia="zh-CN"/>
                      <w14:textFill>
                        <w14:solidFill>
                          <w14:schemeClr w14:val="tx1"/>
                        </w14:solidFill>
                      </w14:textFill>
                    </w:rPr>
                    <w:t>即属于一级处理+消毒工艺。</w:t>
                  </w:r>
                </w:p>
              </w:tc>
              <w:tc>
                <w:tcPr>
                  <w:tcW w:w="656" w:type="dxa"/>
                  <w:tcBorders>
                    <w:tl2br w:val="nil"/>
                    <w:tr2bl w:val="nil"/>
                  </w:tcBorders>
                  <w:vAlign w:val="center"/>
                </w:tcPr>
                <w:p w14:paraId="0009949A">
                  <w:pPr>
                    <w:pStyle w:val="29"/>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pPr>
                  <w:r>
                    <w:rPr>
                      <w:rFonts w:hint="eastAsia" w:ascii="Times New Roman" w:hAnsi="Times New Roman" w:eastAsia="宋体" w:cs="Times New Roman"/>
                      <w:bCs w:val="0"/>
                      <w:color w:val="000000" w:themeColor="text1"/>
                      <w:sz w:val="21"/>
                      <w:szCs w:val="21"/>
                      <w:u w:val="single" w:color="auto"/>
                      <w:vertAlign w:val="baseline"/>
                      <w:lang w:eastAsia="zh-CN"/>
                      <w14:textFill>
                        <w14:solidFill>
                          <w14:schemeClr w14:val="tx1"/>
                        </w14:solidFill>
                      </w14:textFill>
                    </w:rPr>
                    <w:t>符合</w:t>
                  </w:r>
                </w:p>
              </w:tc>
            </w:tr>
          </w:tbl>
          <w:p w14:paraId="78EDC5D5">
            <w:pPr>
              <w:pStyle w:val="29"/>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color w:val="auto"/>
                <w:sz w:val="24"/>
                <w:u w:val="single" w:color="auto"/>
                <w:lang w:val="en-US" w:eastAsia="zh-CN"/>
              </w:rPr>
            </w:pPr>
            <w:r>
              <w:rPr>
                <w:rFonts w:hint="default" w:ascii="Times New Roman" w:hAnsi="Times New Roman" w:cs="Times New Roman"/>
                <w:color w:val="auto"/>
                <w:sz w:val="24"/>
                <w:u w:val="single" w:color="auto"/>
                <w:lang w:val="en-US" w:eastAsia="zh-CN"/>
              </w:rPr>
              <w:t>根据上表分析结果可知：本项目营运期废水处理措施属于</w:t>
            </w:r>
            <w:r>
              <w:rPr>
                <w:rFonts w:hint="default" w:ascii="Times New Roman" w:hAnsi="Times New Roman" w:cs="Times New Roman"/>
                <w:bCs/>
                <w:color w:val="000000" w:themeColor="text1"/>
                <w:sz w:val="24"/>
                <w:u w:val="single" w:color="auto"/>
                <w:lang w:eastAsia="zh-CN"/>
                <w14:textFill>
                  <w14:solidFill>
                    <w14:schemeClr w14:val="tx1"/>
                  </w14:solidFill>
                </w14:textFill>
              </w:rPr>
              <w:t>《排污许可证申请与核发技术规范</w:t>
            </w:r>
            <w:r>
              <w:rPr>
                <w:rFonts w:hint="default" w:ascii="Times New Roman" w:hAnsi="Times New Roman" w:cs="Times New Roman"/>
                <w:bCs/>
                <w:color w:val="000000" w:themeColor="text1"/>
                <w:sz w:val="24"/>
                <w:u w:val="single" w:color="auto"/>
                <w:lang w:val="en-US" w:eastAsia="zh-CN"/>
                <w14:textFill>
                  <w14:solidFill>
                    <w14:schemeClr w14:val="tx1"/>
                  </w14:solidFill>
                </w14:textFill>
              </w:rPr>
              <w:t xml:space="preserve"> </w:t>
            </w:r>
            <w:r>
              <w:rPr>
                <w:rFonts w:hint="default" w:ascii="Times New Roman" w:hAnsi="Times New Roman" w:cs="Times New Roman"/>
                <w:bCs/>
                <w:color w:val="000000" w:themeColor="text1"/>
                <w:sz w:val="24"/>
                <w:u w:val="single" w:color="auto"/>
                <w:lang w:eastAsia="zh-CN"/>
                <w14:textFill>
                  <w14:solidFill>
                    <w14:schemeClr w14:val="tx1"/>
                  </w14:solidFill>
                </w14:textFill>
              </w:rPr>
              <w:t>医疗机构》（HJ1105-2020）</w:t>
            </w:r>
            <w:r>
              <w:rPr>
                <w:rFonts w:hint="default" w:ascii="Times New Roman" w:hAnsi="Times New Roman" w:cs="Times New Roman"/>
                <w:color w:val="000000" w:themeColor="text1"/>
                <w:sz w:val="24"/>
                <w:u w:val="single" w:color="auto"/>
                <w:lang w:eastAsia="zh-CN"/>
                <w14:textFill>
                  <w14:solidFill>
                    <w14:schemeClr w14:val="tx1"/>
                  </w14:solidFill>
                </w14:textFill>
              </w:rPr>
              <w:t>附录</w:t>
            </w:r>
            <w:r>
              <w:rPr>
                <w:rFonts w:hint="default" w:ascii="Times New Roman" w:hAnsi="Times New Roman" w:cs="Times New Roman"/>
                <w:color w:val="000000" w:themeColor="text1"/>
                <w:sz w:val="24"/>
                <w:u w:val="single" w:color="auto"/>
                <w:lang w:val="en-US" w:eastAsia="zh-CN"/>
                <w14:textFill>
                  <w14:solidFill>
                    <w14:schemeClr w14:val="tx1"/>
                  </w14:solidFill>
                </w14:textFill>
              </w:rPr>
              <w:t>A.2医疗机构排污单位污水治理可行技术参照表中可行技术范畴。</w:t>
            </w:r>
            <w:r>
              <w:rPr>
                <w:rFonts w:hint="default" w:ascii="Times New Roman" w:hAnsi="Times New Roman" w:cs="Times New Roman"/>
                <w:color w:val="auto"/>
                <w:sz w:val="24"/>
                <w:u w:val="single" w:color="auto"/>
                <w:lang w:val="en-US" w:eastAsia="zh-CN"/>
              </w:rPr>
              <w:t>同时，</w:t>
            </w:r>
            <w:r>
              <w:rPr>
                <w:rFonts w:hint="default" w:ascii="Times New Roman" w:hAnsi="Times New Roman" w:eastAsia="宋体" w:cs="Times New Roman"/>
                <w:bCs/>
                <w:color w:val="auto"/>
                <w:sz w:val="24"/>
                <w:u w:val="single" w:color="auto"/>
                <w:lang w:val="en-US" w:eastAsia="zh-CN"/>
              </w:rPr>
              <w:t>结合</w:t>
            </w:r>
            <w:r>
              <w:rPr>
                <w:rFonts w:hint="eastAsia" w:ascii="Times New Roman" w:hAnsi="Times New Roman" w:eastAsia="宋体" w:cs="Times New Roman"/>
                <w:bCs/>
                <w:color w:val="auto"/>
                <w:sz w:val="24"/>
                <w:u w:val="single" w:color="auto"/>
                <w:lang w:val="en-US" w:eastAsia="zh-CN"/>
              </w:rPr>
              <w:t>湖南西南检验检测有限公司</w:t>
            </w:r>
            <w:r>
              <w:rPr>
                <w:rFonts w:hint="default" w:ascii="Times New Roman" w:hAnsi="Times New Roman" w:eastAsia="宋体" w:cs="Times New Roman"/>
                <w:bCs/>
                <w:color w:val="auto"/>
                <w:sz w:val="24"/>
                <w:u w:val="single" w:color="auto"/>
              </w:rPr>
              <w:t>于202</w:t>
            </w:r>
            <w:r>
              <w:rPr>
                <w:rFonts w:hint="eastAsia" w:ascii="Times New Roman" w:hAnsi="Times New Roman" w:eastAsia="宋体" w:cs="Times New Roman"/>
                <w:bCs/>
                <w:color w:val="auto"/>
                <w:sz w:val="24"/>
                <w:u w:val="single" w:color="auto"/>
                <w:lang w:val="en-US" w:eastAsia="zh-CN"/>
              </w:rPr>
              <w:t>5</w:t>
            </w:r>
            <w:r>
              <w:rPr>
                <w:rFonts w:hint="default" w:ascii="Times New Roman" w:hAnsi="Times New Roman" w:eastAsia="宋体" w:cs="Times New Roman"/>
                <w:bCs/>
                <w:color w:val="auto"/>
                <w:sz w:val="24"/>
                <w:u w:val="single" w:color="auto"/>
              </w:rPr>
              <w:t>年</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eastAsia="宋体" w:cs="Times New Roman"/>
                <w:bCs/>
                <w:color w:val="auto"/>
                <w:sz w:val="24"/>
                <w:u w:val="single" w:color="auto"/>
              </w:rPr>
              <w:t>月</w:t>
            </w:r>
            <w:r>
              <w:rPr>
                <w:rFonts w:hint="eastAsia" w:ascii="Times New Roman" w:hAnsi="Times New Roman" w:eastAsia="宋体" w:cs="Times New Roman"/>
                <w:bCs/>
                <w:color w:val="auto"/>
                <w:sz w:val="24"/>
                <w:u w:val="single" w:color="auto"/>
                <w:lang w:val="en-US" w:eastAsia="zh-CN"/>
              </w:rPr>
              <w:t>1</w:t>
            </w:r>
            <w:r>
              <w:rPr>
                <w:rFonts w:hint="default" w:ascii="Times New Roman" w:hAnsi="Times New Roman" w:cs="Times New Roman"/>
                <w:bCs/>
                <w:color w:val="auto"/>
                <w:sz w:val="24"/>
                <w:u w:val="single" w:color="auto"/>
              </w:rPr>
              <w:t>日对项目废水总排口进行监测</w:t>
            </w:r>
            <w:r>
              <w:rPr>
                <w:rFonts w:hint="default" w:ascii="Times New Roman" w:hAnsi="Times New Roman" w:cs="Times New Roman"/>
                <w:color w:val="auto"/>
                <w:sz w:val="24"/>
                <w:u w:val="single" w:color="auto"/>
                <w:lang w:val="en-US" w:eastAsia="zh-CN"/>
              </w:rPr>
              <w:t>的结果可知，本项目外排废水水质能</w:t>
            </w:r>
            <w:r>
              <w:rPr>
                <w:rFonts w:hint="eastAsia" w:ascii="Times New Roman" w:hAnsi="Times New Roman" w:cs="Times New Roman"/>
                <w:color w:val="auto"/>
                <w:sz w:val="24"/>
                <w:u w:val="single" w:color="auto"/>
                <w:lang w:val="en-US" w:eastAsia="zh-CN"/>
              </w:rPr>
              <w:t>满足</w:t>
            </w:r>
            <w:r>
              <w:rPr>
                <w:rFonts w:hint="default" w:ascii="Times New Roman" w:hAnsi="Times New Roman"/>
                <w:sz w:val="24"/>
                <w:u w:val="single" w:color="auto"/>
              </w:rPr>
              <w:t>《医疗机构水污染物排放标准》（GB18466-2005）表2</w:t>
            </w:r>
            <w:r>
              <w:rPr>
                <w:rFonts w:hint="eastAsia" w:ascii="Times New Roman" w:hAnsi="Times New Roman"/>
                <w:sz w:val="24"/>
                <w:u w:val="single" w:color="auto"/>
                <w:lang w:eastAsia="zh-CN"/>
              </w:rPr>
              <w:t>综合医疗机构和其他医疗机构水污染物排放限值</w:t>
            </w:r>
            <w:r>
              <w:rPr>
                <w:rFonts w:hint="default" w:ascii="Times New Roman" w:hAnsi="Times New Roman"/>
                <w:sz w:val="24"/>
                <w:u w:val="single" w:color="auto"/>
              </w:rPr>
              <w:t>的预处理标准</w:t>
            </w:r>
            <w:r>
              <w:rPr>
                <w:rFonts w:hint="eastAsia" w:ascii="Times New Roman" w:hAnsi="Times New Roman" w:cs="Times New Roman"/>
                <w:color w:val="auto"/>
                <w:sz w:val="24"/>
                <w:u w:val="single" w:color="auto"/>
                <w:lang w:val="en-US" w:eastAsia="zh-CN"/>
              </w:rPr>
              <w:t>，能实现达标</w:t>
            </w:r>
            <w:r>
              <w:rPr>
                <w:rFonts w:hint="default" w:ascii="Times New Roman" w:hAnsi="Times New Roman" w:cs="Times New Roman"/>
                <w:color w:val="auto"/>
                <w:sz w:val="24"/>
                <w:u w:val="single" w:color="auto"/>
                <w:lang w:val="en-US" w:eastAsia="zh-CN"/>
              </w:rPr>
              <w:t>排放。</w:t>
            </w:r>
          </w:p>
          <w:p w14:paraId="1DD3DC7E">
            <w:pPr>
              <w:pStyle w:val="29"/>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Times New Roman" w:hAnsi="Times New Roman" w:cs="Times New Roman"/>
                <w:b/>
                <w:bCs w:val="0"/>
                <w:color w:val="000000" w:themeColor="text1"/>
                <w:sz w:val="21"/>
                <w:szCs w:val="21"/>
                <w:highlight w:val="none"/>
                <w:u w:val="single" w:color="auto"/>
                <w:lang w:eastAsia="zh-CN"/>
                <w14:textFill>
                  <w14:solidFill>
                    <w14:schemeClr w14:val="tx1"/>
                  </w14:solidFill>
                </w14:textFill>
              </w:rPr>
            </w:pPr>
            <w:r>
              <w:rPr>
                <w:rFonts w:hint="default" w:ascii="Times New Roman" w:hAnsi="Times New Roman"/>
                <w:u w:val="single" w:color="auto"/>
                <w:lang w:val="en-US" w:eastAsia="zh-CN"/>
              </w:rPr>
              <w:t>因此，本项目所采取的废水处理</w:t>
            </w:r>
            <w:r>
              <w:rPr>
                <w:rFonts w:hint="eastAsia" w:ascii="Times New Roman" w:hAnsi="Times New Roman"/>
                <w:u w:val="single" w:color="auto"/>
                <w:lang w:val="en-US" w:eastAsia="zh-CN"/>
              </w:rPr>
              <w:t>措施</w:t>
            </w:r>
            <w:r>
              <w:rPr>
                <w:rFonts w:hint="default" w:ascii="Times New Roman" w:hAnsi="Times New Roman"/>
                <w:u w:val="single" w:color="auto"/>
                <w:lang w:val="en-US" w:eastAsia="zh-CN"/>
              </w:rPr>
              <w:t>可行</w:t>
            </w:r>
            <w:r>
              <w:rPr>
                <w:rFonts w:hint="default" w:ascii="Times New Roman" w:hAnsi="Times New Roman" w:cs="Times New Roman"/>
                <w:color w:val="auto"/>
                <w:u w:val="single" w:color="auto"/>
                <w:lang w:val="en-US" w:eastAsia="zh-CN"/>
              </w:rPr>
              <w:t>。</w:t>
            </w:r>
          </w:p>
          <w:p w14:paraId="74D9D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eastAsia"/>
                <w:sz w:val="24"/>
                <w:szCs w:val="24"/>
                <w:u w:val="single" w:color="auto"/>
                <w:lang w:val="en-US" w:eastAsia="zh-CN"/>
              </w:rPr>
              <w:t>3、</w:t>
            </w:r>
            <w:r>
              <w:rPr>
                <w:rFonts w:hint="eastAsia"/>
                <w:sz w:val="24"/>
                <w:szCs w:val="24"/>
                <w:u w:val="single" w:color="auto"/>
                <w:lang w:eastAsia="zh-CN"/>
              </w:rPr>
              <w:t>废水排入</w:t>
            </w:r>
            <w:r>
              <w:rPr>
                <w:rFonts w:hint="eastAsia"/>
                <w:sz w:val="24"/>
                <w:szCs w:val="24"/>
                <w:u w:val="single" w:color="auto"/>
                <w:lang w:val="en-US" w:eastAsia="zh-CN"/>
              </w:rPr>
              <w:t>新田县三井镇污水处理厂</w:t>
            </w:r>
            <w:r>
              <w:rPr>
                <w:rFonts w:hint="eastAsia"/>
                <w:sz w:val="24"/>
                <w:szCs w:val="24"/>
                <w:u w:val="single" w:color="auto"/>
                <w:lang w:eastAsia="zh-CN"/>
              </w:rPr>
              <w:t>可行性分析</w:t>
            </w:r>
          </w:p>
          <w:p w14:paraId="0C3F3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新田县</w:t>
            </w:r>
            <w:r>
              <w:rPr>
                <w:rFonts w:hint="eastAsia"/>
                <w:sz w:val="24"/>
                <w:szCs w:val="24"/>
                <w:u w:val="single" w:color="auto"/>
                <w:lang w:val="en-US" w:eastAsia="zh-CN"/>
              </w:rPr>
              <w:t>三井镇</w:t>
            </w:r>
            <w:r>
              <w:rPr>
                <w:rFonts w:hint="default"/>
                <w:sz w:val="24"/>
                <w:szCs w:val="24"/>
                <w:u w:val="single" w:color="auto"/>
              </w:rPr>
              <w:t>厂</w:t>
            </w:r>
            <w:r>
              <w:rPr>
                <w:rFonts w:hint="default" w:ascii="Times New Roman" w:hAnsi="Times New Roman" w:cs="Times New Roman"/>
                <w:color w:val="auto"/>
                <w:sz w:val="24"/>
                <w:u w:val="single" w:color="auto"/>
                <w:lang w:val="en-US" w:eastAsia="zh-CN"/>
              </w:rPr>
              <w:t>污水处理厂</w:t>
            </w:r>
            <w:r>
              <w:rPr>
                <w:rFonts w:hint="eastAsia" w:ascii="Times New Roman" w:hAnsi="Times New Roman" w:cs="Times New Roman"/>
                <w:color w:val="auto"/>
                <w:sz w:val="24"/>
                <w:u w:val="single" w:color="auto"/>
                <w:lang w:val="en-US" w:eastAsia="zh-CN"/>
              </w:rPr>
              <w:t>位于三井镇镇区，</w:t>
            </w:r>
            <w:r>
              <w:rPr>
                <w:rFonts w:hint="default" w:ascii="Times New Roman" w:hAnsi="Times New Roman" w:cs="Times New Roman"/>
                <w:color w:val="auto"/>
                <w:sz w:val="24"/>
                <w:u w:val="single" w:color="auto"/>
                <w:lang w:val="en-US" w:eastAsia="zh-CN"/>
              </w:rPr>
              <w:t>总占</w:t>
            </w:r>
            <w:r>
              <w:rPr>
                <w:rFonts w:hint="default" w:ascii="Times New Roman" w:hAnsi="Times New Roman" w:cs="Times New Roman"/>
                <w:color w:val="auto"/>
                <w:sz w:val="24"/>
                <w:szCs w:val="24"/>
                <w:u w:val="single" w:color="auto"/>
                <w:lang w:val="en-US" w:eastAsia="zh-CN"/>
              </w:rPr>
              <w:t>地面积</w:t>
            </w:r>
            <w:r>
              <w:rPr>
                <w:rFonts w:hint="default" w:ascii="Times New Roman" w:hAnsi="Times New Roman" w:eastAsia="宋体" w:cs="Times New Roman"/>
                <w:color w:val="auto"/>
                <w:sz w:val="24"/>
                <w:u w:val="single" w:color="auto"/>
                <w:lang w:val="en-US" w:eastAsia="zh-CN"/>
              </w:rPr>
              <w:t>1173</w:t>
            </w:r>
            <w:r>
              <w:rPr>
                <w:rFonts w:hint="default" w:ascii="Times New Roman" w:hAnsi="Times New Roman" w:cs="Times New Roman"/>
                <w:color w:val="auto"/>
                <w:sz w:val="24"/>
                <w:szCs w:val="24"/>
                <w:u w:val="single" w:color="auto"/>
              </w:rPr>
              <w:t>m</w:t>
            </w:r>
            <w:r>
              <w:rPr>
                <w:rFonts w:hint="default" w:ascii="Times New Roman" w:hAnsi="Times New Roman" w:cs="Times New Roman"/>
                <w:color w:val="auto"/>
                <w:sz w:val="24"/>
                <w:szCs w:val="24"/>
                <w:u w:val="single" w:color="auto"/>
                <w:vertAlign w:val="superscript"/>
              </w:rPr>
              <w:t>2</w:t>
            </w:r>
            <w:r>
              <w:rPr>
                <w:rFonts w:hint="default" w:ascii="Times New Roman" w:hAnsi="Times New Roman" w:cs="Times New Roman"/>
                <w:color w:val="auto"/>
                <w:sz w:val="24"/>
                <w:szCs w:val="24"/>
                <w:u w:val="single" w:color="auto"/>
                <w:lang w:val="en-US" w:eastAsia="zh-CN"/>
              </w:rPr>
              <w:t>，总建筑面积93.25</w:t>
            </w:r>
            <w:r>
              <w:rPr>
                <w:rFonts w:hint="default" w:ascii="Times New Roman" w:hAnsi="Times New Roman" w:cs="Times New Roman"/>
                <w:color w:val="auto"/>
                <w:sz w:val="24"/>
                <w:szCs w:val="24"/>
                <w:u w:val="single" w:color="auto"/>
              </w:rPr>
              <w:t>m</w:t>
            </w:r>
            <w:r>
              <w:rPr>
                <w:rFonts w:hint="default" w:ascii="Times New Roman" w:hAnsi="Times New Roman" w:cs="Times New Roman"/>
                <w:color w:val="auto"/>
                <w:sz w:val="24"/>
                <w:szCs w:val="24"/>
                <w:u w:val="single" w:color="auto"/>
                <w:vertAlign w:val="superscript"/>
              </w:rPr>
              <w:t>2</w:t>
            </w:r>
            <w:r>
              <w:rPr>
                <w:rFonts w:hint="default" w:ascii="Times New Roman" w:hAnsi="Times New Roman" w:cs="Times New Roman"/>
                <w:color w:val="auto"/>
                <w:sz w:val="24"/>
                <w:szCs w:val="24"/>
                <w:u w:val="single" w:color="auto"/>
                <w:lang w:eastAsia="zh-CN"/>
              </w:rPr>
              <w:t>，</w:t>
            </w:r>
            <w:r>
              <w:rPr>
                <w:rFonts w:hint="default" w:ascii="Times New Roman" w:hAnsi="Times New Roman" w:cs="Times New Roman"/>
                <w:color w:val="auto"/>
                <w:sz w:val="24"/>
                <w:szCs w:val="24"/>
                <w:u w:val="single" w:color="auto"/>
                <w:lang w:val="en-US" w:eastAsia="zh-CN"/>
              </w:rPr>
              <w:t>新建</w:t>
            </w:r>
            <w:r>
              <w:rPr>
                <w:rFonts w:hint="default" w:ascii="Times New Roman" w:hAnsi="Times New Roman" w:cs="Times New Roman"/>
                <w:color w:val="auto"/>
                <w:sz w:val="24"/>
                <w:szCs w:val="24"/>
                <w:u w:val="single" w:color="auto"/>
              </w:rPr>
              <w:t>格栅</w:t>
            </w:r>
            <w:r>
              <w:rPr>
                <w:rFonts w:hint="default" w:ascii="Times New Roman" w:hAnsi="Times New Roman" w:cs="Times New Roman"/>
                <w:color w:val="auto"/>
                <w:sz w:val="24"/>
                <w:szCs w:val="24"/>
                <w:u w:val="single" w:color="auto"/>
                <w:lang w:val="en-US" w:eastAsia="zh-CN"/>
              </w:rPr>
              <w:t>及调节池</w:t>
            </w:r>
            <w:r>
              <w:rPr>
                <w:rFonts w:hint="default" w:ascii="Times New Roman" w:hAnsi="Times New Roman" w:cs="Times New Roman"/>
                <w:bCs/>
                <w:color w:val="auto"/>
                <w:sz w:val="24"/>
                <w:szCs w:val="24"/>
                <w:u w:val="single" w:color="auto"/>
                <w:lang w:val="en-US" w:eastAsia="zh-CN"/>
              </w:rPr>
              <w:t>、一体化污水处理装置、混凝沉淀过滤消毒一体设备、污泥池、辅助用房等工程</w:t>
            </w:r>
            <w:r>
              <w:rPr>
                <w:rFonts w:hint="default"/>
                <w:sz w:val="24"/>
                <w:szCs w:val="24"/>
                <w:u w:val="single" w:color="auto"/>
              </w:rPr>
              <w:t>。目前，新田县</w:t>
            </w:r>
            <w:r>
              <w:rPr>
                <w:rFonts w:hint="eastAsia"/>
                <w:sz w:val="24"/>
                <w:szCs w:val="24"/>
                <w:u w:val="single" w:color="auto"/>
                <w:lang w:val="en-US" w:eastAsia="zh-CN"/>
              </w:rPr>
              <w:t>三井镇</w:t>
            </w:r>
            <w:r>
              <w:rPr>
                <w:rFonts w:hint="default"/>
                <w:sz w:val="24"/>
                <w:szCs w:val="24"/>
                <w:u w:val="single" w:color="auto"/>
              </w:rPr>
              <w:t>污水处理厂处理能力为</w:t>
            </w:r>
            <w:r>
              <w:rPr>
                <w:rFonts w:hint="eastAsia"/>
                <w:sz w:val="24"/>
                <w:szCs w:val="24"/>
                <w:u w:val="single" w:color="auto"/>
                <w:lang w:val="en-US" w:eastAsia="zh-CN"/>
              </w:rPr>
              <w:t>250</w:t>
            </w:r>
            <w:r>
              <w:rPr>
                <w:rFonts w:hint="default"/>
                <w:sz w:val="24"/>
                <w:szCs w:val="24"/>
                <w:u w:val="single" w:color="auto"/>
              </w:rPr>
              <w:t>t/d，处理的废水能达到《城镇污水处理厂污染物排放标准》（GB18918-2002）中的一级</w:t>
            </w:r>
            <w:r>
              <w:rPr>
                <w:rFonts w:hint="eastAsia"/>
                <w:sz w:val="24"/>
                <w:szCs w:val="24"/>
                <w:u w:val="single" w:color="auto"/>
                <w:lang w:val="en-US" w:eastAsia="zh-CN"/>
              </w:rPr>
              <w:t>B</w:t>
            </w:r>
            <w:r>
              <w:rPr>
                <w:rFonts w:hint="default"/>
                <w:sz w:val="24"/>
                <w:szCs w:val="24"/>
                <w:u w:val="single" w:color="auto"/>
              </w:rPr>
              <w:t>标准后排入</w:t>
            </w:r>
            <w:r>
              <w:rPr>
                <w:rFonts w:hint="eastAsia"/>
                <w:sz w:val="24"/>
                <w:szCs w:val="24"/>
                <w:u w:val="single" w:color="auto"/>
                <w:lang w:val="en-US" w:eastAsia="zh-CN"/>
              </w:rPr>
              <w:t>无名小溪进入新田河支流油麻岭河</w:t>
            </w:r>
            <w:r>
              <w:rPr>
                <w:rFonts w:hint="default"/>
                <w:sz w:val="24"/>
                <w:szCs w:val="24"/>
                <w:u w:val="single" w:color="auto"/>
              </w:rPr>
              <w:t>。</w:t>
            </w:r>
          </w:p>
          <w:p w14:paraId="5A2A32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w:t>
            </w:r>
            <w:r>
              <w:rPr>
                <w:rFonts w:hint="default"/>
                <w:sz w:val="24"/>
                <w:szCs w:val="24"/>
                <w:u w:val="single" w:color="auto"/>
              </w:rPr>
              <w:t>量为</w:t>
            </w:r>
            <w:r>
              <w:rPr>
                <w:rFonts w:hint="eastAsia" w:cs="Times New Roman"/>
                <w:color w:val="auto"/>
                <w:sz w:val="24"/>
                <w:szCs w:val="24"/>
                <w:u w:val="single" w:color="auto"/>
                <w:vertAlign w:val="baseline"/>
                <w:lang w:val="en-US" w:eastAsia="zh-CN"/>
              </w:rPr>
              <w:t>14.568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（5317.32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sz w:val="24"/>
                <w:szCs w:val="24"/>
                <w:u w:val="single" w:color="auto"/>
              </w:rPr>
              <w:t>，新田县</w:t>
            </w:r>
            <w:r>
              <w:rPr>
                <w:rFonts w:hint="eastAsia"/>
                <w:sz w:val="24"/>
                <w:szCs w:val="24"/>
                <w:u w:val="single" w:color="auto"/>
                <w:lang w:val="en-US" w:eastAsia="zh-CN"/>
              </w:rPr>
              <w:t>三井镇</w:t>
            </w:r>
            <w:r>
              <w:rPr>
                <w:rFonts w:hint="default"/>
                <w:sz w:val="24"/>
                <w:szCs w:val="24"/>
                <w:u w:val="single" w:color="auto"/>
              </w:rPr>
              <w:t>污水处理厂处理能力为2</w:t>
            </w:r>
            <w:r>
              <w:rPr>
                <w:rFonts w:hint="eastAsia"/>
                <w:sz w:val="24"/>
                <w:szCs w:val="24"/>
                <w:u w:val="single" w:color="auto"/>
                <w:lang w:val="en-US" w:eastAsia="zh-CN"/>
              </w:rPr>
              <w:t>50</w:t>
            </w:r>
            <w:r>
              <w:rPr>
                <w:rFonts w:hint="default"/>
                <w:sz w:val="24"/>
                <w:szCs w:val="24"/>
                <w:u w:val="single" w:color="auto"/>
              </w:rPr>
              <w:t>t/d。本项目废水量占该污水处理厂处理量的占比很小，能满足水量的接纳要求。</w:t>
            </w:r>
          </w:p>
          <w:p w14:paraId="78D71F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项目所在区域已铺设</w:t>
            </w:r>
            <w:r>
              <w:rPr>
                <w:rFonts w:hint="eastAsia"/>
                <w:sz w:val="24"/>
                <w:szCs w:val="24"/>
                <w:u w:val="single" w:color="auto"/>
                <w:lang w:val="en-US" w:eastAsia="zh-CN"/>
              </w:rPr>
              <w:t>城镇</w:t>
            </w:r>
            <w:r>
              <w:rPr>
                <w:rFonts w:hint="default"/>
                <w:sz w:val="24"/>
                <w:szCs w:val="24"/>
                <w:u w:val="single" w:color="auto"/>
              </w:rPr>
              <w:t>污水管网，项目产生的</w:t>
            </w:r>
            <w:r>
              <w:rPr>
                <w:rFonts w:hint="eastAsia"/>
                <w:sz w:val="24"/>
                <w:szCs w:val="24"/>
                <w:u w:val="single" w:color="auto"/>
                <w:lang w:val="en-US" w:eastAsia="zh-CN"/>
              </w:rPr>
              <w:t>废水</w:t>
            </w:r>
            <w:r>
              <w:rPr>
                <w:rFonts w:hint="default"/>
                <w:sz w:val="24"/>
                <w:szCs w:val="24"/>
                <w:u w:val="single" w:color="auto"/>
              </w:rPr>
              <w:t>经预处理后可就近排入</w:t>
            </w:r>
            <w:r>
              <w:rPr>
                <w:rFonts w:hint="eastAsia"/>
                <w:sz w:val="24"/>
                <w:szCs w:val="24"/>
                <w:u w:val="single" w:color="auto"/>
                <w:lang w:val="en-US" w:eastAsia="zh-CN"/>
              </w:rPr>
              <w:t>城镇</w:t>
            </w:r>
            <w:r>
              <w:rPr>
                <w:rFonts w:hint="default"/>
                <w:sz w:val="24"/>
                <w:szCs w:val="24"/>
                <w:u w:val="single" w:color="auto"/>
              </w:rPr>
              <w:t>污水管网。</w:t>
            </w:r>
          </w:p>
          <w:p w14:paraId="0F834C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项目</w:t>
            </w:r>
            <w:r>
              <w:rPr>
                <w:rFonts w:hint="eastAsia"/>
                <w:sz w:val="24"/>
                <w:szCs w:val="24"/>
                <w:u w:val="single" w:color="auto"/>
                <w:lang w:val="en-US" w:eastAsia="zh-CN"/>
              </w:rPr>
              <w:t>废水经自建污水处理站</w:t>
            </w:r>
            <w:r>
              <w:rPr>
                <w:rFonts w:hint="default"/>
                <w:sz w:val="24"/>
                <w:szCs w:val="24"/>
                <w:u w:val="single" w:color="auto"/>
              </w:rPr>
              <w:t>预处理后，其水质可满足污水处理厂纳管标准。</w:t>
            </w:r>
          </w:p>
          <w:p w14:paraId="1CFAA6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u w:val="single" w:color="auto"/>
              </w:rPr>
            </w:pPr>
            <w:r>
              <w:rPr>
                <w:rFonts w:hint="default"/>
                <w:sz w:val="24"/>
                <w:szCs w:val="24"/>
                <w:u w:val="single" w:color="auto"/>
              </w:rPr>
              <w:t>综上分析可知，该项目位于新田县</w:t>
            </w:r>
            <w:r>
              <w:rPr>
                <w:rFonts w:hint="eastAsia"/>
                <w:sz w:val="24"/>
                <w:szCs w:val="24"/>
                <w:u w:val="single" w:color="auto"/>
                <w:lang w:val="en-US" w:eastAsia="zh-CN"/>
              </w:rPr>
              <w:t>三井镇</w:t>
            </w:r>
            <w:r>
              <w:rPr>
                <w:rFonts w:hint="default"/>
                <w:sz w:val="24"/>
                <w:szCs w:val="24"/>
                <w:u w:val="single" w:color="auto"/>
              </w:rPr>
              <w:t>污水处理厂的纳污范围内，</w:t>
            </w:r>
            <w:r>
              <w:rPr>
                <w:rFonts w:hint="eastAsia"/>
                <w:sz w:val="24"/>
                <w:szCs w:val="24"/>
                <w:u w:val="single" w:color="auto"/>
                <w:lang w:val="en-US" w:eastAsia="zh-CN"/>
              </w:rPr>
              <w:t>废水</w:t>
            </w:r>
            <w:r>
              <w:rPr>
                <w:rFonts w:hint="default"/>
                <w:sz w:val="24"/>
                <w:szCs w:val="24"/>
                <w:u w:val="single" w:color="auto"/>
              </w:rPr>
              <w:t>量很小，完全能满足该污水处理厂富余处理能力的接纳要求；经新田县</w:t>
            </w:r>
            <w:r>
              <w:rPr>
                <w:rFonts w:hint="eastAsia"/>
                <w:sz w:val="24"/>
                <w:szCs w:val="24"/>
                <w:u w:val="single" w:color="auto"/>
                <w:lang w:val="en-US" w:eastAsia="zh-CN"/>
              </w:rPr>
              <w:t>三井镇</w:t>
            </w:r>
            <w:r>
              <w:rPr>
                <w:rFonts w:hint="default"/>
                <w:sz w:val="24"/>
                <w:szCs w:val="24"/>
                <w:u w:val="single" w:color="auto"/>
              </w:rPr>
              <w:t>污水处理厂深度处理后达标排放，对地表水环境影响很小。</w:t>
            </w:r>
          </w:p>
          <w:p w14:paraId="07EB3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u w:val="single" w:color="auto"/>
              </w:rPr>
            </w:pPr>
            <w:r>
              <w:rPr>
                <w:rFonts w:hint="default"/>
                <w:sz w:val="24"/>
                <w:szCs w:val="24"/>
                <w:u w:val="single" w:color="auto"/>
                <w:lang w:val="en-US" w:eastAsia="zh-CN"/>
              </w:rPr>
              <w:t>综上所述，项目水污染控制和水环境影响减缓措施有效，项目废水进入</w:t>
            </w:r>
            <w:r>
              <w:rPr>
                <w:rFonts w:hint="eastAsia"/>
                <w:sz w:val="24"/>
                <w:szCs w:val="24"/>
                <w:u w:val="single" w:color="auto"/>
                <w:lang w:val="en-US" w:eastAsia="zh-CN"/>
              </w:rPr>
              <w:t>新田县</w:t>
            </w:r>
            <w:r>
              <w:rPr>
                <w:rFonts w:hint="eastAsia"/>
                <w:color w:val="000000" w:themeColor="text1"/>
                <w:sz w:val="24"/>
                <w:szCs w:val="24"/>
                <w:u w:val="single" w:color="auto"/>
                <w:lang w:val="en-US" w:eastAsia="zh-CN"/>
                <w14:textFill>
                  <w14:solidFill>
                    <w14:schemeClr w14:val="tx1"/>
                  </w14:solidFill>
                </w14:textFill>
              </w:rPr>
              <w:t>污水处理厂</w:t>
            </w:r>
            <w:r>
              <w:rPr>
                <w:rFonts w:hint="default"/>
                <w:sz w:val="24"/>
                <w:szCs w:val="24"/>
                <w:u w:val="single" w:color="auto"/>
                <w:lang w:val="en-US" w:eastAsia="zh-CN"/>
              </w:rPr>
              <w:t>深度处理措施可行。</w:t>
            </w:r>
          </w:p>
          <w:p w14:paraId="01DCC71C">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4、</w:t>
            </w:r>
            <w:r>
              <w:rPr>
                <w:rFonts w:hint="default" w:ascii="Times New Roman" w:hAnsi="Times New Roman" w:cs="Times New Roman"/>
                <w:color w:val="000000" w:themeColor="text1"/>
                <w:kern w:val="0"/>
                <w:sz w:val="24"/>
                <w:szCs w:val="20"/>
                <w14:textFill>
                  <w14:solidFill>
                    <w14:schemeClr w14:val="tx1"/>
                  </w14:solidFill>
                </w14:textFill>
              </w:rPr>
              <w:t>本项目废水污染物排放信息表</w:t>
            </w:r>
          </w:p>
          <w:p w14:paraId="77AE18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val="0"/>
                <w:color w:val="auto"/>
                <w:sz w:val="24"/>
                <w:u w:val="none" w:color="auto"/>
                <w:lang w:val="en-US" w:eastAsia="zh-CN"/>
              </w:rPr>
            </w:pPr>
            <w:r>
              <w:rPr>
                <w:rFonts w:hint="default" w:ascii="Times New Roman" w:hAnsi="Times New Roman" w:cs="Times New Roman"/>
                <w:b w:val="0"/>
                <w:bCs w:val="0"/>
                <w:color w:val="auto"/>
                <w:sz w:val="24"/>
                <w:u w:val="none" w:color="auto"/>
                <w:lang w:val="en-US" w:eastAsia="zh-CN"/>
              </w:rPr>
              <w:t>本项目废水排口基本情况详见下表。</w:t>
            </w:r>
          </w:p>
          <w:p w14:paraId="62AD99DE">
            <w:pPr>
              <w:spacing w:line="240" w:lineRule="auto"/>
              <w:ind w:firstLine="422" w:firstLineChars="200"/>
              <w:jc w:val="center"/>
              <w:rPr>
                <w:rFonts w:hint="default"/>
                <w:color w:val="FF0000"/>
                <w:lang w:val="en-US" w:eastAsia="zh-CN"/>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5</w:t>
            </w:r>
            <w:r>
              <w:rPr>
                <w:rFonts w:hint="default"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废水类别、污染物及污染治理设施信息</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6"/>
              <w:gridCol w:w="1019"/>
              <w:gridCol w:w="426"/>
              <w:gridCol w:w="462"/>
              <w:gridCol w:w="858"/>
              <w:gridCol w:w="725"/>
              <w:gridCol w:w="780"/>
              <w:gridCol w:w="882"/>
              <w:gridCol w:w="727"/>
              <w:gridCol w:w="1048"/>
            </w:tblGrid>
            <w:tr w14:paraId="06742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273" w:type="pct"/>
                  <w:vMerge w:val="restart"/>
                  <w:tcBorders>
                    <w:tl2br w:val="nil"/>
                    <w:tr2bl w:val="nil"/>
                  </w:tcBorders>
                  <w:vAlign w:val="center"/>
                </w:tcPr>
                <w:p w14:paraId="09187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序号</w:t>
                  </w:r>
                </w:p>
              </w:tc>
              <w:tc>
                <w:tcPr>
                  <w:tcW w:w="273" w:type="pct"/>
                  <w:vMerge w:val="restart"/>
                  <w:tcBorders>
                    <w:tl2br w:val="nil"/>
                    <w:tr2bl w:val="nil"/>
                  </w:tcBorders>
                  <w:vAlign w:val="center"/>
                </w:tcPr>
                <w:p w14:paraId="6A21AA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废水类别a</w:t>
                  </w:r>
                </w:p>
              </w:tc>
              <w:tc>
                <w:tcPr>
                  <w:tcW w:w="654" w:type="pct"/>
                  <w:vMerge w:val="restart"/>
                  <w:tcBorders>
                    <w:tl2br w:val="nil"/>
                    <w:tr2bl w:val="nil"/>
                  </w:tcBorders>
                  <w:vAlign w:val="center"/>
                </w:tcPr>
                <w:p w14:paraId="37A21B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污染物种类b</w:t>
                  </w:r>
                </w:p>
              </w:tc>
              <w:tc>
                <w:tcPr>
                  <w:tcW w:w="273" w:type="pct"/>
                  <w:vMerge w:val="restart"/>
                  <w:tcBorders>
                    <w:tl2br w:val="nil"/>
                    <w:tr2bl w:val="nil"/>
                  </w:tcBorders>
                  <w:vAlign w:val="center"/>
                </w:tcPr>
                <w:p w14:paraId="1320C7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排放去向c</w:t>
                  </w:r>
                </w:p>
              </w:tc>
              <w:tc>
                <w:tcPr>
                  <w:tcW w:w="297" w:type="pct"/>
                  <w:vMerge w:val="restart"/>
                  <w:tcBorders>
                    <w:tl2br w:val="nil"/>
                    <w:tr2bl w:val="nil"/>
                  </w:tcBorders>
                  <w:vAlign w:val="center"/>
                </w:tcPr>
                <w:p w14:paraId="388A51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排放规律d</w:t>
                  </w:r>
                </w:p>
              </w:tc>
              <w:tc>
                <w:tcPr>
                  <w:tcW w:w="1518" w:type="pct"/>
                  <w:gridSpan w:val="3"/>
                  <w:tcBorders>
                    <w:tl2br w:val="nil"/>
                    <w:tr2bl w:val="nil"/>
                  </w:tcBorders>
                  <w:vAlign w:val="center"/>
                </w:tcPr>
                <w:p w14:paraId="082FC6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w:t>
                  </w:r>
                </w:p>
              </w:tc>
              <w:tc>
                <w:tcPr>
                  <w:tcW w:w="566" w:type="pct"/>
                  <w:vMerge w:val="restart"/>
                  <w:tcBorders>
                    <w:tl2br w:val="nil"/>
                    <w:tr2bl w:val="nil"/>
                  </w:tcBorders>
                  <w:vAlign w:val="center"/>
                </w:tcPr>
                <w:p w14:paraId="5C3786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highlight w:val="yellow"/>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排放口编号f</w:t>
                  </w:r>
                </w:p>
              </w:tc>
              <w:tc>
                <w:tcPr>
                  <w:tcW w:w="467" w:type="pct"/>
                  <w:vMerge w:val="restart"/>
                  <w:tcBorders>
                    <w:tl2br w:val="nil"/>
                    <w:tr2bl w:val="nil"/>
                  </w:tcBorders>
                  <w:vAlign w:val="center"/>
                </w:tcPr>
                <w:p w14:paraId="0E83E0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排放口设置是否符合要求g</w:t>
                  </w:r>
                </w:p>
              </w:tc>
              <w:tc>
                <w:tcPr>
                  <w:tcW w:w="673" w:type="pct"/>
                  <w:vMerge w:val="restart"/>
                  <w:tcBorders>
                    <w:tl2br w:val="nil"/>
                    <w:tr2bl w:val="nil"/>
                  </w:tcBorders>
                  <w:vAlign w:val="center"/>
                </w:tcPr>
                <w:p w14:paraId="5A8E3C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排放口类型</w:t>
                  </w:r>
                </w:p>
              </w:tc>
            </w:tr>
            <w:tr w14:paraId="45943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vMerge w:val="continue"/>
                  <w:tcBorders>
                    <w:tl2br w:val="nil"/>
                    <w:tr2bl w:val="nil"/>
                  </w:tcBorders>
                  <w:vAlign w:val="center"/>
                </w:tcPr>
                <w:p w14:paraId="2C81C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14:paraId="5986C4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654" w:type="pct"/>
                  <w:vMerge w:val="continue"/>
                  <w:tcBorders>
                    <w:tl2br w:val="nil"/>
                    <w:tr2bl w:val="nil"/>
                  </w:tcBorders>
                  <w:vAlign w:val="center"/>
                </w:tcPr>
                <w:p w14:paraId="3EC27B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73" w:type="pct"/>
                  <w:vMerge w:val="continue"/>
                  <w:tcBorders>
                    <w:tl2br w:val="nil"/>
                    <w:tr2bl w:val="nil"/>
                  </w:tcBorders>
                  <w:vAlign w:val="center"/>
                </w:tcPr>
                <w:p w14:paraId="677467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297" w:type="pct"/>
                  <w:vMerge w:val="continue"/>
                  <w:tcBorders>
                    <w:tl2br w:val="nil"/>
                    <w:tr2bl w:val="nil"/>
                  </w:tcBorders>
                  <w:vAlign w:val="center"/>
                </w:tcPr>
                <w:p w14:paraId="3396D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p>
              </w:tc>
              <w:tc>
                <w:tcPr>
                  <w:tcW w:w="551" w:type="pct"/>
                  <w:tcBorders>
                    <w:tl2br w:val="nil"/>
                    <w:tr2bl w:val="nil"/>
                  </w:tcBorders>
                  <w:vAlign w:val="center"/>
                </w:tcPr>
                <w:p w14:paraId="6B0FA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污染治理设施编号</w:t>
                  </w:r>
                </w:p>
              </w:tc>
              <w:tc>
                <w:tcPr>
                  <w:tcW w:w="466" w:type="pct"/>
                  <w:tcBorders>
                    <w:tl2br w:val="nil"/>
                    <w:tr2bl w:val="nil"/>
                  </w:tcBorders>
                  <w:vAlign w:val="center"/>
                </w:tcPr>
                <w:p w14:paraId="4B2F7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污染治理设施名称e</w:t>
                  </w:r>
                </w:p>
              </w:tc>
              <w:tc>
                <w:tcPr>
                  <w:tcW w:w="500" w:type="pct"/>
                  <w:tcBorders>
                    <w:tl2br w:val="nil"/>
                    <w:tr2bl w:val="nil"/>
                  </w:tcBorders>
                  <w:vAlign w:val="center"/>
                </w:tcPr>
                <w:p w14:paraId="1E77E4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b w:val="0"/>
                      <w:bCs w:val="0"/>
                      <w:snapToGrid w:val="0"/>
                      <w:color w:val="000000" w:themeColor="text1"/>
                      <w:kern w:val="0"/>
                      <w:sz w:val="21"/>
                      <w:szCs w:val="21"/>
                      <w14:textFill>
                        <w14:solidFill>
                          <w14:schemeClr w14:val="tx1"/>
                        </w14:solidFill>
                      </w14:textFill>
                    </w:rPr>
                    <w:t>污染治理设施工艺</w:t>
                  </w:r>
                </w:p>
              </w:tc>
              <w:tc>
                <w:tcPr>
                  <w:tcW w:w="566" w:type="pct"/>
                  <w:vMerge w:val="continue"/>
                  <w:tcBorders>
                    <w:tl2br w:val="nil"/>
                    <w:tr2bl w:val="nil"/>
                  </w:tcBorders>
                  <w:vAlign w:val="center"/>
                </w:tcPr>
                <w:p w14:paraId="472C0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467" w:type="pct"/>
                  <w:vMerge w:val="continue"/>
                  <w:tcBorders>
                    <w:tl2br w:val="nil"/>
                    <w:tr2bl w:val="nil"/>
                  </w:tcBorders>
                  <w:vAlign w:val="center"/>
                </w:tcPr>
                <w:p w14:paraId="68F842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c>
                <w:tcPr>
                  <w:tcW w:w="673" w:type="pct"/>
                  <w:vMerge w:val="continue"/>
                  <w:tcBorders>
                    <w:tl2br w:val="nil"/>
                    <w:tr2bl w:val="nil"/>
                  </w:tcBorders>
                  <w:vAlign w:val="center"/>
                </w:tcPr>
                <w:p w14:paraId="0871BD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p>
              </w:tc>
            </w:tr>
            <w:tr w14:paraId="1509D8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3" w:type="pct"/>
                  <w:tcBorders>
                    <w:tl2br w:val="nil"/>
                    <w:tr2bl w:val="nil"/>
                  </w:tcBorders>
                  <w:vAlign w:val="center"/>
                </w:tcPr>
                <w:p w14:paraId="0FB2CE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1</w:t>
                  </w:r>
                </w:p>
              </w:tc>
              <w:tc>
                <w:tcPr>
                  <w:tcW w:w="273" w:type="pct"/>
                  <w:tcBorders>
                    <w:tl2br w:val="nil"/>
                    <w:tr2bl w:val="nil"/>
                  </w:tcBorders>
                  <w:vAlign w:val="center"/>
                </w:tcPr>
                <w:p w14:paraId="464DB8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废水</w:t>
                  </w:r>
                </w:p>
              </w:tc>
              <w:tc>
                <w:tcPr>
                  <w:tcW w:w="654" w:type="pct"/>
                  <w:tcBorders>
                    <w:tl2br w:val="nil"/>
                    <w:tr2bl w:val="nil"/>
                  </w:tcBorders>
                  <w:vAlign w:val="center"/>
                </w:tcPr>
                <w:p w14:paraId="5C8886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pH、BOD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5</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、COD</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cr</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、SS、NH</w:t>
                  </w:r>
                  <w:r>
                    <w:rPr>
                      <w:rFonts w:hint="default" w:ascii="Times New Roman" w:hAnsi="Times New Roman" w:eastAsia="宋体" w:cs="Times New Roman"/>
                      <w:snapToGrid w:val="0"/>
                      <w:color w:val="000000" w:themeColor="text1"/>
                      <w:kern w:val="0"/>
                      <w:sz w:val="21"/>
                      <w:szCs w:val="21"/>
                      <w:vertAlign w:val="subscript"/>
                      <w14:textFill>
                        <w14:solidFill>
                          <w14:schemeClr w14:val="tx1"/>
                        </w14:solidFill>
                      </w14:textFill>
                    </w:rPr>
                    <w:t>3</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-N、粪大肠杆菌</w:t>
                  </w:r>
                  <w:r>
                    <w:rPr>
                      <w:rFonts w:hint="eastAsia" w:ascii="Times New Roman" w:hAnsi="Times New Roman" w:eastAsia="宋体" w:cs="Times New Roman"/>
                      <w:snapToGrid w:val="0"/>
                      <w:color w:val="000000" w:themeColor="text1"/>
                      <w:kern w:val="0"/>
                      <w:sz w:val="21"/>
                      <w:szCs w:val="21"/>
                      <w:lang w:eastAsia="zh-CN"/>
                      <w14:textFill>
                        <w14:solidFill>
                          <w14:schemeClr w14:val="tx1"/>
                        </w14:solidFill>
                      </w14:textFill>
                    </w:rPr>
                    <w:t>、</w:t>
                  </w: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动植物油、LAS</w:t>
                  </w:r>
                </w:p>
              </w:tc>
              <w:tc>
                <w:tcPr>
                  <w:tcW w:w="273" w:type="pct"/>
                  <w:tcBorders>
                    <w:tl2br w:val="nil"/>
                    <w:tr2bl w:val="nil"/>
                  </w:tcBorders>
                  <w:vAlign w:val="center"/>
                </w:tcPr>
                <w:p w14:paraId="2058AE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snapToGrid w:val="0"/>
                      <w:color w:val="000000" w:themeColor="text1"/>
                      <w:kern w:val="0"/>
                      <w:sz w:val="21"/>
                      <w:szCs w:val="21"/>
                      <w:lang w:val="en-US" w:eastAsia="zh-CN"/>
                      <w14:textFill>
                        <w14:solidFill>
                          <w14:schemeClr w14:val="tx1"/>
                        </w14:solidFill>
                      </w14:textFill>
                    </w:rPr>
                    <w:t>污水处理厂</w:t>
                  </w:r>
                </w:p>
              </w:tc>
              <w:tc>
                <w:tcPr>
                  <w:tcW w:w="297" w:type="pct"/>
                  <w:tcBorders>
                    <w:tl2br w:val="nil"/>
                    <w:tr2bl w:val="nil"/>
                  </w:tcBorders>
                  <w:vAlign w:val="center"/>
                </w:tcPr>
                <w:p w14:paraId="1F1719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lang w:val="en-US" w:eastAsia="zh-CN"/>
                      <w14:textFill>
                        <w14:solidFill>
                          <w14:schemeClr w14:val="tx1"/>
                        </w14:solidFill>
                      </w14:textFill>
                    </w:rPr>
                    <w:t>间歇</w:t>
                  </w:r>
                  <w:r>
                    <w:rPr>
                      <w:rFonts w:hint="default" w:ascii="Times New Roman" w:hAnsi="Times New Roman" w:eastAsia="宋体" w:cs="Times New Roman"/>
                      <w:snapToGrid w:val="0"/>
                      <w:color w:val="000000" w:themeColor="text1"/>
                      <w:kern w:val="0"/>
                      <w:sz w:val="21"/>
                      <w:szCs w:val="21"/>
                      <w14:textFill>
                        <w14:solidFill>
                          <w14:schemeClr w14:val="tx1"/>
                        </w14:solidFill>
                      </w14:textFill>
                    </w:rPr>
                    <w:t>排放流量稳定</w:t>
                  </w:r>
                </w:p>
              </w:tc>
              <w:tc>
                <w:tcPr>
                  <w:tcW w:w="551" w:type="pct"/>
                  <w:tcBorders>
                    <w:tl2br w:val="nil"/>
                    <w:tr2bl w:val="nil"/>
                  </w:tcBorders>
                  <w:vAlign w:val="center"/>
                </w:tcPr>
                <w:p w14:paraId="5D8F4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TW001</w:t>
                  </w:r>
                </w:p>
              </w:tc>
              <w:tc>
                <w:tcPr>
                  <w:tcW w:w="466" w:type="pct"/>
                  <w:tcBorders>
                    <w:tl2br w:val="nil"/>
                    <w:tr2bl w:val="nil"/>
                  </w:tcBorders>
                  <w:vAlign w:val="center"/>
                </w:tcPr>
                <w:p w14:paraId="35DF8E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化粪池、污水处理设施</w:t>
                  </w:r>
                </w:p>
              </w:tc>
              <w:tc>
                <w:tcPr>
                  <w:tcW w:w="500" w:type="pct"/>
                  <w:tcBorders>
                    <w:tl2br w:val="nil"/>
                    <w:tr2bl w:val="nil"/>
                  </w:tcBorders>
                  <w:vAlign w:val="center"/>
                </w:tcPr>
                <w:p w14:paraId="699D72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FF0000"/>
                      <w:kern w:val="0"/>
                      <w:sz w:val="21"/>
                      <w:szCs w:val="21"/>
                    </w:rPr>
                  </w:pPr>
                  <w:r>
                    <w:rPr>
                      <w:rFonts w:hint="eastAsia" w:ascii="Times New Roman" w:hAnsi="Times New Roman" w:eastAsia="宋体" w:cs="Times New Roman"/>
                      <w:color w:val="000000" w:themeColor="text1"/>
                      <w:kern w:val="0"/>
                      <w:sz w:val="21"/>
                      <w:szCs w:val="21"/>
                      <w:highlight w:val="none"/>
                      <w:u w:val="none"/>
                      <w:lang w:val="en-US" w:eastAsia="zh-CN"/>
                      <w14:textFill>
                        <w14:solidFill>
                          <w14:schemeClr w14:val="tx1"/>
                        </w14:solidFill>
                      </w14:textFill>
                    </w:rPr>
                    <w:t>化粪池+调节池+沉淀池+消毒池（活性氧）</w:t>
                  </w:r>
                </w:p>
              </w:tc>
              <w:tc>
                <w:tcPr>
                  <w:tcW w:w="566" w:type="pct"/>
                  <w:tcBorders>
                    <w:tl2br w:val="nil"/>
                    <w:tr2bl w:val="nil"/>
                  </w:tcBorders>
                  <w:vAlign w:val="center"/>
                </w:tcPr>
                <w:p w14:paraId="13738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snapToGrid w:val="0"/>
                      <w:color w:val="000000" w:themeColor="text1"/>
                      <w:kern w:val="0"/>
                      <w:sz w:val="21"/>
                      <w:szCs w:val="21"/>
                      <w14:textFill>
                        <w14:solidFill>
                          <w14:schemeClr w14:val="tx1"/>
                        </w14:solidFill>
                      </w14:textFill>
                    </w:rPr>
                    <w:t>DW001</w:t>
                  </w:r>
                </w:p>
              </w:tc>
              <w:tc>
                <w:tcPr>
                  <w:tcW w:w="467" w:type="pct"/>
                  <w:tcBorders>
                    <w:tl2br w:val="nil"/>
                    <w:tr2bl w:val="nil"/>
                  </w:tcBorders>
                  <w:vAlign w:val="center"/>
                </w:tcPr>
                <w:p w14:paraId="5D6194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☑是</w:t>
                  </w:r>
                </w:p>
                <w:p w14:paraId="3F0099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□否</w:t>
                  </w:r>
                </w:p>
              </w:tc>
              <w:tc>
                <w:tcPr>
                  <w:tcW w:w="673" w:type="pct"/>
                  <w:tcBorders>
                    <w:tl2br w:val="nil"/>
                    <w:tr2bl w:val="nil"/>
                  </w:tcBorders>
                  <w:vAlign w:val="center"/>
                </w:tcPr>
                <w:p w14:paraId="4CFCA9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☑企业总排</w:t>
                  </w:r>
                </w:p>
                <w:p w14:paraId="01761C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□雨水排放</w:t>
                  </w:r>
                </w:p>
                <w:p w14:paraId="191E4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□清净下水排放</w:t>
                  </w:r>
                </w:p>
                <w:p w14:paraId="3E855B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□温排水排放</w:t>
                  </w:r>
                </w:p>
                <w:p w14:paraId="0F63C4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14:textFill>
                        <w14:solidFill>
                          <w14:schemeClr w14:val="tx1"/>
                        </w14:solidFill>
                      </w14:textFill>
                    </w:rPr>
                    <w:t>□车间或车间处理设施排放口</w:t>
                  </w:r>
                </w:p>
              </w:tc>
            </w:tr>
          </w:tbl>
          <w:p w14:paraId="188ACA54">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6</w:t>
            </w:r>
            <w:r>
              <w:rPr>
                <w:rFonts w:hint="eastAsia" w:ascii="Times New Roman" w:hAnsi="Times New Roman" w:eastAsia="宋体" w:cs="Times New Roman"/>
                <w:b/>
                <w:color w:val="000000" w:themeColor="text1"/>
                <w:sz w:val="21"/>
                <w:szCs w:val="21"/>
                <w:lang w:val="en-US" w:eastAsia="zh-CN"/>
                <w14:textFill>
                  <w14:solidFill>
                    <w14:schemeClr w14:val="tx1"/>
                  </w14:solidFill>
                </w14:textFill>
              </w:rPr>
              <w:t xml:space="preserve"> </w:t>
            </w:r>
            <w:r>
              <w:rPr>
                <w:rFonts w:hint="default" w:ascii="Times New Roman" w:hAnsi="Times New Roman" w:eastAsia="宋体" w:cs="Times New Roman"/>
                <w:b/>
                <w:color w:val="000000" w:themeColor="text1"/>
                <w:sz w:val="21"/>
                <w:szCs w:val="21"/>
                <w:lang w:val="en-US"/>
                <w14:textFill>
                  <w14:solidFill>
                    <w14:schemeClr w14:val="tx1"/>
                  </w14:solidFill>
                </w14:textFill>
              </w:rPr>
              <w:t>废水间接排放口基本情况表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67"/>
              <w:gridCol w:w="775"/>
              <w:gridCol w:w="1672"/>
              <w:gridCol w:w="1598"/>
              <w:gridCol w:w="830"/>
              <w:gridCol w:w="419"/>
              <w:gridCol w:w="302"/>
              <w:gridCol w:w="1916"/>
            </w:tblGrid>
            <w:tr w14:paraId="37FD28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14:paraId="7C0AD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序号</w:t>
                  </w:r>
                </w:p>
              </w:tc>
              <w:tc>
                <w:tcPr>
                  <w:tcW w:w="955" w:type="dxa"/>
                  <w:tcBorders>
                    <w:tl2br w:val="nil"/>
                    <w:tr2bl w:val="nil"/>
                  </w:tcBorders>
                  <w:vAlign w:val="center"/>
                </w:tcPr>
                <w:p w14:paraId="47FDDA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排放口编号和名称</w:t>
                  </w:r>
                </w:p>
              </w:tc>
              <w:tc>
                <w:tcPr>
                  <w:tcW w:w="2536" w:type="dxa"/>
                  <w:gridSpan w:val="2"/>
                  <w:tcBorders>
                    <w:tl2br w:val="nil"/>
                    <w:tr2bl w:val="nil"/>
                  </w:tcBorders>
                  <w:vAlign w:val="center"/>
                </w:tcPr>
                <w:p w14:paraId="5A9F4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排放口坐标</w:t>
                  </w:r>
                </w:p>
              </w:tc>
              <w:tc>
                <w:tcPr>
                  <w:tcW w:w="1077" w:type="dxa"/>
                  <w:tcBorders>
                    <w:tl2br w:val="nil"/>
                    <w:tr2bl w:val="nil"/>
                  </w:tcBorders>
                  <w:vAlign w:val="center"/>
                </w:tcPr>
                <w:p w14:paraId="312D70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废水排放量（t</w:t>
                  </w:r>
                  <w:r>
                    <w:rPr>
                      <w:rFonts w:hint="default" w:ascii="Times New Roman" w:hAnsi="Times New Roman" w:eastAsia="宋体" w:cs="Times New Roman"/>
                      <w:color w:val="000000" w:themeColor="text1"/>
                      <w:sz w:val="21"/>
                      <w:szCs w:val="21"/>
                      <w14:textFill>
                        <w14:solidFill>
                          <w14:schemeClr w14:val="tx1"/>
                        </w14:solidFill>
                      </w14:textFill>
                    </w:rPr>
                    <w:t>/a</w:t>
                  </w:r>
                  <w:r>
                    <w:rPr>
                      <w:rFonts w:hint="default" w:ascii="Times New Roman" w:hAnsi="Times New Roman" w:eastAsia="宋体" w:cs="Times New Roman"/>
                      <w:color w:val="000000" w:themeColor="text1"/>
                      <w:sz w:val="21"/>
                      <w:szCs w:val="21"/>
                      <w:lang w:val="en-US"/>
                      <w14:textFill>
                        <w14:solidFill>
                          <w14:schemeClr w14:val="tx1"/>
                        </w14:solidFill>
                      </w14:textFill>
                    </w:rPr>
                    <w:t>）</w:t>
                  </w:r>
                </w:p>
              </w:tc>
              <w:tc>
                <w:tcPr>
                  <w:tcW w:w="778" w:type="dxa"/>
                  <w:tcBorders>
                    <w:tl2br w:val="nil"/>
                    <w:tr2bl w:val="nil"/>
                  </w:tcBorders>
                  <w:vAlign w:val="center"/>
                </w:tcPr>
                <w:p w14:paraId="68E0B8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排放去向</w:t>
                  </w:r>
                </w:p>
              </w:tc>
              <w:tc>
                <w:tcPr>
                  <w:tcW w:w="450" w:type="dxa"/>
                  <w:tcBorders>
                    <w:tl2br w:val="nil"/>
                    <w:tr2bl w:val="nil"/>
                  </w:tcBorders>
                  <w:vAlign w:val="center"/>
                </w:tcPr>
                <w:p w14:paraId="3C38E0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排放规律</w:t>
                  </w:r>
                </w:p>
              </w:tc>
              <w:tc>
                <w:tcPr>
                  <w:tcW w:w="2221" w:type="dxa"/>
                  <w:tcBorders>
                    <w:tl2br w:val="nil"/>
                    <w:tr2bl w:val="nil"/>
                  </w:tcBorders>
                  <w:vAlign w:val="center"/>
                </w:tcPr>
                <w:p w14:paraId="637009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受纳污水处理厂</w:t>
                  </w:r>
                  <w:r>
                    <w:rPr>
                      <w:rFonts w:hint="default" w:ascii="Times New Roman" w:hAnsi="Times New Roman" w:eastAsia="宋体" w:cs="Times New Roman"/>
                      <w:color w:val="000000" w:themeColor="text1"/>
                      <w:sz w:val="21"/>
                      <w:szCs w:val="21"/>
                      <w:lang w:val="en-US"/>
                      <w14:textFill>
                        <w14:solidFill>
                          <w14:schemeClr w14:val="tx1"/>
                        </w14:solidFill>
                      </w14:textFill>
                    </w:rPr>
                    <w:t>排放标准</w:t>
                  </w:r>
                </w:p>
              </w:tc>
            </w:tr>
            <w:tr w14:paraId="7C5BDA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33" w:type="dxa"/>
                  <w:tcBorders>
                    <w:tl2br w:val="nil"/>
                    <w:tr2bl w:val="nil"/>
                  </w:tcBorders>
                  <w:vAlign w:val="center"/>
                </w:tcPr>
                <w:p w14:paraId="23972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1</w:t>
                  </w:r>
                </w:p>
              </w:tc>
              <w:tc>
                <w:tcPr>
                  <w:tcW w:w="955" w:type="dxa"/>
                  <w:tcBorders>
                    <w:tl2br w:val="nil"/>
                    <w:tr2bl w:val="nil"/>
                  </w:tcBorders>
                  <w:vAlign w:val="center"/>
                </w:tcPr>
                <w:p w14:paraId="31FE54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DW001废水总排口</w:t>
                  </w:r>
                </w:p>
              </w:tc>
              <w:tc>
                <w:tcPr>
                  <w:tcW w:w="1268" w:type="dxa"/>
                  <w:tcBorders>
                    <w:tl2br w:val="nil"/>
                    <w:tr2bl w:val="nil"/>
                  </w:tcBorders>
                  <w:vAlign w:val="center"/>
                </w:tcPr>
                <w:p w14:paraId="071C4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E112°13'15.2915"</w:t>
                  </w:r>
                </w:p>
              </w:tc>
              <w:tc>
                <w:tcPr>
                  <w:tcW w:w="1268" w:type="dxa"/>
                  <w:tcBorders>
                    <w:tl2br w:val="nil"/>
                    <w:tr2bl w:val="nil"/>
                  </w:tcBorders>
                  <w:vAlign w:val="center"/>
                </w:tcPr>
                <w:p w14:paraId="44DF4B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N25°47'30.5824"</w:t>
                  </w:r>
                </w:p>
              </w:tc>
              <w:tc>
                <w:tcPr>
                  <w:tcW w:w="1077" w:type="dxa"/>
                  <w:tcBorders>
                    <w:tl2br w:val="nil"/>
                    <w:tr2bl w:val="nil"/>
                  </w:tcBorders>
                  <w:vAlign w:val="center"/>
                </w:tcPr>
                <w:p w14:paraId="3D07F2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cs="Times New Roman"/>
                      <w:color w:val="auto"/>
                      <w:sz w:val="21"/>
                      <w:szCs w:val="21"/>
                      <w:u w:val="none"/>
                      <w:lang w:val="en-US" w:eastAsia="zh-CN"/>
                    </w:rPr>
                    <w:t>5317.32</w:t>
                  </w:r>
                </w:p>
              </w:tc>
              <w:tc>
                <w:tcPr>
                  <w:tcW w:w="778" w:type="dxa"/>
                  <w:tcBorders>
                    <w:tl2br w:val="nil"/>
                    <w:tr2bl w:val="nil"/>
                  </w:tcBorders>
                  <w:vAlign w:val="center"/>
                </w:tcPr>
                <w:p w14:paraId="62475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污水处理厂</w:t>
                  </w:r>
                </w:p>
              </w:tc>
              <w:tc>
                <w:tcPr>
                  <w:tcW w:w="450" w:type="dxa"/>
                  <w:tcBorders>
                    <w:tl2br w:val="nil"/>
                    <w:tr2bl w:val="nil"/>
                  </w:tcBorders>
                  <w:vAlign w:val="center"/>
                </w:tcPr>
                <w:p w14:paraId="253437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间接排放</w:t>
                  </w:r>
                </w:p>
              </w:tc>
              <w:tc>
                <w:tcPr>
                  <w:tcW w:w="2221" w:type="dxa"/>
                  <w:tcBorders>
                    <w:tl2br w:val="nil"/>
                    <w:tr2bl w:val="nil"/>
                  </w:tcBorders>
                  <w:vAlign w:val="center"/>
                </w:tcPr>
                <w:p w14:paraId="09D8E7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《城镇污水处理厂污染物排放标准》（GB18918-2002）中一级</w:t>
                  </w:r>
                  <w:r>
                    <w:rPr>
                      <w:rFonts w:hint="eastAsia" w:cs="Times New Roman"/>
                      <w:color w:val="000000" w:themeColor="text1"/>
                      <w:sz w:val="21"/>
                      <w:szCs w:val="21"/>
                      <w:lang w:val="en-US" w:eastAsia="zh-CN"/>
                      <w14:textFill>
                        <w14:solidFill>
                          <w14:schemeClr w14:val="tx1"/>
                        </w14:solidFill>
                      </w14:textFill>
                    </w:rPr>
                    <w:t>B</w:t>
                  </w:r>
                  <w:r>
                    <w:rPr>
                      <w:rFonts w:hint="default" w:ascii="Times New Roman" w:hAnsi="Times New Roman" w:eastAsia="宋体" w:cs="Times New Roman"/>
                      <w:color w:val="000000" w:themeColor="text1"/>
                      <w:sz w:val="21"/>
                      <w:szCs w:val="21"/>
                      <w:lang w:val="en-US"/>
                      <w14:textFill>
                        <w14:solidFill>
                          <w14:schemeClr w14:val="tx1"/>
                        </w14:solidFill>
                      </w14:textFill>
                    </w:rPr>
                    <w:t>标准</w:t>
                  </w:r>
                </w:p>
              </w:tc>
            </w:tr>
          </w:tbl>
          <w:p w14:paraId="446696EE">
            <w:pPr>
              <w:spacing w:line="240" w:lineRule="auto"/>
              <w:jc w:val="center"/>
              <w:rPr>
                <w:rFonts w:hint="default" w:ascii="Times New Roman" w:hAnsi="Times New Roman" w:eastAsia="宋体" w:cs="Times New Roman"/>
                <w:b/>
                <w:color w:val="000000" w:themeColor="text1"/>
                <w:sz w:val="21"/>
                <w:szCs w:val="21"/>
                <w:lang w:val="en-US"/>
                <w14:textFill>
                  <w14:solidFill>
                    <w14:schemeClr w14:val="tx1"/>
                  </w14:solidFill>
                </w14:textFill>
              </w:rPr>
            </w:pPr>
            <w:r>
              <w:rPr>
                <w:rFonts w:hint="default" w:ascii="Times New Roman" w:hAnsi="Times New Roman" w:eastAsia="宋体" w:cs="Times New Roman"/>
                <w:b/>
                <w:color w:val="000000" w:themeColor="text1"/>
                <w:sz w:val="21"/>
                <w:szCs w:val="21"/>
                <w:lang w:val="en-US"/>
                <w14:textFill>
                  <w14:solidFill>
                    <w14:schemeClr w14:val="tx1"/>
                  </w14:solidFill>
                </w14:textFill>
              </w:rPr>
              <w:t>表4-</w:t>
            </w:r>
            <w:r>
              <w:rPr>
                <w:rFonts w:hint="eastAsia" w:cs="Times New Roman"/>
                <w:b/>
                <w:color w:val="000000" w:themeColor="text1"/>
                <w:sz w:val="21"/>
                <w:szCs w:val="21"/>
                <w:lang w:val="en-US" w:eastAsia="zh-CN"/>
                <w14:textFill>
                  <w14:solidFill>
                    <w14:schemeClr w14:val="tx1"/>
                  </w14:solidFill>
                </w14:textFill>
              </w:rPr>
              <w:t xml:space="preserve">7 </w:t>
            </w:r>
            <w:r>
              <w:rPr>
                <w:rFonts w:hint="default" w:ascii="Times New Roman" w:hAnsi="Times New Roman" w:eastAsia="宋体" w:cs="Times New Roman"/>
                <w:b/>
                <w:color w:val="000000" w:themeColor="text1"/>
                <w:sz w:val="21"/>
                <w:szCs w:val="21"/>
                <w:lang w:val="en-US"/>
                <w14:textFill>
                  <w14:solidFill>
                    <w14:schemeClr w14:val="tx1"/>
                  </w14:solidFill>
                </w14:textFill>
              </w:rPr>
              <w:t>废水污染物排放执行标准表</w:t>
            </w:r>
          </w:p>
          <w:tbl>
            <w:tblPr>
              <w:tblStyle w:val="24"/>
              <w:tblW w:w="4998"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44"/>
              <w:gridCol w:w="975"/>
              <w:gridCol w:w="1173"/>
              <w:gridCol w:w="3002"/>
              <w:gridCol w:w="2082"/>
            </w:tblGrid>
            <w:tr w14:paraId="5A261D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14:paraId="12041D96">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627" w:type="pct"/>
                  <w:vMerge w:val="restart"/>
                  <w:tcBorders>
                    <w:tl2br w:val="nil"/>
                    <w:tr2bl w:val="nil"/>
                  </w:tcBorders>
                  <w:vAlign w:val="center"/>
                </w:tcPr>
                <w:p w14:paraId="11418419">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排放口编号</w:t>
                  </w:r>
                </w:p>
              </w:tc>
              <w:tc>
                <w:tcPr>
                  <w:tcW w:w="754" w:type="pct"/>
                  <w:vMerge w:val="restart"/>
                  <w:tcBorders>
                    <w:tl2br w:val="nil"/>
                    <w:tr2bl w:val="nil"/>
                  </w:tcBorders>
                  <w:vAlign w:val="center"/>
                </w:tcPr>
                <w:p w14:paraId="7071DFE2">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污染物种类</w:t>
                  </w:r>
                </w:p>
              </w:tc>
              <w:tc>
                <w:tcPr>
                  <w:tcW w:w="3268" w:type="pct"/>
                  <w:gridSpan w:val="2"/>
                  <w:tcBorders>
                    <w:tl2br w:val="nil"/>
                    <w:tr2bl w:val="nil"/>
                  </w:tcBorders>
                  <w:vAlign w:val="center"/>
                </w:tcPr>
                <w:p w14:paraId="31F1BF00">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国家或地方污染物排放标准及其他按规定商定的排放协议a</w:t>
                  </w:r>
                </w:p>
              </w:tc>
            </w:tr>
            <w:tr w14:paraId="629890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441549F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2EE05C3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754" w:type="pct"/>
                  <w:vMerge w:val="continue"/>
                  <w:tcBorders>
                    <w:tl2br w:val="nil"/>
                    <w:tr2bl w:val="nil"/>
                  </w:tcBorders>
                  <w:vAlign w:val="center"/>
                </w:tcPr>
                <w:p w14:paraId="36BFA13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930" w:type="pct"/>
                  <w:tcBorders>
                    <w:tl2br w:val="nil"/>
                    <w:tr2bl w:val="nil"/>
                  </w:tcBorders>
                  <w:vAlign w:val="center"/>
                </w:tcPr>
                <w:p w14:paraId="377B7F54">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1338" w:type="pct"/>
                  <w:tcBorders>
                    <w:tl2br w:val="nil"/>
                    <w:tr2bl w:val="nil"/>
                  </w:tcBorders>
                  <w:vAlign w:val="center"/>
                </w:tcPr>
                <w:p w14:paraId="6E8EBF9D">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浓度限值/(mg/L)</w:t>
                  </w:r>
                </w:p>
              </w:tc>
            </w:tr>
            <w:tr w14:paraId="090C22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restart"/>
                  <w:tcBorders>
                    <w:tl2br w:val="nil"/>
                    <w:tr2bl w:val="nil"/>
                  </w:tcBorders>
                  <w:vAlign w:val="center"/>
                </w:tcPr>
                <w:p w14:paraId="2196A84F">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w w:val="99"/>
                      <w:sz w:val="21"/>
                      <w:szCs w:val="21"/>
                      <w14:textFill>
                        <w14:solidFill>
                          <w14:schemeClr w14:val="tx1"/>
                        </w14:solidFill>
                      </w14:textFill>
                    </w:rPr>
                    <w:t>1</w:t>
                  </w:r>
                </w:p>
              </w:tc>
              <w:tc>
                <w:tcPr>
                  <w:tcW w:w="627" w:type="pct"/>
                  <w:vMerge w:val="restart"/>
                  <w:tcBorders>
                    <w:tl2br w:val="nil"/>
                    <w:tr2bl w:val="nil"/>
                  </w:tcBorders>
                  <w:vAlign w:val="center"/>
                </w:tcPr>
                <w:p w14:paraId="0F76C0C8">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DW001</w:t>
                  </w:r>
                </w:p>
              </w:tc>
              <w:tc>
                <w:tcPr>
                  <w:tcW w:w="754" w:type="pct"/>
                  <w:tcBorders>
                    <w:tl2br w:val="nil"/>
                    <w:tr2bl w:val="nil"/>
                  </w:tcBorders>
                  <w:vAlign w:val="center"/>
                </w:tcPr>
                <w:p w14:paraId="1243F769">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u w:val="none"/>
                      <w14:textFill>
                        <w14:solidFill>
                          <w14:schemeClr w14:val="tx1"/>
                        </w14:solidFill>
                      </w14:textFill>
                    </w:rPr>
                    <w:t>COD</w:t>
                  </w: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cr</w:t>
                  </w:r>
                </w:p>
              </w:tc>
              <w:tc>
                <w:tcPr>
                  <w:tcW w:w="1930" w:type="pct"/>
                  <w:vMerge w:val="restart"/>
                  <w:tcBorders>
                    <w:tl2br w:val="nil"/>
                    <w:tr2bl w:val="nil"/>
                  </w:tcBorders>
                  <w:vAlign w:val="center"/>
                </w:tcPr>
                <w:p w14:paraId="54B33FAF">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《医疗机构水污染物排放标准》（GB18466-2005）</w:t>
                  </w:r>
                  <w:r>
                    <w:rPr>
                      <w:rFonts w:hint="default" w:ascii="Times New Roman" w:hAnsi="Times New Roman" w:eastAsia="宋体" w:cs="Times New Roman"/>
                      <w:color w:val="000000" w:themeColor="text1"/>
                      <w:spacing w:val="-27"/>
                      <w:sz w:val="21"/>
                      <w:szCs w:val="21"/>
                      <w14:textFill>
                        <w14:solidFill>
                          <w14:schemeClr w14:val="tx1"/>
                        </w14:solidFill>
                      </w14:textFill>
                    </w:rPr>
                    <w:t>表</w:t>
                  </w:r>
                  <w:r>
                    <w:rPr>
                      <w:rFonts w:hint="default" w:ascii="Times New Roman" w:hAnsi="Times New Roman" w:eastAsia="宋体" w:cs="Times New Roman"/>
                      <w:color w:val="000000" w:themeColor="text1"/>
                      <w:sz w:val="21"/>
                      <w:szCs w:val="21"/>
                      <w14:textFill>
                        <w14:solidFill>
                          <w14:schemeClr w14:val="tx1"/>
                        </w14:solidFill>
                      </w14:textFill>
                    </w:rPr>
                    <w:t>2</w:t>
                  </w:r>
                  <w:r>
                    <w:rPr>
                      <w:rFonts w:hint="default" w:ascii="Times New Roman" w:hAnsi="Times New Roman" w:eastAsia="宋体" w:cs="Times New Roman"/>
                      <w:color w:val="000000" w:themeColor="text1"/>
                      <w:spacing w:val="-12"/>
                      <w:sz w:val="21"/>
                      <w:szCs w:val="21"/>
                      <w14:textFill>
                        <w14:solidFill>
                          <w14:schemeClr w14:val="tx1"/>
                        </w14:solidFill>
                      </w14:textFill>
                    </w:rPr>
                    <w:t>中</w:t>
                  </w:r>
                  <w:r>
                    <w:rPr>
                      <w:rFonts w:hint="default" w:ascii="Times New Roman" w:hAnsi="Times New Roman" w:eastAsia="宋体" w:cs="Times New Roman"/>
                      <w:color w:val="000000" w:themeColor="text1"/>
                      <w:sz w:val="21"/>
                      <w:szCs w:val="21"/>
                      <w14:textFill>
                        <w14:solidFill>
                          <w14:schemeClr w14:val="tx1"/>
                        </w14:solidFill>
                      </w14:textFill>
                    </w:rPr>
                    <w:t>综合医疗机构和其他医疗机构水污染物排放限值中预处理标准</w:t>
                  </w:r>
                </w:p>
              </w:tc>
              <w:tc>
                <w:tcPr>
                  <w:tcW w:w="1338" w:type="pct"/>
                  <w:tcBorders>
                    <w:tl2br w:val="nil"/>
                    <w:tr2bl w:val="nil"/>
                  </w:tcBorders>
                  <w:vAlign w:val="center"/>
                </w:tcPr>
                <w:p w14:paraId="30141C86">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250</w:t>
                  </w:r>
                </w:p>
              </w:tc>
            </w:tr>
            <w:tr w14:paraId="30C3A4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6374B481">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w w:val="99"/>
                      <w:sz w:val="21"/>
                      <w:szCs w:val="21"/>
                      <w14:textFill>
                        <w14:solidFill>
                          <w14:schemeClr w14:val="tx1"/>
                        </w14:solidFill>
                      </w14:textFill>
                    </w:rPr>
                  </w:pPr>
                </w:p>
              </w:tc>
              <w:tc>
                <w:tcPr>
                  <w:tcW w:w="627" w:type="pct"/>
                  <w:vMerge w:val="continue"/>
                  <w:tcBorders>
                    <w:tl2br w:val="nil"/>
                    <w:tr2bl w:val="nil"/>
                  </w:tcBorders>
                  <w:vAlign w:val="center"/>
                </w:tcPr>
                <w:p w14:paraId="37675B52">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1492DB09">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none"/>
                      <w:lang w:val="en-US" w:eastAsia="zh-CN"/>
                      <w14:textFill>
                        <w14:solidFill>
                          <w14:schemeClr w14:val="tx1"/>
                        </w14:solidFill>
                      </w14:textFill>
                    </w:rPr>
                    <w:t>pH</w:t>
                  </w:r>
                </w:p>
              </w:tc>
              <w:tc>
                <w:tcPr>
                  <w:tcW w:w="1930" w:type="pct"/>
                  <w:vMerge w:val="continue"/>
                  <w:tcBorders>
                    <w:tl2br w:val="nil"/>
                    <w:tr2bl w:val="nil"/>
                  </w:tcBorders>
                  <w:vAlign w:val="center"/>
                </w:tcPr>
                <w:p w14:paraId="2DC6D364">
                  <w:pPr>
                    <w:keepNext w:val="0"/>
                    <w:keepLines w:val="0"/>
                    <w:pageBreakBefore w:val="0"/>
                    <w:widowControl/>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70F83BAB">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6~9</w:t>
                  </w:r>
                </w:p>
              </w:tc>
            </w:tr>
            <w:tr w14:paraId="436F9A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10E698C4">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1381436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44B6D209">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BOD</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5</w:t>
                  </w:r>
                </w:p>
              </w:tc>
              <w:tc>
                <w:tcPr>
                  <w:tcW w:w="1930" w:type="pct"/>
                  <w:vMerge w:val="continue"/>
                  <w:tcBorders>
                    <w:tl2br w:val="nil"/>
                    <w:tr2bl w:val="nil"/>
                  </w:tcBorders>
                  <w:vAlign w:val="center"/>
                </w:tcPr>
                <w:p w14:paraId="0BF92BB5">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5DEC2D0F">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100</w:t>
                  </w:r>
                </w:p>
              </w:tc>
            </w:tr>
            <w:tr w14:paraId="0A9B56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04ED7E1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6BD0E0B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5F95A3FB">
                  <w:pPr>
                    <w:pStyle w:val="33"/>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S</w:t>
                  </w:r>
                  <w:r>
                    <w:rPr>
                      <w:rFonts w:hint="default" w:ascii="Times New Roman" w:hAnsi="Times New Roman" w:eastAsia="宋体" w:cs="Times New Roman"/>
                      <w:color w:val="000000" w:themeColor="text1"/>
                      <w:sz w:val="21"/>
                      <w:szCs w:val="21"/>
                      <w14:textFill>
                        <w14:solidFill>
                          <w14:schemeClr w14:val="tx1"/>
                        </w14:solidFill>
                      </w14:textFill>
                    </w:rPr>
                    <w:t>S</w:t>
                  </w:r>
                </w:p>
              </w:tc>
              <w:tc>
                <w:tcPr>
                  <w:tcW w:w="1930" w:type="pct"/>
                  <w:vMerge w:val="continue"/>
                  <w:tcBorders>
                    <w:tl2br w:val="nil"/>
                    <w:tr2bl w:val="nil"/>
                  </w:tcBorders>
                  <w:vAlign w:val="center"/>
                </w:tcPr>
                <w:p w14:paraId="1DEE191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099BA346">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60</w:t>
                  </w:r>
                </w:p>
              </w:tc>
            </w:tr>
            <w:tr w14:paraId="626AB7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23B7C12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281A09C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6AB9E58B">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position w:val="2"/>
                      <w:sz w:val="21"/>
                      <w:szCs w:val="21"/>
                      <w14:textFill>
                        <w14:solidFill>
                          <w14:schemeClr w14:val="tx1"/>
                        </w14:solidFill>
                      </w14:textFill>
                    </w:rPr>
                    <w:t>NH</w:t>
                  </w:r>
                  <w:r>
                    <w:rPr>
                      <w:rFonts w:hint="default" w:ascii="Times New Roman" w:hAnsi="Times New Roman" w:eastAsia="宋体" w:cs="Times New Roman"/>
                      <w:color w:val="000000" w:themeColor="text1"/>
                      <w:position w:val="2"/>
                      <w:sz w:val="21"/>
                      <w:szCs w:val="21"/>
                      <w:vertAlign w:val="subscript"/>
                      <w14:textFill>
                        <w14:solidFill>
                          <w14:schemeClr w14:val="tx1"/>
                        </w14:solidFill>
                      </w14:textFill>
                    </w:rPr>
                    <w:t>3</w:t>
                  </w:r>
                  <w:r>
                    <w:rPr>
                      <w:rFonts w:hint="default" w:ascii="Times New Roman" w:hAnsi="Times New Roman" w:eastAsia="宋体" w:cs="Times New Roman"/>
                      <w:color w:val="000000" w:themeColor="text1"/>
                      <w:position w:val="2"/>
                      <w:sz w:val="21"/>
                      <w:szCs w:val="21"/>
                      <w14:textFill>
                        <w14:solidFill>
                          <w14:schemeClr w14:val="tx1"/>
                        </w14:solidFill>
                      </w14:textFill>
                    </w:rPr>
                    <w:t>-N</w:t>
                  </w:r>
                </w:p>
              </w:tc>
              <w:tc>
                <w:tcPr>
                  <w:tcW w:w="1930" w:type="pct"/>
                  <w:vMerge w:val="continue"/>
                  <w:tcBorders>
                    <w:tl2br w:val="nil"/>
                    <w:tr2bl w:val="nil"/>
                  </w:tcBorders>
                  <w:vAlign w:val="center"/>
                </w:tcPr>
                <w:p w14:paraId="05BCA543">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40E45AB7">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r>
            <w:tr w14:paraId="276770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07" w:hRule="atLeast"/>
                <w:jc w:val="center"/>
              </w:trPr>
              <w:tc>
                <w:tcPr>
                  <w:tcW w:w="350" w:type="pct"/>
                  <w:vMerge w:val="continue"/>
                  <w:tcBorders>
                    <w:tl2br w:val="nil"/>
                    <w:tr2bl w:val="nil"/>
                  </w:tcBorders>
                  <w:vAlign w:val="center"/>
                </w:tcPr>
                <w:p w14:paraId="4A0CFA8D">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1205151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53E6EBC9">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粪大肠菌群</w:t>
                  </w:r>
                </w:p>
              </w:tc>
              <w:tc>
                <w:tcPr>
                  <w:tcW w:w="1930" w:type="pct"/>
                  <w:vMerge w:val="continue"/>
                  <w:tcBorders>
                    <w:tl2br w:val="nil"/>
                    <w:tr2bl w:val="nil"/>
                  </w:tcBorders>
                  <w:vAlign w:val="center"/>
                </w:tcPr>
                <w:p w14:paraId="45F95FB1">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4CEFF470">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14:textFill>
                        <w14:solidFill>
                          <w14:schemeClr w14:val="tx1"/>
                        </w14:solidFill>
                      </w14:textFill>
                    </w:rPr>
                  </w:pPr>
                  <w:r>
                    <w:rPr>
                      <w:rFonts w:hint="default" w:ascii="Times New Roman" w:hAnsi="Times New Roman" w:eastAsia="宋体" w:cs="Times New Roman"/>
                      <w:color w:val="000000" w:themeColor="text1"/>
                      <w:sz w:val="21"/>
                      <w:szCs w:val="21"/>
                      <w:lang w:val="en-US"/>
                      <w14:textFill>
                        <w14:solidFill>
                          <w14:schemeClr w14:val="tx1"/>
                        </w14:solidFill>
                      </w14:textFill>
                    </w:rPr>
                    <w:t>5000</w:t>
                  </w:r>
                </w:p>
              </w:tc>
            </w:tr>
            <w:tr w14:paraId="507D50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7006B06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5C817AAF">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441F2C13">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动植物油</w:t>
                  </w:r>
                </w:p>
              </w:tc>
              <w:tc>
                <w:tcPr>
                  <w:tcW w:w="1930" w:type="pct"/>
                  <w:vMerge w:val="continue"/>
                  <w:tcBorders>
                    <w:tl2br w:val="nil"/>
                    <w:tr2bl w:val="nil"/>
                  </w:tcBorders>
                  <w:vAlign w:val="center"/>
                </w:tcPr>
                <w:p w14:paraId="12602362">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55223569">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20</w:t>
                  </w:r>
                </w:p>
              </w:tc>
            </w:tr>
            <w:tr w14:paraId="6ED14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350" w:type="pct"/>
                  <w:vMerge w:val="continue"/>
                  <w:tcBorders>
                    <w:tl2br w:val="nil"/>
                    <w:tr2bl w:val="nil"/>
                  </w:tcBorders>
                  <w:vAlign w:val="center"/>
                </w:tcPr>
                <w:p w14:paraId="74DDC4FA">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627" w:type="pct"/>
                  <w:vMerge w:val="continue"/>
                  <w:tcBorders>
                    <w:tl2br w:val="nil"/>
                    <w:tr2bl w:val="nil"/>
                  </w:tcBorders>
                  <w:vAlign w:val="center"/>
                </w:tcPr>
                <w:p w14:paraId="6066B636">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754" w:type="pct"/>
                  <w:tcBorders>
                    <w:tl2br w:val="nil"/>
                    <w:tr2bl w:val="nil"/>
                  </w:tcBorders>
                  <w:vAlign w:val="center"/>
                </w:tcPr>
                <w:p w14:paraId="74EE768D">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LAS</w:t>
                  </w:r>
                </w:p>
              </w:tc>
              <w:tc>
                <w:tcPr>
                  <w:tcW w:w="1930" w:type="pct"/>
                  <w:vMerge w:val="continue"/>
                  <w:tcBorders>
                    <w:tl2br w:val="nil"/>
                    <w:tr2bl w:val="nil"/>
                  </w:tcBorders>
                  <w:vAlign w:val="center"/>
                </w:tcPr>
                <w:p w14:paraId="44CF637C">
                  <w:pPr>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p>
              </w:tc>
              <w:tc>
                <w:tcPr>
                  <w:tcW w:w="1338" w:type="pct"/>
                  <w:tcBorders>
                    <w:tl2br w:val="nil"/>
                    <w:tr2bl w:val="nil"/>
                  </w:tcBorders>
                  <w:vAlign w:val="center"/>
                </w:tcPr>
                <w:p w14:paraId="7AA8AAE7">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w:t>
                  </w:r>
                </w:p>
              </w:tc>
            </w:tr>
            <w:tr w14:paraId="036675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000" w:type="pct"/>
                  <w:gridSpan w:val="5"/>
                  <w:tcBorders>
                    <w:tl2br w:val="nil"/>
                    <w:tr2bl w:val="nil"/>
                  </w:tcBorders>
                  <w:vAlign w:val="center"/>
                </w:tcPr>
                <w:p w14:paraId="062D7987">
                  <w:pPr>
                    <w:pStyle w:val="33"/>
                    <w:keepNext w:val="0"/>
                    <w:keepLines w:val="0"/>
                    <w:pageBreakBefore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a指对应排放口需执行的国家或地方污染物排放标准以及其他按规定商定建设</w:t>
                  </w:r>
                  <w:r>
                    <w:rPr>
                      <w:rFonts w:hint="default" w:ascii="Times New Roman" w:hAnsi="Times New Roman" w:eastAsia="宋体" w:cs="Times New Roman"/>
                      <w:color w:val="000000" w:themeColor="text1"/>
                      <w:sz w:val="21"/>
                      <w:szCs w:val="21"/>
                      <w:lang w:val="en-US"/>
                      <w14:textFill>
                        <w14:solidFill>
                          <w14:schemeClr w14:val="tx1"/>
                        </w14:solidFill>
                      </w14:textFill>
                    </w:rPr>
                    <w:t>项</w:t>
                  </w:r>
                  <w:r>
                    <w:rPr>
                      <w:rFonts w:hint="default" w:ascii="Times New Roman" w:hAnsi="Times New Roman" w:eastAsia="宋体" w:cs="Times New Roman"/>
                      <w:color w:val="000000" w:themeColor="text1"/>
                      <w:sz w:val="21"/>
                      <w:szCs w:val="21"/>
                      <w14:textFill>
                        <w14:solidFill>
                          <w14:schemeClr w14:val="tx1"/>
                        </w14:solidFill>
                      </w14:textFill>
                    </w:rPr>
                    <w:t>目水污染物排放控制要求的协议，据此确定的排放浓度限值。</w:t>
                  </w:r>
                </w:p>
              </w:tc>
            </w:tr>
          </w:tbl>
          <w:p w14:paraId="4A3F2130">
            <w:pPr>
              <w:pStyle w:val="1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u w:val="none" w:color="auto"/>
                <w:lang w:val="en-US" w:eastAsia="zh-CN"/>
              </w:rPr>
            </w:pPr>
            <w:r>
              <w:rPr>
                <w:rFonts w:hint="eastAsia" w:cs="Times New Roman"/>
                <w:color w:val="auto"/>
                <w:sz w:val="24"/>
                <w:szCs w:val="24"/>
                <w:u w:val="none" w:color="auto"/>
                <w:lang w:val="en-US" w:eastAsia="zh-CN"/>
              </w:rPr>
              <w:t>5、</w:t>
            </w:r>
            <w:r>
              <w:rPr>
                <w:rFonts w:hint="default" w:ascii="Times New Roman" w:hAnsi="Times New Roman" w:eastAsia="宋体" w:cs="Times New Roman"/>
                <w:color w:val="auto"/>
                <w:sz w:val="24"/>
                <w:szCs w:val="24"/>
                <w:u w:val="none" w:color="auto"/>
                <w:lang w:val="en-US" w:eastAsia="zh-CN"/>
              </w:rPr>
              <w:t>监测计划</w:t>
            </w:r>
          </w:p>
          <w:p w14:paraId="6060A1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pPr>
            <w:r>
              <w:rPr>
                <w:rFonts w:hint="eastAsia" w:cs="Times New Roman"/>
                <w:color w:val="auto"/>
                <w:sz w:val="24"/>
                <w:u w:val="none" w:color="auto"/>
                <w:lang w:val="en-US" w:eastAsia="zh-CN"/>
              </w:rPr>
              <w:t>本项目为</w:t>
            </w:r>
            <w:r>
              <w:rPr>
                <w:rFonts w:hint="eastAsia" w:cs="Times New Roman"/>
                <w:color w:val="auto"/>
                <w:kern w:val="0"/>
                <w:sz w:val="24"/>
                <w:u w:val="none" w:color="auto"/>
                <w:lang w:val="en-US" w:eastAsia="zh-CN" w:bidi="ar"/>
              </w:rPr>
              <w:t>社区卫生服务项目</w:t>
            </w:r>
            <w:r>
              <w:rPr>
                <w:rFonts w:hint="eastAsia" w:cs="Times New Roman"/>
                <w:color w:val="auto"/>
                <w:kern w:val="0"/>
                <w:sz w:val="24"/>
                <w:u w:val="none" w:color="auto"/>
                <w:lang w:eastAsia="zh-CN" w:bidi="ar"/>
              </w:rPr>
              <w:t>，</w:t>
            </w:r>
            <w:r>
              <w:rPr>
                <w:rFonts w:hint="eastAsia" w:cs="Times New Roman"/>
                <w:color w:val="auto"/>
                <w:kern w:val="0"/>
                <w:sz w:val="24"/>
                <w:u w:val="none" w:color="auto"/>
                <w:lang w:val="en-US" w:eastAsia="zh-CN" w:bidi="ar"/>
              </w:rPr>
              <w:t>主要诊治</w:t>
            </w:r>
            <w:r>
              <w:rPr>
                <w:rFonts w:hint="eastAsia" w:ascii="Times New Roman" w:hAnsi="Times New Roman" w:eastAsia="宋体"/>
                <w:color w:val="auto"/>
                <w:kern w:val="0"/>
                <w:sz w:val="24"/>
                <w:szCs w:val="24"/>
                <w:u w:val="none" w:color="auto"/>
                <w:lang w:val="en-US" w:eastAsia="zh-CN"/>
              </w:rPr>
              <w:t>社区老百姓的各科常见病、多发病</w:t>
            </w:r>
            <w:r>
              <w:rPr>
                <w:rFonts w:hint="eastAsia" w:ascii="Times New Roman" w:hAnsi="Times New Roman"/>
                <w:color w:val="auto"/>
                <w:kern w:val="0"/>
                <w:sz w:val="24"/>
                <w:szCs w:val="24"/>
                <w:u w:val="none" w:color="auto"/>
                <w:lang w:val="en-US" w:eastAsia="zh-CN"/>
              </w:rPr>
              <w:t>，不设置</w:t>
            </w:r>
            <w:r>
              <w:rPr>
                <w:rFonts w:hint="eastAsia"/>
                <w:color w:val="auto"/>
                <w:kern w:val="0"/>
                <w:sz w:val="24"/>
                <w:szCs w:val="24"/>
                <w:u w:val="none" w:color="auto"/>
                <w:lang w:val="en-US" w:eastAsia="zh-CN"/>
              </w:rPr>
              <w:t>传染科，不涉及含重金属、放射性污染物的废水。同时，</w:t>
            </w:r>
            <w:r>
              <w:rPr>
                <w:rFonts w:hint="eastAsia" w:cs="Times New Roman"/>
                <w:color w:val="auto"/>
                <w:sz w:val="24"/>
                <w:highlight w:val="none"/>
                <w:u w:val="none" w:color="auto"/>
                <w:lang w:val="en-US" w:eastAsia="zh-CN"/>
              </w:rPr>
              <w:t>本次评价废水检测计划所选取的监测因子不仅均为本项目营运期综合医疗废水中所含主要污染因子，而且为</w:t>
            </w:r>
            <w:r>
              <w:rPr>
                <w:rFonts w:hint="eastAsia"/>
                <w:color w:val="auto"/>
                <w:kern w:val="0"/>
                <w:sz w:val="24"/>
                <w:szCs w:val="24"/>
                <w:u w:val="none" w:color="auto"/>
                <w:lang w:val="en-US" w:eastAsia="zh-CN"/>
              </w:rPr>
              <w:t>《医疗机构水污染物排放标准》（GB18466-2005）表2中污染控制项目，因此，监测</w:t>
            </w:r>
            <w:r>
              <w:rPr>
                <w:rFonts w:hint="eastAsia" w:cs="Times New Roman"/>
                <w:color w:val="auto"/>
                <w:sz w:val="24"/>
                <w:highlight w:val="none"/>
                <w:u w:val="none" w:color="auto"/>
                <w:lang w:val="en-US" w:eastAsia="zh-CN"/>
              </w:rPr>
              <w:t>指标选取合理。</w:t>
            </w:r>
            <w:r>
              <w:rPr>
                <w:rFonts w:hint="eastAsia" w:ascii="Times New Roman" w:hAnsi="Times New Roman" w:eastAsia="宋体" w:cs="Times New Roman"/>
                <w:color w:val="auto"/>
                <w:kern w:val="0"/>
                <w:sz w:val="24"/>
                <w:szCs w:val="24"/>
                <w:highlight w:val="none"/>
                <w:u w:val="none" w:color="auto"/>
                <w:lang w:val="en-US" w:eastAsia="zh-CN" w:bidi="ar"/>
              </w:rPr>
              <w:t>项目废水监测计划见表4-</w:t>
            </w:r>
            <w:r>
              <w:rPr>
                <w:rFonts w:hint="eastAsia" w:cs="Times New Roman"/>
                <w:color w:val="auto"/>
                <w:kern w:val="0"/>
                <w:sz w:val="24"/>
                <w:szCs w:val="24"/>
                <w:highlight w:val="none"/>
                <w:u w:val="none" w:color="auto"/>
                <w:lang w:val="en-US" w:eastAsia="zh-CN" w:bidi="ar"/>
              </w:rPr>
              <w:t>8</w:t>
            </w:r>
            <w:r>
              <w:rPr>
                <w:rFonts w:hint="eastAsia" w:ascii="Times New Roman" w:hAnsi="Times New Roman" w:eastAsia="宋体" w:cs="Times New Roman"/>
                <w:color w:val="auto"/>
                <w:kern w:val="0"/>
                <w:sz w:val="24"/>
                <w:szCs w:val="24"/>
                <w:highlight w:val="none"/>
                <w:u w:val="none" w:color="auto"/>
                <w:lang w:val="en-US" w:eastAsia="zh-CN" w:bidi="ar"/>
              </w:rPr>
              <w:t>。</w:t>
            </w:r>
          </w:p>
          <w:p w14:paraId="23B62CC4">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eastAsia"/>
                <w:color w:val="000000" w:themeColor="text1"/>
                <w:u w:val="single" w:color="auto"/>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表4-</w:t>
            </w:r>
            <w:r>
              <w:rPr>
                <w:rFonts w:hint="eastAsia" w:cs="Times New Roman"/>
                <w:b/>
                <w:bCs/>
                <w:color w:val="000000" w:themeColor="text1"/>
                <w:sz w:val="21"/>
                <w:szCs w:val="21"/>
                <w:u w:val="none" w:color="auto"/>
                <w:lang w:val="en-US" w:eastAsia="zh-CN"/>
                <w14:textFill>
                  <w14:solidFill>
                    <w14:schemeClr w14:val="tx1"/>
                  </w14:solidFill>
                </w14:textFill>
              </w:rPr>
              <w:t>8</w:t>
            </w:r>
            <w:r>
              <w:rPr>
                <w:rFonts w:hint="default" w:ascii="Times New Roman" w:hAnsi="Times New Roman" w:eastAsia="宋体" w:cs="Times New Roman"/>
                <w:b/>
                <w:bCs/>
                <w:color w:val="000000" w:themeColor="text1"/>
                <w:sz w:val="21"/>
                <w:szCs w:val="21"/>
                <w:u w:val="none" w:color="auto"/>
                <w:lang w:val="en-US" w:eastAsia="zh-CN"/>
                <w14:textFill>
                  <w14:solidFill>
                    <w14:schemeClr w14:val="tx1"/>
                  </w14:solidFill>
                </w14:textFill>
              </w:rPr>
              <w:t xml:space="preserve"> 项目废水监测计划</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5479"/>
              <w:gridCol w:w="1163"/>
            </w:tblGrid>
            <w:tr w14:paraId="3623E9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731" w:type="pct"/>
                  <w:tcBorders>
                    <w:tl2br w:val="nil"/>
                    <w:tr2bl w:val="nil"/>
                  </w:tcBorders>
                  <w:vAlign w:val="center"/>
                </w:tcPr>
                <w:p w14:paraId="68CBD7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监测点位</w:t>
                  </w:r>
                </w:p>
              </w:tc>
              <w:tc>
                <w:tcPr>
                  <w:tcW w:w="3520" w:type="pct"/>
                  <w:tcBorders>
                    <w:tl2br w:val="nil"/>
                    <w:tr2bl w:val="nil"/>
                  </w:tcBorders>
                  <w:vAlign w:val="center"/>
                </w:tcPr>
                <w:p w14:paraId="3A290C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监测指标</w:t>
                  </w:r>
                </w:p>
              </w:tc>
              <w:tc>
                <w:tcPr>
                  <w:tcW w:w="747" w:type="pct"/>
                  <w:tcBorders>
                    <w:tl2br w:val="nil"/>
                    <w:tr2bl w:val="nil"/>
                  </w:tcBorders>
                  <w:vAlign w:val="center"/>
                </w:tcPr>
                <w:p w14:paraId="171C6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b w:val="0"/>
                      <w:bCs w:val="0"/>
                      <w:color w:val="000000" w:themeColor="text1"/>
                      <w:kern w:val="0"/>
                      <w:sz w:val="21"/>
                      <w:szCs w:val="21"/>
                      <w:u w:val="none" w:color="auto"/>
                      <w14:textFill>
                        <w14:solidFill>
                          <w14:schemeClr w14:val="tx1"/>
                        </w14:solidFill>
                      </w14:textFill>
                    </w:rPr>
                    <w:t>监测频次</w:t>
                  </w:r>
                </w:p>
              </w:tc>
            </w:tr>
            <w:tr w14:paraId="45DDB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1" w:type="pct"/>
                  <w:tcBorders>
                    <w:tl2br w:val="nil"/>
                    <w:tr2bl w:val="nil"/>
                  </w:tcBorders>
                  <w:vAlign w:val="center"/>
                </w:tcPr>
                <w:p w14:paraId="53A9FC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DW001</w:t>
                  </w:r>
                </w:p>
              </w:tc>
              <w:tc>
                <w:tcPr>
                  <w:tcW w:w="3520" w:type="pct"/>
                  <w:tcBorders>
                    <w:tl2br w:val="nil"/>
                    <w:tr2bl w:val="nil"/>
                  </w:tcBorders>
                  <w:vAlign w:val="center"/>
                </w:tcPr>
                <w:p w14:paraId="39C82C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non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non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none" w:color="auto"/>
                      <w:lang w:val="en-US" w:eastAsia="zh-CN"/>
                      <w14:textFill>
                        <w14:solidFill>
                          <w14:schemeClr w14:val="tx1"/>
                        </w14:solidFill>
                      </w14:textFill>
                    </w:rPr>
                    <w:t>LAS</w:t>
                  </w:r>
                </w:p>
              </w:tc>
              <w:tc>
                <w:tcPr>
                  <w:tcW w:w="747" w:type="pct"/>
                  <w:tcBorders>
                    <w:tl2br w:val="nil"/>
                    <w:tr2bl w:val="nil"/>
                  </w:tcBorders>
                  <w:vAlign w:val="center"/>
                </w:tcPr>
                <w:p w14:paraId="205221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none" w:color="auto"/>
                      <w14:textFill>
                        <w14:solidFill>
                          <w14:schemeClr w14:val="tx1"/>
                        </w14:solidFill>
                      </w14:textFill>
                    </w:rPr>
                  </w:pPr>
                  <w:r>
                    <w:rPr>
                      <w:rFonts w:hint="default" w:ascii="Times New Roman" w:hAnsi="Times New Roman" w:eastAsia="宋体" w:cs="Times New Roman"/>
                      <w:color w:val="000000" w:themeColor="text1"/>
                      <w:kern w:val="0"/>
                      <w:sz w:val="21"/>
                      <w:szCs w:val="21"/>
                      <w:u w:val="none" w:color="auto"/>
                      <w14:textFill>
                        <w14:solidFill>
                          <w14:schemeClr w14:val="tx1"/>
                        </w14:solidFill>
                      </w14:textFill>
                    </w:rPr>
                    <w:t>1次/年</w:t>
                  </w:r>
                </w:p>
              </w:tc>
            </w:tr>
          </w:tbl>
          <w:p w14:paraId="39E71306">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firstLine="480" w:firstLineChars="200"/>
              <w:textAlignment w:val="auto"/>
              <w:rPr>
                <w:rFonts w:hint="eastAsia" w:ascii="Times New Roman" w:hAnsi="Times New Roman" w:eastAsia="宋体" w:cs="Times New Roman"/>
                <w:color w:val="auto"/>
                <w:kern w:val="0"/>
                <w:sz w:val="24"/>
                <w:szCs w:val="24"/>
                <w:u w:val="single" w:color="auto"/>
                <w:lang w:val="en-US" w:eastAsia="zh-CN" w:bidi="ar-SA"/>
              </w:rPr>
            </w:pPr>
            <w:r>
              <w:rPr>
                <w:rFonts w:hint="eastAsia" w:ascii="Times New Roman" w:hAnsi="Times New Roman" w:eastAsia="宋体" w:cs="Times New Roman"/>
                <w:color w:val="auto"/>
                <w:kern w:val="0"/>
                <w:sz w:val="24"/>
                <w:szCs w:val="24"/>
                <w:u w:val="single" w:color="auto"/>
                <w:lang w:val="en-US" w:eastAsia="zh-CN" w:bidi="ar-SA"/>
              </w:rPr>
              <w:t>6、地表水环境影响分析</w:t>
            </w:r>
          </w:p>
          <w:p w14:paraId="26CBEEA6">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textAlignment w:val="auto"/>
              <w:rPr>
                <w:rFonts w:hint="default" w:ascii="Times New Roman" w:hAnsi="Times New Roman" w:eastAsia="宋体" w:cs="Times New Roman"/>
                <w:color w:val="auto"/>
                <w:kern w:val="0"/>
                <w:sz w:val="24"/>
                <w:szCs w:val="24"/>
                <w:u w:val="single" w:color="auto"/>
                <w:lang w:val="en-US" w:eastAsia="zh-CN" w:bidi="ar-SA"/>
              </w:rPr>
            </w:pPr>
            <w:r>
              <w:rPr>
                <w:rFonts w:hint="eastAsia" w:ascii="Times New Roman" w:hAnsi="Times New Roman" w:eastAsia="宋体" w:cs="Times New Roman"/>
                <w:color w:val="auto"/>
                <w:kern w:val="0"/>
                <w:sz w:val="24"/>
                <w:szCs w:val="24"/>
                <w:u w:val="single" w:color="auto"/>
                <w:lang w:val="en-US" w:eastAsia="zh-CN" w:bidi="ar-SA"/>
              </w:rPr>
              <w:t xml:space="preserve">    本项目废水经“一级处理+消毒”处理工艺处理达标后经污水管网排入镇污水处理厂进行深度处理，处理到达</w:t>
            </w:r>
            <w:r>
              <w:rPr>
                <w:rFonts w:hint="default" w:ascii="Times New Roman" w:hAnsi="Times New Roman" w:eastAsia="宋体" w:cs="Times New Roman"/>
                <w:color w:val="auto"/>
                <w:kern w:val="0"/>
                <w:sz w:val="24"/>
                <w:szCs w:val="24"/>
                <w:u w:val="single" w:color="auto"/>
                <w:lang w:val="en-US" w:eastAsia="zh-CN" w:bidi="ar-SA"/>
              </w:rPr>
              <w:t>《城镇污水处理厂污染物排放标准》（GB18918-2002）中一级</w:t>
            </w:r>
            <w:r>
              <w:rPr>
                <w:rFonts w:hint="eastAsia" w:ascii="Times New Roman" w:hAnsi="Times New Roman" w:eastAsia="宋体" w:cs="Times New Roman"/>
                <w:color w:val="auto"/>
                <w:kern w:val="0"/>
                <w:sz w:val="24"/>
                <w:szCs w:val="24"/>
                <w:u w:val="single" w:color="auto"/>
                <w:lang w:val="en-US" w:eastAsia="zh-CN" w:bidi="ar-SA"/>
              </w:rPr>
              <w:t>B</w:t>
            </w:r>
            <w:r>
              <w:rPr>
                <w:rFonts w:hint="default" w:ascii="Times New Roman" w:hAnsi="Times New Roman" w:eastAsia="宋体" w:cs="Times New Roman"/>
                <w:color w:val="auto"/>
                <w:kern w:val="0"/>
                <w:sz w:val="24"/>
                <w:szCs w:val="24"/>
                <w:u w:val="single" w:color="auto"/>
                <w:lang w:val="en-US" w:eastAsia="zh-CN" w:bidi="ar-SA"/>
              </w:rPr>
              <w:t>标准</w:t>
            </w:r>
            <w:r>
              <w:rPr>
                <w:rFonts w:hint="eastAsia" w:ascii="Times New Roman" w:hAnsi="Times New Roman" w:eastAsia="宋体" w:cs="Times New Roman"/>
                <w:color w:val="auto"/>
                <w:kern w:val="0"/>
                <w:sz w:val="24"/>
                <w:szCs w:val="24"/>
                <w:u w:val="single" w:color="auto"/>
                <w:lang w:val="en-US" w:eastAsia="zh-CN" w:bidi="ar-SA"/>
              </w:rPr>
              <w:t>后排入新田河支流油麻岭河。本项目废水处理工艺符合国家要求，不直接排入外环境，对地表水环境影响可接受。</w:t>
            </w:r>
          </w:p>
          <w:p w14:paraId="66D2E6B2">
            <w:pPr>
              <w:pStyle w:val="15"/>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right="0" w:rightChars="0"/>
              <w:textAlignment w:val="auto"/>
              <w:rPr>
                <w:rFonts w:hint="default" w:ascii="Times New Roman" w:hAnsi="Times New Roman" w:eastAsia="宋体" w:cs="Times New Roman"/>
                <w:b/>
                <w:bCs/>
                <w:color w:val="000000" w:themeColor="text1"/>
                <w:sz w:val="24"/>
                <w:szCs w:val="24"/>
                <w:u w:val="none" w:color="auto"/>
                <w:lang w:val="en-US" w:eastAsia="zh-CN"/>
                <w14:textFill>
                  <w14:solidFill>
                    <w14:schemeClr w14:val="tx1"/>
                  </w14:solidFill>
                </w14:textFill>
              </w:rPr>
            </w:pPr>
            <w:r>
              <w:rPr>
                <w:rFonts w:hint="eastAsia" w:ascii="Times New Roman" w:hAnsi="Times New Roman" w:eastAsia="宋体" w:cs="Times New Roman"/>
                <w:b/>
                <w:bCs/>
                <w:color w:val="auto"/>
                <w:kern w:val="2"/>
                <w:sz w:val="24"/>
                <w:szCs w:val="24"/>
                <w:u w:val="none" w:color="auto"/>
                <w:lang w:val="en-US" w:eastAsia="zh-CN" w:bidi="ar-SA"/>
              </w:rPr>
              <w:t>三</w:t>
            </w:r>
            <w:r>
              <w:rPr>
                <w:rFonts w:hint="default" w:ascii="Times New Roman" w:hAnsi="Times New Roman" w:eastAsia="宋体" w:cs="Times New Roman"/>
                <w:b/>
                <w:bCs/>
                <w:color w:val="auto"/>
                <w:kern w:val="2"/>
                <w:sz w:val="24"/>
                <w:szCs w:val="24"/>
                <w:u w:val="none" w:color="auto"/>
                <w:lang w:val="en-US" w:eastAsia="zh-CN" w:bidi="ar-SA"/>
              </w:rPr>
              <w:t>、</w:t>
            </w:r>
            <w:r>
              <w:rPr>
                <w:rFonts w:hint="default" w:ascii="Times New Roman" w:hAnsi="Times New Roman" w:eastAsia="宋体" w:cs="Times New Roman"/>
                <w:b/>
                <w:bCs/>
                <w:color w:val="auto"/>
                <w:sz w:val="24"/>
                <w:szCs w:val="24"/>
                <w:u w:val="none" w:color="auto"/>
                <w:lang w:val="en-US" w:eastAsia="zh-CN"/>
              </w:rPr>
              <w:t>运营期声环境影响和保护措施</w:t>
            </w:r>
          </w:p>
          <w:p w14:paraId="45ACE7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1、</w:t>
            </w:r>
            <w:r>
              <w:rPr>
                <w:rFonts w:hint="eastAsia"/>
                <w:sz w:val="24"/>
                <w:szCs w:val="24"/>
                <w:lang w:eastAsia="zh-CN"/>
              </w:rPr>
              <w:t>噪声源强</w:t>
            </w:r>
          </w:p>
          <w:p w14:paraId="4A271A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sz w:val="24"/>
                <w:szCs w:val="24"/>
                <w:lang w:eastAsia="zh-CN"/>
              </w:rPr>
            </w:pPr>
            <w:r>
              <w:rPr>
                <w:rFonts w:hint="default"/>
                <w:sz w:val="24"/>
                <w:szCs w:val="24"/>
              </w:rPr>
              <w:t>项目运营期噪声主要为社会生活噪声、设备运行噪声和交通噪声。社会生活噪声包括职工及病人生活噪声；设备噪声主要为空调运行噪声；交通噪声主要为出入本项目附近的车辆行驶噪声。噪声源强及产噪位置见表4-</w:t>
            </w:r>
            <w:r>
              <w:rPr>
                <w:rFonts w:hint="eastAsia"/>
                <w:sz w:val="24"/>
                <w:szCs w:val="24"/>
                <w:lang w:val="en-US" w:eastAsia="zh-CN"/>
              </w:rPr>
              <w:t>9</w:t>
            </w:r>
            <w:r>
              <w:rPr>
                <w:rFonts w:hint="default"/>
                <w:sz w:val="24"/>
                <w:szCs w:val="24"/>
              </w:rPr>
              <w:t>。</w:t>
            </w:r>
          </w:p>
          <w:p w14:paraId="0EF3CD03">
            <w:pPr>
              <w:spacing w:line="240" w:lineRule="auto"/>
              <w:ind w:firstLine="422" w:firstLineChars="20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表4-</w:t>
            </w:r>
            <w:r>
              <w:rPr>
                <w:rFonts w:hint="eastAsia" w:cs="Times New Roman"/>
                <w:b/>
                <w:color w:val="auto"/>
                <w:sz w:val="21"/>
                <w:szCs w:val="21"/>
                <w:lang w:val="en-US" w:eastAsia="zh-CN"/>
              </w:rPr>
              <w:t xml:space="preserve">9 </w:t>
            </w:r>
            <w:r>
              <w:rPr>
                <w:rFonts w:hint="default" w:ascii="Times New Roman" w:hAnsi="Times New Roman" w:eastAsia="宋体" w:cs="Times New Roman"/>
                <w:b/>
                <w:color w:val="auto"/>
                <w:sz w:val="21"/>
                <w:szCs w:val="21"/>
              </w:rPr>
              <w:t>运营期噪声源强一览表</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2246"/>
              <w:gridCol w:w="1745"/>
              <w:gridCol w:w="1676"/>
              <w:gridCol w:w="1438"/>
            </w:tblGrid>
            <w:tr w14:paraId="7A027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696113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序号</w:t>
                  </w:r>
                </w:p>
              </w:tc>
              <w:tc>
                <w:tcPr>
                  <w:tcW w:w="2186" w:type="dxa"/>
                  <w:tcBorders>
                    <w:tl2br w:val="nil"/>
                    <w:tr2bl w:val="nil"/>
                  </w:tcBorders>
                  <w:vAlign w:val="center"/>
                </w:tcPr>
                <w:p w14:paraId="15EBA9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噪声类型</w:t>
                  </w:r>
                </w:p>
              </w:tc>
              <w:tc>
                <w:tcPr>
                  <w:tcW w:w="1699" w:type="dxa"/>
                  <w:tcBorders>
                    <w:tl2br w:val="nil"/>
                    <w:tr2bl w:val="nil"/>
                  </w:tcBorders>
                  <w:vAlign w:val="center"/>
                </w:tcPr>
                <w:p w14:paraId="4F3999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w:t>
                  </w:r>
                </w:p>
              </w:tc>
              <w:tc>
                <w:tcPr>
                  <w:tcW w:w="1631" w:type="dxa"/>
                  <w:tcBorders>
                    <w:tl2br w:val="nil"/>
                    <w:tr2bl w:val="nil"/>
                  </w:tcBorders>
                  <w:vAlign w:val="center"/>
                </w:tcPr>
                <w:p w14:paraId="6DA916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产生位置</w:t>
                  </w:r>
                </w:p>
              </w:tc>
              <w:tc>
                <w:tcPr>
                  <w:tcW w:w="1400" w:type="dxa"/>
                  <w:tcBorders>
                    <w:tl2br w:val="nil"/>
                    <w:tr2bl w:val="nil"/>
                  </w:tcBorders>
                  <w:vAlign w:val="center"/>
                </w:tcPr>
                <w:p w14:paraId="1CE94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000000" w:themeColor="text1"/>
                      <w:kern w:val="0"/>
                      <w:sz w:val="21"/>
                      <w:szCs w:val="21"/>
                      <w14:textFill>
                        <w14:solidFill>
                          <w14:schemeClr w14:val="tx1"/>
                        </w14:solidFill>
                      </w14:textFill>
                    </w:rPr>
                  </w:pPr>
                  <w:r>
                    <w:rPr>
                      <w:rFonts w:hint="default" w:ascii="Times New Roman" w:hAnsi="Times New Roman" w:cs="Times New Roman"/>
                      <w:b w:val="0"/>
                      <w:bCs w:val="0"/>
                      <w:color w:val="000000" w:themeColor="text1"/>
                      <w:kern w:val="0"/>
                      <w:sz w:val="21"/>
                      <w:szCs w:val="21"/>
                      <w14:textFill>
                        <w14:solidFill>
                          <w14:schemeClr w14:val="tx1"/>
                        </w14:solidFill>
                      </w14:textFill>
                    </w:rPr>
                    <w:t>噪声源强dB（A）</w:t>
                  </w:r>
                </w:p>
              </w:tc>
            </w:tr>
            <w:tr w14:paraId="25289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5E84EA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1</w:t>
                  </w:r>
                </w:p>
              </w:tc>
              <w:tc>
                <w:tcPr>
                  <w:tcW w:w="2186" w:type="dxa"/>
                  <w:tcBorders>
                    <w:tl2br w:val="nil"/>
                    <w:tr2bl w:val="nil"/>
                  </w:tcBorders>
                  <w:vAlign w:val="center"/>
                </w:tcPr>
                <w:p w14:paraId="02DF81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社会生活噪声</w:t>
                  </w:r>
                </w:p>
              </w:tc>
              <w:tc>
                <w:tcPr>
                  <w:tcW w:w="1699" w:type="dxa"/>
                  <w:tcBorders>
                    <w:tl2br w:val="nil"/>
                    <w:tr2bl w:val="nil"/>
                  </w:tcBorders>
                  <w:vAlign w:val="center"/>
                </w:tcPr>
                <w:p w14:paraId="59F12B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人群活动</w:t>
                  </w:r>
                </w:p>
              </w:tc>
              <w:tc>
                <w:tcPr>
                  <w:tcW w:w="1631" w:type="dxa"/>
                  <w:tcBorders>
                    <w:tl2br w:val="nil"/>
                    <w:tr2bl w:val="nil"/>
                  </w:tcBorders>
                  <w:vAlign w:val="center"/>
                </w:tcPr>
                <w:p w14:paraId="0AF472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14:paraId="522E5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60~70</w:t>
                  </w:r>
                </w:p>
              </w:tc>
            </w:tr>
            <w:tr w14:paraId="3D310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1BFD456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2</w:t>
                  </w:r>
                </w:p>
              </w:tc>
              <w:tc>
                <w:tcPr>
                  <w:tcW w:w="2186" w:type="dxa"/>
                  <w:tcBorders>
                    <w:tl2br w:val="nil"/>
                    <w:tr2bl w:val="nil"/>
                  </w:tcBorders>
                  <w:vAlign w:val="center"/>
                </w:tcPr>
                <w:p w14:paraId="10DF01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设施设备运行噪声</w:t>
                  </w:r>
                </w:p>
              </w:tc>
              <w:tc>
                <w:tcPr>
                  <w:tcW w:w="1699" w:type="dxa"/>
                  <w:tcBorders>
                    <w:tl2br w:val="nil"/>
                    <w:tr2bl w:val="nil"/>
                  </w:tcBorders>
                  <w:vAlign w:val="center"/>
                </w:tcPr>
                <w:p w14:paraId="57CFB1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空调挂机噪声</w:t>
                  </w:r>
                </w:p>
              </w:tc>
              <w:tc>
                <w:tcPr>
                  <w:tcW w:w="1631" w:type="dxa"/>
                  <w:tcBorders>
                    <w:tl2br w:val="nil"/>
                    <w:tr2bl w:val="nil"/>
                  </w:tcBorders>
                  <w:vAlign w:val="center"/>
                </w:tcPr>
                <w:p w14:paraId="4B0893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大楼内</w:t>
                  </w:r>
                </w:p>
              </w:tc>
              <w:tc>
                <w:tcPr>
                  <w:tcW w:w="1400" w:type="dxa"/>
                  <w:tcBorders>
                    <w:tl2br w:val="nil"/>
                    <w:tr2bl w:val="nil"/>
                  </w:tcBorders>
                  <w:vAlign w:val="center"/>
                </w:tcPr>
                <w:p w14:paraId="60FDB1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70~75</w:t>
                  </w:r>
                </w:p>
              </w:tc>
            </w:tr>
            <w:tr w14:paraId="21D26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3AB576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3</w:t>
                  </w:r>
                </w:p>
              </w:tc>
              <w:tc>
                <w:tcPr>
                  <w:tcW w:w="2186" w:type="dxa"/>
                  <w:tcBorders>
                    <w:tl2br w:val="nil"/>
                    <w:tr2bl w:val="nil"/>
                  </w:tcBorders>
                  <w:vAlign w:val="center"/>
                </w:tcPr>
                <w:p w14:paraId="4B1BF8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交通噪声</w:t>
                  </w:r>
                </w:p>
              </w:tc>
              <w:tc>
                <w:tcPr>
                  <w:tcW w:w="1699" w:type="dxa"/>
                  <w:tcBorders>
                    <w:tl2br w:val="nil"/>
                    <w:tr2bl w:val="nil"/>
                  </w:tcBorders>
                  <w:vAlign w:val="center"/>
                </w:tcPr>
                <w:p w14:paraId="7DD286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出入车辆</w:t>
                  </w:r>
                </w:p>
              </w:tc>
              <w:tc>
                <w:tcPr>
                  <w:tcW w:w="1631" w:type="dxa"/>
                  <w:tcBorders>
                    <w:tl2br w:val="nil"/>
                    <w:tr2bl w:val="nil"/>
                  </w:tcBorders>
                  <w:vAlign w:val="center"/>
                </w:tcPr>
                <w:p w14:paraId="7EDBE1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项目周边道路</w:t>
                  </w:r>
                </w:p>
              </w:tc>
              <w:tc>
                <w:tcPr>
                  <w:tcW w:w="1400" w:type="dxa"/>
                  <w:tcBorders>
                    <w:tl2br w:val="nil"/>
                    <w:tr2bl w:val="nil"/>
                  </w:tcBorders>
                  <w:vAlign w:val="center"/>
                </w:tcPr>
                <w:p w14:paraId="781ABE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70~80</w:t>
                  </w:r>
                </w:p>
              </w:tc>
            </w:tr>
            <w:tr w14:paraId="2754B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6" w:type="dxa"/>
                  <w:tcBorders>
                    <w:tl2br w:val="nil"/>
                    <w:tr2bl w:val="nil"/>
                  </w:tcBorders>
                  <w:vAlign w:val="center"/>
                </w:tcPr>
                <w:p w14:paraId="2781B2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4</w:t>
                  </w:r>
                </w:p>
              </w:tc>
              <w:tc>
                <w:tcPr>
                  <w:tcW w:w="2186" w:type="dxa"/>
                  <w:tcBorders>
                    <w:tl2br w:val="nil"/>
                    <w:tr2bl w:val="nil"/>
                  </w:tcBorders>
                  <w:vAlign w:val="center"/>
                </w:tcPr>
                <w:p w14:paraId="187C6A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污水处理站泵等设备运行噪声</w:t>
                  </w:r>
                </w:p>
              </w:tc>
              <w:tc>
                <w:tcPr>
                  <w:tcW w:w="1699" w:type="dxa"/>
                  <w:tcBorders>
                    <w:tl2br w:val="nil"/>
                    <w:tr2bl w:val="nil"/>
                  </w:tcBorders>
                  <w:vAlign w:val="center"/>
                </w:tcPr>
                <w:p w14:paraId="58AAF0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631" w:type="dxa"/>
                  <w:tcBorders>
                    <w:tl2br w:val="nil"/>
                    <w:tr2bl w:val="nil"/>
                  </w:tcBorders>
                  <w:vAlign w:val="center"/>
                </w:tcPr>
                <w:p w14:paraId="26BA0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cs="Times New Roman"/>
                      <w:color w:val="000000" w:themeColor="text1"/>
                      <w:kern w:val="0"/>
                      <w:sz w:val="21"/>
                      <w:szCs w:val="21"/>
                      <w:lang w:eastAsia="zh-CN"/>
                      <w14:textFill>
                        <w14:solidFill>
                          <w14:schemeClr w14:val="tx1"/>
                        </w14:solidFill>
                      </w14:textFill>
                    </w:rPr>
                    <w:t>污水处理站</w:t>
                  </w:r>
                </w:p>
              </w:tc>
              <w:tc>
                <w:tcPr>
                  <w:tcW w:w="1400" w:type="dxa"/>
                  <w:tcBorders>
                    <w:tl2br w:val="nil"/>
                    <w:tr2bl w:val="nil"/>
                  </w:tcBorders>
                  <w:vAlign w:val="center"/>
                </w:tcPr>
                <w:p w14:paraId="6E4557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70</w:t>
                  </w:r>
                  <w:r>
                    <w:rPr>
                      <w:rFonts w:hint="default" w:ascii="Times New Roman" w:hAnsi="Times New Roman" w:cs="Times New Roman"/>
                      <w:color w:val="000000" w:themeColor="text1"/>
                      <w:kern w:val="0"/>
                      <w:sz w:val="21"/>
                      <w:szCs w:val="21"/>
                      <w14:textFill>
                        <w14:solidFill>
                          <w14:schemeClr w14:val="tx1"/>
                        </w14:solidFill>
                      </w14:textFill>
                    </w:rPr>
                    <w:t>~8</w:t>
                  </w:r>
                  <w:r>
                    <w:rPr>
                      <w:rFonts w:hint="eastAsia" w:cs="Times New Roman"/>
                      <w:color w:val="000000" w:themeColor="text1"/>
                      <w:kern w:val="0"/>
                      <w:sz w:val="21"/>
                      <w:szCs w:val="21"/>
                      <w:lang w:val="en-US" w:eastAsia="zh-CN"/>
                      <w14:textFill>
                        <w14:solidFill>
                          <w14:schemeClr w14:val="tx1"/>
                        </w14:solidFill>
                      </w14:textFill>
                    </w:rPr>
                    <w:t>5</w:t>
                  </w:r>
                </w:p>
              </w:tc>
            </w:tr>
          </w:tbl>
          <w:p w14:paraId="2A6E19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rPr>
            </w:pPr>
            <w:r>
              <w:rPr>
                <w:rFonts w:hint="default"/>
                <w:sz w:val="24"/>
                <w:szCs w:val="24"/>
              </w:rPr>
              <w:fldChar w:fldCharType="begin"/>
            </w:r>
            <w:r>
              <w:rPr>
                <w:rFonts w:hint="default"/>
                <w:sz w:val="24"/>
                <w:szCs w:val="24"/>
              </w:rPr>
              <w:instrText xml:space="preserve"> = 1 \* GB3 \* MERGEFORMAT </w:instrText>
            </w:r>
            <w:r>
              <w:rPr>
                <w:rFonts w:hint="default"/>
                <w:sz w:val="24"/>
                <w:szCs w:val="24"/>
              </w:rPr>
              <w:fldChar w:fldCharType="separate"/>
            </w:r>
            <w:r>
              <w:rPr>
                <w:sz w:val="24"/>
                <w:szCs w:val="24"/>
              </w:rPr>
              <w:t>①</w:t>
            </w:r>
            <w:r>
              <w:rPr>
                <w:rFonts w:hint="default"/>
                <w:sz w:val="24"/>
                <w:szCs w:val="24"/>
              </w:rPr>
              <w:fldChar w:fldCharType="end"/>
            </w:r>
            <w:r>
              <w:rPr>
                <w:rFonts w:hint="default"/>
                <w:sz w:val="24"/>
                <w:szCs w:val="24"/>
              </w:rPr>
              <w:t>设备</w:t>
            </w:r>
            <w:r>
              <w:rPr>
                <w:rFonts w:hint="eastAsia"/>
                <w:sz w:val="24"/>
                <w:szCs w:val="24"/>
                <w:lang w:eastAsia="zh-CN"/>
              </w:rPr>
              <w:t>运行</w:t>
            </w:r>
            <w:r>
              <w:rPr>
                <w:rFonts w:hint="default"/>
                <w:sz w:val="24"/>
                <w:szCs w:val="24"/>
              </w:rPr>
              <w:t>噪声</w:t>
            </w:r>
          </w:p>
          <w:p w14:paraId="0A134FE9">
            <w:pPr>
              <w:spacing w:line="360" w:lineRule="auto"/>
              <w:ind w:firstLine="480" w:firstLineChars="200"/>
              <w:jc w:val="left"/>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本项目选择低噪型设备、合理布局、将高噪声设备置于室内并尽可能远离</w:t>
            </w:r>
            <w:r>
              <w:rPr>
                <w:rFonts w:hint="eastAsia" w:cs="Times New Roman"/>
                <w:color w:val="000000" w:themeColor="text1"/>
                <w:kern w:val="0"/>
                <w:sz w:val="24"/>
                <w:lang w:val="en-US" w:eastAsia="zh-CN"/>
                <w14:textFill>
                  <w14:solidFill>
                    <w14:schemeClr w14:val="tx1"/>
                  </w14:solidFill>
                </w14:textFill>
              </w:rPr>
              <w:t>厂</w:t>
            </w:r>
            <w:r>
              <w:rPr>
                <w:rFonts w:hint="default" w:ascii="Times New Roman" w:hAnsi="Times New Roman" w:cs="Times New Roman"/>
                <w:color w:val="000000" w:themeColor="text1"/>
                <w:kern w:val="0"/>
                <w:sz w:val="24"/>
                <w14:textFill>
                  <w14:solidFill>
                    <w14:schemeClr w14:val="tx1"/>
                  </w14:solidFill>
                </w14:textFill>
              </w:rPr>
              <w:t>界，并且采取适当的隔声降噪措施</w:t>
            </w:r>
            <w:r>
              <w:rPr>
                <w:rFonts w:hint="eastAsia" w:cs="Times New Roman"/>
                <w:color w:val="000000" w:themeColor="text1"/>
                <w:kern w:val="0"/>
                <w:sz w:val="24"/>
                <w:lang w:eastAsia="zh-CN"/>
                <w14:textFill>
                  <w14:solidFill>
                    <w14:schemeClr w14:val="tx1"/>
                  </w14:solidFill>
                </w14:textFill>
              </w:rPr>
              <w:t>，对周围环境敏感点及周围环境的影响较小</w:t>
            </w:r>
            <w:r>
              <w:rPr>
                <w:rFonts w:hint="default" w:ascii="Times New Roman" w:hAnsi="Times New Roman" w:cs="Times New Roman"/>
                <w:color w:val="000000" w:themeColor="text1"/>
                <w:kern w:val="0"/>
                <w:sz w:val="24"/>
                <w14:textFill>
                  <w14:solidFill>
                    <w14:schemeClr w14:val="tx1"/>
                  </w14:solidFill>
                </w14:textFill>
              </w:rPr>
              <w:t>。</w:t>
            </w:r>
          </w:p>
          <w:p w14:paraId="49DD2474">
            <w:pPr>
              <w:spacing w:line="360" w:lineRule="auto"/>
              <w:ind w:firstLine="480" w:firstLineChars="20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2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②</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社会生活噪声</w:t>
            </w:r>
          </w:p>
          <w:p w14:paraId="4A3D831C">
            <w:pPr>
              <w:spacing w:line="360" w:lineRule="auto"/>
              <w:ind w:firstLine="480" w:firstLineChars="200"/>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本项目社会生活噪声主要为病人及职工人员产生的噪声，源强在60~</w:t>
            </w:r>
            <w:r>
              <w:rPr>
                <w:rFonts w:hint="eastAsia" w:cs="Times New Roman"/>
                <w:color w:val="000000" w:themeColor="text1"/>
                <w:kern w:val="0"/>
                <w:sz w:val="24"/>
                <w:lang w:val="en-US" w:eastAsia="zh-CN"/>
                <w14:textFill>
                  <w14:solidFill>
                    <w14:schemeClr w14:val="tx1"/>
                  </w14:solidFill>
                </w14:textFill>
              </w:rPr>
              <w:t>70</w:t>
            </w:r>
            <w:r>
              <w:rPr>
                <w:rFonts w:hint="default" w:ascii="Times New Roman" w:hAnsi="Times New Roman" w:cs="Times New Roman"/>
                <w:color w:val="000000" w:themeColor="text1"/>
                <w:kern w:val="0"/>
                <w:sz w:val="24"/>
                <w14:textFill>
                  <w14:solidFill>
                    <w14:schemeClr w14:val="tx1"/>
                  </w14:solidFill>
                </w14:textFill>
              </w:rPr>
              <w:t>dB（A）之间，声源呈不连续性，昼夜差别大，经加强管理，强化医护人员及病人意识，噪声通过墙体隔声和距离衰减后，对项目周边环境敏感点及周围环境的影响较小。</w:t>
            </w:r>
          </w:p>
          <w:p w14:paraId="6E857486">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fldChar w:fldCharType="begin"/>
            </w:r>
            <w:r>
              <w:rPr>
                <w:rFonts w:hint="default" w:ascii="Times New Roman" w:hAnsi="Times New Roman" w:cs="Times New Roman"/>
                <w:color w:val="000000" w:themeColor="text1"/>
                <w:kern w:val="0"/>
                <w:sz w:val="24"/>
                <w:szCs w:val="24"/>
                <w14:textFill>
                  <w14:solidFill>
                    <w14:schemeClr w14:val="tx1"/>
                  </w14:solidFill>
                </w14:textFill>
              </w:rPr>
              <w:instrText xml:space="preserve"> = 3 \* GB3 \* MERGEFORMAT </w:instrText>
            </w:r>
            <w:r>
              <w:rPr>
                <w:rFonts w:hint="default" w:ascii="Times New Roman" w:hAnsi="Times New Roman" w:cs="Times New Roman"/>
                <w:color w:val="000000" w:themeColor="text1"/>
                <w:kern w:val="0"/>
                <w:sz w:val="24"/>
                <w:szCs w:val="24"/>
                <w14:textFill>
                  <w14:solidFill>
                    <w14:schemeClr w14:val="tx1"/>
                  </w14:solidFill>
                </w14:textFill>
              </w:rPr>
              <w:fldChar w:fldCharType="separate"/>
            </w:r>
            <w:r>
              <w:rPr>
                <w:sz w:val="24"/>
                <w:szCs w:val="24"/>
              </w:rPr>
              <w:t>③</w:t>
            </w:r>
            <w:r>
              <w:rPr>
                <w:rFonts w:hint="default" w:ascii="Times New Roman" w:hAnsi="Times New Roman" w:cs="Times New Roman"/>
                <w:color w:val="000000" w:themeColor="text1"/>
                <w:kern w:val="0"/>
                <w:sz w:val="24"/>
                <w:szCs w:val="24"/>
                <w14:textFill>
                  <w14:solidFill>
                    <w14:schemeClr w14:val="tx1"/>
                  </w14:solidFill>
                </w14:textFill>
              </w:rPr>
              <w:fldChar w:fldCharType="end"/>
            </w:r>
            <w:r>
              <w:rPr>
                <w:rFonts w:hint="default" w:ascii="Times New Roman" w:hAnsi="Times New Roman" w:cs="Times New Roman"/>
                <w:color w:val="000000" w:themeColor="text1"/>
                <w:kern w:val="0"/>
                <w:sz w:val="24"/>
                <w:szCs w:val="24"/>
                <w14:textFill>
                  <w14:solidFill>
                    <w14:schemeClr w14:val="tx1"/>
                  </w14:solidFill>
                </w14:textFill>
              </w:rPr>
              <w:t>汽车噪声</w:t>
            </w:r>
          </w:p>
          <w:p w14:paraId="62A1DF59">
            <w:pPr>
              <w:spacing w:line="360" w:lineRule="auto"/>
              <w:ind w:firstLine="480" w:firstLineChars="200"/>
              <w:rPr>
                <w:rFonts w:hint="default" w:ascii="Times New Roman" w:hAnsi="Times New Roman" w:cs="Times New Roman"/>
                <w:b w:val="0"/>
                <w:bCs w:val="0"/>
                <w:color w:val="000000" w:themeColor="text1"/>
                <w:kern w:val="0"/>
                <w:sz w:val="24"/>
                <w14:textFill>
                  <w14:solidFill>
                    <w14:schemeClr w14:val="tx1"/>
                  </w14:solidFill>
                </w14:textFill>
              </w:rPr>
            </w:pPr>
            <w:r>
              <w:rPr>
                <w:rFonts w:hint="default" w:ascii="Times New Roman" w:hAnsi="Times New Roman" w:cs="Times New Roman"/>
                <w:color w:val="000000" w:themeColor="text1"/>
                <w:kern w:val="0"/>
                <w:sz w:val="24"/>
                <w14:textFill>
                  <w14:solidFill>
                    <w14:schemeClr w14:val="tx1"/>
                  </w14:solidFill>
                </w14:textFill>
              </w:rPr>
              <w:t>汽车进出医院时会产生交通噪声，噪声源强为70~80dB(A)，为瞬时性、间断性排放，为减少交通噪声影响，对于进出项目附近的车辆，项目方应加强车辆停放管理，并设置禁鸣标志，避免随意鸣笛；此外，噪声通过距离衰减，建筑物隔声等措施后可有效地降低</w:t>
            </w:r>
            <w:r>
              <w:rPr>
                <w:rFonts w:hint="eastAsia" w:cs="Times New Roman"/>
                <w:color w:val="000000" w:themeColor="text1"/>
                <w:kern w:val="0"/>
                <w:sz w:val="24"/>
                <w:lang w:eastAsia="zh-CN"/>
                <w14:textFill>
                  <w14:solidFill>
                    <w14:schemeClr w14:val="tx1"/>
                  </w14:solidFill>
                </w14:textFill>
              </w:rPr>
              <w:t>交通</w:t>
            </w:r>
            <w:r>
              <w:rPr>
                <w:rFonts w:hint="default" w:ascii="Times New Roman" w:hAnsi="Times New Roman" w:cs="Times New Roman"/>
                <w:color w:val="000000" w:themeColor="text1"/>
                <w:kern w:val="0"/>
                <w:sz w:val="24"/>
                <w14:textFill>
                  <w14:solidFill>
                    <w14:schemeClr w14:val="tx1"/>
                  </w14:solidFill>
                </w14:textFill>
              </w:rPr>
              <w:t>噪声影响，汽车进出噪声采取上述措施后对项目自身和外环境的影响可接受。</w:t>
            </w:r>
          </w:p>
          <w:p w14:paraId="15C466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eastAsia="zh-CN"/>
              </w:rPr>
            </w:pPr>
            <w:r>
              <w:rPr>
                <w:rFonts w:hint="default"/>
                <w:sz w:val="24"/>
                <w:szCs w:val="24"/>
                <w:lang w:eastAsia="zh-CN"/>
              </w:rPr>
              <w:fldChar w:fldCharType="begin"/>
            </w:r>
            <w:r>
              <w:rPr>
                <w:rFonts w:hint="default"/>
                <w:sz w:val="24"/>
                <w:szCs w:val="24"/>
                <w:lang w:eastAsia="zh-CN"/>
              </w:rPr>
              <w:instrText xml:space="preserve"> = 4 \* GB3 \* MERGEFORMAT </w:instrText>
            </w:r>
            <w:r>
              <w:rPr>
                <w:rFonts w:hint="default"/>
                <w:sz w:val="24"/>
                <w:szCs w:val="24"/>
                <w:lang w:eastAsia="zh-CN"/>
              </w:rPr>
              <w:fldChar w:fldCharType="separate"/>
            </w:r>
            <w:r>
              <w:rPr>
                <w:sz w:val="24"/>
                <w:szCs w:val="24"/>
              </w:rPr>
              <w:t>④</w:t>
            </w:r>
            <w:r>
              <w:rPr>
                <w:rFonts w:hint="default"/>
                <w:sz w:val="24"/>
                <w:szCs w:val="24"/>
                <w:lang w:eastAsia="zh-CN"/>
              </w:rPr>
              <w:fldChar w:fldCharType="end"/>
            </w:r>
            <w:r>
              <w:rPr>
                <w:rFonts w:hint="eastAsia"/>
                <w:sz w:val="24"/>
                <w:szCs w:val="24"/>
                <w:lang w:eastAsia="zh-CN"/>
              </w:rPr>
              <w:t>污水处理站泵等设备运行噪声</w:t>
            </w:r>
          </w:p>
          <w:p w14:paraId="0D66A850">
            <w:pPr>
              <w:pStyle w:val="37"/>
              <w:spacing w:line="360" w:lineRule="auto"/>
              <w:ind w:firstLine="480" w:firstLineChars="200"/>
              <w:jc w:val="both"/>
              <w:rPr>
                <w:rFonts w:hint="eastAsia"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0"/>
                <w:lang w:eastAsia="zh-CN"/>
                <w14:textFill>
                  <w14:solidFill>
                    <w14:schemeClr w14:val="tx1"/>
                  </w14:solidFill>
                </w14:textFill>
              </w:rPr>
              <w:t>本</w:t>
            </w:r>
            <w:r>
              <w:rPr>
                <w:rFonts w:hint="default" w:ascii="Times New Roman" w:hAnsi="Times New Roman" w:cs="Times New Roman"/>
                <w:b w:val="0"/>
                <w:bCs w:val="0"/>
                <w:color w:val="000000" w:themeColor="text1"/>
                <w:kern w:val="0"/>
                <w:sz w:val="24"/>
                <w:szCs w:val="20"/>
                <w14:textFill>
                  <w14:solidFill>
                    <w14:schemeClr w14:val="tx1"/>
                  </w14:solidFill>
                </w14:textFill>
              </w:rPr>
              <w:t>项</w:t>
            </w:r>
            <w:r>
              <w:rPr>
                <w:rFonts w:hint="default" w:ascii="Times New Roman" w:hAnsi="Times New Roman" w:cs="Times New Roman"/>
                <w:b w:val="0"/>
                <w:bCs w:val="0"/>
                <w:color w:val="000000" w:themeColor="text1"/>
                <w:kern w:val="0"/>
                <w:sz w:val="24"/>
                <w:szCs w:val="24"/>
                <w14:textFill>
                  <w14:solidFill>
                    <w14:schemeClr w14:val="tx1"/>
                  </w14:solidFill>
                </w14:textFill>
              </w:rPr>
              <w:t>目设置</w:t>
            </w:r>
            <w:r>
              <w:rPr>
                <w:rFonts w:hint="eastAsia" w:cs="Times New Roman"/>
                <w:b w:val="0"/>
                <w:bCs w:val="0"/>
                <w:color w:val="000000" w:themeColor="text1"/>
                <w:kern w:val="0"/>
                <w:sz w:val="24"/>
                <w:szCs w:val="24"/>
                <w:lang w:eastAsia="zh-CN"/>
                <w14:textFill>
                  <w14:solidFill>
                    <w14:schemeClr w14:val="tx1"/>
                  </w14:solidFill>
                </w14:textFill>
              </w:rPr>
              <w:t>1座</w:t>
            </w:r>
            <w:r>
              <w:rPr>
                <w:rFonts w:hint="default" w:ascii="Times New Roman" w:hAnsi="Times New Roman" w:cs="Times New Roman"/>
                <w:b w:val="0"/>
                <w:bCs w:val="0"/>
                <w:color w:val="000000" w:themeColor="text1"/>
                <w:kern w:val="0"/>
                <w:sz w:val="24"/>
                <w:szCs w:val="24"/>
                <w14:textFill>
                  <w14:solidFill>
                    <w14:schemeClr w14:val="tx1"/>
                  </w14:solidFill>
                </w14:textFill>
              </w:rPr>
              <w:t>污水处理站，运行过程中会有泵</w:t>
            </w:r>
            <w:r>
              <w:rPr>
                <w:rFonts w:hint="eastAsia" w:cs="Times New Roman"/>
                <w:b w:val="0"/>
                <w:bCs w:val="0"/>
                <w:color w:val="000000" w:themeColor="text1"/>
                <w:kern w:val="0"/>
                <w:sz w:val="24"/>
                <w:szCs w:val="24"/>
                <w:lang w:eastAsia="zh-CN"/>
                <w14:textFill>
                  <w14:solidFill>
                    <w14:schemeClr w14:val="tx1"/>
                  </w14:solidFill>
                </w14:textFill>
              </w:rPr>
              <w:t>等</w:t>
            </w:r>
            <w:r>
              <w:rPr>
                <w:rFonts w:hint="default" w:ascii="Times New Roman" w:hAnsi="Times New Roman" w:cs="Times New Roman"/>
                <w:b w:val="0"/>
                <w:bCs w:val="0"/>
                <w:color w:val="000000" w:themeColor="text1"/>
                <w:kern w:val="0"/>
                <w:sz w:val="24"/>
                <w:szCs w:val="24"/>
                <w14:textFill>
                  <w14:solidFill>
                    <w14:schemeClr w14:val="tx1"/>
                  </w14:solidFill>
                </w14:textFill>
              </w:rPr>
              <w:t>设备的噪声，70~85dB</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A</w:t>
            </w:r>
            <w:r>
              <w:rPr>
                <w:rFonts w:hint="eastAsia" w:cs="Times New Roman"/>
                <w:b w:val="0"/>
                <w:bCs w:val="0"/>
                <w:color w:val="000000" w:themeColor="text1"/>
                <w:kern w:val="0"/>
                <w:sz w:val="24"/>
                <w:szCs w:val="24"/>
                <w:lang w:eastAsia="zh-CN"/>
                <w14:textFill>
                  <w14:solidFill>
                    <w14:schemeClr w14:val="tx1"/>
                  </w14:solidFill>
                </w14:textFill>
              </w:rPr>
              <w:t>）</w:t>
            </w:r>
            <w:r>
              <w:rPr>
                <w:rFonts w:hint="default" w:ascii="Times New Roman" w:hAnsi="Times New Roman" w:cs="Times New Roman"/>
                <w:b w:val="0"/>
                <w:bCs w:val="0"/>
                <w:color w:val="000000" w:themeColor="text1"/>
                <w:kern w:val="0"/>
                <w:sz w:val="24"/>
                <w:szCs w:val="24"/>
                <w14:textFill>
                  <w14:solidFill>
                    <w14:schemeClr w14:val="tx1"/>
                  </w14:solidFill>
                </w14:textFill>
              </w:rPr>
              <w:t>，为瞬时性、间断性排放，经加强管理，定期维修，噪声通过墙体隔声和距离衰减后，对项目周边环境敏感点及周围环境的影响较小</w:t>
            </w:r>
            <w:r>
              <w:rPr>
                <w:rFonts w:hint="eastAsia" w:cs="Times New Roman"/>
                <w:b w:val="0"/>
                <w:bCs w:val="0"/>
                <w:color w:val="000000" w:themeColor="text1"/>
                <w:kern w:val="0"/>
                <w:sz w:val="24"/>
                <w:szCs w:val="24"/>
                <w:lang w:eastAsia="zh-CN"/>
                <w14:textFill>
                  <w14:solidFill>
                    <w14:schemeClr w14:val="tx1"/>
                  </w14:solidFill>
                </w14:textFill>
              </w:rPr>
              <w:t>。</w:t>
            </w:r>
          </w:p>
          <w:p w14:paraId="29814C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bCs/>
                <w:color w:val="auto"/>
                <w:sz w:val="24"/>
                <w:szCs w:val="24"/>
                <w:lang w:val="en-US" w:eastAsia="zh-CN"/>
              </w:rPr>
            </w:pPr>
            <w:r>
              <w:rPr>
                <w:rFonts w:hint="eastAsia" w:cs="Times New Roman"/>
                <w:b w:val="0"/>
                <w:bCs w:val="0"/>
                <w:color w:val="000000" w:themeColor="text1"/>
                <w:kern w:val="0"/>
                <w:sz w:val="24"/>
                <w:szCs w:val="24"/>
                <w:lang w:val="en-US" w:eastAsia="zh-CN"/>
                <w14:textFill>
                  <w14:solidFill>
                    <w14:schemeClr w14:val="tx1"/>
                  </w14:solidFill>
                </w14:textFill>
              </w:rPr>
              <w:t>2、</w:t>
            </w:r>
            <w:r>
              <w:rPr>
                <w:rFonts w:hint="eastAsia" w:ascii="Times New Roman" w:hAnsi="Times New Roman" w:eastAsia="宋体" w:cs="Times New Roman"/>
                <w:b w:val="0"/>
                <w:bCs w:val="0"/>
                <w:color w:val="auto"/>
                <w:sz w:val="24"/>
                <w:szCs w:val="24"/>
                <w:lang w:val="en-US" w:eastAsia="zh-CN"/>
              </w:rPr>
              <w:t>噪声检测结果</w:t>
            </w:r>
          </w:p>
          <w:p w14:paraId="4003F9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u w:val="none"/>
                <w:lang w:val="en-US" w:eastAsia="zh-CN"/>
              </w:rPr>
            </w:pPr>
            <w:r>
              <w:rPr>
                <w:rFonts w:hint="eastAsia" w:ascii="Times New Roman" w:hAnsi="Times New Roman" w:eastAsia="宋体" w:cs="Times New Roman"/>
                <w:color w:val="auto"/>
                <w:sz w:val="24"/>
                <w:szCs w:val="24"/>
                <w:u w:val="none"/>
                <w:lang w:val="en-US" w:eastAsia="zh-CN"/>
              </w:rPr>
              <w:t>为了解项目运行过程中的噪声影响，本项目委托湖南西南检验检测有限公司于2025年1月1日对</w:t>
            </w:r>
            <w:r>
              <w:rPr>
                <w:rFonts w:hint="eastAsia" w:cs="Times New Roman"/>
                <w:color w:val="auto"/>
                <w:sz w:val="24"/>
                <w:szCs w:val="24"/>
                <w:u w:val="none"/>
                <w:lang w:val="en-US" w:eastAsia="zh-CN"/>
              </w:rPr>
              <w:t>项目厂界及</w:t>
            </w:r>
            <w:r>
              <w:rPr>
                <w:rFonts w:hint="eastAsia" w:ascii="Times New Roman" w:hAnsi="Times New Roman" w:eastAsia="宋体" w:cs="Times New Roman"/>
                <w:color w:val="auto"/>
                <w:sz w:val="24"/>
                <w:szCs w:val="24"/>
                <w:u w:val="none"/>
                <w:lang w:val="en-US" w:eastAsia="zh-CN"/>
              </w:rPr>
              <w:t>周边环境进行噪声检测，其检测结果如下：</w:t>
            </w:r>
          </w:p>
          <w:p w14:paraId="0E27F375">
            <w:pPr>
              <w:pageBreakBefore w:val="0"/>
              <w:kinsoku/>
              <w:overflowPunct/>
              <w:topLinePunct w:val="0"/>
              <w:bidi w:val="0"/>
              <w:adjustRightInd w:val="0"/>
              <w:snapToGrid w:val="0"/>
              <w:spacing w:line="360" w:lineRule="auto"/>
              <w:ind w:firstLine="422" w:firstLineChars="200"/>
              <w:jc w:val="center"/>
              <w:rPr>
                <w:rFonts w:hint="default" w:eastAsia="宋体"/>
                <w:b w:val="0"/>
                <w:bCs w:val="0"/>
                <w:color w:val="000000"/>
                <w:sz w:val="21"/>
                <w:szCs w:val="21"/>
                <w:lang w:val="en-US" w:eastAsia="zh-CN"/>
              </w:rPr>
            </w:pPr>
            <w:r>
              <w:rPr>
                <w:b/>
                <w:bCs/>
                <w:color w:val="000000"/>
                <w:sz w:val="21"/>
                <w:szCs w:val="21"/>
              </w:rPr>
              <w:t>表4-</w:t>
            </w:r>
            <w:r>
              <w:rPr>
                <w:rFonts w:hint="eastAsia"/>
                <w:b/>
                <w:bCs/>
                <w:color w:val="000000"/>
                <w:sz w:val="21"/>
                <w:szCs w:val="21"/>
                <w:lang w:val="en-US" w:eastAsia="zh-CN"/>
              </w:rPr>
              <w:t>10</w:t>
            </w:r>
            <w:r>
              <w:rPr>
                <w:b/>
                <w:bCs/>
                <w:color w:val="000000"/>
                <w:sz w:val="21"/>
                <w:szCs w:val="21"/>
              </w:rPr>
              <w:t xml:space="preserve"> </w:t>
            </w:r>
            <w:r>
              <w:rPr>
                <w:rFonts w:hint="eastAsia"/>
                <w:b/>
                <w:bCs/>
                <w:color w:val="000000"/>
                <w:sz w:val="21"/>
                <w:szCs w:val="21"/>
                <w:lang w:val="en-US" w:eastAsia="zh-CN"/>
              </w:rPr>
              <w:t>噪声检测结果</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1026"/>
              <w:gridCol w:w="1038"/>
              <w:gridCol w:w="1637"/>
              <w:gridCol w:w="1452"/>
              <w:gridCol w:w="1497"/>
            </w:tblGrid>
            <w:tr w14:paraId="10275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tcBorders>
                    <w:tl2br w:val="nil"/>
                    <w:tr2bl w:val="nil"/>
                  </w:tcBorders>
                  <w:noWrap w:val="0"/>
                  <w:vAlign w:val="center"/>
                </w:tcPr>
                <w:p w14:paraId="4A1CC6A4">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w:t>
                  </w:r>
                </w:p>
                <w:p w14:paraId="1B49A114">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rPr>
                    <w:t>日期</w:t>
                  </w:r>
                </w:p>
              </w:tc>
              <w:tc>
                <w:tcPr>
                  <w:tcW w:w="659" w:type="pct"/>
                  <w:tcBorders>
                    <w:tl2br w:val="nil"/>
                    <w:tr2bl w:val="nil"/>
                  </w:tcBorders>
                  <w:noWrap w:val="0"/>
                  <w:vAlign w:val="center"/>
                </w:tcPr>
                <w:p w14:paraId="4D804B02">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时间段</w:t>
                  </w:r>
                </w:p>
              </w:tc>
              <w:tc>
                <w:tcPr>
                  <w:tcW w:w="667" w:type="pct"/>
                  <w:tcBorders>
                    <w:tl2br w:val="nil"/>
                    <w:tr2bl w:val="nil"/>
                  </w:tcBorders>
                  <w:noWrap w:val="0"/>
                  <w:vAlign w:val="center"/>
                </w:tcPr>
                <w:p w14:paraId="513462DF">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编号</w:t>
                  </w:r>
                </w:p>
              </w:tc>
              <w:tc>
                <w:tcPr>
                  <w:tcW w:w="1052" w:type="pct"/>
                  <w:tcBorders>
                    <w:tl2br w:val="nil"/>
                    <w:tr2bl w:val="nil"/>
                  </w:tcBorders>
                  <w:noWrap w:val="0"/>
                  <w:vAlign w:val="center"/>
                </w:tcPr>
                <w:p w14:paraId="3313D5FE">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eastAsia="zh-CN"/>
                    </w:rPr>
                  </w:pPr>
                  <w:r>
                    <w:rPr>
                      <w:rFonts w:hint="default" w:ascii="Times New Roman" w:hAnsi="Times New Roman" w:eastAsia="宋体" w:cs="Times New Roman"/>
                      <w:b w:val="0"/>
                      <w:bCs w:val="0"/>
                      <w:color w:val="auto"/>
                      <w:kern w:val="2"/>
                      <w:sz w:val="21"/>
                      <w:szCs w:val="21"/>
                      <w:lang w:eastAsia="zh-CN"/>
                    </w:rPr>
                    <w:t>监测</w:t>
                  </w:r>
                  <w:r>
                    <w:rPr>
                      <w:rFonts w:hint="default" w:ascii="Times New Roman" w:hAnsi="Times New Roman" w:eastAsia="宋体" w:cs="Times New Roman"/>
                      <w:b w:val="0"/>
                      <w:bCs w:val="0"/>
                      <w:color w:val="auto"/>
                      <w:kern w:val="2"/>
                      <w:sz w:val="21"/>
                      <w:szCs w:val="21"/>
                    </w:rPr>
                    <w:t>点位</w:t>
                  </w:r>
                </w:p>
              </w:tc>
              <w:tc>
                <w:tcPr>
                  <w:tcW w:w="933" w:type="pct"/>
                  <w:tcBorders>
                    <w:tl2br w:val="nil"/>
                    <w:tr2bl w:val="nil"/>
                  </w:tcBorders>
                  <w:noWrap w:val="0"/>
                  <w:vAlign w:val="center"/>
                </w:tcPr>
                <w:p w14:paraId="6FD01B0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检测结果</w:t>
                  </w:r>
                  <w:r>
                    <w:rPr>
                      <w:rFonts w:hint="default" w:ascii="Times New Roman" w:hAnsi="Times New Roman" w:eastAsia="宋体" w:cs="Times New Roman"/>
                      <w:b w:val="0"/>
                      <w:bCs w:val="0"/>
                      <w:color w:val="auto"/>
                      <w:sz w:val="21"/>
                      <w:szCs w:val="21"/>
                    </w:rPr>
                    <w:t xml:space="preserve">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val="0"/>
                      <w:bCs w:val="0"/>
                      <w:color w:val="auto"/>
                      <w:sz w:val="21"/>
                      <w:szCs w:val="21"/>
                    </w:rPr>
                    <w:t xml:space="preserve"> dB(A)</w:t>
                  </w:r>
                </w:p>
              </w:tc>
              <w:tc>
                <w:tcPr>
                  <w:tcW w:w="962" w:type="pct"/>
                  <w:tcBorders>
                    <w:tl2br w:val="nil"/>
                    <w:tr2bl w:val="nil"/>
                  </w:tcBorders>
                  <w:noWrap w:val="0"/>
                  <w:vAlign w:val="center"/>
                </w:tcPr>
                <w:p w14:paraId="632D19ED">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标准限值</w:t>
                  </w:r>
                  <w:r>
                    <w:rPr>
                      <w:rFonts w:hint="default" w:ascii="Times New Roman" w:hAnsi="Times New Roman" w:eastAsia="宋体" w:cs="Times New Roman"/>
                      <w:b w:val="0"/>
                      <w:bCs w:val="0"/>
                      <w:color w:val="auto"/>
                      <w:sz w:val="21"/>
                      <w:szCs w:val="21"/>
                    </w:rPr>
                    <w:t xml:space="preserve"> </w:t>
                  </w:r>
                </w:p>
                <w:p w14:paraId="26D5A439">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 xml:space="preserve"> dB(A)</w:t>
                  </w:r>
                </w:p>
              </w:tc>
            </w:tr>
            <w:tr w14:paraId="201CD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restart"/>
                  <w:tcBorders>
                    <w:tl2br w:val="nil"/>
                    <w:tr2bl w:val="nil"/>
                  </w:tcBorders>
                  <w:noWrap w:val="0"/>
                  <w:vAlign w:val="center"/>
                </w:tcPr>
                <w:p w14:paraId="72E97F8D">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rPr>
                  </w:pPr>
                  <w:r>
                    <w:rPr>
                      <w:rFonts w:hint="eastAsia" w:ascii="Times New Roman" w:hAnsi="Times New Roman" w:eastAsia="宋体"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月01日</w:t>
                  </w:r>
                </w:p>
              </w:tc>
              <w:tc>
                <w:tcPr>
                  <w:tcW w:w="659" w:type="pct"/>
                  <w:vMerge w:val="restart"/>
                  <w:tcBorders>
                    <w:tl2br w:val="nil"/>
                    <w:tr2bl w:val="nil"/>
                  </w:tcBorders>
                  <w:noWrap w:val="0"/>
                  <w:vAlign w:val="center"/>
                </w:tcPr>
                <w:p w14:paraId="6EE48C1F">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昼间</w:t>
                  </w:r>
                </w:p>
              </w:tc>
              <w:tc>
                <w:tcPr>
                  <w:tcW w:w="667" w:type="pct"/>
                  <w:tcBorders>
                    <w:tl2br w:val="nil"/>
                    <w:tr2bl w:val="nil"/>
                  </w:tcBorders>
                  <w:noWrap w:val="0"/>
                  <w:vAlign w:val="center"/>
                </w:tcPr>
                <w:p w14:paraId="19D008BA">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N1</w:t>
                  </w:r>
                </w:p>
              </w:tc>
              <w:tc>
                <w:tcPr>
                  <w:tcW w:w="1052" w:type="pct"/>
                  <w:tcBorders>
                    <w:tl2br w:val="nil"/>
                    <w:tr2bl w:val="nil"/>
                  </w:tcBorders>
                  <w:noWrap w:val="0"/>
                  <w:vAlign w:val="center"/>
                </w:tcPr>
                <w:p w14:paraId="4460AB0B">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52" w:type="dxa"/>
                  <w:tcBorders>
                    <w:tl2br w:val="nil"/>
                    <w:tr2bl w:val="nil"/>
                  </w:tcBorders>
                  <w:noWrap w:val="0"/>
                  <w:vAlign w:val="center"/>
                </w:tcPr>
                <w:p w14:paraId="7E80E569">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53</w:t>
                  </w:r>
                </w:p>
              </w:tc>
              <w:tc>
                <w:tcPr>
                  <w:tcW w:w="962" w:type="pct"/>
                  <w:tcBorders>
                    <w:tl2br w:val="nil"/>
                    <w:tr2bl w:val="nil"/>
                  </w:tcBorders>
                  <w:noWrap w:val="0"/>
                  <w:vAlign w:val="center"/>
                </w:tcPr>
                <w:p w14:paraId="16E1763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33664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66B63905">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2FDFBC2A">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06BA2DCC">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N2</w:t>
                  </w:r>
                </w:p>
              </w:tc>
              <w:tc>
                <w:tcPr>
                  <w:tcW w:w="1052" w:type="pct"/>
                  <w:tcBorders>
                    <w:tl2br w:val="nil"/>
                    <w:tr2bl w:val="nil"/>
                  </w:tcBorders>
                  <w:noWrap w:val="0"/>
                  <w:vAlign w:val="center"/>
                </w:tcPr>
                <w:p w14:paraId="01EBDCC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52" w:type="dxa"/>
                  <w:tcBorders>
                    <w:tl2br w:val="nil"/>
                    <w:tr2bl w:val="nil"/>
                  </w:tcBorders>
                  <w:noWrap w:val="0"/>
                  <w:vAlign w:val="center"/>
                </w:tcPr>
                <w:p w14:paraId="1CD5BCE6">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54</w:t>
                  </w:r>
                </w:p>
              </w:tc>
              <w:tc>
                <w:tcPr>
                  <w:tcW w:w="962" w:type="pct"/>
                  <w:tcBorders>
                    <w:tl2br w:val="nil"/>
                    <w:tr2bl w:val="nil"/>
                  </w:tcBorders>
                  <w:noWrap w:val="0"/>
                  <w:vAlign w:val="center"/>
                </w:tcPr>
                <w:p w14:paraId="4DE476EF">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30FBE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4E660B96">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p>
              </w:tc>
              <w:tc>
                <w:tcPr>
                  <w:tcW w:w="659" w:type="pct"/>
                  <w:vMerge w:val="continue"/>
                  <w:tcBorders>
                    <w:tl2br w:val="nil"/>
                    <w:tr2bl w:val="nil"/>
                  </w:tcBorders>
                  <w:noWrap w:val="0"/>
                  <w:vAlign w:val="center"/>
                </w:tcPr>
                <w:p w14:paraId="17BD1EE0">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3355CA7E">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N3</w:t>
                  </w:r>
                </w:p>
              </w:tc>
              <w:tc>
                <w:tcPr>
                  <w:tcW w:w="1052" w:type="pct"/>
                  <w:tcBorders>
                    <w:tl2br w:val="nil"/>
                    <w:tr2bl w:val="nil"/>
                  </w:tcBorders>
                  <w:noWrap w:val="0"/>
                  <w:vAlign w:val="center"/>
                </w:tcPr>
                <w:p w14:paraId="2D270FC6">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52" w:type="dxa"/>
                  <w:tcBorders>
                    <w:tl2br w:val="nil"/>
                    <w:tr2bl w:val="nil"/>
                  </w:tcBorders>
                  <w:noWrap w:val="0"/>
                  <w:vAlign w:val="center"/>
                </w:tcPr>
                <w:p w14:paraId="17B610D3">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54</w:t>
                  </w:r>
                </w:p>
              </w:tc>
              <w:tc>
                <w:tcPr>
                  <w:tcW w:w="962" w:type="pct"/>
                  <w:tcBorders>
                    <w:tl2br w:val="nil"/>
                    <w:tr2bl w:val="nil"/>
                  </w:tcBorders>
                  <w:noWrap w:val="0"/>
                  <w:vAlign w:val="center"/>
                </w:tcPr>
                <w:p w14:paraId="3764CCA6">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31CAC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51CBA1E6">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7EA67662">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322542CE">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sz w:val="21"/>
                      <w:szCs w:val="21"/>
                      <w:lang w:val="en-US" w:eastAsia="zh-CN"/>
                    </w:rPr>
                    <w:t>N4</w:t>
                  </w:r>
                </w:p>
              </w:tc>
              <w:tc>
                <w:tcPr>
                  <w:tcW w:w="1052" w:type="pct"/>
                  <w:tcBorders>
                    <w:tl2br w:val="nil"/>
                    <w:tr2bl w:val="nil"/>
                  </w:tcBorders>
                  <w:noWrap w:val="0"/>
                  <w:vAlign w:val="center"/>
                </w:tcPr>
                <w:p w14:paraId="3A9B5A51">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52" w:type="dxa"/>
                  <w:tcBorders>
                    <w:tl2br w:val="nil"/>
                    <w:tr2bl w:val="nil"/>
                  </w:tcBorders>
                  <w:noWrap w:val="0"/>
                  <w:vAlign w:val="center"/>
                </w:tcPr>
                <w:p w14:paraId="1E081A05">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54</w:t>
                  </w:r>
                </w:p>
              </w:tc>
              <w:tc>
                <w:tcPr>
                  <w:tcW w:w="962" w:type="pct"/>
                  <w:tcBorders>
                    <w:tl2br w:val="nil"/>
                    <w:tr2bl w:val="nil"/>
                  </w:tcBorders>
                  <w:noWrap w:val="0"/>
                  <w:vAlign w:val="center"/>
                </w:tcPr>
                <w:p w14:paraId="3E965300">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39AD4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1FBB875B">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02AD04F0">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shd w:val="clear" w:color="auto" w:fill="auto"/>
                  <w:noWrap w:val="0"/>
                  <w:vAlign w:val="center"/>
                </w:tcPr>
                <w:p w14:paraId="2D728DC0">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N5</w:t>
                  </w:r>
                </w:p>
              </w:tc>
              <w:tc>
                <w:tcPr>
                  <w:tcW w:w="1052" w:type="pct"/>
                  <w:tcBorders>
                    <w:tl2br w:val="nil"/>
                    <w:tr2bl w:val="nil"/>
                  </w:tcBorders>
                  <w:noWrap w:val="0"/>
                  <w:vAlign w:val="center"/>
                </w:tcPr>
                <w:p w14:paraId="0383DC3E">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项目西侧居民</w:t>
                  </w:r>
                </w:p>
              </w:tc>
              <w:tc>
                <w:tcPr>
                  <w:tcW w:w="933" w:type="pct"/>
                  <w:tcBorders>
                    <w:tl2br w:val="nil"/>
                    <w:tr2bl w:val="nil"/>
                  </w:tcBorders>
                  <w:noWrap w:val="0"/>
                  <w:vAlign w:val="center"/>
                </w:tcPr>
                <w:p w14:paraId="794E6951">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55</w:t>
                  </w:r>
                </w:p>
              </w:tc>
              <w:tc>
                <w:tcPr>
                  <w:tcW w:w="962" w:type="pct"/>
                  <w:tcBorders>
                    <w:tl2br w:val="nil"/>
                    <w:tr2bl w:val="nil"/>
                  </w:tcBorders>
                  <w:noWrap w:val="0"/>
                  <w:vAlign w:val="center"/>
                </w:tcPr>
                <w:p w14:paraId="13482DCB">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66CF16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29AACBCD">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2EEB37DE">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shd w:val="clear" w:color="auto" w:fill="auto"/>
                  <w:noWrap w:val="0"/>
                  <w:vAlign w:val="center"/>
                </w:tcPr>
                <w:p w14:paraId="03B7CD81">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N6</w:t>
                  </w:r>
                </w:p>
              </w:tc>
              <w:tc>
                <w:tcPr>
                  <w:tcW w:w="1052" w:type="pct"/>
                  <w:tcBorders>
                    <w:tl2br w:val="nil"/>
                    <w:tr2bl w:val="nil"/>
                  </w:tcBorders>
                  <w:noWrap w:val="0"/>
                  <w:vAlign w:val="center"/>
                </w:tcPr>
                <w:p w14:paraId="6C157AD7">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w:t>
                  </w:r>
                  <w:r>
                    <w:rPr>
                      <w:rFonts w:hint="eastAsia" w:ascii="Times New Roman" w:hAnsi="Times New Roman" w:cs="Times New Roman"/>
                      <w:b w:val="0"/>
                      <w:bCs w:val="0"/>
                      <w:color w:val="auto"/>
                      <w:kern w:val="0"/>
                      <w:position w:val="-2"/>
                      <w:sz w:val="21"/>
                      <w:szCs w:val="21"/>
                      <w:lang w:val="en-US" w:eastAsia="zh-CN" w:bidi="ar-SA"/>
                    </w:rPr>
                    <w:t>南</w:t>
                  </w:r>
                  <w:r>
                    <w:rPr>
                      <w:rFonts w:hint="eastAsia" w:ascii="Times New Roman" w:hAnsi="Times New Roman" w:eastAsia="宋体" w:cs="Times New Roman"/>
                      <w:b w:val="0"/>
                      <w:bCs w:val="0"/>
                      <w:color w:val="auto"/>
                      <w:kern w:val="0"/>
                      <w:position w:val="-2"/>
                      <w:sz w:val="21"/>
                      <w:szCs w:val="21"/>
                      <w:lang w:val="en-US" w:eastAsia="zh-CN" w:bidi="ar-SA"/>
                    </w:rPr>
                    <w:t>侧居民</w:t>
                  </w:r>
                </w:p>
              </w:tc>
              <w:tc>
                <w:tcPr>
                  <w:tcW w:w="933" w:type="pct"/>
                  <w:tcBorders>
                    <w:tl2br w:val="nil"/>
                    <w:tr2bl w:val="nil"/>
                  </w:tcBorders>
                  <w:noWrap w:val="0"/>
                  <w:vAlign w:val="center"/>
                </w:tcPr>
                <w:p w14:paraId="6937C49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55</w:t>
                  </w:r>
                </w:p>
              </w:tc>
              <w:tc>
                <w:tcPr>
                  <w:tcW w:w="962" w:type="pct"/>
                  <w:tcBorders>
                    <w:tl2br w:val="nil"/>
                    <w:tr2bl w:val="nil"/>
                  </w:tcBorders>
                  <w:noWrap w:val="0"/>
                  <w:vAlign w:val="center"/>
                </w:tcPr>
                <w:p w14:paraId="53A642CB">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2"/>
                      <w:sz w:val="21"/>
                      <w:szCs w:val="21"/>
                      <w:lang w:val="en-US" w:eastAsia="zh-CN"/>
                    </w:rPr>
                  </w:pPr>
                  <w:r>
                    <w:rPr>
                      <w:rFonts w:hint="default" w:ascii="Times New Roman" w:hAnsi="Times New Roman" w:eastAsia="宋体" w:cs="Times New Roman"/>
                      <w:b w:val="0"/>
                      <w:bCs w:val="0"/>
                      <w:color w:val="auto"/>
                      <w:kern w:val="2"/>
                      <w:sz w:val="21"/>
                      <w:szCs w:val="21"/>
                      <w:lang w:val="en-US" w:eastAsia="zh-CN"/>
                    </w:rPr>
                    <w:t>60</w:t>
                  </w:r>
                </w:p>
              </w:tc>
            </w:tr>
            <w:tr w14:paraId="414DE3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0435E1B0">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restart"/>
                  <w:tcBorders>
                    <w:tl2br w:val="nil"/>
                    <w:tr2bl w:val="nil"/>
                  </w:tcBorders>
                  <w:noWrap w:val="0"/>
                  <w:vAlign w:val="center"/>
                </w:tcPr>
                <w:p w14:paraId="0781096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default" w:ascii="Times New Roman" w:hAnsi="Times New Roman" w:eastAsia="宋体" w:cs="Times New Roman"/>
                      <w:b w:val="0"/>
                      <w:bCs w:val="0"/>
                      <w:color w:val="auto"/>
                      <w:kern w:val="0"/>
                      <w:position w:val="-2"/>
                      <w:sz w:val="21"/>
                      <w:szCs w:val="21"/>
                      <w:lang w:val="en-US" w:eastAsia="zh-CN" w:bidi="ar-SA"/>
                    </w:rPr>
                    <w:t>夜间</w:t>
                  </w:r>
                </w:p>
              </w:tc>
              <w:tc>
                <w:tcPr>
                  <w:tcW w:w="667" w:type="pct"/>
                  <w:tcBorders>
                    <w:tl2br w:val="nil"/>
                    <w:tr2bl w:val="nil"/>
                  </w:tcBorders>
                  <w:noWrap w:val="0"/>
                  <w:vAlign w:val="center"/>
                </w:tcPr>
                <w:p w14:paraId="4D1F1C6F">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N1</w:t>
                  </w:r>
                </w:p>
              </w:tc>
              <w:tc>
                <w:tcPr>
                  <w:tcW w:w="1052" w:type="pct"/>
                  <w:tcBorders>
                    <w:tl2br w:val="nil"/>
                    <w:tr2bl w:val="nil"/>
                  </w:tcBorders>
                  <w:noWrap w:val="0"/>
                  <w:vAlign w:val="center"/>
                </w:tcPr>
                <w:p w14:paraId="4E5A1D45">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厂界东侧1米处</w:t>
                  </w:r>
                </w:p>
              </w:tc>
              <w:tc>
                <w:tcPr>
                  <w:tcW w:w="1452" w:type="dxa"/>
                  <w:tcBorders>
                    <w:tl2br w:val="nil"/>
                    <w:tr2bl w:val="nil"/>
                  </w:tcBorders>
                  <w:noWrap w:val="0"/>
                  <w:vAlign w:val="center"/>
                </w:tcPr>
                <w:p w14:paraId="32CDC738">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40</w:t>
                  </w:r>
                </w:p>
              </w:tc>
              <w:tc>
                <w:tcPr>
                  <w:tcW w:w="962" w:type="pct"/>
                  <w:tcBorders>
                    <w:tl2br w:val="nil"/>
                    <w:tr2bl w:val="nil"/>
                  </w:tcBorders>
                  <w:noWrap w:val="0"/>
                  <w:vAlign w:val="center"/>
                </w:tcPr>
                <w:p w14:paraId="4736C3A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26071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2C13BC77">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29464DE4">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4B44DC2A">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N2</w:t>
                  </w:r>
                </w:p>
              </w:tc>
              <w:tc>
                <w:tcPr>
                  <w:tcW w:w="1052" w:type="pct"/>
                  <w:tcBorders>
                    <w:tl2br w:val="nil"/>
                    <w:tr2bl w:val="nil"/>
                  </w:tcBorders>
                  <w:noWrap w:val="0"/>
                  <w:vAlign w:val="center"/>
                </w:tcPr>
                <w:p w14:paraId="4D94F6FB">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厂界南侧1米处</w:t>
                  </w:r>
                </w:p>
              </w:tc>
              <w:tc>
                <w:tcPr>
                  <w:tcW w:w="1452" w:type="dxa"/>
                  <w:tcBorders>
                    <w:tl2br w:val="nil"/>
                    <w:tr2bl w:val="nil"/>
                  </w:tcBorders>
                  <w:noWrap w:val="0"/>
                  <w:vAlign w:val="center"/>
                </w:tcPr>
                <w:p w14:paraId="2D2C368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49</w:t>
                  </w:r>
                </w:p>
              </w:tc>
              <w:tc>
                <w:tcPr>
                  <w:tcW w:w="962" w:type="pct"/>
                  <w:tcBorders>
                    <w:tl2br w:val="nil"/>
                    <w:tr2bl w:val="nil"/>
                  </w:tcBorders>
                  <w:noWrap w:val="0"/>
                  <w:vAlign w:val="center"/>
                </w:tcPr>
                <w:p w14:paraId="0B0110F0">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522B85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3EEAADD9">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5CB12006">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49FCE23C">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N3</w:t>
                  </w:r>
                </w:p>
              </w:tc>
              <w:tc>
                <w:tcPr>
                  <w:tcW w:w="1052" w:type="pct"/>
                  <w:tcBorders>
                    <w:tl2br w:val="nil"/>
                    <w:tr2bl w:val="nil"/>
                  </w:tcBorders>
                  <w:noWrap w:val="0"/>
                  <w:vAlign w:val="center"/>
                </w:tcPr>
                <w:p w14:paraId="5F920DB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厂界西侧1米处</w:t>
                  </w:r>
                </w:p>
              </w:tc>
              <w:tc>
                <w:tcPr>
                  <w:tcW w:w="1452" w:type="dxa"/>
                  <w:tcBorders>
                    <w:tl2br w:val="nil"/>
                    <w:tr2bl w:val="nil"/>
                  </w:tcBorders>
                  <w:noWrap w:val="0"/>
                  <w:vAlign w:val="center"/>
                </w:tcPr>
                <w:p w14:paraId="73604619">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43</w:t>
                  </w:r>
                </w:p>
              </w:tc>
              <w:tc>
                <w:tcPr>
                  <w:tcW w:w="962" w:type="pct"/>
                  <w:tcBorders>
                    <w:tl2br w:val="nil"/>
                    <w:tr2bl w:val="nil"/>
                  </w:tcBorders>
                  <w:noWrap w:val="0"/>
                  <w:vAlign w:val="center"/>
                </w:tcPr>
                <w:p w14:paraId="4AA2070E">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6F4BF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0D2F0184">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4BADED4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2AF8E5FC">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N4</w:t>
                  </w:r>
                </w:p>
              </w:tc>
              <w:tc>
                <w:tcPr>
                  <w:tcW w:w="1052" w:type="pct"/>
                  <w:tcBorders>
                    <w:tl2br w:val="nil"/>
                    <w:tr2bl w:val="nil"/>
                  </w:tcBorders>
                  <w:noWrap w:val="0"/>
                  <w:vAlign w:val="center"/>
                </w:tcPr>
                <w:p w14:paraId="4F3B0B29">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kern w:val="0"/>
                      <w:position w:val="-2"/>
                      <w:sz w:val="21"/>
                      <w:szCs w:val="21"/>
                      <w:lang w:val="en-US" w:eastAsia="zh-CN" w:bidi="ar-SA"/>
                    </w:rPr>
                    <w:t>厂界北侧1米处</w:t>
                  </w:r>
                </w:p>
              </w:tc>
              <w:tc>
                <w:tcPr>
                  <w:tcW w:w="1452" w:type="dxa"/>
                  <w:tcBorders>
                    <w:tl2br w:val="nil"/>
                    <w:tr2bl w:val="nil"/>
                  </w:tcBorders>
                  <w:noWrap w:val="0"/>
                  <w:vAlign w:val="center"/>
                </w:tcPr>
                <w:p w14:paraId="6FA62B61">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46</w:t>
                  </w:r>
                </w:p>
              </w:tc>
              <w:tc>
                <w:tcPr>
                  <w:tcW w:w="962" w:type="pct"/>
                  <w:tcBorders>
                    <w:tl2br w:val="nil"/>
                    <w:tr2bl w:val="nil"/>
                  </w:tcBorders>
                  <w:noWrap w:val="0"/>
                  <w:vAlign w:val="center"/>
                </w:tcPr>
                <w:p w14:paraId="631F8022">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2C491A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6071EFBC">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4751ECF7">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6BA276EA">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position w:val="-2"/>
                      <w:sz w:val="21"/>
                      <w:szCs w:val="21"/>
                      <w:lang w:val="en-US" w:eastAsia="zh-CN" w:bidi="ar-SA"/>
                    </w:rPr>
                    <w:t>N5</w:t>
                  </w:r>
                </w:p>
              </w:tc>
              <w:tc>
                <w:tcPr>
                  <w:tcW w:w="1052" w:type="pct"/>
                  <w:tcBorders>
                    <w:tl2br w:val="nil"/>
                    <w:tr2bl w:val="nil"/>
                  </w:tcBorders>
                  <w:noWrap w:val="0"/>
                  <w:vAlign w:val="center"/>
                </w:tcPr>
                <w:p w14:paraId="6B48A124">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项目西侧居民</w:t>
                  </w:r>
                </w:p>
              </w:tc>
              <w:tc>
                <w:tcPr>
                  <w:tcW w:w="933" w:type="pct"/>
                  <w:tcBorders>
                    <w:tl2br w:val="nil"/>
                    <w:tr2bl w:val="nil"/>
                  </w:tcBorders>
                  <w:noWrap w:val="0"/>
                  <w:vAlign w:val="center"/>
                </w:tcPr>
                <w:p w14:paraId="769421DB">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39</w:t>
                  </w:r>
                </w:p>
              </w:tc>
              <w:tc>
                <w:tcPr>
                  <w:tcW w:w="962" w:type="pct"/>
                  <w:tcBorders>
                    <w:tl2br w:val="nil"/>
                    <w:tr2bl w:val="nil"/>
                  </w:tcBorders>
                  <w:noWrap w:val="0"/>
                  <w:vAlign w:val="center"/>
                </w:tcPr>
                <w:p w14:paraId="54211BC1">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r w14:paraId="248217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pct"/>
                  <w:vMerge w:val="continue"/>
                  <w:tcBorders>
                    <w:tl2br w:val="nil"/>
                    <w:tr2bl w:val="nil"/>
                  </w:tcBorders>
                  <w:noWrap w:val="0"/>
                  <w:vAlign w:val="center"/>
                </w:tcPr>
                <w:p w14:paraId="06DEEDF3">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rPr>
                  </w:pPr>
                </w:p>
              </w:tc>
              <w:tc>
                <w:tcPr>
                  <w:tcW w:w="659" w:type="pct"/>
                  <w:vMerge w:val="continue"/>
                  <w:tcBorders>
                    <w:tl2br w:val="nil"/>
                    <w:tr2bl w:val="nil"/>
                  </w:tcBorders>
                  <w:noWrap w:val="0"/>
                  <w:vAlign w:val="center"/>
                </w:tcPr>
                <w:p w14:paraId="5102D22F">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p>
              </w:tc>
              <w:tc>
                <w:tcPr>
                  <w:tcW w:w="667" w:type="pct"/>
                  <w:tcBorders>
                    <w:tl2br w:val="nil"/>
                    <w:tr2bl w:val="nil"/>
                  </w:tcBorders>
                  <w:noWrap w:val="0"/>
                  <w:vAlign w:val="center"/>
                </w:tcPr>
                <w:p w14:paraId="1F31D304">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kern w:val="0"/>
                      <w:position w:val="-2"/>
                      <w:sz w:val="21"/>
                      <w:szCs w:val="21"/>
                      <w:lang w:val="en-US" w:eastAsia="zh-CN" w:bidi="ar-SA"/>
                    </w:rPr>
                    <w:t>N6</w:t>
                  </w:r>
                </w:p>
              </w:tc>
              <w:tc>
                <w:tcPr>
                  <w:tcW w:w="1052" w:type="pct"/>
                  <w:tcBorders>
                    <w:tl2br w:val="nil"/>
                    <w:tr2bl w:val="nil"/>
                  </w:tcBorders>
                  <w:noWrap w:val="0"/>
                  <w:vAlign w:val="center"/>
                </w:tcPr>
                <w:p w14:paraId="51D37AEF">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项目</w:t>
                  </w:r>
                  <w:r>
                    <w:rPr>
                      <w:rFonts w:hint="eastAsia" w:ascii="Times New Roman" w:hAnsi="Times New Roman" w:cs="Times New Roman"/>
                      <w:b w:val="0"/>
                      <w:bCs w:val="0"/>
                      <w:color w:val="auto"/>
                      <w:kern w:val="0"/>
                      <w:position w:val="-2"/>
                      <w:sz w:val="21"/>
                      <w:szCs w:val="21"/>
                      <w:lang w:val="en-US" w:eastAsia="zh-CN" w:bidi="ar-SA"/>
                    </w:rPr>
                    <w:t>南</w:t>
                  </w:r>
                  <w:r>
                    <w:rPr>
                      <w:rFonts w:hint="eastAsia" w:ascii="Times New Roman" w:hAnsi="Times New Roman" w:eastAsia="宋体" w:cs="Times New Roman"/>
                      <w:b w:val="0"/>
                      <w:bCs w:val="0"/>
                      <w:color w:val="auto"/>
                      <w:kern w:val="0"/>
                      <w:position w:val="-2"/>
                      <w:sz w:val="21"/>
                      <w:szCs w:val="21"/>
                      <w:lang w:val="en-US" w:eastAsia="zh-CN" w:bidi="ar-SA"/>
                    </w:rPr>
                    <w:t>侧居民</w:t>
                  </w:r>
                </w:p>
              </w:tc>
              <w:tc>
                <w:tcPr>
                  <w:tcW w:w="933" w:type="pct"/>
                  <w:tcBorders>
                    <w:tl2br w:val="nil"/>
                    <w:tr2bl w:val="nil"/>
                  </w:tcBorders>
                  <w:noWrap w:val="0"/>
                  <w:vAlign w:val="center"/>
                </w:tcPr>
                <w:p w14:paraId="07CD2DEA">
                  <w:pPr>
                    <w:pStyle w:val="38"/>
                    <w:pageBreakBefore w:val="0"/>
                    <w:kinsoku/>
                    <w:topLinePunct w:val="0"/>
                    <w:bidi w:val="0"/>
                    <w:adjustRightInd w:val="0"/>
                    <w:snapToGrid w:val="0"/>
                    <w:spacing w:line="240" w:lineRule="auto"/>
                    <w:jc w:val="center"/>
                    <w:rPr>
                      <w:rFonts w:hint="default" w:ascii="Times New Roman" w:hAnsi="Times New Roman" w:eastAsia="宋体" w:cs="Times New Roman"/>
                      <w:b w:val="0"/>
                      <w:bCs w:val="0"/>
                      <w:color w:val="auto"/>
                      <w:kern w:val="0"/>
                      <w:position w:val="-2"/>
                      <w:sz w:val="21"/>
                      <w:szCs w:val="21"/>
                      <w:lang w:val="en-US" w:eastAsia="zh-CN" w:bidi="ar-SA"/>
                    </w:rPr>
                  </w:pPr>
                  <w:r>
                    <w:rPr>
                      <w:rFonts w:hint="eastAsia" w:ascii="Times New Roman" w:hAnsi="Times New Roman" w:eastAsia="宋体" w:cs="Times New Roman"/>
                      <w:b w:val="0"/>
                      <w:bCs w:val="0"/>
                      <w:color w:val="auto"/>
                      <w:kern w:val="0"/>
                      <w:position w:val="-2"/>
                      <w:sz w:val="21"/>
                      <w:szCs w:val="21"/>
                      <w:lang w:val="en-US" w:eastAsia="zh-CN" w:bidi="ar-SA"/>
                    </w:rPr>
                    <w:t>45</w:t>
                  </w:r>
                </w:p>
              </w:tc>
              <w:tc>
                <w:tcPr>
                  <w:tcW w:w="962" w:type="pct"/>
                  <w:tcBorders>
                    <w:tl2br w:val="nil"/>
                    <w:tr2bl w:val="nil"/>
                  </w:tcBorders>
                  <w:noWrap w:val="0"/>
                  <w:vAlign w:val="center"/>
                </w:tcPr>
                <w:p w14:paraId="5FF4E64B">
                  <w:pPr>
                    <w:pageBreakBefore w:val="0"/>
                    <w:kinsoku/>
                    <w:topLinePunct w:val="0"/>
                    <w:bidi w:val="0"/>
                    <w:adjustRightInd w:val="0"/>
                    <w:snapToGrid w:val="0"/>
                    <w:spacing w:line="240" w:lineRule="auto"/>
                    <w:jc w:val="center"/>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50</w:t>
                  </w:r>
                </w:p>
              </w:tc>
            </w:tr>
          </w:tbl>
          <w:p w14:paraId="3ED91DA2">
            <w:pPr>
              <w:pStyle w:val="37"/>
              <w:spacing w:line="360" w:lineRule="auto"/>
              <w:ind w:left="0" w:leftChars="0" w:firstLine="480" w:firstLineChars="200"/>
              <w:jc w:val="both"/>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根据检测结果</w:t>
            </w:r>
            <w:r>
              <w:rPr>
                <w:rFonts w:hint="default" w:ascii="Times New Roman" w:hAnsi="Times New Roman" w:eastAsia="宋体" w:cs="Times New Roman"/>
                <w:color w:val="auto"/>
                <w:sz w:val="24"/>
                <w:lang w:val="en-US" w:eastAsia="zh-CN"/>
              </w:rPr>
              <w:t>，医院</w:t>
            </w:r>
            <w:r>
              <w:rPr>
                <w:rFonts w:hint="eastAsia" w:ascii="Times New Roman" w:hAnsi="Times New Roman" w:eastAsia="宋体" w:cs="Times New Roman"/>
                <w:color w:val="auto"/>
                <w:sz w:val="24"/>
                <w:lang w:val="en-US" w:eastAsia="zh-CN"/>
              </w:rPr>
              <w:t>厂界东、南、西、北面</w:t>
            </w:r>
            <w:r>
              <w:rPr>
                <w:rFonts w:hint="default" w:ascii="Times New Roman" w:hAnsi="Times New Roman" w:eastAsia="宋体" w:cs="Times New Roman"/>
                <w:color w:val="auto"/>
                <w:sz w:val="24"/>
                <w:lang w:val="en-US" w:eastAsia="zh-CN"/>
              </w:rPr>
              <w:t>噪声能够达到</w:t>
            </w:r>
            <w:r>
              <w:rPr>
                <w:rFonts w:hint="eastAsia" w:cs="Times New Roman"/>
                <w:color w:val="auto"/>
                <w:sz w:val="24"/>
                <w:lang w:val="en-US" w:eastAsia="zh-CN"/>
              </w:rPr>
              <w:t>《社会生活环境噪声排放标准》（GB 22337-2008）</w:t>
            </w:r>
            <w:r>
              <w:rPr>
                <w:rFonts w:hint="default" w:ascii="Times New Roman" w:hAnsi="Times New Roman" w:eastAsia="宋体" w:cs="Times New Roman"/>
                <w:color w:val="auto"/>
                <w:sz w:val="24"/>
                <w:lang w:val="en-US" w:eastAsia="zh-CN"/>
              </w:rPr>
              <w:t>2类排放限值（昼间：60dB（A）、夜间：50dB（A））要求。</w:t>
            </w:r>
            <w:r>
              <w:rPr>
                <w:rFonts w:hint="eastAsia" w:cs="Times New Roman"/>
                <w:color w:val="auto"/>
                <w:sz w:val="24"/>
                <w:lang w:val="en-US" w:eastAsia="zh-CN"/>
              </w:rPr>
              <w:t>项目周边居民点声环境满足《声环境质量标准》（GB3096-2008）中的2类标准限值，</w:t>
            </w:r>
            <w:r>
              <w:rPr>
                <w:rFonts w:hint="default" w:ascii="Times New Roman" w:hAnsi="Times New Roman" w:eastAsia="宋体" w:cs="Times New Roman"/>
                <w:color w:val="auto"/>
                <w:sz w:val="24"/>
                <w:lang w:val="en-US" w:eastAsia="zh-CN"/>
              </w:rPr>
              <w:t>区域声环境影响较小。</w:t>
            </w:r>
          </w:p>
          <w:p w14:paraId="7EE15B03">
            <w:pPr>
              <w:pStyle w:val="37"/>
              <w:spacing w:line="360" w:lineRule="auto"/>
              <w:ind w:left="0" w:leftChars="0"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eastAsia" w:cs="Times New Roman"/>
                <w:color w:val="auto"/>
                <w:sz w:val="24"/>
                <w:lang w:val="en-US" w:eastAsia="zh-CN"/>
              </w:rPr>
              <w:t>3、</w:t>
            </w:r>
            <w:r>
              <w:rPr>
                <w:rFonts w:hint="default" w:ascii="Times New Roman" w:hAnsi="Times New Roman" w:cs="Times New Roman"/>
                <w:b w:val="0"/>
                <w:bCs w:val="0"/>
                <w:color w:val="000000" w:themeColor="text1"/>
                <w:kern w:val="0"/>
                <w:sz w:val="24"/>
                <w:szCs w:val="24"/>
                <w14:textFill>
                  <w14:solidFill>
                    <w14:schemeClr w14:val="tx1"/>
                  </w14:solidFill>
                </w14:textFill>
              </w:rPr>
              <w:t>噪声环境影响分析</w:t>
            </w:r>
          </w:p>
          <w:p w14:paraId="59DE1CC1">
            <w:pPr>
              <w:pStyle w:val="37"/>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项目噪声设备均采取了相应的措施，并合理布局，根据</w:t>
            </w:r>
            <w:r>
              <w:rPr>
                <w:rFonts w:hint="eastAsia" w:cs="Times New Roman"/>
                <w:b w:val="0"/>
                <w:bCs w:val="0"/>
                <w:color w:val="000000" w:themeColor="text1"/>
                <w:kern w:val="0"/>
                <w:sz w:val="24"/>
                <w:szCs w:val="24"/>
                <w:lang w:val="en-US" w:eastAsia="zh-CN"/>
                <w14:textFill>
                  <w14:solidFill>
                    <w14:schemeClr w14:val="tx1"/>
                  </w14:solidFill>
                </w14:textFill>
              </w:rPr>
              <w:t>厂家噪声及</w:t>
            </w:r>
            <w:r>
              <w:rPr>
                <w:rFonts w:hint="default" w:ascii="Times New Roman" w:hAnsi="Times New Roman" w:cs="Times New Roman"/>
                <w:b w:val="0"/>
                <w:bCs w:val="0"/>
                <w:color w:val="000000" w:themeColor="text1"/>
                <w:kern w:val="0"/>
                <w:sz w:val="24"/>
                <w:szCs w:val="24"/>
                <w14:textFill>
                  <w14:solidFill>
                    <w14:schemeClr w14:val="tx1"/>
                  </w14:solidFill>
                </w14:textFill>
              </w:rPr>
              <w:t>声环境监测数据可知，</w:t>
            </w:r>
            <w:r>
              <w:rPr>
                <w:rFonts w:hint="eastAsia" w:cs="Times New Roman"/>
                <w:b w:val="0"/>
                <w:bCs w:val="0"/>
                <w:color w:val="000000" w:themeColor="text1"/>
                <w:kern w:val="0"/>
                <w:sz w:val="24"/>
                <w:szCs w:val="24"/>
                <w:lang w:eastAsia="zh-CN"/>
                <w14:textFill>
                  <w14:solidFill>
                    <w14:schemeClr w14:val="tx1"/>
                  </w14:solidFill>
                </w14:textFill>
              </w:rPr>
              <w:t>厂界</w:t>
            </w:r>
            <w:r>
              <w:rPr>
                <w:rFonts w:hint="eastAsia" w:cs="Times New Roman"/>
                <w:b w:val="0"/>
                <w:bCs w:val="0"/>
                <w:color w:val="000000" w:themeColor="text1"/>
                <w:kern w:val="0"/>
                <w:sz w:val="24"/>
                <w:szCs w:val="24"/>
                <w:lang w:val="en-US" w:eastAsia="zh-CN"/>
                <w14:textFill>
                  <w14:solidFill>
                    <w14:schemeClr w14:val="tx1"/>
                  </w14:solidFill>
                </w14:textFill>
              </w:rPr>
              <w:t>四周及</w:t>
            </w:r>
            <w:r>
              <w:rPr>
                <w:rFonts w:hint="eastAsia" w:cs="Times New Roman"/>
                <w:b w:val="0"/>
                <w:bCs w:val="0"/>
                <w:color w:val="000000" w:themeColor="text1"/>
                <w:kern w:val="0"/>
                <w:sz w:val="24"/>
                <w:szCs w:val="24"/>
                <w:lang w:eastAsia="zh-CN"/>
                <w14:textFill>
                  <w14:solidFill>
                    <w14:schemeClr w14:val="tx1"/>
                  </w14:solidFill>
                </w14:textFill>
              </w:rPr>
              <w:t>周围</w:t>
            </w:r>
            <w:r>
              <w:rPr>
                <w:rFonts w:hint="default" w:ascii="Times New Roman" w:hAnsi="Times New Roman" w:cs="Times New Roman"/>
                <w:b w:val="0"/>
                <w:bCs w:val="0"/>
                <w:color w:val="000000" w:themeColor="text1"/>
                <w:kern w:val="0"/>
                <w:sz w:val="24"/>
                <w:szCs w:val="24"/>
                <w14:textFill>
                  <w14:solidFill>
                    <w14:schemeClr w14:val="tx1"/>
                  </w14:solidFill>
                </w14:textFill>
              </w:rPr>
              <w:t>声环境保护目标</w:t>
            </w:r>
            <w:r>
              <w:rPr>
                <w:rFonts w:hint="eastAsia" w:cs="Times New Roman"/>
                <w:b w:val="0"/>
                <w:bCs w:val="0"/>
                <w:color w:val="000000" w:themeColor="text1"/>
                <w:kern w:val="0"/>
                <w:sz w:val="24"/>
                <w:szCs w:val="24"/>
                <w:lang w:eastAsia="zh-CN"/>
                <w14:textFill>
                  <w14:solidFill>
                    <w14:schemeClr w14:val="tx1"/>
                  </w14:solidFill>
                </w14:textFill>
              </w:rPr>
              <w:t>的</w:t>
            </w:r>
            <w:r>
              <w:rPr>
                <w:rFonts w:hint="default" w:ascii="Times New Roman" w:hAnsi="Times New Roman" w:cs="Times New Roman"/>
                <w:b w:val="0"/>
                <w:bCs w:val="0"/>
                <w:color w:val="000000" w:themeColor="text1"/>
                <w:kern w:val="0"/>
                <w:sz w:val="24"/>
                <w:szCs w:val="24"/>
                <w14:textFill>
                  <w14:solidFill>
                    <w14:schemeClr w14:val="tx1"/>
                  </w14:solidFill>
                </w14:textFill>
              </w:rPr>
              <w:t>现状</w:t>
            </w:r>
            <w:r>
              <w:rPr>
                <w:rFonts w:hint="eastAsia" w:cs="Times New Roman"/>
                <w:b w:val="0"/>
                <w:bCs w:val="0"/>
                <w:color w:val="000000" w:themeColor="text1"/>
                <w:kern w:val="0"/>
                <w:sz w:val="24"/>
                <w:szCs w:val="24"/>
                <w:lang w:eastAsia="zh-CN"/>
                <w14:textFill>
                  <w14:solidFill>
                    <w14:schemeClr w14:val="tx1"/>
                  </w14:solidFill>
                </w14:textFill>
              </w:rPr>
              <w:t>昼夜间</w:t>
            </w:r>
            <w:r>
              <w:rPr>
                <w:rFonts w:hint="default" w:ascii="Times New Roman" w:hAnsi="Times New Roman" w:cs="Times New Roman"/>
                <w:b w:val="0"/>
                <w:bCs w:val="0"/>
                <w:color w:val="000000" w:themeColor="text1"/>
                <w:kern w:val="0"/>
                <w:sz w:val="24"/>
                <w:szCs w:val="24"/>
                <w14:textFill>
                  <w14:solidFill>
                    <w14:schemeClr w14:val="tx1"/>
                  </w14:solidFill>
                </w14:textFill>
              </w:rPr>
              <w:t>噪声值均为达标状态，且声环境质量较好。</w:t>
            </w:r>
          </w:p>
          <w:p w14:paraId="56BCFA0F">
            <w:pPr>
              <w:pStyle w:val="37"/>
              <w:spacing w:line="360" w:lineRule="auto"/>
              <w:ind w:firstLine="480" w:firstLineChars="200"/>
              <w:jc w:val="both"/>
              <w:rPr>
                <w:rFonts w:hint="default" w:ascii="Times New Roman" w:hAnsi="Times New Roman" w:cs="Times New Roman"/>
                <w:b w:val="0"/>
                <w:bCs w:val="0"/>
                <w:color w:val="000000" w:themeColor="text1"/>
                <w:kern w:val="0"/>
                <w:sz w:val="24"/>
                <w:szCs w:val="24"/>
                <w14:textFill>
                  <w14:solidFill>
                    <w14:schemeClr w14:val="tx1"/>
                  </w14:solidFill>
                </w14:textFill>
              </w:rPr>
            </w:pPr>
            <w:r>
              <w:rPr>
                <w:rFonts w:hint="default" w:ascii="Times New Roman" w:hAnsi="Times New Roman" w:cs="Times New Roman"/>
                <w:b w:val="0"/>
                <w:bCs w:val="0"/>
                <w:color w:val="000000" w:themeColor="text1"/>
                <w:kern w:val="0"/>
                <w:sz w:val="24"/>
                <w:szCs w:val="24"/>
                <w14:textFill>
                  <w14:solidFill>
                    <w14:schemeClr w14:val="tx1"/>
                  </w14:solidFill>
                </w14:textFill>
              </w:rPr>
              <w:t>本项目为医疗机构项目，为需要保持安静的项目，主要对本项目产生的影响的为</w:t>
            </w:r>
            <w:r>
              <w:rPr>
                <w:rFonts w:hint="eastAsia" w:cs="Times New Roman"/>
                <w:b w:val="0"/>
                <w:bCs w:val="0"/>
                <w:color w:val="000000" w:themeColor="text1"/>
                <w:kern w:val="0"/>
                <w:sz w:val="24"/>
                <w:szCs w:val="24"/>
                <w:lang w:val="en-US" w:eastAsia="zh-CN"/>
                <w14:textFill>
                  <w14:solidFill>
                    <w14:schemeClr w14:val="tx1"/>
                  </w14:solidFill>
                </w14:textFill>
              </w:rPr>
              <w:t>南</w:t>
            </w:r>
            <w:r>
              <w:rPr>
                <w:rFonts w:hint="default" w:ascii="Times New Roman" w:hAnsi="Times New Roman" w:cs="Times New Roman"/>
                <w:b w:val="0"/>
                <w:bCs w:val="0"/>
                <w:color w:val="000000" w:themeColor="text1"/>
                <w:kern w:val="0"/>
                <w:sz w:val="24"/>
                <w:szCs w:val="24"/>
                <w14:textFill>
                  <w14:solidFill>
                    <w14:schemeClr w14:val="tx1"/>
                  </w14:solidFill>
                </w14:textFill>
              </w:rPr>
              <w:t>侧道路，通过控制加强管理，并设置禁鸣标志，避免随意鸣笛，可减小对本项目的影响。</w:t>
            </w:r>
          </w:p>
          <w:p w14:paraId="3860805D">
            <w:pPr>
              <w:pStyle w:val="37"/>
              <w:spacing w:line="360" w:lineRule="auto"/>
              <w:ind w:firstLine="480" w:firstLineChars="200"/>
              <w:jc w:val="both"/>
              <w:rPr>
                <w:rFonts w:hint="default" w:ascii="Times New Roman" w:hAnsi="Times New Roman" w:eastAsia="宋体" w:cs="Times New Roman"/>
                <w:b w:val="0"/>
                <w:bCs w:val="0"/>
                <w:color w:val="000000" w:themeColor="text1"/>
                <w:kern w:val="0"/>
                <w:sz w:val="24"/>
                <w:szCs w:val="24"/>
                <w:lang w:eastAsia="zh-CN"/>
                <w14:textFill>
                  <w14:solidFill>
                    <w14:schemeClr w14:val="tx1"/>
                  </w14:solidFill>
                </w14:textFill>
              </w:rPr>
            </w:pPr>
            <w:r>
              <w:rPr>
                <w:rFonts w:hint="eastAsia" w:cs="Times New Roman"/>
                <w:b w:val="0"/>
                <w:bCs w:val="0"/>
                <w:color w:val="000000" w:themeColor="text1"/>
                <w:kern w:val="0"/>
                <w:sz w:val="24"/>
                <w:szCs w:val="24"/>
                <w:lang w:val="en-US" w:eastAsia="zh-CN"/>
                <w14:textFill>
                  <w14:solidFill>
                    <w14:schemeClr w14:val="tx1"/>
                  </w14:solidFill>
                </w14:textFill>
              </w:rPr>
              <w:t>4、</w:t>
            </w:r>
            <w:r>
              <w:rPr>
                <w:rFonts w:hint="default" w:cs="Times New Roman"/>
                <w:b w:val="0"/>
                <w:bCs w:val="0"/>
                <w:color w:val="000000" w:themeColor="text1"/>
                <w:kern w:val="0"/>
                <w:sz w:val="24"/>
                <w:szCs w:val="24"/>
                <w:lang w:eastAsia="zh-CN"/>
                <w14:textFill>
                  <w14:solidFill>
                    <w14:schemeClr w14:val="tx1"/>
                  </w14:solidFill>
                </w14:textFill>
              </w:rPr>
              <w:t>噪声监测计划</w:t>
            </w:r>
          </w:p>
          <w:p w14:paraId="35E81B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highlight w:val="none"/>
                <w:u w:val="none" w:color="auto"/>
                <w:lang w:val="en-US" w:eastAsia="zh-CN"/>
              </w:rPr>
            </w:pPr>
            <w:r>
              <w:rPr>
                <w:rFonts w:hint="eastAsia" w:ascii="Times New Roman" w:hAnsi="Times New Roman" w:eastAsia="宋体" w:cs="Times New Roman"/>
                <w:sz w:val="24"/>
                <w:highlight w:val="none"/>
                <w:u w:val="none" w:color="auto"/>
                <w:lang w:val="en-US" w:eastAsia="zh-CN"/>
              </w:rPr>
              <w:t>根据</w:t>
            </w:r>
            <w:r>
              <w:rPr>
                <w:rFonts w:hint="eastAsia" w:ascii="Times New Roman" w:hAnsi="Times New Roman" w:eastAsia="宋体" w:cs="Times New Roman"/>
                <w:color w:val="auto"/>
                <w:kern w:val="0"/>
                <w:sz w:val="24"/>
                <w:szCs w:val="24"/>
                <w:highlight w:val="none"/>
                <w:u w:val="none" w:color="auto"/>
                <w:lang w:val="en-US" w:eastAsia="zh-CN" w:bidi="ar"/>
              </w:rPr>
              <w:t>《排污许可证申请与核发技术规范 医疗机构》（HJ 1105-2020）</w:t>
            </w:r>
            <w:r>
              <w:rPr>
                <w:rFonts w:hint="eastAsia" w:ascii="Times New Roman" w:hAnsi="Times New Roman" w:eastAsia="宋体" w:cs="Times New Roman"/>
                <w:sz w:val="24"/>
                <w:highlight w:val="none"/>
                <w:u w:val="none" w:color="auto"/>
              </w:rPr>
              <w:t>及</w:t>
            </w:r>
            <w:r>
              <w:rPr>
                <w:rFonts w:ascii="Times New Roman" w:hAnsi="Times New Roman" w:eastAsia="宋体" w:cs="Times New Roman"/>
                <w:sz w:val="24"/>
                <w:highlight w:val="none"/>
                <w:u w:val="none" w:color="auto"/>
              </w:rPr>
              <w:t>《排污单位自行监测技术指南</w:t>
            </w:r>
            <w:r>
              <w:rPr>
                <w:rFonts w:hint="eastAsia" w:ascii="Times New Roman" w:hAnsi="Times New Roman" w:eastAsia="宋体" w:cs="Times New Roman"/>
                <w:sz w:val="24"/>
                <w:highlight w:val="none"/>
                <w:u w:val="none" w:color="auto"/>
              </w:rPr>
              <w:t xml:space="preserve"> </w:t>
            </w:r>
            <w:r>
              <w:rPr>
                <w:rFonts w:ascii="Times New Roman" w:hAnsi="Times New Roman" w:eastAsia="宋体" w:cs="Times New Roman"/>
                <w:sz w:val="24"/>
                <w:highlight w:val="none"/>
                <w:u w:val="none" w:color="auto"/>
              </w:rPr>
              <w:t>总则》（HJ819-2017）</w:t>
            </w:r>
            <w:r>
              <w:rPr>
                <w:rFonts w:hint="eastAsia" w:ascii="Times New Roman" w:hAnsi="Times New Roman" w:eastAsia="宋体" w:cs="Times New Roman"/>
                <w:sz w:val="24"/>
                <w:highlight w:val="none"/>
                <w:u w:val="none" w:color="auto"/>
                <w:lang w:val="en-US" w:eastAsia="zh-CN"/>
              </w:rPr>
              <w:t>中自行监测管理要求，对本项目噪声的日常监测要求见下表：</w:t>
            </w:r>
          </w:p>
          <w:p w14:paraId="0587A392">
            <w:pPr>
              <w:keepNext w:val="0"/>
              <w:keepLines w:val="0"/>
              <w:widowControl/>
              <w:suppressLineNumbers w:val="0"/>
              <w:spacing w:line="240" w:lineRule="auto"/>
              <w:jc w:val="center"/>
              <w:rPr>
                <w:rFonts w:hint="eastAsia" w:ascii="Times New Roman" w:hAnsi="Times New Roman" w:eastAsia="宋体" w:cs="Times New Roman"/>
                <w:b/>
                <w:bCs/>
                <w:color w:val="FF0000"/>
                <w:kern w:val="2"/>
                <w:sz w:val="21"/>
                <w:szCs w:val="21"/>
                <w:highlight w:val="none"/>
                <w:u w:val="none" w:color="auto"/>
                <w:lang w:val="en-US" w:eastAsia="zh-CN" w:bidi="ar-SA"/>
              </w:rPr>
            </w:pP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表4-</w:t>
            </w:r>
            <w:r>
              <w:rPr>
                <w:rFonts w:hint="eastAsia" w:cs="Times New Roman"/>
                <w:b/>
                <w:bCs/>
                <w:color w:val="000000" w:themeColor="text1"/>
                <w:kern w:val="2"/>
                <w:sz w:val="21"/>
                <w:szCs w:val="21"/>
                <w:highlight w:val="none"/>
                <w:u w:val="none" w:color="auto"/>
                <w:lang w:val="en-US" w:eastAsia="zh-CN" w:bidi="ar-SA"/>
                <w14:textFill>
                  <w14:solidFill>
                    <w14:schemeClr w14:val="tx1"/>
                  </w14:solidFill>
                </w14:textFill>
              </w:rPr>
              <w:t xml:space="preserve">11  </w:t>
            </w:r>
            <w:r>
              <w:rPr>
                <w:rFonts w:hint="eastAsia" w:ascii="Times New Roman" w:hAnsi="Times New Roman" w:eastAsia="宋体" w:cs="Times New Roman"/>
                <w:b/>
                <w:bCs/>
                <w:color w:val="000000" w:themeColor="text1"/>
                <w:kern w:val="2"/>
                <w:sz w:val="21"/>
                <w:szCs w:val="21"/>
                <w:highlight w:val="none"/>
                <w:u w:val="none" w:color="auto"/>
                <w:lang w:val="en-US" w:eastAsia="zh-CN" w:bidi="ar-SA"/>
                <w14:textFill>
                  <w14:solidFill>
                    <w14:schemeClr w14:val="tx1"/>
                  </w14:solidFill>
                </w14:textFill>
              </w:rPr>
              <w:t>噪声监测计划</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355"/>
              <w:gridCol w:w="1413"/>
              <w:gridCol w:w="1077"/>
              <w:gridCol w:w="3246"/>
            </w:tblGrid>
            <w:tr w14:paraId="7CFA0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14:paraId="6709F1E8">
                  <w:pPr>
                    <w:pStyle w:val="38"/>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监测类别</w:t>
                  </w:r>
                </w:p>
              </w:tc>
              <w:tc>
                <w:tcPr>
                  <w:tcW w:w="1317" w:type="dxa"/>
                  <w:tcBorders>
                    <w:tl2br w:val="nil"/>
                    <w:tr2bl w:val="nil"/>
                  </w:tcBorders>
                  <w:noWrap w:val="0"/>
                  <w:vAlign w:val="center"/>
                </w:tcPr>
                <w:p w14:paraId="2E12BE42">
                  <w:pPr>
                    <w:pStyle w:val="38"/>
                    <w:keepNext w:val="0"/>
                    <w:keepLines w:val="0"/>
                    <w:pageBreakBefore w:val="0"/>
                    <w:kinsoku/>
                    <w:wordWrap/>
                    <w:topLinePunct w:val="0"/>
                    <w:autoSpaceDE/>
                    <w:bidi w:val="0"/>
                    <w:adjustRightInd/>
                    <w:snapToGrid/>
                    <w:spacing w:line="240" w:lineRule="auto"/>
                    <w:jc w:val="center"/>
                    <w:rPr>
                      <w:rFonts w:hint="eastAsia" w:ascii="Times New Roman"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监测点位</w:t>
                  </w:r>
                </w:p>
              </w:tc>
              <w:tc>
                <w:tcPr>
                  <w:tcW w:w="1374" w:type="dxa"/>
                  <w:tcBorders>
                    <w:tl2br w:val="nil"/>
                    <w:tr2bl w:val="nil"/>
                  </w:tcBorders>
                  <w:noWrap w:val="0"/>
                  <w:vAlign w:val="center"/>
                </w:tcPr>
                <w:p w14:paraId="324D6E83">
                  <w:pPr>
                    <w:pStyle w:val="38"/>
                    <w:keepNext w:val="0"/>
                    <w:keepLines w:val="0"/>
                    <w:pageBreakBefore w:val="0"/>
                    <w:kinsoku/>
                    <w:wordWrap/>
                    <w:topLinePunct w:val="0"/>
                    <w:autoSpaceDE/>
                    <w:bidi w:val="0"/>
                    <w:adjustRightInd/>
                    <w:snapToGrid/>
                    <w:spacing w:line="240" w:lineRule="auto"/>
                    <w:jc w:val="center"/>
                    <w:rPr>
                      <w:rFonts w:hint="default" w:ascii="Times New Roman" w:hAnsi="宋体" w:eastAsia="宋体"/>
                      <w:b w:val="0"/>
                      <w:bCs/>
                      <w:color w:val="000000" w:themeColor="text1"/>
                      <w:sz w:val="21"/>
                      <w:szCs w:val="21"/>
                      <w:highlight w:val="none"/>
                      <w:u w:val="none"/>
                      <w:lang w:val="en-US" w:eastAsia="zh-CN"/>
                      <w14:textFill>
                        <w14:solidFill>
                          <w14:schemeClr w14:val="tx1"/>
                        </w14:solidFill>
                      </w14:textFill>
                    </w:rPr>
                  </w:pPr>
                  <w:r>
                    <w:rPr>
                      <w:rFonts w:hint="eastAsia" w:ascii="Times New Roman" w:hAnsi="宋体"/>
                      <w:b w:val="0"/>
                      <w:bCs/>
                      <w:color w:val="000000" w:themeColor="text1"/>
                      <w:sz w:val="21"/>
                      <w:szCs w:val="21"/>
                      <w:highlight w:val="none"/>
                      <w:u w:val="none"/>
                      <w:lang w:val="en-US" w:eastAsia="zh-CN"/>
                      <w14:textFill>
                        <w14:solidFill>
                          <w14:schemeClr w14:val="tx1"/>
                        </w14:solidFill>
                      </w14:textFill>
                    </w:rPr>
                    <w:t>监测因子</w:t>
                  </w:r>
                </w:p>
              </w:tc>
              <w:tc>
                <w:tcPr>
                  <w:tcW w:w="1047" w:type="dxa"/>
                  <w:tcBorders>
                    <w:tl2br w:val="nil"/>
                    <w:tr2bl w:val="nil"/>
                  </w:tcBorders>
                  <w:noWrap w:val="0"/>
                  <w:vAlign w:val="center"/>
                </w:tcPr>
                <w:p w14:paraId="01C0826C">
                  <w:pPr>
                    <w:pStyle w:val="38"/>
                    <w:keepNext w:val="0"/>
                    <w:keepLines w:val="0"/>
                    <w:pageBreakBefore w:val="0"/>
                    <w:kinsoku/>
                    <w:wordWrap/>
                    <w:topLinePunct w:val="0"/>
                    <w:autoSpaceDE/>
                    <w:bidi w:val="0"/>
                    <w:adjustRightInd/>
                    <w:snapToGrid/>
                    <w:spacing w:line="240" w:lineRule="auto"/>
                    <w:jc w:val="center"/>
                    <w:rPr>
                      <w:rFonts w:hint="eastAsia" w:ascii="Times New Roman" w:hAnsi="宋体" w:eastAsia="宋体"/>
                      <w:b w:val="0"/>
                      <w:bCs/>
                      <w:color w:val="000000" w:themeColor="text1"/>
                      <w:sz w:val="21"/>
                      <w:szCs w:val="21"/>
                      <w:highlight w:val="none"/>
                      <w:u w:val="none"/>
                      <w:lang w:eastAsia="zh-CN"/>
                      <w14:textFill>
                        <w14:solidFill>
                          <w14:schemeClr w14:val="tx1"/>
                        </w14:solidFill>
                      </w14:textFill>
                    </w:rPr>
                  </w:pPr>
                  <w:r>
                    <w:rPr>
                      <w:rFonts w:hint="eastAsia" w:ascii="Times New Roman" w:hAnsi="宋体"/>
                      <w:b w:val="0"/>
                      <w:bCs/>
                      <w:color w:val="000000" w:themeColor="text1"/>
                      <w:sz w:val="21"/>
                      <w:szCs w:val="21"/>
                      <w:highlight w:val="none"/>
                      <w:u w:val="none"/>
                      <w:lang w:eastAsia="zh-CN"/>
                      <w14:textFill>
                        <w14:solidFill>
                          <w14:schemeClr w14:val="tx1"/>
                        </w14:solidFill>
                      </w14:textFill>
                    </w:rPr>
                    <w:t>监测频次</w:t>
                  </w:r>
                </w:p>
              </w:tc>
              <w:tc>
                <w:tcPr>
                  <w:tcW w:w="3155" w:type="dxa"/>
                  <w:tcBorders>
                    <w:tl2br w:val="nil"/>
                    <w:tr2bl w:val="nil"/>
                  </w:tcBorders>
                  <w:noWrap w:val="0"/>
                  <w:vAlign w:val="center"/>
                </w:tcPr>
                <w:p w14:paraId="68AC39F9">
                  <w:pPr>
                    <w:pStyle w:val="38"/>
                    <w:keepNext w:val="0"/>
                    <w:keepLines w:val="0"/>
                    <w:pageBreakBefore w:val="0"/>
                    <w:kinsoku/>
                    <w:wordWrap/>
                    <w:topLinePunct w:val="0"/>
                    <w:autoSpaceDE/>
                    <w:bidi w:val="0"/>
                    <w:adjustRightInd/>
                    <w:snapToGrid/>
                    <w:spacing w:line="240" w:lineRule="auto"/>
                    <w:jc w:val="center"/>
                    <w:rPr>
                      <w:rFonts w:hint="default" w:ascii="Times New Roman" w:hAnsi="宋体"/>
                      <w:b w:val="0"/>
                      <w:bCs/>
                      <w:color w:val="000000" w:themeColor="text1"/>
                      <w:sz w:val="21"/>
                      <w:szCs w:val="21"/>
                      <w:highlight w:val="none"/>
                      <w:u w:val="none"/>
                      <w:lang w:val="en-US" w:eastAsia="zh-CN"/>
                      <w14:textFill>
                        <w14:solidFill>
                          <w14:schemeClr w14:val="tx1"/>
                        </w14:solidFill>
                      </w14:textFill>
                    </w:rPr>
                  </w:pPr>
                  <w:r>
                    <w:rPr>
                      <w:rFonts w:hint="eastAsia" w:hAnsi="宋体"/>
                      <w:b w:val="0"/>
                      <w:bCs/>
                      <w:color w:val="000000" w:themeColor="text1"/>
                      <w:sz w:val="21"/>
                      <w:szCs w:val="21"/>
                      <w:highlight w:val="none"/>
                      <w:u w:val="none"/>
                      <w:lang w:val="en-US" w:eastAsia="zh-CN"/>
                      <w14:textFill>
                        <w14:solidFill>
                          <w14:schemeClr w14:val="tx1"/>
                        </w14:solidFill>
                      </w14:textFill>
                    </w:rPr>
                    <w:t>执行标准</w:t>
                  </w:r>
                </w:p>
              </w:tc>
            </w:tr>
            <w:tr w14:paraId="2A8FA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69" w:type="dxa"/>
                  <w:tcBorders>
                    <w:tl2br w:val="nil"/>
                    <w:tr2bl w:val="nil"/>
                  </w:tcBorders>
                  <w:noWrap w:val="0"/>
                  <w:vAlign w:val="center"/>
                </w:tcPr>
                <w:p w14:paraId="431902E7">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val="en-US" w:eastAsia="zh-CN"/>
                      <w14:textFill>
                        <w14:solidFill>
                          <w14:schemeClr w14:val="tx1"/>
                        </w14:solidFill>
                      </w14:textFill>
                    </w:rPr>
                    <w:t>噪声</w:t>
                  </w:r>
                </w:p>
              </w:tc>
              <w:tc>
                <w:tcPr>
                  <w:tcW w:w="1317" w:type="dxa"/>
                  <w:tcBorders>
                    <w:tl2br w:val="nil"/>
                    <w:tr2bl w:val="nil"/>
                  </w:tcBorders>
                  <w:noWrap w:val="0"/>
                  <w:vAlign w:val="center"/>
                </w:tcPr>
                <w:p w14:paraId="7E42F9AC">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厂界四周</w:t>
                  </w:r>
                  <w:r>
                    <w:rPr>
                      <w:rFonts w:hint="eastAsia" w:cs="Times New Roman"/>
                      <w:color w:val="000000" w:themeColor="text1"/>
                      <w:sz w:val="21"/>
                      <w:szCs w:val="21"/>
                      <w:highlight w:val="none"/>
                      <w:u w:val="none"/>
                      <w:lang w:val="en-US" w:eastAsia="zh-CN"/>
                      <w14:textFill>
                        <w14:solidFill>
                          <w14:schemeClr w14:val="tx1"/>
                        </w14:solidFill>
                      </w14:textFill>
                    </w:rPr>
                    <w:t>外1m处</w:t>
                  </w:r>
                </w:p>
              </w:tc>
              <w:tc>
                <w:tcPr>
                  <w:tcW w:w="1374" w:type="dxa"/>
                  <w:tcBorders>
                    <w:tl2br w:val="nil"/>
                    <w:tr2bl w:val="nil"/>
                  </w:tcBorders>
                  <w:noWrap w:val="0"/>
                  <w:vAlign w:val="center"/>
                </w:tcPr>
                <w:p w14:paraId="2B0DE556">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eastAsia="zh-CN"/>
                      <w14:textFill>
                        <w14:solidFill>
                          <w14:schemeClr w14:val="tx1"/>
                        </w14:solidFill>
                      </w14:textFill>
                    </w:rPr>
                    <w:t>Leq[dB(A)]</w:t>
                  </w:r>
                </w:p>
              </w:tc>
              <w:tc>
                <w:tcPr>
                  <w:tcW w:w="1047" w:type="dxa"/>
                  <w:tcBorders>
                    <w:tl2br w:val="nil"/>
                    <w:tr2bl w:val="nil"/>
                  </w:tcBorders>
                  <w:noWrap w:val="0"/>
                  <w:tcMar>
                    <w:top w:w="0" w:type="dxa"/>
                    <w:left w:w="28" w:type="dxa"/>
                    <w:bottom w:w="0" w:type="dxa"/>
                    <w:right w:w="28" w:type="dxa"/>
                  </w:tcMar>
                  <w:vAlign w:val="center"/>
                </w:tcPr>
                <w:p w14:paraId="1FDAEAEF">
                  <w:pPr>
                    <w:keepNext w:val="0"/>
                    <w:keepLines w:val="0"/>
                    <w:pageBreakBefore w:val="0"/>
                    <w:widowControl/>
                    <w:kinsoku/>
                    <w:wordWrap/>
                    <w:topLinePunct w:val="0"/>
                    <w:autoSpaceDE/>
                    <w:bidi w:val="0"/>
                    <w:adjustRightInd/>
                    <w:snapToGrid/>
                    <w:spacing w:line="240" w:lineRule="auto"/>
                    <w:jc w:val="center"/>
                    <w:rPr>
                      <w:rFonts w:hint="default"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t>1次/季度</w:t>
                  </w:r>
                </w:p>
              </w:tc>
              <w:tc>
                <w:tcPr>
                  <w:tcW w:w="3155" w:type="dxa"/>
                  <w:tcBorders>
                    <w:tl2br w:val="nil"/>
                    <w:tr2bl w:val="nil"/>
                  </w:tcBorders>
                  <w:noWrap w:val="0"/>
                  <w:tcMar>
                    <w:top w:w="0" w:type="dxa"/>
                    <w:left w:w="28" w:type="dxa"/>
                    <w:bottom w:w="0" w:type="dxa"/>
                    <w:right w:w="28" w:type="dxa"/>
                  </w:tcMar>
                  <w:vAlign w:val="center"/>
                </w:tcPr>
                <w:p w14:paraId="20D39180">
                  <w:pPr>
                    <w:keepNext w:val="0"/>
                    <w:keepLines w:val="0"/>
                    <w:pageBreakBefore w:val="0"/>
                    <w:widowControl/>
                    <w:kinsoku/>
                    <w:wordWrap/>
                    <w:topLinePunct w:val="0"/>
                    <w:autoSpaceDE/>
                    <w:bidi w:val="0"/>
                    <w:adjustRightInd/>
                    <w:snapToGrid/>
                    <w:spacing w:line="240" w:lineRule="auto"/>
                    <w:jc w:val="center"/>
                    <w:rPr>
                      <w:rFonts w:hint="eastAsia" w:ascii="Times New Roman" w:hAnsi="Times New Roman" w:eastAsia="宋体" w:cs="Times New Roman"/>
                      <w:color w:val="000000" w:themeColor="text1"/>
                      <w:sz w:val="21"/>
                      <w:szCs w:val="21"/>
                      <w:highlight w:val="none"/>
                      <w:u w:val="none"/>
                      <w:lang w:val="en-US" w:eastAsia="zh-CN"/>
                      <w14:textFill>
                        <w14:solidFill>
                          <w14:schemeClr w14:val="tx1"/>
                        </w14:solidFill>
                      </w14:textFill>
                    </w:rPr>
                  </w:pPr>
                  <w:r>
                    <w:rPr>
                      <w:rFonts w:hint="eastAsia" w:cs="Times New Roman"/>
                      <w:color w:val="000000" w:themeColor="text1"/>
                      <w:sz w:val="21"/>
                      <w:szCs w:val="21"/>
                      <w:highlight w:val="none"/>
                      <w:u w:val="none"/>
                      <w:lang w:eastAsia="zh-CN"/>
                      <w14:textFill>
                        <w14:solidFill>
                          <w14:schemeClr w14:val="tx1"/>
                        </w14:solidFill>
                      </w14:textFill>
                    </w:rPr>
                    <w:t>《社会生活环境噪声排放标准》（GB 22337-2008）</w:t>
                  </w:r>
                  <w:r>
                    <w:rPr>
                      <w:rFonts w:hint="default" w:ascii="Times New Roman" w:hAnsi="Times New Roman" w:cs="Times New Roman"/>
                      <w:color w:val="000000" w:themeColor="text1"/>
                      <w:sz w:val="21"/>
                      <w:szCs w:val="21"/>
                      <w:highlight w:val="none"/>
                      <w:u w:val="none"/>
                      <w14:textFill>
                        <w14:solidFill>
                          <w14:schemeClr w14:val="tx1"/>
                        </w14:solidFill>
                      </w14:textFill>
                    </w:rPr>
                    <w:t>的</w:t>
                  </w:r>
                  <w:r>
                    <w:rPr>
                      <w:rFonts w:hint="eastAsia" w:ascii="Times New Roman" w:hAnsi="Times New Roman" w:cs="Times New Roman"/>
                      <w:color w:val="000000" w:themeColor="text1"/>
                      <w:sz w:val="21"/>
                      <w:szCs w:val="21"/>
                      <w:highlight w:val="none"/>
                      <w:u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u w:val="none"/>
                      <w14:textFill>
                        <w14:solidFill>
                          <w14:schemeClr w14:val="tx1"/>
                        </w14:solidFill>
                      </w14:textFill>
                    </w:rPr>
                    <w:t>类标准</w:t>
                  </w:r>
                </w:p>
              </w:tc>
            </w:tr>
          </w:tbl>
          <w:p w14:paraId="39B8EA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none" w:color="auto"/>
                <w:lang w:val="en-US" w:eastAsia="zh-CN"/>
              </w:rPr>
            </w:pPr>
            <w:r>
              <w:rPr>
                <w:rFonts w:hint="eastAsia" w:ascii="Times New Roman" w:hAnsi="Times New Roman" w:eastAsia="宋体" w:cs="Times New Roman"/>
                <w:b/>
                <w:bCs/>
                <w:color w:val="auto"/>
                <w:kern w:val="2"/>
                <w:sz w:val="24"/>
                <w:szCs w:val="24"/>
                <w:u w:color="auto"/>
                <w:lang w:val="en-US" w:eastAsia="zh-CN" w:bidi="ar-SA"/>
              </w:rPr>
              <w:t>四、</w:t>
            </w:r>
            <w:r>
              <w:rPr>
                <w:rFonts w:hint="default" w:ascii="Times New Roman" w:hAnsi="Times New Roman" w:eastAsia="宋体" w:cs="Times New Roman"/>
                <w:b/>
                <w:bCs/>
                <w:color w:val="auto"/>
                <w:sz w:val="24"/>
                <w:szCs w:val="24"/>
                <w:u w:val="none" w:color="auto"/>
                <w:lang w:val="en-US" w:eastAsia="zh-CN"/>
              </w:rPr>
              <w:t>运营期</w:t>
            </w:r>
            <w:r>
              <w:rPr>
                <w:rFonts w:hint="eastAsia" w:ascii="Times New Roman" w:hAnsi="Times New Roman" w:eastAsia="宋体" w:cs="Times New Roman"/>
                <w:b/>
                <w:bCs/>
                <w:color w:val="auto"/>
                <w:sz w:val="24"/>
                <w:szCs w:val="24"/>
                <w:u w:val="none" w:color="auto"/>
                <w:lang w:val="en-US" w:eastAsia="zh-CN"/>
              </w:rPr>
              <w:t>固体废物</w:t>
            </w:r>
            <w:r>
              <w:rPr>
                <w:rFonts w:hint="default" w:ascii="Times New Roman" w:hAnsi="Times New Roman" w:eastAsia="宋体" w:cs="Times New Roman"/>
                <w:b/>
                <w:bCs/>
                <w:color w:val="auto"/>
                <w:sz w:val="24"/>
                <w:szCs w:val="24"/>
                <w:u w:val="none" w:color="auto"/>
                <w:lang w:val="en-US" w:eastAsia="zh-CN"/>
              </w:rPr>
              <w:t>环境影响和保护措施</w:t>
            </w:r>
          </w:p>
          <w:p w14:paraId="06DE22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
                <w:bCs/>
                <w:color w:val="auto"/>
                <w:sz w:val="24"/>
                <w:szCs w:val="24"/>
                <w:u w:val="none" w:color="auto"/>
                <w:lang w:val="en-US" w:eastAsia="zh-CN"/>
              </w:rPr>
            </w:pPr>
            <w:r>
              <w:rPr>
                <w:rFonts w:hint="default" w:ascii="Times New Roman" w:hAnsi="Times New Roman" w:eastAsia="宋体" w:cs="Times New Roman"/>
                <w:b w:val="0"/>
                <w:bCs w:val="0"/>
                <w:color w:val="auto"/>
                <w:sz w:val="24"/>
                <w:szCs w:val="24"/>
                <w:u w:val="none" w:color="auto"/>
                <w:lang w:eastAsia="zh-CN"/>
              </w:rPr>
              <w:t>1 、</w:t>
            </w:r>
            <w:r>
              <w:rPr>
                <w:rFonts w:hint="eastAsia" w:ascii="Times New Roman" w:hAnsi="Times New Roman" w:eastAsia="宋体" w:cs="Times New Roman"/>
                <w:b w:val="0"/>
                <w:bCs w:val="0"/>
                <w:color w:val="auto"/>
                <w:sz w:val="24"/>
                <w:szCs w:val="24"/>
                <w:u w:val="none" w:color="auto"/>
                <w:lang w:eastAsia="zh-CN"/>
              </w:rPr>
              <w:t>固废产生情况及去向</w:t>
            </w:r>
          </w:p>
          <w:p w14:paraId="422460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highlight w:val="none"/>
                <w:u w:val="none" w:color="auto"/>
                <w:lang w:val="en-US" w:eastAsia="zh-CN"/>
              </w:rPr>
            </w:pPr>
            <w:r>
              <w:rPr>
                <w:rFonts w:hint="default" w:ascii="Times New Roman" w:hAnsi="Times New Roman" w:cs="Times New Roman"/>
                <w:color w:val="000000" w:themeColor="text1"/>
                <w:kern w:val="0"/>
                <w:sz w:val="24"/>
                <w:szCs w:val="20"/>
                <w14:textFill>
                  <w14:solidFill>
                    <w14:schemeClr w14:val="tx1"/>
                  </w14:solidFill>
                </w14:textFill>
              </w:rPr>
              <w:t>项目营运期固体废物主要是生活垃圾</w:t>
            </w:r>
            <w:r>
              <w:rPr>
                <w:rFonts w:hint="eastAsia" w:cs="Times New Roman"/>
                <w:color w:val="000000" w:themeColor="text1"/>
                <w:kern w:val="0"/>
                <w:sz w:val="24"/>
                <w:szCs w:val="20"/>
                <w:lang w:eastAsia="zh-CN"/>
                <w14:textFill>
                  <w14:solidFill>
                    <w14:schemeClr w14:val="tx1"/>
                  </w14:solidFill>
                </w14:textFill>
              </w:rPr>
              <w:t>、</w:t>
            </w:r>
            <w:r>
              <w:rPr>
                <w:rFonts w:hint="default" w:cs="Times New Roman"/>
                <w:color w:val="auto"/>
                <w:sz w:val="24"/>
                <w:lang w:eastAsia="zh-CN"/>
              </w:rPr>
              <w:t>中药渣</w:t>
            </w:r>
            <w:r>
              <w:rPr>
                <w:rFonts w:hint="eastAsia" w:cs="Times New Roman"/>
                <w:color w:val="auto"/>
                <w:sz w:val="24"/>
                <w:lang w:eastAsia="zh-CN"/>
              </w:rPr>
              <w:t>、</w:t>
            </w:r>
            <w:r>
              <w:rPr>
                <w:rFonts w:hint="eastAsia" w:cs="Times New Roman"/>
                <w:color w:val="000000" w:themeColor="text1"/>
                <w:kern w:val="0"/>
                <w:sz w:val="24"/>
                <w:szCs w:val="20"/>
                <w:lang w:val="en-US" w:eastAsia="zh-CN"/>
                <w14:textFill>
                  <w14:solidFill>
                    <w14:schemeClr w14:val="tx1"/>
                  </w14:solidFill>
                </w14:textFill>
              </w:rPr>
              <w:t>一般废包装材料、</w:t>
            </w:r>
            <w:r>
              <w:rPr>
                <w:rFonts w:hint="default" w:cs="Times New Roman"/>
                <w:color w:val="auto"/>
                <w:sz w:val="24"/>
                <w:lang w:eastAsia="zh-CN"/>
              </w:rPr>
              <w:t>医疗废物</w:t>
            </w:r>
            <w:r>
              <w:rPr>
                <w:rFonts w:hint="eastAsia" w:cs="Times New Roman"/>
                <w:color w:val="auto"/>
                <w:sz w:val="24"/>
                <w:lang w:eastAsia="zh-CN"/>
              </w:rPr>
              <w:t>、</w:t>
            </w:r>
            <w:r>
              <w:rPr>
                <w:rFonts w:hint="eastAsia" w:cs="Times New Roman"/>
                <w:color w:val="auto"/>
                <w:sz w:val="24"/>
                <w:lang w:val="en-US" w:eastAsia="zh-CN"/>
              </w:rPr>
              <w:t>检验废液</w:t>
            </w:r>
            <w:r>
              <w:rPr>
                <w:rFonts w:hint="eastAsia" w:cs="Times New Roman"/>
                <w:color w:val="auto"/>
                <w:sz w:val="24"/>
                <w:lang w:eastAsia="zh-CN"/>
              </w:rPr>
              <w:t>和</w:t>
            </w:r>
            <w:r>
              <w:rPr>
                <w:rFonts w:hint="default" w:cs="Times New Roman"/>
                <w:color w:val="auto"/>
                <w:sz w:val="24"/>
                <w:lang w:eastAsia="zh-CN"/>
              </w:rPr>
              <w:t>污水处理站污泥</w:t>
            </w: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highlight w:val="none"/>
                <w:lang w:eastAsia="zh-CN"/>
                <w14:textFill>
                  <w14:solidFill>
                    <w14:schemeClr w14:val="tx1"/>
                  </w14:solidFill>
                </w14:textFill>
              </w:rPr>
              <w:t>其中：</w:t>
            </w:r>
            <w:r>
              <w:rPr>
                <w:rFonts w:hint="default" w:ascii="Times New Roman" w:hAnsi="Times New Roman" w:cs="Times New Roman"/>
                <w:color w:val="000000" w:themeColor="text1"/>
                <w:kern w:val="0"/>
                <w:sz w:val="24"/>
                <w:szCs w:val="20"/>
                <w:highlight w:val="none"/>
                <w14:textFill>
                  <w14:solidFill>
                    <w14:schemeClr w14:val="tx1"/>
                  </w14:solidFill>
                </w14:textFill>
              </w:rPr>
              <w:t>医疗废物主要包括损伤性废物、药物废物、</w:t>
            </w:r>
            <w:r>
              <w:rPr>
                <w:rFonts w:hint="eastAsia" w:cs="Times New Roman"/>
                <w:color w:val="000000" w:themeColor="text1"/>
                <w:kern w:val="0"/>
                <w:sz w:val="24"/>
                <w:szCs w:val="20"/>
                <w:highlight w:val="none"/>
                <w:lang w:val="en-US" w:eastAsia="zh-CN"/>
                <w14:textFill>
                  <w14:solidFill>
                    <w14:schemeClr w14:val="tx1"/>
                  </w14:solidFill>
                </w14:textFill>
              </w:rPr>
              <w:t>化学性废物</w:t>
            </w:r>
            <w:r>
              <w:rPr>
                <w:rFonts w:hint="default" w:ascii="Times New Roman" w:hAnsi="Times New Roman" w:cs="Times New Roman"/>
                <w:color w:val="000000" w:themeColor="text1"/>
                <w:kern w:val="0"/>
                <w:sz w:val="24"/>
                <w:szCs w:val="20"/>
                <w:highlight w:val="none"/>
                <w14:textFill>
                  <w14:solidFill>
                    <w14:schemeClr w14:val="tx1"/>
                  </w14:solidFill>
                </w14:textFill>
              </w:rPr>
              <w:t>、感染性废物。</w:t>
            </w:r>
          </w:p>
          <w:p w14:paraId="5B3954CC">
            <w:pPr>
              <w:pStyle w:val="37"/>
              <w:numPr>
                <w:ilvl w:val="-1"/>
                <w:numId w:val="0"/>
              </w:numPr>
              <w:spacing w:line="360" w:lineRule="auto"/>
              <w:ind w:left="0"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w:t>
            </w:r>
            <w:r>
              <w:rPr>
                <w:rFonts w:hint="default" w:ascii="Times New Roman" w:hAnsi="Times New Roman" w:cs="Times New Roman"/>
                <w:color w:val="000000" w:themeColor="text1"/>
                <w:kern w:val="0"/>
                <w:sz w:val="24"/>
                <w:szCs w:val="20"/>
                <w14:textFill>
                  <w14:solidFill>
                    <w14:schemeClr w14:val="tx1"/>
                  </w14:solidFill>
                </w14:textFill>
              </w:rPr>
              <w:t>生活垃圾</w:t>
            </w:r>
          </w:p>
          <w:p w14:paraId="433AA588">
            <w:pPr>
              <w:adjustRightInd w:val="0"/>
              <w:snapToGrid w:val="0"/>
              <w:spacing w:line="360" w:lineRule="auto"/>
              <w:ind w:firstLine="480" w:firstLineChars="200"/>
              <w:rPr>
                <w:rFonts w:hint="eastAsia" w:ascii="Times New Roman" w:hAnsi="Times New Roman" w:eastAsia="宋体" w:cs="Times New Roman"/>
                <w:color w:val="auto"/>
                <w:kern w:val="0"/>
                <w:sz w:val="24"/>
                <w:szCs w:val="24"/>
                <w:highlight w:val="none"/>
                <w:u w:val="none" w:color="auto"/>
                <w:lang w:val="en-US" w:eastAsia="zh-CN" w:bidi="ar"/>
              </w:rPr>
            </w:pPr>
            <w:r>
              <w:rPr>
                <w:rFonts w:hint="eastAsia" w:ascii="Times New Roman" w:hAnsi="Times New Roman" w:eastAsia="宋体" w:cs="Times New Roman"/>
                <w:color w:val="auto"/>
                <w:kern w:val="0"/>
                <w:sz w:val="24"/>
                <w:szCs w:val="24"/>
                <w:highlight w:val="none"/>
                <w:u w:val="none" w:color="auto"/>
                <w:lang w:val="en-US" w:eastAsia="zh-CN" w:bidi="ar"/>
              </w:rPr>
              <w:t>本项目生活垃圾主要来自医院职工、患者及陪护人员日常产生的生活垃圾。项目医院职工为</w:t>
            </w:r>
            <w:r>
              <w:rPr>
                <w:rFonts w:hint="eastAsia" w:cs="Times New Roman"/>
                <w:color w:val="auto"/>
                <w:kern w:val="0"/>
                <w:sz w:val="24"/>
                <w:szCs w:val="24"/>
                <w:highlight w:val="none"/>
                <w:u w:val="none" w:color="auto"/>
                <w:lang w:val="en-US" w:eastAsia="zh-CN" w:bidi="ar"/>
              </w:rPr>
              <w:t>48</w:t>
            </w:r>
            <w:r>
              <w:rPr>
                <w:rFonts w:hint="eastAsia" w:ascii="Times New Roman" w:hAnsi="Times New Roman" w:eastAsia="宋体" w:cs="Times New Roman"/>
                <w:color w:val="auto"/>
                <w:kern w:val="0"/>
                <w:sz w:val="24"/>
                <w:szCs w:val="24"/>
                <w:highlight w:val="none"/>
                <w:u w:val="none" w:color="auto"/>
                <w:lang w:val="en-US" w:eastAsia="zh-CN" w:bidi="ar"/>
              </w:rPr>
              <w:t>人，生活垃圾产生系数按0.5kg/（人</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ascii="Times New Roman" w:hAnsi="Times New Roman" w:cs="Times New Roman"/>
                <w:color w:val="auto"/>
                <w:kern w:val="0"/>
                <w:sz w:val="24"/>
                <w:szCs w:val="24"/>
                <w:highlight w:val="none"/>
                <w:u w:val="none" w:color="auto"/>
                <w:lang w:val="en-US" w:eastAsia="zh-CN" w:bidi="ar"/>
              </w:rPr>
              <w:t>2</w:t>
            </w:r>
            <w:r>
              <w:rPr>
                <w:rFonts w:hint="eastAsia" w:cs="Times New Roman"/>
                <w:color w:val="auto"/>
                <w:kern w:val="0"/>
                <w:sz w:val="24"/>
                <w:szCs w:val="24"/>
                <w:highlight w:val="none"/>
                <w:u w:val="none" w:color="auto"/>
                <w:lang w:val="en-US" w:eastAsia="zh-CN" w:bidi="ar"/>
              </w:rPr>
              <w:t>4</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8.76</w:t>
            </w:r>
            <w:r>
              <w:rPr>
                <w:rFonts w:hint="eastAsia" w:ascii="Times New Roman" w:hAnsi="Times New Roman" w:eastAsia="宋体" w:cs="Times New Roman"/>
                <w:color w:val="auto"/>
                <w:kern w:val="0"/>
                <w:sz w:val="24"/>
                <w:szCs w:val="24"/>
                <w:highlight w:val="none"/>
                <w:u w:val="none" w:color="auto"/>
                <w:lang w:val="en-US" w:eastAsia="zh-CN" w:bidi="ar"/>
              </w:rPr>
              <w:t>t/a）</w:t>
            </w:r>
            <w:r>
              <w:rPr>
                <w:rFonts w:hint="eastAsia" w:ascii="Times New Roman" w:hAnsi="Times New Roman" w:cs="Times New Roman"/>
                <w:color w:val="auto"/>
                <w:kern w:val="0"/>
                <w:sz w:val="24"/>
                <w:szCs w:val="24"/>
                <w:highlight w:val="none"/>
                <w:u w:val="none" w:color="auto"/>
                <w:lang w:val="en-US" w:eastAsia="zh-CN" w:bidi="ar"/>
              </w:rPr>
              <w:t>；</w:t>
            </w:r>
            <w:r>
              <w:rPr>
                <w:rFonts w:hint="eastAsia" w:ascii="Times New Roman" w:hAnsi="Times New Roman" w:eastAsia="宋体" w:cs="Times New Roman"/>
                <w:color w:val="auto"/>
                <w:kern w:val="0"/>
                <w:sz w:val="24"/>
                <w:szCs w:val="24"/>
                <w:highlight w:val="none"/>
                <w:u w:val="none" w:color="auto"/>
                <w:lang w:val="en-US" w:eastAsia="zh-CN" w:bidi="ar"/>
              </w:rPr>
              <w:t>医院</w:t>
            </w:r>
            <w:r>
              <w:rPr>
                <w:rFonts w:hint="eastAsia" w:ascii="Times New Roman" w:hAnsi="Times New Roman" w:cs="Times New Roman"/>
                <w:color w:val="auto"/>
                <w:kern w:val="0"/>
                <w:sz w:val="24"/>
                <w:szCs w:val="24"/>
                <w:highlight w:val="none"/>
                <w:u w:val="none" w:color="auto"/>
                <w:lang w:val="en-US" w:eastAsia="zh-CN" w:bidi="ar"/>
              </w:rPr>
              <w:t>住院部</w:t>
            </w:r>
            <w:r>
              <w:rPr>
                <w:rFonts w:hint="eastAsia" w:ascii="Times New Roman" w:hAnsi="Times New Roman" w:eastAsia="宋体" w:cs="Times New Roman"/>
                <w:color w:val="auto"/>
                <w:kern w:val="0"/>
                <w:sz w:val="24"/>
                <w:szCs w:val="24"/>
                <w:highlight w:val="none"/>
                <w:u w:val="none" w:color="auto"/>
                <w:lang w:val="en-US" w:eastAsia="zh-CN" w:bidi="ar"/>
              </w:rPr>
              <w:t>设置床位</w:t>
            </w:r>
            <w:r>
              <w:rPr>
                <w:rFonts w:hint="eastAsia" w:cs="Times New Roman"/>
                <w:color w:val="auto"/>
                <w:kern w:val="0"/>
                <w:sz w:val="24"/>
                <w:szCs w:val="24"/>
                <w:highlight w:val="none"/>
                <w:u w:val="none" w:color="auto"/>
                <w:lang w:val="en-US" w:eastAsia="zh-CN" w:bidi="ar"/>
              </w:rPr>
              <w:t>30</w:t>
            </w:r>
            <w:r>
              <w:rPr>
                <w:rFonts w:hint="eastAsia" w:ascii="Times New Roman" w:hAnsi="Times New Roman" w:eastAsia="宋体" w:cs="Times New Roman"/>
                <w:color w:val="auto"/>
                <w:kern w:val="0"/>
                <w:sz w:val="24"/>
                <w:szCs w:val="24"/>
                <w:highlight w:val="none"/>
                <w:u w:val="none" w:color="auto"/>
                <w:lang w:val="en-US" w:eastAsia="zh-CN" w:bidi="ar"/>
              </w:rPr>
              <w:t>张，患者及陪护人员生活垃圾产生量按1.0kg/（床</w:t>
            </w:r>
            <w:r>
              <w:rPr>
                <w:rFonts w:ascii="Times New Roman" w:hAnsi="Times New Roman"/>
                <w:sz w:val="24"/>
                <w:szCs w:val="24"/>
                <w:highlight w:val="none"/>
                <w:u w:val="none" w:color="auto"/>
              </w:rPr>
              <w:t>·</w:t>
            </w:r>
            <w:r>
              <w:rPr>
                <w:rFonts w:hint="eastAsia" w:ascii="Times New Roman" w:hAnsi="Times New Roman" w:eastAsia="宋体" w:cs="Times New Roman"/>
                <w:color w:val="auto"/>
                <w:kern w:val="0"/>
                <w:sz w:val="24"/>
                <w:szCs w:val="24"/>
                <w:highlight w:val="none"/>
                <w:u w:val="none" w:color="auto"/>
                <w:lang w:val="en-US" w:eastAsia="zh-CN" w:bidi="ar"/>
              </w:rPr>
              <w:t>d）计，产生量为0.0</w:t>
            </w:r>
            <w:r>
              <w:rPr>
                <w:rFonts w:hint="eastAsia" w:cs="Times New Roman"/>
                <w:color w:val="auto"/>
                <w:kern w:val="0"/>
                <w:sz w:val="24"/>
                <w:szCs w:val="24"/>
                <w:highlight w:val="none"/>
                <w:u w:val="none" w:color="auto"/>
                <w:lang w:val="en-US" w:eastAsia="zh-CN" w:bidi="ar"/>
              </w:rPr>
              <w:t>3</w:t>
            </w:r>
            <w:r>
              <w:rPr>
                <w:rFonts w:hint="eastAsia" w:ascii="Times New Roman" w:hAnsi="Times New Roman" w:eastAsia="宋体" w:cs="Times New Roman"/>
                <w:color w:val="auto"/>
                <w:kern w:val="0"/>
                <w:sz w:val="24"/>
                <w:szCs w:val="24"/>
                <w:highlight w:val="none"/>
                <w:u w:val="none" w:color="auto"/>
                <w:lang w:val="en-US" w:eastAsia="zh-CN" w:bidi="ar"/>
              </w:rPr>
              <w:t>t /d（</w:t>
            </w:r>
            <w:r>
              <w:rPr>
                <w:rFonts w:hint="eastAsia" w:cs="Times New Roman"/>
                <w:color w:val="auto"/>
                <w:kern w:val="0"/>
                <w:sz w:val="24"/>
                <w:szCs w:val="24"/>
                <w:highlight w:val="none"/>
                <w:u w:val="none" w:color="auto"/>
                <w:lang w:val="en-US" w:eastAsia="zh-CN" w:bidi="ar"/>
              </w:rPr>
              <w:t>10.95</w:t>
            </w:r>
            <w:r>
              <w:rPr>
                <w:rFonts w:hint="eastAsia" w:ascii="Times New Roman" w:hAnsi="Times New Roman" w:eastAsia="宋体" w:cs="Times New Roman"/>
                <w:color w:val="auto"/>
                <w:kern w:val="0"/>
                <w:sz w:val="24"/>
                <w:szCs w:val="24"/>
                <w:highlight w:val="none"/>
                <w:u w:val="none" w:color="auto"/>
                <w:lang w:val="en-US" w:eastAsia="zh-CN" w:bidi="ar"/>
              </w:rPr>
              <w:t>t/a）。则项目营运期生活垃圾产生总量为0.</w:t>
            </w:r>
            <w:r>
              <w:rPr>
                <w:rFonts w:hint="eastAsia" w:cs="Times New Roman"/>
                <w:color w:val="auto"/>
                <w:kern w:val="0"/>
                <w:sz w:val="24"/>
                <w:szCs w:val="24"/>
                <w:highlight w:val="none"/>
                <w:u w:val="none" w:color="auto"/>
                <w:lang w:val="en-US" w:eastAsia="zh-CN" w:bidi="ar"/>
              </w:rPr>
              <w:t>054</w:t>
            </w:r>
            <w:r>
              <w:rPr>
                <w:rFonts w:hint="eastAsia" w:ascii="Times New Roman" w:hAnsi="Times New Roman" w:eastAsia="宋体" w:cs="Times New Roman"/>
                <w:color w:val="auto"/>
                <w:kern w:val="0"/>
                <w:sz w:val="24"/>
                <w:szCs w:val="24"/>
                <w:highlight w:val="none"/>
                <w:u w:val="none" w:color="auto"/>
                <w:lang w:val="en-US" w:eastAsia="zh-CN" w:bidi="ar"/>
              </w:rPr>
              <w:t>t/d（</w:t>
            </w:r>
            <w:r>
              <w:rPr>
                <w:rFonts w:hint="eastAsia" w:cs="Times New Roman"/>
                <w:color w:val="auto"/>
                <w:kern w:val="0"/>
                <w:sz w:val="24"/>
                <w:szCs w:val="24"/>
                <w:highlight w:val="none"/>
                <w:u w:val="none" w:color="auto"/>
                <w:lang w:val="en-US" w:eastAsia="zh-CN" w:bidi="ar"/>
              </w:rPr>
              <w:t>19.71</w:t>
            </w:r>
            <w:r>
              <w:rPr>
                <w:rFonts w:hint="eastAsia" w:ascii="Times New Roman" w:hAnsi="Times New Roman" w:eastAsia="宋体" w:cs="Times New Roman"/>
                <w:color w:val="auto"/>
                <w:kern w:val="0"/>
                <w:sz w:val="24"/>
                <w:szCs w:val="24"/>
                <w:highlight w:val="none"/>
                <w:u w:val="none" w:color="auto"/>
                <w:lang w:val="en-US" w:eastAsia="zh-CN" w:bidi="ar"/>
              </w:rPr>
              <w:t>t/a），生活垃圾统一收集后交由环卫部门清运处置。</w:t>
            </w:r>
          </w:p>
          <w:p w14:paraId="79C88FD4">
            <w:pPr>
              <w:pStyle w:val="37"/>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2</w:t>
            </w:r>
            <w:r>
              <w:rPr>
                <w:rFonts w:hint="eastAsia" w:cs="Times New Roman"/>
                <w:color w:val="000000" w:themeColor="text1"/>
                <w:kern w:val="0"/>
                <w:sz w:val="24"/>
                <w:szCs w:val="20"/>
                <w:lang w:eastAsia="zh-CN"/>
                <w14:textFill>
                  <w14:solidFill>
                    <w14:schemeClr w14:val="tx1"/>
                  </w14:solidFill>
                </w14:textFill>
              </w:rPr>
              <w:t>）中药渣</w:t>
            </w:r>
          </w:p>
          <w:p w14:paraId="759F965F">
            <w:pPr>
              <w:pStyle w:val="37"/>
              <w:numPr>
                <w:ilvl w:val="-1"/>
                <w:numId w:val="0"/>
              </w:numPr>
              <w:spacing w:line="360" w:lineRule="auto"/>
              <w:ind w:left="0" w:firstLine="480" w:firstLineChars="200"/>
              <w:rPr>
                <w:rFonts w:hint="eastAsia" w:cs="Times New Roman"/>
                <w:color w:val="000000" w:themeColor="text1"/>
                <w:kern w:val="0"/>
                <w:sz w:val="24"/>
                <w:szCs w:val="20"/>
                <w:lang w:eastAsia="zh-CN"/>
                <w14:textFill>
                  <w14:solidFill>
                    <w14:schemeClr w14:val="tx1"/>
                  </w14:solidFill>
                </w14:textFill>
              </w:rPr>
            </w:pPr>
            <w:r>
              <w:rPr>
                <w:rFonts w:hint="eastAsia" w:cs="Times New Roman"/>
                <w:color w:val="000000" w:themeColor="text1"/>
                <w:kern w:val="0"/>
                <w:sz w:val="24"/>
                <w:szCs w:val="20"/>
                <w:lang w:eastAsia="zh-CN"/>
                <w14:textFill>
                  <w14:solidFill>
                    <w14:schemeClr w14:val="tx1"/>
                  </w14:solidFill>
                </w14:textFill>
              </w:rPr>
              <w:t>本项目中医科涉及少量中药的煎煮，煎煮过程会产生一定的药渣，产生量约为</w:t>
            </w:r>
            <w:r>
              <w:rPr>
                <w:rFonts w:hint="eastAsia" w:cs="Times New Roman"/>
                <w:color w:val="000000" w:themeColor="text1"/>
                <w:kern w:val="0"/>
                <w:sz w:val="24"/>
                <w:szCs w:val="20"/>
                <w:lang w:val="en-US" w:eastAsia="zh-CN"/>
                <w14:textFill>
                  <w14:solidFill>
                    <w14:schemeClr w14:val="tx1"/>
                  </w14:solidFill>
                </w14:textFill>
              </w:rPr>
              <w:t>1</w:t>
            </w:r>
            <w:r>
              <w:rPr>
                <w:rFonts w:hint="eastAsia" w:cs="Times New Roman"/>
                <w:color w:val="000000" w:themeColor="text1"/>
                <w:kern w:val="0"/>
                <w:sz w:val="24"/>
                <w:szCs w:val="20"/>
                <w:lang w:eastAsia="zh-CN"/>
                <w14:textFill>
                  <w14:solidFill>
                    <w14:schemeClr w14:val="tx1"/>
                  </w14:solidFill>
                </w14:textFill>
              </w:rPr>
              <w:t>t/a。《关于印发医疗废物分类目录(2021年版)的通知》国卫医函〔2021〕238号明确：废弃的中草药与中草药煎制后的残渣不属于医疗废物。为此，本项目产生的中药渣不属于医疗废物，经收集后，由环卫部门统一清运处置。</w:t>
            </w:r>
          </w:p>
          <w:p w14:paraId="1832FA39">
            <w:pPr>
              <w:numPr>
                <w:ilvl w:val="0"/>
                <w:numId w:val="0"/>
              </w:numPr>
              <w:spacing w:line="360" w:lineRule="auto"/>
              <w:ind w:firstLine="480" w:firstLineChars="200"/>
              <w:rPr>
                <w:rFonts w:hint="eastAsia" w:cs="Times New Roman"/>
                <w:color w:val="000000" w:themeColor="text1"/>
                <w:kern w:val="0"/>
                <w:sz w:val="24"/>
                <w:szCs w:val="20"/>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bidi="ar-SA"/>
                <w14:textFill>
                  <w14:solidFill>
                    <w14:schemeClr w14:val="tx1"/>
                  </w14:solidFill>
                </w14:textFill>
              </w:rPr>
              <w:t>3</w:t>
            </w:r>
            <w:r>
              <w:rPr>
                <w:rFonts w:hint="eastAsia" w:ascii="Times New Roman" w:hAnsi="Times New Roman" w:eastAsia="宋体" w:cs="Times New Roman"/>
                <w:color w:val="000000" w:themeColor="text1"/>
                <w:kern w:val="0"/>
                <w:sz w:val="24"/>
                <w:szCs w:val="20"/>
                <w:lang w:val="en-US" w:eastAsia="zh-CN" w:bidi="ar-SA"/>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一般废包装材料</w:t>
            </w:r>
          </w:p>
          <w:p w14:paraId="20440B48">
            <w:pPr>
              <w:numPr>
                <w:ilvl w:val="0"/>
                <w:numId w:val="0"/>
              </w:numPr>
              <w:spacing w:line="360" w:lineRule="auto"/>
              <w:ind w:firstLine="480" w:firstLineChars="200"/>
              <w:rPr>
                <w:rFonts w:hint="eastAsia" w:cs="Times New Roman"/>
                <w:color w:val="000000" w:themeColor="text1"/>
                <w:kern w:val="0"/>
                <w:sz w:val="24"/>
                <w:szCs w:val="24"/>
                <w:lang w:eastAsia="zh-CN"/>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无毒无害药品的包装材料</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未经患者体液、血液、排泄物等污染的可回收的一次性玻璃及塑料输液瓶/袋</w:t>
            </w:r>
            <w:r>
              <w:rPr>
                <w:rFonts w:hint="eastAsia" w:ascii="宋体" w:hAnsi="宋体" w:eastAsia="宋体" w:cs="宋体"/>
                <w:color w:val="000000" w:themeColor="text1"/>
                <w:kern w:val="0"/>
                <w:sz w:val="24"/>
                <w:szCs w:val="20"/>
                <w:lang w:val="en-US"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产生量约为0.5t/a，</w:t>
            </w:r>
            <w:r>
              <w:rPr>
                <w:rFonts w:hint="eastAsia" w:cs="Times New Roman"/>
                <w:color w:val="000000" w:themeColor="text1"/>
                <w:kern w:val="0"/>
                <w:sz w:val="24"/>
                <w:szCs w:val="24"/>
                <w:lang w:val="en-US" w:eastAsia="zh-CN"/>
                <w14:textFill>
                  <w14:solidFill>
                    <w14:schemeClr w14:val="tx1"/>
                  </w14:solidFill>
                </w14:textFill>
              </w:rPr>
              <w:t>暂存于一般固废暂存间</w:t>
            </w:r>
            <w:r>
              <w:rPr>
                <w:rFonts w:hint="default" w:ascii="Times New Roman" w:hAnsi="Times New Roman" w:cs="Times New Roman"/>
                <w:color w:val="000000" w:themeColor="text1"/>
                <w:kern w:val="0"/>
                <w:sz w:val="24"/>
                <w:szCs w:val="24"/>
                <w14:textFill>
                  <w14:solidFill>
                    <w14:schemeClr w14:val="tx1"/>
                  </w14:solidFill>
                </w14:textFill>
              </w:rPr>
              <w:t>，定期交物资回收公司回收处理。</w:t>
            </w:r>
          </w:p>
          <w:p w14:paraId="2EC5DDFD">
            <w:pPr>
              <w:pStyle w:val="37"/>
              <w:numPr>
                <w:ilvl w:val="-1"/>
                <w:numId w:val="0"/>
              </w:numPr>
              <w:spacing w:line="360" w:lineRule="auto"/>
              <w:ind w:left="480" w:firstLine="0" w:firstLineChars="0"/>
              <w:rPr>
                <w:rFonts w:hint="default" w:ascii="Times New Roman" w:hAnsi="Times New Roman" w:cs="Times New Roman"/>
                <w:color w:val="auto"/>
                <w:kern w:val="0"/>
                <w:sz w:val="24"/>
                <w:szCs w:val="20"/>
                <w:u w:val="single" w:color="auto"/>
              </w:rPr>
            </w:pP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4</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医疗废物</w:t>
            </w:r>
          </w:p>
          <w:p w14:paraId="0C5295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0"/>
                <w:u w:val="single" w:color="auto"/>
                <w:lang w:val="en-US" w:eastAsia="zh-CN"/>
              </w:rPr>
            </w:pPr>
            <w:r>
              <w:rPr>
                <w:rFonts w:hint="eastAsia" w:cs="Times New Roman"/>
                <w:color w:val="auto"/>
                <w:kern w:val="0"/>
                <w:sz w:val="24"/>
                <w:szCs w:val="20"/>
                <w:u w:val="single" w:color="auto"/>
                <w:lang w:val="en-US" w:eastAsia="zh-CN"/>
              </w:rPr>
              <w:t>本项目运营期医疗废物</w:t>
            </w:r>
            <w:r>
              <w:rPr>
                <w:rFonts w:hint="default" w:ascii="Times New Roman" w:hAnsi="Times New Roman" w:cs="Times New Roman"/>
                <w:color w:val="auto"/>
                <w:kern w:val="0"/>
                <w:sz w:val="24"/>
                <w:szCs w:val="24"/>
                <w:highlight w:val="none"/>
                <w:u w:val="single" w:color="auto"/>
              </w:rPr>
              <w:t>包括感染性医疗废物（主要为携带病原微生物具有引发感染性疾病传播危险的医疗废物，包括棉球、棉签、引流棉条、纱布及其他各种敷料）、损伤性废物（使用后的一次性注射器、一次性针头、刀片等）、药物性废物（过期、淘汰、变质或者被污染的废弃的药品）</w:t>
            </w:r>
            <w:r>
              <w:rPr>
                <w:rFonts w:hint="eastAsia" w:cs="Times New Roman"/>
                <w:color w:val="auto"/>
                <w:kern w:val="0"/>
                <w:sz w:val="24"/>
                <w:szCs w:val="24"/>
                <w:highlight w:val="none"/>
                <w:u w:val="single" w:color="auto"/>
                <w:lang w:eastAsia="zh-CN"/>
              </w:rPr>
              <w:t>、</w:t>
            </w:r>
            <w:r>
              <w:rPr>
                <w:rFonts w:hint="eastAsia" w:cs="Times New Roman"/>
                <w:color w:val="auto"/>
                <w:kern w:val="0"/>
                <w:sz w:val="24"/>
                <w:szCs w:val="24"/>
                <w:highlight w:val="none"/>
                <w:u w:val="single" w:color="auto"/>
                <w:lang w:val="en-US" w:eastAsia="zh-CN"/>
              </w:rPr>
              <w:t>化学性废物（</w:t>
            </w:r>
            <w:r>
              <w:rPr>
                <w:rFonts w:hint="eastAsia" w:ascii="Times New Roman" w:hAnsi="Times New Roman" w:eastAsia="宋体" w:cs="Times New Roman"/>
                <w:color w:val="auto"/>
                <w:kern w:val="0"/>
                <w:sz w:val="24"/>
                <w:szCs w:val="24"/>
                <w:highlight w:val="none"/>
                <w:u w:val="single" w:color="auto"/>
                <w:lang w:val="en-US" w:eastAsia="zh-CN" w:bidi="ar"/>
              </w:rPr>
              <w:t>化验过的血液、体液、排泄物、未被使用废弃的血液、体液和排泄物</w:t>
            </w:r>
            <w:r>
              <w:rPr>
                <w:rFonts w:hint="eastAsia" w:cs="Times New Roman"/>
                <w:color w:val="auto"/>
                <w:kern w:val="0"/>
                <w:sz w:val="24"/>
                <w:szCs w:val="24"/>
                <w:highlight w:val="none"/>
                <w:u w:val="single" w:color="auto"/>
                <w:lang w:val="en-US" w:eastAsia="zh-CN"/>
              </w:rPr>
              <w:t>）</w:t>
            </w:r>
            <w:r>
              <w:rPr>
                <w:rFonts w:hint="eastAsia" w:ascii="Times New Roman" w:hAnsi="Times New Roman" w:cs="Times New Roman"/>
                <w:color w:val="auto"/>
                <w:kern w:val="0"/>
                <w:sz w:val="24"/>
                <w:szCs w:val="24"/>
                <w:highlight w:val="none"/>
                <w:u w:val="single" w:color="auto"/>
                <w:lang w:eastAsia="zh-CN"/>
              </w:rPr>
              <w:t>。</w:t>
            </w:r>
          </w:p>
          <w:p w14:paraId="798321E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kern w:val="0"/>
                <w:sz w:val="24"/>
                <w:szCs w:val="20"/>
                <w:u w:val="single" w:color="auto"/>
              </w:rPr>
            </w:pPr>
            <w:r>
              <w:rPr>
                <w:rFonts w:hint="default" w:ascii="Times New Roman" w:hAnsi="Times New Roman" w:cs="Times New Roman"/>
                <w:color w:val="auto"/>
                <w:kern w:val="0"/>
                <w:sz w:val="24"/>
                <w:szCs w:val="24"/>
                <w:highlight w:val="none"/>
                <w:u w:val="single" w:color="auto"/>
              </w:rPr>
              <w:t>感染性医疗废物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损伤性废物</w:t>
            </w:r>
            <w:r>
              <w:rPr>
                <w:rFonts w:hint="eastAsia" w:ascii="Times New Roman" w:hAnsi="Times New Roman" w:cs="Times New Roman"/>
                <w:color w:val="auto"/>
                <w:kern w:val="0"/>
                <w:sz w:val="24"/>
                <w:szCs w:val="24"/>
                <w:highlight w:val="none"/>
                <w:u w:val="single" w:color="auto"/>
                <w:lang w:eastAsia="zh-CN"/>
              </w:rPr>
              <w:t>、</w:t>
            </w:r>
            <w:r>
              <w:rPr>
                <w:rFonts w:hint="default" w:ascii="Times New Roman" w:hAnsi="Times New Roman" w:cs="Times New Roman"/>
                <w:color w:val="auto"/>
                <w:kern w:val="0"/>
                <w:sz w:val="24"/>
                <w:szCs w:val="24"/>
                <w:highlight w:val="none"/>
                <w:u w:val="single" w:color="auto"/>
              </w:rPr>
              <w:t>药物性废物</w:t>
            </w:r>
            <w:r>
              <w:rPr>
                <w:rFonts w:hint="default" w:ascii="Times New Roman" w:hAnsi="Times New Roman" w:cs="Times New Roman"/>
                <w:color w:val="auto"/>
                <w:kern w:val="0"/>
                <w:sz w:val="24"/>
                <w:szCs w:val="20"/>
                <w:u w:val="single" w:color="auto"/>
              </w:rPr>
              <w:t>参考“第二次全国污染源普查城镇生活源产排污系数手册”第四分册，本项目</w:t>
            </w:r>
            <w:r>
              <w:rPr>
                <w:rFonts w:hint="eastAsia" w:ascii="Times New Roman" w:hAnsi="Times New Roman" w:eastAsia="宋体" w:cs="Times New Roman"/>
                <w:color w:val="auto"/>
                <w:kern w:val="0"/>
                <w:sz w:val="24"/>
                <w:szCs w:val="24"/>
                <w:highlight w:val="none"/>
                <w:u w:val="single" w:color="auto"/>
                <w:lang w:val="en-US" w:eastAsia="zh-CN" w:bidi="ar"/>
              </w:rPr>
              <w:t>医院</w:t>
            </w:r>
            <w:r>
              <w:rPr>
                <w:rFonts w:hint="eastAsia" w:ascii="Times New Roman" w:hAnsi="Times New Roman" w:cs="Times New Roman"/>
                <w:color w:val="auto"/>
                <w:kern w:val="0"/>
                <w:sz w:val="24"/>
                <w:szCs w:val="24"/>
                <w:highlight w:val="none"/>
                <w:u w:val="single" w:color="auto"/>
                <w:lang w:val="en-US" w:eastAsia="zh-CN" w:bidi="ar"/>
              </w:rPr>
              <w:t>住院部</w:t>
            </w:r>
            <w:r>
              <w:rPr>
                <w:rFonts w:hint="eastAsia" w:ascii="Times New Roman" w:hAnsi="Times New Roman" w:eastAsia="宋体" w:cs="Times New Roman"/>
                <w:color w:val="auto"/>
                <w:kern w:val="0"/>
                <w:sz w:val="24"/>
                <w:szCs w:val="24"/>
                <w:highlight w:val="none"/>
                <w:u w:val="single" w:color="auto"/>
                <w:lang w:val="en-US" w:eastAsia="zh-CN" w:bidi="ar"/>
              </w:rPr>
              <w:t>设置床位</w:t>
            </w:r>
            <w:r>
              <w:rPr>
                <w:rFonts w:hint="eastAsia" w:cs="Times New Roman"/>
                <w:color w:val="auto"/>
                <w:kern w:val="0"/>
                <w:sz w:val="24"/>
                <w:szCs w:val="24"/>
                <w:highlight w:val="none"/>
                <w:u w:val="single" w:color="auto"/>
                <w:lang w:val="en-US" w:eastAsia="zh-CN" w:bidi="ar"/>
              </w:rPr>
              <w:t>30</w:t>
            </w:r>
            <w:r>
              <w:rPr>
                <w:rFonts w:hint="eastAsia" w:ascii="Times New Roman" w:hAnsi="Times New Roman" w:eastAsia="宋体" w:cs="Times New Roman"/>
                <w:color w:val="auto"/>
                <w:kern w:val="0"/>
                <w:sz w:val="24"/>
                <w:szCs w:val="24"/>
                <w:highlight w:val="none"/>
                <w:u w:val="single" w:color="auto"/>
                <w:lang w:val="en-US" w:eastAsia="zh-CN" w:bidi="ar"/>
              </w:rPr>
              <w:t>张</w:t>
            </w:r>
            <w:r>
              <w:rPr>
                <w:rFonts w:hint="eastAsia"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属于10~100床规模范围；依据排污手册医疗垃圾核算系数为每病床每日产生医疗废物0.42kg床•日，其校核系数为每病床每日产生医疗废物0.2~0.9kg床•日，结合项目所在地区医院验收实际医疗废物排污量，本项目病房医疗废物产生量0.3kg床•日计算，则医疗废物产生量为</w:t>
            </w:r>
            <w:r>
              <w:rPr>
                <w:rFonts w:hint="eastAsia" w:cs="Times New Roman"/>
                <w:color w:val="auto"/>
                <w:kern w:val="0"/>
                <w:sz w:val="24"/>
                <w:szCs w:val="20"/>
                <w:u w:val="single" w:color="auto"/>
                <w:lang w:val="en-US" w:eastAsia="zh-CN"/>
              </w:rPr>
              <w:t>0.009</w:t>
            </w:r>
            <w:r>
              <w:rPr>
                <w:rFonts w:hint="eastAsia"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3.285t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eastAsia" w:cs="Times New Roman"/>
                <w:color w:val="auto"/>
                <w:kern w:val="0"/>
                <w:sz w:val="24"/>
                <w:szCs w:val="24"/>
                <w:highlight w:val="none"/>
                <w:u w:val="single" w:color="auto"/>
                <w:lang w:val="en-US" w:eastAsia="zh-CN"/>
              </w:rPr>
              <w:t>化学性废物主要为检验废液，本</w:t>
            </w:r>
            <w:r>
              <w:rPr>
                <w:rFonts w:hint="eastAsia" w:ascii="Times New Roman" w:hAnsi="Times New Roman" w:eastAsia="宋体" w:cs="Times New Roman"/>
                <w:color w:val="auto"/>
                <w:kern w:val="0"/>
                <w:sz w:val="24"/>
                <w:szCs w:val="24"/>
                <w:highlight w:val="none"/>
                <w:u w:val="single" w:color="auto"/>
                <w:lang w:val="en-US" w:eastAsia="zh-CN" w:bidi="ar"/>
              </w:rPr>
              <w:t>项目</w:t>
            </w:r>
            <w:r>
              <w:rPr>
                <w:rFonts w:hint="eastAsia" w:ascii="Times New Roman" w:hAnsi="Times New Roman" w:cs="Times New Roman"/>
                <w:color w:val="auto"/>
                <w:kern w:val="0"/>
                <w:sz w:val="24"/>
                <w:szCs w:val="24"/>
                <w:highlight w:val="none"/>
                <w:u w:val="single" w:color="auto"/>
                <w:lang w:val="en-US" w:eastAsia="zh-CN" w:bidi="ar"/>
              </w:rPr>
              <w:t>检验</w:t>
            </w:r>
            <w:r>
              <w:rPr>
                <w:rFonts w:hint="eastAsia" w:ascii="Times New Roman" w:hAnsi="Times New Roman" w:eastAsia="宋体" w:cs="Times New Roman"/>
                <w:color w:val="auto"/>
                <w:kern w:val="0"/>
                <w:sz w:val="24"/>
                <w:szCs w:val="24"/>
                <w:highlight w:val="none"/>
                <w:u w:val="single" w:color="auto"/>
                <w:lang w:val="en-US" w:eastAsia="zh-CN" w:bidi="ar"/>
              </w:rPr>
              <w:t>内容较为简单，多采用试剂盒进行检测，根据医院实际运营其产生量约0.05t/a</w:t>
            </w:r>
            <w:r>
              <w:rPr>
                <w:rFonts w:hint="eastAsia" w:ascii="Times New Roman" w:hAnsi="Times New Roman" w:cs="Times New Roman"/>
                <w:color w:val="auto"/>
                <w:kern w:val="0"/>
                <w:sz w:val="24"/>
                <w:szCs w:val="24"/>
                <w:highlight w:val="none"/>
                <w:u w:val="single" w:color="auto"/>
                <w:lang w:val="en-US" w:eastAsia="zh-CN" w:bidi="ar"/>
              </w:rPr>
              <w:t>。</w:t>
            </w:r>
            <w:r>
              <w:rPr>
                <w:rFonts w:hint="default" w:ascii="Times New Roman" w:hAnsi="Times New Roman" w:cs="Times New Roman"/>
                <w:color w:val="auto"/>
                <w:kern w:val="0"/>
                <w:sz w:val="24"/>
                <w:szCs w:val="20"/>
                <w:u w:val="single" w:color="auto"/>
              </w:rPr>
              <w:t>医疗废物</w:t>
            </w:r>
            <w:r>
              <w:rPr>
                <w:rFonts w:hint="eastAsia" w:cs="Times New Roman"/>
                <w:color w:val="auto"/>
                <w:kern w:val="0"/>
                <w:sz w:val="24"/>
                <w:szCs w:val="20"/>
                <w:u w:val="single" w:color="auto"/>
                <w:lang w:val="en-US" w:eastAsia="zh-CN"/>
              </w:rPr>
              <w:t>经收集后</w:t>
            </w:r>
            <w:r>
              <w:rPr>
                <w:rFonts w:hint="default" w:ascii="Times New Roman" w:hAnsi="Times New Roman" w:cs="Times New Roman"/>
                <w:color w:val="auto"/>
                <w:kern w:val="0"/>
                <w:sz w:val="24"/>
                <w:szCs w:val="20"/>
                <w:u w:val="single" w:color="auto"/>
              </w:rPr>
              <w:t>暂存</w:t>
            </w:r>
            <w:r>
              <w:rPr>
                <w:rFonts w:hint="eastAsia" w:cs="Times New Roman"/>
                <w:color w:val="auto"/>
                <w:kern w:val="0"/>
                <w:sz w:val="24"/>
                <w:szCs w:val="20"/>
                <w:u w:val="single" w:color="auto"/>
                <w:lang w:val="en-US" w:eastAsia="zh-CN"/>
              </w:rPr>
              <w:t>于医疗废物暂存间，</w:t>
            </w:r>
            <w:r>
              <w:rPr>
                <w:rFonts w:hint="default" w:ascii="Times New Roman" w:hAnsi="Times New Roman" w:cs="Times New Roman"/>
                <w:color w:val="auto"/>
                <w:kern w:val="0"/>
                <w:sz w:val="24"/>
                <w:szCs w:val="20"/>
                <w:u w:val="single" w:color="auto"/>
              </w:rPr>
              <w:t>委托有相关资质的单位清运和处置。</w:t>
            </w:r>
          </w:p>
          <w:p w14:paraId="4479425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color w:val="auto"/>
                <w:sz w:val="24"/>
                <w:szCs w:val="24"/>
                <w:u w:val="single" w:color="auto"/>
              </w:rPr>
            </w:pPr>
            <w:r>
              <w:rPr>
                <w:rFonts w:hint="eastAsia"/>
                <w:color w:val="auto"/>
                <w:sz w:val="24"/>
                <w:szCs w:val="24"/>
                <w:u w:val="single" w:color="auto"/>
                <w:lang w:eastAsia="zh-CN"/>
              </w:rPr>
              <w:t>（</w:t>
            </w:r>
            <w:r>
              <w:rPr>
                <w:rFonts w:hint="eastAsia"/>
                <w:color w:val="auto"/>
                <w:sz w:val="24"/>
                <w:szCs w:val="24"/>
                <w:u w:val="single" w:color="auto"/>
                <w:lang w:val="en-US" w:eastAsia="zh-CN"/>
              </w:rPr>
              <w:t>5</w:t>
            </w:r>
            <w:r>
              <w:rPr>
                <w:rFonts w:hint="eastAsia"/>
                <w:color w:val="auto"/>
                <w:sz w:val="24"/>
                <w:szCs w:val="24"/>
                <w:u w:val="single" w:color="auto"/>
                <w:lang w:eastAsia="zh-CN"/>
              </w:rPr>
              <w:t>）</w:t>
            </w:r>
            <w:r>
              <w:rPr>
                <w:rFonts w:hint="default"/>
                <w:color w:val="auto"/>
                <w:sz w:val="24"/>
                <w:szCs w:val="24"/>
                <w:u w:val="single" w:color="auto"/>
              </w:rPr>
              <w:t>污水处理站污泥</w:t>
            </w:r>
          </w:p>
          <w:p w14:paraId="5691E758">
            <w:pPr>
              <w:keepNext w:val="0"/>
              <w:keepLines w:val="0"/>
              <w:pageBreakBefore w:val="0"/>
              <w:widowControl w:val="0"/>
              <w:kinsoku/>
              <w:wordWrap/>
              <w:overflowPunct/>
              <w:topLinePunct w:val="0"/>
              <w:autoSpaceDE/>
              <w:autoSpaceDN/>
              <w:bidi w:val="0"/>
              <w:snapToGrid/>
              <w:spacing w:line="360" w:lineRule="auto"/>
              <w:ind w:firstLine="480"/>
              <w:textAlignment w:val="auto"/>
              <w:rPr>
                <w:rFonts w:hint="default" w:ascii="Times New Roman" w:hAnsi="Times New Roman" w:cs="Times New Roman"/>
                <w:color w:val="auto"/>
                <w:kern w:val="0"/>
                <w:sz w:val="24"/>
                <w:szCs w:val="20"/>
                <w:u w:val="single" w:color="auto"/>
              </w:rPr>
            </w:pPr>
            <w:r>
              <w:rPr>
                <w:rFonts w:hint="eastAsia" w:ascii="Times New Roman" w:hAnsi="Times New Roman" w:cs="Times New Roman"/>
                <w:color w:val="auto"/>
                <w:kern w:val="0"/>
                <w:sz w:val="24"/>
                <w:szCs w:val="20"/>
                <w:u w:val="single" w:color="auto"/>
                <w:lang w:val="en-US" w:eastAsia="zh-CN"/>
              </w:rPr>
              <w:t>本项目</w:t>
            </w:r>
            <w:r>
              <w:rPr>
                <w:rFonts w:hint="default" w:ascii="Times New Roman" w:hAnsi="Times New Roman" w:cs="Times New Roman"/>
                <w:color w:val="auto"/>
                <w:kern w:val="0"/>
                <w:sz w:val="24"/>
                <w:szCs w:val="20"/>
                <w:u w:val="single" w:color="auto"/>
              </w:rPr>
              <w:t>污水处理设备</w:t>
            </w:r>
            <w:r>
              <w:rPr>
                <w:rFonts w:hint="eastAsia" w:ascii="Times New Roman" w:hAnsi="Times New Roman" w:cs="Times New Roman"/>
                <w:color w:val="auto"/>
                <w:kern w:val="0"/>
                <w:sz w:val="24"/>
                <w:szCs w:val="20"/>
                <w:u w:val="single" w:color="auto"/>
                <w:lang w:val="en-US" w:eastAsia="zh-CN"/>
              </w:rPr>
              <w:t>会</w:t>
            </w:r>
            <w:r>
              <w:rPr>
                <w:rFonts w:hint="default" w:ascii="Times New Roman" w:hAnsi="Times New Roman" w:cs="Times New Roman"/>
                <w:color w:val="auto"/>
                <w:kern w:val="0"/>
                <w:sz w:val="24"/>
                <w:szCs w:val="20"/>
                <w:u w:val="single" w:color="auto"/>
              </w:rPr>
              <w:t>产生</w:t>
            </w:r>
            <w:r>
              <w:rPr>
                <w:rFonts w:hint="eastAsia" w:ascii="Times New Roman" w:hAnsi="Times New Roman" w:cs="Times New Roman"/>
                <w:color w:val="auto"/>
                <w:kern w:val="0"/>
                <w:sz w:val="24"/>
                <w:szCs w:val="20"/>
                <w:u w:val="single" w:color="auto"/>
                <w:lang w:val="en-US" w:eastAsia="zh-CN"/>
              </w:rPr>
              <w:t>一定</w:t>
            </w:r>
            <w:r>
              <w:rPr>
                <w:rFonts w:hint="default" w:ascii="Times New Roman" w:hAnsi="Times New Roman" w:cs="Times New Roman"/>
                <w:color w:val="auto"/>
                <w:kern w:val="0"/>
                <w:sz w:val="24"/>
                <w:szCs w:val="20"/>
                <w:u w:val="single" w:color="auto"/>
              </w:rPr>
              <w:t>污泥量</w:t>
            </w:r>
            <w:r>
              <w:rPr>
                <w:rFonts w:hint="eastAsia" w:ascii="Times New Roman" w:hAnsi="Times New Roman"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一般每立方米污水产泥量约有0.15kg（含水率98%），本项目污水排放量为</w:t>
            </w:r>
            <w:r>
              <w:rPr>
                <w:rFonts w:hint="eastAsia" w:cs="Times New Roman"/>
                <w:color w:val="auto"/>
                <w:sz w:val="24"/>
                <w:szCs w:val="24"/>
                <w:u w:val="single" w:color="auto"/>
                <w:vertAlign w:val="baseline"/>
                <w:lang w:val="en-US" w:eastAsia="zh-CN"/>
              </w:rPr>
              <w:t>14.568</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/d</w:t>
            </w:r>
            <w:r>
              <w:rPr>
                <w:rFonts w:hint="eastAsia" w:cs="Times New Roman"/>
                <w:color w:val="000000" w:themeColor="text1"/>
                <w:sz w:val="24"/>
                <w:szCs w:val="24"/>
                <w:u w:val="single" w:color="auto"/>
                <w:vertAlign w:val="baseline"/>
                <w:lang w:val="en-US" w:eastAsia="zh-CN"/>
                <w14:textFill>
                  <w14:solidFill>
                    <w14:schemeClr w14:val="tx1"/>
                  </w14:solidFill>
                </w14:textFill>
              </w:rPr>
              <w:t>（5317.32</w:t>
            </w:r>
            <w:r>
              <w:rPr>
                <w:rFonts w:hint="default"/>
                <w:color w:val="000000" w:themeColor="text1"/>
                <w:sz w:val="24"/>
                <w:szCs w:val="24"/>
                <w:u w:val="single" w:color="auto"/>
                <w:lang w:val="en-US" w:eastAsia="zh-CN"/>
                <w14:textFill>
                  <w14:solidFill>
                    <w14:schemeClr w14:val="tx1"/>
                  </w14:solidFill>
                </w14:textFill>
              </w:rPr>
              <w:t>m</w:t>
            </w:r>
            <w:r>
              <w:rPr>
                <w:rFonts w:hint="default"/>
                <w:color w:val="000000" w:themeColor="text1"/>
                <w:sz w:val="24"/>
                <w:szCs w:val="24"/>
                <w:u w:val="single" w:color="auto"/>
                <w:vertAlign w:val="superscript"/>
                <w:lang w:val="en-US" w:eastAsia="zh-CN"/>
                <w14:textFill>
                  <w14:solidFill>
                    <w14:schemeClr w14:val="tx1"/>
                  </w14:solidFill>
                </w14:textFill>
              </w:rPr>
              <w:t>3</w:t>
            </w:r>
            <w:r>
              <w:rPr>
                <w:rFonts w:hint="default"/>
                <w:color w:val="000000" w:themeColor="text1"/>
                <w:sz w:val="24"/>
                <w:szCs w:val="24"/>
                <w:u w:val="single" w:color="auto"/>
                <w:lang w:val="en-US"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a</w:t>
            </w:r>
            <w:r>
              <w:rPr>
                <w:rFonts w:hint="eastAsia" w:cs="Times New Roman"/>
                <w:color w:val="000000" w:themeColor="text1"/>
                <w:sz w:val="24"/>
                <w:szCs w:val="24"/>
                <w:u w:val="single" w:color="auto"/>
                <w:vertAlign w:val="baseline"/>
                <w:lang w:val="en-US" w:eastAsia="zh-CN"/>
                <w14:textFill>
                  <w14:solidFill>
                    <w14:schemeClr w14:val="tx1"/>
                  </w14:solidFill>
                </w14:textFill>
              </w:rPr>
              <w:t>）</w:t>
            </w:r>
            <w:r>
              <w:rPr>
                <w:rFonts w:hint="default" w:ascii="Times New Roman" w:hAnsi="Times New Roman" w:cs="Times New Roman"/>
                <w:color w:val="auto"/>
                <w:kern w:val="0"/>
                <w:sz w:val="24"/>
                <w:szCs w:val="20"/>
                <w:u w:val="single" w:color="auto"/>
              </w:rPr>
              <w:t>，则污泥产生量为</w:t>
            </w:r>
            <w:r>
              <w:rPr>
                <w:rFonts w:hint="eastAsia" w:cs="Times New Roman"/>
                <w:color w:val="auto"/>
                <w:kern w:val="0"/>
                <w:sz w:val="24"/>
                <w:szCs w:val="20"/>
                <w:u w:val="single" w:color="auto"/>
                <w:lang w:val="en-US" w:eastAsia="zh-CN"/>
              </w:rPr>
              <w:t>2.185kg</w:t>
            </w:r>
            <w:r>
              <w:rPr>
                <w:rFonts w:hint="default" w:ascii="Times New Roman" w:hAnsi="Times New Roman" w:cs="Times New Roman"/>
                <w:color w:val="auto"/>
                <w:kern w:val="0"/>
                <w:sz w:val="24"/>
                <w:szCs w:val="20"/>
                <w:u w:val="single" w:color="auto"/>
              </w:rPr>
              <w:t>/d</w:t>
            </w:r>
            <w:r>
              <w:rPr>
                <w:rFonts w:hint="eastAsia" w:cs="Times New Roman"/>
                <w:color w:val="auto"/>
                <w:kern w:val="0"/>
                <w:sz w:val="24"/>
                <w:szCs w:val="20"/>
                <w:u w:val="single" w:color="auto"/>
                <w:lang w:eastAsia="zh-CN"/>
              </w:rPr>
              <w:t>（</w:t>
            </w:r>
            <w:r>
              <w:rPr>
                <w:rFonts w:hint="eastAsia" w:cs="Times New Roman"/>
                <w:color w:val="auto"/>
                <w:kern w:val="0"/>
                <w:sz w:val="24"/>
                <w:szCs w:val="20"/>
                <w:u w:val="single" w:color="auto"/>
                <w:lang w:val="en-US" w:eastAsia="zh-CN"/>
              </w:rPr>
              <w:t>0.798</w:t>
            </w:r>
            <w:r>
              <w:rPr>
                <w:rFonts w:hint="default" w:ascii="Times New Roman" w:hAnsi="Times New Roman" w:cs="Times New Roman"/>
                <w:color w:val="auto"/>
                <w:kern w:val="0"/>
                <w:sz w:val="24"/>
                <w:szCs w:val="20"/>
                <w:u w:val="single" w:color="auto"/>
                <w:lang w:val="en-US" w:eastAsia="zh-CN"/>
              </w:rPr>
              <w:t>t</w:t>
            </w:r>
            <w:r>
              <w:rPr>
                <w:rFonts w:hint="default" w:ascii="Times New Roman" w:hAnsi="Times New Roman" w:cs="Times New Roman"/>
                <w:color w:val="auto"/>
                <w:kern w:val="0"/>
                <w:sz w:val="24"/>
                <w:szCs w:val="20"/>
                <w:u w:val="single" w:color="auto"/>
              </w:rPr>
              <w:t>/a</w:t>
            </w:r>
            <w:r>
              <w:rPr>
                <w:rFonts w:hint="eastAsia" w:cs="Times New Roman"/>
                <w:color w:val="auto"/>
                <w:kern w:val="0"/>
                <w:sz w:val="24"/>
                <w:szCs w:val="20"/>
                <w:u w:val="single" w:color="auto"/>
                <w:lang w:eastAsia="zh-CN"/>
              </w:rPr>
              <w:t>）</w:t>
            </w:r>
            <w:r>
              <w:rPr>
                <w:rFonts w:hint="default" w:ascii="Times New Roman" w:hAnsi="Times New Roman" w:cs="Times New Roman"/>
                <w:color w:val="auto"/>
                <w:kern w:val="0"/>
                <w:sz w:val="24"/>
                <w:szCs w:val="20"/>
                <w:u w:val="single" w:color="auto"/>
              </w:rPr>
              <w:t>。根据《医疗机构水污染物排放标准》（GB18466-2005）中规定：“污水处理</w:t>
            </w:r>
            <w:r>
              <w:rPr>
                <w:rFonts w:hint="eastAsia" w:cs="Times New Roman"/>
                <w:color w:val="auto"/>
                <w:kern w:val="0"/>
                <w:sz w:val="24"/>
                <w:szCs w:val="20"/>
                <w:u w:val="single" w:color="auto"/>
                <w:lang w:eastAsia="zh-CN"/>
              </w:rPr>
              <w:t>站</w:t>
            </w:r>
            <w:r>
              <w:rPr>
                <w:rFonts w:hint="default" w:ascii="Times New Roman" w:hAnsi="Times New Roman" w:cs="Times New Roman"/>
                <w:color w:val="auto"/>
                <w:kern w:val="0"/>
                <w:sz w:val="24"/>
                <w:szCs w:val="20"/>
                <w:u w:val="single" w:color="auto"/>
              </w:rPr>
              <w:t>污泥属于危险废物，应按危险废物进行处理和处置”。</w:t>
            </w:r>
          </w:p>
          <w:p w14:paraId="004F9DE8">
            <w:pPr>
              <w:spacing w:line="360" w:lineRule="auto"/>
              <w:ind w:firstLine="480"/>
              <w:rPr>
                <w:rFonts w:hint="eastAsia" w:cs="Times New Roman"/>
                <w:color w:val="000000" w:themeColor="text1"/>
                <w:kern w:val="0"/>
                <w:sz w:val="24"/>
                <w:szCs w:val="20"/>
                <w:u w:val="single" w:color="auto"/>
                <w:lang w:eastAsia="zh-CN"/>
                <w14:textFill>
                  <w14:solidFill>
                    <w14:schemeClr w14:val="tx1"/>
                  </w14:solidFill>
                </w14:textFill>
              </w:rPr>
            </w:pPr>
            <w:r>
              <w:rPr>
                <w:rFonts w:hint="eastAsia" w:cs="Times New Roman"/>
                <w:color w:val="auto"/>
                <w:kern w:val="0"/>
                <w:sz w:val="24"/>
                <w:szCs w:val="20"/>
                <w:u w:val="single" w:color="auto"/>
                <w:lang w:eastAsia="zh-CN"/>
              </w:rPr>
              <w:t>为此，本项目污水处理站</w:t>
            </w:r>
            <w:r>
              <w:rPr>
                <w:rFonts w:hint="default" w:ascii="Times New Roman" w:hAnsi="Times New Roman" w:cs="Times New Roman"/>
                <w:color w:val="auto"/>
                <w:kern w:val="0"/>
                <w:sz w:val="24"/>
                <w:szCs w:val="20"/>
                <w:u w:val="single" w:color="auto"/>
              </w:rPr>
              <w:t>污泥清掏前开展检测满足《医疗机构水污染物排放标准》( GB18466-2005)表4医疗机构污泥控制标准中的综合医疗机构和其他医疗机构标准要求后方可委外处置</w:t>
            </w:r>
            <w:r>
              <w:rPr>
                <w:rFonts w:hint="eastAsia" w:cs="Times New Roman"/>
                <w:color w:val="auto"/>
                <w:kern w:val="0"/>
                <w:sz w:val="24"/>
                <w:szCs w:val="20"/>
                <w:u w:val="single" w:color="auto"/>
                <w:lang w:eastAsia="zh-CN"/>
              </w:rPr>
              <w:t>，即</w:t>
            </w:r>
            <w:r>
              <w:rPr>
                <w:rFonts w:hint="eastAsia"/>
                <w:color w:val="auto"/>
                <w:sz w:val="24"/>
                <w:szCs w:val="24"/>
                <w:u w:val="single" w:color="auto"/>
                <w:lang w:eastAsia="zh-CN"/>
              </w:rPr>
              <w:t>委托有资质单位对该污水处理站污泥进行清掏并处理。</w:t>
            </w:r>
          </w:p>
          <w:p w14:paraId="5C5598F6">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eastAsia" w:ascii="Times New Roman" w:hAnsi="Times New Roman"/>
                <w:kern w:val="0"/>
                <w:sz w:val="24"/>
                <w:highlight w:val="none"/>
                <w:u w:val="single" w:color="auto"/>
                <w:lang w:val="en-US" w:eastAsia="zh-CN"/>
              </w:rPr>
            </w:pPr>
            <w:r>
              <w:rPr>
                <w:rFonts w:hint="eastAsia" w:ascii="Times New Roman" w:hAnsi="Times New Roman"/>
                <w:kern w:val="0"/>
                <w:sz w:val="24"/>
                <w:highlight w:val="none"/>
                <w:u w:val="single" w:color="auto"/>
                <w:lang w:eastAsia="zh-CN"/>
              </w:rPr>
              <w:t>根据《国家危险废物名录》（</w:t>
            </w:r>
            <w:r>
              <w:rPr>
                <w:rFonts w:hint="eastAsia" w:ascii="Times New Roman" w:hAnsi="Times New Roman"/>
                <w:kern w:val="0"/>
                <w:sz w:val="24"/>
                <w:highlight w:val="none"/>
                <w:u w:val="single" w:color="auto"/>
                <w:lang w:val="en-US" w:eastAsia="zh-CN"/>
              </w:rPr>
              <w:t>202</w:t>
            </w:r>
            <w:r>
              <w:rPr>
                <w:rFonts w:hint="eastAsia"/>
                <w:kern w:val="0"/>
                <w:sz w:val="24"/>
                <w:highlight w:val="none"/>
                <w:u w:val="single" w:color="auto"/>
                <w:lang w:val="en-US" w:eastAsia="zh-CN"/>
              </w:rPr>
              <w:t>5</w:t>
            </w:r>
            <w:r>
              <w:rPr>
                <w:rFonts w:hint="eastAsia" w:ascii="Times New Roman" w:hAnsi="Times New Roman"/>
                <w:kern w:val="0"/>
                <w:sz w:val="24"/>
                <w:highlight w:val="none"/>
                <w:u w:val="single" w:color="auto"/>
                <w:lang w:val="en-US" w:eastAsia="zh-CN"/>
              </w:rPr>
              <w:t>年版</w:t>
            </w:r>
            <w:r>
              <w:rPr>
                <w:rFonts w:hint="eastAsia" w:ascii="Times New Roman" w:hAnsi="Times New Roman"/>
                <w:kern w:val="0"/>
                <w:sz w:val="24"/>
                <w:highlight w:val="none"/>
                <w:u w:val="single" w:color="auto"/>
                <w:lang w:eastAsia="zh-CN"/>
              </w:rPr>
              <w:t>）、《危险废物鉴别标准</w:t>
            </w:r>
            <w:r>
              <w:rPr>
                <w:rFonts w:hint="eastAsia" w:ascii="Times New Roman" w:hAnsi="Times New Roman"/>
                <w:kern w:val="0"/>
                <w:sz w:val="24"/>
                <w:highlight w:val="none"/>
                <w:u w:val="single" w:color="auto"/>
                <w:lang w:val="en-US" w:eastAsia="zh-CN"/>
              </w:rPr>
              <w:t>通则</w:t>
            </w:r>
            <w:r>
              <w:rPr>
                <w:rFonts w:hint="eastAsia" w:ascii="Times New Roman" w:hAnsi="Times New Roman"/>
                <w:kern w:val="0"/>
                <w:sz w:val="24"/>
                <w:highlight w:val="none"/>
                <w:u w:val="single" w:color="auto"/>
                <w:lang w:eastAsia="zh-CN"/>
              </w:rPr>
              <w:t>》（</w:t>
            </w:r>
            <w:r>
              <w:rPr>
                <w:rFonts w:hint="eastAsia" w:ascii="Times New Roman" w:hAnsi="Times New Roman"/>
                <w:kern w:val="0"/>
                <w:sz w:val="24"/>
                <w:highlight w:val="none"/>
                <w:u w:val="single" w:color="auto"/>
                <w:lang w:val="en-US" w:eastAsia="zh-CN"/>
              </w:rPr>
              <w:t>GB5085.7-2019</w:t>
            </w:r>
            <w:r>
              <w:rPr>
                <w:rFonts w:hint="eastAsia" w:ascii="Times New Roman" w:hAnsi="Times New Roman"/>
                <w:kern w:val="0"/>
                <w:sz w:val="24"/>
                <w:highlight w:val="none"/>
                <w:u w:val="single" w:color="auto"/>
                <w:lang w:eastAsia="zh-CN"/>
              </w:rPr>
              <w:t>）以及《一般固体废物分类与代码》（</w:t>
            </w:r>
            <w:r>
              <w:rPr>
                <w:rFonts w:hint="eastAsia" w:ascii="Times New Roman" w:hAnsi="Times New Roman"/>
                <w:kern w:val="0"/>
                <w:sz w:val="24"/>
                <w:highlight w:val="none"/>
                <w:u w:val="single" w:color="auto"/>
                <w:lang w:val="en-US" w:eastAsia="zh-CN"/>
              </w:rPr>
              <w:t>GB/T 39198-2020</w:t>
            </w:r>
            <w:r>
              <w:rPr>
                <w:rFonts w:hint="eastAsia" w:ascii="Times New Roman" w:hAnsi="Times New Roman"/>
                <w:kern w:val="0"/>
                <w:sz w:val="24"/>
                <w:highlight w:val="none"/>
                <w:u w:val="single" w:color="auto"/>
                <w:lang w:eastAsia="zh-CN"/>
              </w:rPr>
              <w:t>），本项目固体废物属性判定见表</w:t>
            </w:r>
            <w:r>
              <w:rPr>
                <w:rFonts w:hint="eastAsia" w:ascii="Times New Roman" w:hAnsi="Times New Roman"/>
                <w:kern w:val="0"/>
                <w:sz w:val="24"/>
                <w:highlight w:val="none"/>
                <w:u w:val="single" w:color="auto"/>
                <w:lang w:val="en-US" w:eastAsia="zh-CN"/>
              </w:rPr>
              <w:t>4-</w:t>
            </w:r>
            <w:r>
              <w:rPr>
                <w:rFonts w:hint="eastAsia"/>
                <w:kern w:val="0"/>
                <w:sz w:val="24"/>
                <w:highlight w:val="none"/>
                <w:u w:val="single" w:color="auto"/>
                <w:lang w:val="en-US" w:eastAsia="zh-CN"/>
              </w:rPr>
              <w:t>12</w:t>
            </w:r>
            <w:r>
              <w:rPr>
                <w:rFonts w:hint="eastAsia" w:ascii="Times New Roman" w:hAnsi="Times New Roman"/>
                <w:kern w:val="0"/>
                <w:sz w:val="24"/>
                <w:highlight w:val="none"/>
                <w:u w:val="single" w:color="auto"/>
                <w:lang w:val="en-US" w:eastAsia="zh-CN"/>
              </w:rPr>
              <w:t>。</w:t>
            </w:r>
          </w:p>
          <w:p w14:paraId="3D14984C">
            <w:pPr>
              <w:bidi w:val="0"/>
              <w:spacing w:line="240" w:lineRule="auto"/>
              <w:jc w:val="center"/>
              <w:rPr>
                <w:rFonts w:hint="eastAsia"/>
                <w:b/>
                <w:bCs/>
                <w:u w:val="single" w:color="auto"/>
                <w:lang w:val="en-US" w:eastAsia="zh-CN"/>
              </w:rPr>
            </w:pPr>
            <w:r>
              <w:rPr>
                <w:rFonts w:hint="eastAsia"/>
                <w:b/>
                <w:bCs/>
                <w:sz w:val="21"/>
                <w:szCs w:val="21"/>
                <w:u w:val="single" w:color="auto"/>
                <w:lang w:val="en-US" w:eastAsia="zh-CN"/>
              </w:rPr>
              <w:t>表4-12 项目固体废物属性判定表</w:t>
            </w:r>
          </w:p>
          <w:tbl>
            <w:tblPr>
              <w:tblStyle w:val="2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57" w:type="dxa"/>
                <w:bottom w:w="0" w:type="dxa"/>
                <w:right w:w="57" w:type="dxa"/>
              </w:tblCellMar>
            </w:tblPr>
            <w:tblGrid>
              <w:gridCol w:w="489"/>
              <w:gridCol w:w="506"/>
              <w:gridCol w:w="786"/>
              <w:gridCol w:w="847"/>
              <w:gridCol w:w="741"/>
              <w:gridCol w:w="1192"/>
              <w:gridCol w:w="2107"/>
              <w:gridCol w:w="1111"/>
            </w:tblGrid>
            <w:tr w14:paraId="48DA00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314" w:type="pct"/>
                  <w:tcBorders>
                    <w:tl2br w:val="nil"/>
                    <w:tr2bl w:val="nil"/>
                  </w:tcBorders>
                  <w:noWrap w:val="0"/>
                  <w:vAlign w:val="center"/>
                </w:tcPr>
                <w:p w14:paraId="292D25A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ascii="Times New Roman" w:hAnsi="Times New Roman"/>
                      <w:b w:val="0"/>
                      <w:bCs/>
                      <w:sz w:val="21"/>
                      <w:szCs w:val="21"/>
                      <w:highlight w:val="none"/>
                      <w:u w:val="single" w:color="auto"/>
                    </w:rPr>
                    <w:t>序号</w:t>
                  </w:r>
                </w:p>
              </w:tc>
              <w:tc>
                <w:tcPr>
                  <w:tcW w:w="830" w:type="pct"/>
                  <w:gridSpan w:val="2"/>
                  <w:tcBorders>
                    <w:tl2br w:val="nil"/>
                    <w:tr2bl w:val="nil"/>
                  </w:tcBorders>
                  <w:noWrap w:val="0"/>
                  <w:vAlign w:val="center"/>
                </w:tcPr>
                <w:p w14:paraId="61B9511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b w:val="0"/>
                      <w:bCs/>
                      <w:sz w:val="21"/>
                      <w:szCs w:val="21"/>
                      <w:highlight w:val="none"/>
                      <w:u w:val="single" w:color="auto"/>
                    </w:rPr>
                  </w:pPr>
                  <w:r>
                    <w:rPr>
                      <w:rFonts w:hint="eastAsia" w:ascii="Times New Roman" w:hAnsi="Times New Roman"/>
                      <w:b w:val="0"/>
                      <w:bCs/>
                      <w:sz w:val="21"/>
                      <w:szCs w:val="21"/>
                      <w:highlight w:val="none"/>
                      <w:u w:val="single" w:color="auto"/>
                      <w:lang w:eastAsia="zh-CN"/>
                    </w:rPr>
                    <w:t>固废</w:t>
                  </w:r>
                  <w:r>
                    <w:rPr>
                      <w:rFonts w:ascii="Times New Roman" w:hAnsi="Times New Roman"/>
                      <w:b w:val="0"/>
                      <w:bCs/>
                      <w:sz w:val="21"/>
                      <w:szCs w:val="21"/>
                      <w:highlight w:val="none"/>
                      <w:u w:val="single" w:color="auto"/>
                    </w:rPr>
                    <w:t>名称</w:t>
                  </w:r>
                </w:p>
              </w:tc>
              <w:tc>
                <w:tcPr>
                  <w:tcW w:w="544" w:type="pct"/>
                  <w:tcBorders>
                    <w:tl2br w:val="nil"/>
                    <w:tr2bl w:val="nil"/>
                  </w:tcBorders>
                  <w:noWrap w:val="0"/>
                  <w:vAlign w:val="center"/>
                </w:tcPr>
                <w:p w14:paraId="5A928F1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val="en-US" w:eastAsia="zh-CN"/>
                    </w:rPr>
                  </w:pPr>
                  <w:r>
                    <w:rPr>
                      <w:rFonts w:hint="eastAsia" w:ascii="Times New Roman" w:hAnsi="Times New Roman"/>
                      <w:b w:val="0"/>
                      <w:bCs/>
                      <w:sz w:val="21"/>
                      <w:szCs w:val="21"/>
                      <w:highlight w:val="none"/>
                      <w:u w:val="single" w:color="auto"/>
                      <w:lang w:val="en-US" w:eastAsia="zh-CN"/>
                    </w:rPr>
                    <w:t>是否属于危废</w:t>
                  </w:r>
                </w:p>
              </w:tc>
              <w:tc>
                <w:tcPr>
                  <w:tcW w:w="476" w:type="pct"/>
                  <w:tcBorders>
                    <w:tl2br w:val="nil"/>
                    <w:tr2bl w:val="nil"/>
                  </w:tcBorders>
                  <w:noWrap w:val="0"/>
                  <w:vAlign w:val="center"/>
                </w:tcPr>
                <w:p w14:paraId="2CE4C9A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危废</w:t>
                  </w:r>
                </w:p>
                <w:p w14:paraId="2519A11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类别</w:t>
                  </w:r>
                </w:p>
              </w:tc>
              <w:tc>
                <w:tcPr>
                  <w:tcW w:w="766" w:type="pct"/>
                  <w:tcBorders>
                    <w:tl2br w:val="nil"/>
                    <w:tr2bl w:val="nil"/>
                  </w:tcBorders>
                  <w:noWrap w:val="0"/>
                  <w:vAlign w:val="center"/>
                </w:tcPr>
                <w:p w14:paraId="4BAB377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b w:val="0"/>
                      <w:bCs/>
                      <w:sz w:val="21"/>
                      <w:szCs w:val="21"/>
                      <w:highlight w:val="none"/>
                      <w:u w:val="single" w:color="auto"/>
                      <w:lang w:eastAsia="zh-CN"/>
                    </w:rPr>
                  </w:pPr>
                  <w:r>
                    <w:rPr>
                      <w:rFonts w:hint="eastAsia" w:ascii="Times New Roman" w:hAnsi="Times New Roman"/>
                      <w:b w:val="0"/>
                      <w:bCs/>
                      <w:sz w:val="21"/>
                      <w:szCs w:val="21"/>
                      <w:highlight w:val="none"/>
                      <w:u w:val="single" w:color="auto"/>
                      <w:lang w:eastAsia="zh-CN"/>
                    </w:rPr>
                    <w:t>废物代码</w:t>
                  </w:r>
                </w:p>
              </w:tc>
              <w:tc>
                <w:tcPr>
                  <w:tcW w:w="1354" w:type="pct"/>
                  <w:tcBorders>
                    <w:tl2br w:val="nil"/>
                    <w:tr2bl w:val="nil"/>
                  </w:tcBorders>
                  <w:noWrap w:val="0"/>
                  <w:vAlign w:val="center"/>
                </w:tcPr>
                <w:p w14:paraId="48E16EF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主要成分</w:t>
                  </w:r>
                </w:p>
              </w:tc>
              <w:tc>
                <w:tcPr>
                  <w:tcW w:w="714" w:type="pct"/>
                  <w:tcBorders>
                    <w:tl2br w:val="nil"/>
                    <w:tr2bl w:val="nil"/>
                  </w:tcBorders>
                  <w:noWrap w:val="0"/>
                  <w:vAlign w:val="center"/>
                </w:tcPr>
                <w:p w14:paraId="301045A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sz w:val="21"/>
                      <w:szCs w:val="21"/>
                      <w:highlight w:val="none"/>
                      <w:u w:val="single" w:color="auto"/>
                      <w:lang w:eastAsia="zh-CN"/>
                    </w:rPr>
                  </w:pPr>
                  <w:r>
                    <w:rPr>
                      <w:rFonts w:hint="eastAsia" w:ascii="Times New Roman" w:hAnsi="Times New Roman" w:eastAsia="宋体" w:cs="Times New Roman"/>
                      <w:b w:val="0"/>
                      <w:bCs/>
                      <w:sz w:val="21"/>
                      <w:szCs w:val="21"/>
                      <w:highlight w:val="none"/>
                      <w:u w:val="single" w:color="auto"/>
                      <w:lang w:eastAsia="zh-CN"/>
                    </w:rPr>
                    <w:t>危险特性</w:t>
                  </w:r>
                </w:p>
              </w:tc>
            </w:tr>
            <w:tr w14:paraId="4621B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1135" w:hRule="atLeast"/>
                <w:jc w:val="center"/>
              </w:trPr>
              <w:tc>
                <w:tcPr>
                  <w:tcW w:w="314" w:type="pct"/>
                  <w:vMerge w:val="restart"/>
                  <w:tcBorders>
                    <w:tl2br w:val="nil"/>
                    <w:tr2bl w:val="nil"/>
                  </w:tcBorders>
                  <w:noWrap w:val="0"/>
                  <w:vAlign w:val="center"/>
                </w:tcPr>
                <w:p w14:paraId="239B76F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r>
                    <w:rPr>
                      <w:rFonts w:hint="eastAsia" w:cs="Times New Roman"/>
                      <w:sz w:val="21"/>
                      <w:szCs w:val="21"/>
                      <w:highlight w:val="none"/>
                      <w:u w:val="single" w:color="auto"/>
                      <w:lang w:val="en-US" w:eastAsia="zh-CN"/>
                    </w:rPr>
                    <w:t>1</w:t>
                  </w:r>
                </w:p>
              </w:tc>
              <w:tc>
                <w:tcPr>
                  <w:tcW w:w="325" w:type="pct"/>
                  <w:vMerge w:val="restart"/>
                  <w:tcBorders>
                    <w:tl2br w:val="nil"/>
                    <w:tr2bl w:val="nil"/>
                  </w:tcBorders>
                  <w:noWrap w:val="0"/>
                  <w:vAlign w:val="center"/>
                </w:tcPr>
                <w:p w14:paraId="5E38E44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医疗废物</w:t>
                  </w:r>
                </w:p>
              </w:tc>
              <w:tc>
                <w:tcPr>
                  <w:tcW w:w="505" w:type="pct"/>
                  <w:tcBorders>
                    <w:tl2br w:val="nil"/>
                    <w:tr2bl w:val="nil"/>
                  </w:tcBorders>
                  <w:noWrap w:val="0"/>
                  <w:vAlign w:val="center"/>
                </w:tcPr>
                <w:p w14:paraId="7B52F47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感染性废物</w:t>
                  </w:r>
                </w:p>
              </w:tc>
              <w:tc>
                <w:tcPr>
                  <w:tcW w:w="544" w:type="pct"/>
                  <w:vMerge w:val="restart"/>
                  <w:tcBorders>
                    <w:tl2br w:val="nil"/>
                    <w:tr2bl w:val="nil"/>
                  </w:tcBorders>
                  <w:noWrap w:val="0"/>
                  <w:vAlign w:val="center"/>
                </w:tcPr>
                <w:p w14:paraId="4CCC9EA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14:paraId="1AF07A7D">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3E4C5E4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14:paraId="7FB9433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被病人血液、体液污染的物品；病原体培养基、标本、菌种；废弃的血液、血清；使用后的一次性医疗用品与器械</w:t>
                  </w:r>
                </w:p>
              </w:tc>
              <w:tc>
                <w:tcPr>
                  <w:tcW w:w="714" w:type="pct"/>
                  <w:tcBorders>
                    <w:tl2br w:val="nil"/>
                    <w:tr2bl w:val="nil"/>
                  </w:tcBorders>
                  <w:noWrap w:val="0"/>
                  <w:vAlign w:val="center"/>
                </w:tcPr>
                <w:p w14:paraId="1061D51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感染性</w:t>
                  </w:r>
                </w:p>
              </w:tc>
            </w:tr>
            <w:tr w14:paraId="50077C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vMerge w:val="continue"/>
                  <w:tcBorders>
                    <w:tl2br w:val="nil"/>
                    <w:tr2bl w:val="nil"/>
                  </w:tcBorders>
                  <w:noWrap w:val="0"/>
                  <w:vAlign w:val="center"/>
                </w:tcPr>
                <w:p w14:paraId="11033C7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ascii="Times New Roman" w:hAnsi="Times New Roman"/>
                      <w:sz w:val="21"/>
                      <w:szCs w:val="21"/>
                      <w:highlight w:val="none"/>
                      <w:u w:val="single" w:color="auto"/>
                    </w:rPr>
                  </w:pPr>
                </w:p>
              </w:tc>
              <w:tc>
                <w:tcPr>
                  <w:tcW w:w="325" w:type="pct"/>
                  <w:vMerge w:val="continue"/>
                  <w:tcBorders>
                    <w:tl2br w:val="nil"/>
                    <w:tr2bl w:val="nil"/>
                  </w:tcBorders>
                  <w:noWrap w:val="0"/>
                  <w:vAlign w:val="center"/>
                </w:tcPr>
                <w:p w14:paraId="6D955CE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14:paraId="2103CAF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损伤性废物</w:t>
                  </w:r>
                </w:p>
              </w:tc>
              <w:tc>
                <w:tcPr>
                  <w:tcW w:w="544" w:type="pct"/>
                  <w:vMerge w:val="continue"/>
                  <w:tcBorders>
                    <w:tl2br w:val="nil"/>
                    <w:tr2bl w:val="nil"/>
                  </w:tcBorders>
                  <w:noWrap w:val="0"/>
                  <w:vAlign w:val="center"/>
                </w:tcPr>
                <w:p w14:paraId="58FF4982">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14:paraId="764A4EB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62845FE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2</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14:paraId="2984486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废弃的医用针头、解剖刀、玻璃试管等医用锐器</w:t>
                  </w:r>
                </w:p>
              </w:tc>
              <w:tc>
                <w:tcPr>
                  <w:tcW w:w="714" w:type="pct"/>
                  <w:tcBorders>
                    <w:tl2br w:val="nil"/>
                    <w:tr2bl w:val="nil"/>
                  </w:tcBorders>
                  <w:noWrap w:val="0"/>
                  <w:vAlign w:val="center"/>
                </w:tcPr>
                <w:p w14:paraId="01D61BE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14:paraId="3774A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14:paraId="5B60E53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14:paraId="79079AE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14:paraId="586CF8C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药物性废物</w:t>
                  </w:r>
                </w:p>
              </w:tc>
              <w:tc>
                <w:tcPr>
                  <w:tcW w:w="544" w:type="pct"/>
                  <w:vMerge w:val="continue"/>
                  <w:tcBorders>
                    <w:tl2br w:val="nil"/>
                    <w:tr2bl w:val="nil"/>
                  </w:tcBorders>
                  <w:noWrap w:val="0"/>
                  <w:vAlign w:val="center"/>
                </w:tcPr>
                <w:p w14:paraId="32A93DA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14:paraId="5EFBF47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38BE91F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841-00</w:t>
                  </w:r>
                  <w:r>
                    <w:rPr>
                      <w:rFonts w:hint="eastAsia" w:ascii="Times New Roman" w:hAnsi="Times New Roman" w:eastAsia="宋体" w:cs="Times New Roman"/>
                      <w:sz w:val="21"/>
                      <w:szCs w:val="21"/>
                      <w:highlight w:val="none"/>
                      <w:u w:val="single" w:color="auto"/>
                      <w:lang w:val="en-US" w:eastAsia="zh-CN"/>
                    </w:rPr>
                    <w:t>5</w:t>
                  </w:r>
                  <w:r>
                    <w:rPr>
                      <w:rFonts w:hint="eastAsia" w:ascii="Times New Roman" w:hAnsi="Times New Roman" w:eastAsia="宋体" w:cs="Times New Roman"/>
                      <w:sz w:val="21"/>
                      <w:szCs w:val="21"/>
                      <w:highlight w:val="none"/>
                      <w:u w:val="single" w:color="auto"/>
                      <w:lang w:eastAsia="zh-CN"/>
                    </w:rPr>
                    <w:t>-01</w:t>
                  </w:r>
                </w:p>
              </w:tc>
              <w:tc>
                <w:tcPr>
                  <w:tcW w:w="1354" w:type="pct"/>
                  <w:tcBorders>
                    <w:tl2br w:val="nil"/>
                    <w:tr2bl w:val="nil"/>
                  </w:tcBorders>
                  <w:noWrap w:val="0"/>
                  <w:vAlign w:val="center"/>
                </w:tcPr>
                <w:p w14:paraId="7935C05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eastAsia="zh-CN"/>
                    </w:rPr>
                    <w:t>过期、淘汰、变质或者被污染的废弃的药品</w:t>
                  </w:r>
                </w:p>
              </w:tc>
              <w:tc>
                <w:tcPr>
                  <w:tcW w:w="714" w:type="pct"/>
                  <w:tcBorders>
                    <w:tl2br w:val="nil"/>
                    <w:tr2bl w:val="nil"/>
                  </w:tcBorders>
                  <w:noWrap w:val="0"/>
                  <w:vAlign w:val="center"/>
                </w:tcPr>
                <w:p w14:paraId="0BEC2B1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w:t>
                  </w:r>
                </w:p>
              </w:tc>
            </w:tr>
            <w:tr w14:paraId="02E73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314" w:type="pct"/>
                  <w:vMerge w:val="continue"/>
                  <w:tcBorders>
                    <w:tl2br w:val="nil"/>
                    <w:tr2bl w:val="nil"/>
                  </w:tcBorders>
                  <w:noWrap w:val="0"/>
                  <w:vAlign w:val="center"/>
                </w:tcPr>
                <w:p w14:paraId="46FE199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p>
              </w:tc>
              <w:tc>
                <w:tcPr>
                  <w:tcW w:w="325" w:type="pct"/>
                  <w:vMerge w:val="continue"/>
                  <w:tcBorders>
                    <w:tl2br w:val="nil"/>
                    <w:tr2bl w:val="nil"/>
                  </w:tcBorders>
                  <w:noWrap w:val="0"/>
                  <w:vAlign w:val="center"/>
                </w:tcPr>
                <w:p w14:paraId="139DAA7A">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p>
              </w:tc>
              <w:tc>
                <w:tcPr>
                  <w:tcW w:w="505" w:type="pct"/>
                  <w:tcBorders>
                    <w:tl2br w:val="nil"/>
                    <w:tr2bl w:val="nil"/>
                  </w:tcBorders>
                  <w:noWrap w:val="0"/>
                  <w:vAlign w:val="center"/>
                </w:tcPr>
                <w:p w14:paraId="2BAA374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sz w:val="21"/>
                      <w:szCs w:val="21"/>
                      <w:highlight w:val="none"/>
                      <w:u w:val="single" w:color="auto"/>
                      <w:lang w:val="en-US" w:eastAsia="zh-CN"/>
                    </w:rPr>
                    <w:t>化学性废物</w:t>
                  </w:r>
                </w:p>
              </w:tc>
              <w:tc>
                <w:tcPr>
                  <w:tcW w:w="544" w:type="pct"/>
                  <w:vMerge w:val="continue"/>
                  <w:tcBorders>
                    <w:tl2br w:val="nil"/>
                    <w:tr2bl w:val="nil"/>
                  </w:tcBorders>
                  <w:noWrap w:val="0"/>
                  <w:vAlign w:val="center"/>
                </w:tcPr>
                <w:p w14:paraId="40E8E04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eastAsia="zh-CN"/>
                    </w:rPr>
                  </w:pPr>
                </w:p>
              </w:tc>
              <w:tc>
                <w:tcPr>
                  <w:tcW w:w="476" w:type="pct"/>
                  <w:tcBorders>
                    <w:tl2br w:val="nil"/>
                    <w:tr2bl w:val="nil"/>
                  </w:tcBorders>
                  <w:noWrap w:val="0"/>
                  <w:vAlign w:val="center"/>
                </w:tcPr>
                <w:p w14:paraId="6AFA4FA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HW01</w:t>
                  </w:r>
                </w:p>
              </w:tc>
              <w:tc>
                <w:tcPr>
                  <w:tcW w:w="766" w:type="pct"/>
                  <w:tcBorders>
                    <w:tl2br w:val="nil"/>
                    <w:tr2bl w:val="nil"/>
                  </w:tcBorders>
                  <w:noWrap w:val="0"/>
                  <w:vAlign w:val="center"/>
                </w:tcPr>
                <w:p w14:paraId="4C701A0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841-001-01</w:t>
                  </w:r>
                </w:p>
              </w:tc>
              <w:tc>
                <w:tcPr>
                  <w:tcW w:w="1354" w:type="pct"/>
                  <w:tcBorders>
                    <w:tl2br w:val="nil"/>
                    <w:tr2bl w:val="nil"/>
                  </w:tcBorders>
                  <w:noWrap w:val="0"/>
                  <w:vAlign w:val="center"/>
                </w:tcPr>
                <w:p w14:paraId="40E25D1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废弃化学剂、化验过的血液、体液、排泄物、未被使用废弃的血液、体液和排泄物</w:t>
                  </w:r>
                </w:p>
              </w:tc>
              <w:tc>
                <w:tcPr>
                  <w:tcW w:w="714" w:type="pct"/>
                  <w:tcBorders>
                    <w:tl2br w:val="nil"/>
                    <w:tr2bl w:val="nil"/>
                  </w:tcBorders>
                  <w:noWrap w:val="0"/>
                  <w:vAlign w:val="center"/>
                </w:tcPr>
                <w:p w14:paraId="61CC060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毒性、腐蚀性、易燃性、反应性、感染性</w:t>
                  </w:r>
                </w:p>
              </w:tc>
            </w:tr>
            <w:tr w14:paraId="22D55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52D68E0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u w:val="single" w:color="auto"/>
                      <w:lang w:val="en-US" w:eastAsia="zh-CN" w:bidi="ar-SA"/>
                    </w:rPr>
                  </w:pPr>
                  <w:r>
                    <w:rPr>
                      <w:rFonts w:hint="eastAsia" w:cs="Times New Roman"/>
                      <w:kern w:val="2"/>
                      <w:sz w:val="21"/>
                      <w:szCs w:val="21"/>
                      <w:highlight w:val="none"/>
                      <w:u w:val="single" w:color="auto"/>
                      <w:lang w:val="en-US" w:eastAsia="zh-CN" w:bidi="ar-SA"/>
                    </w:rPr>
                    <w:t>2</w:t>
                  </w:r>
                </w:p>
              </w:tc>
              <w:tc>
                <w:tcPr>
                  <w:tcW w:w="830" w:type="pct"/>
                  <w:gridSpan w:val="2"/>
                  <w:tcBorders>
                    <w:tl2br w:val="nil"/>
                    <w:tr2bl w:val="nil"/>
                  </w:tcBorders>
                  <w:noWrap w:val="0"/>
                  <w:vAlign w:val="center"/>
                </w:tcPr>
                <w:p w14:paraId="665FDCA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污水处理站污泥</w:t>
                  </w:r>
                </w:p>
              </w:tc>
              <w:tc>
                <w:tcPr>
                  <w:tcW w:w="544" w:type="pct"/>
                  <w:tcBorders>
                    <w:tl2br w:val="nil"/>
                    <w:tr2bl w:val="nil"/>
                  </w:tcBorders>
                  <w:noWrap w:val="0"/>
                  <w:vAlign w:val="center"/>
                </w:tcPr>
                <w:p w14:paraId="43D76FC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是</w:t>
                  </w:r>
                </w:p>
              </w:tc>
              <w:tc>
                <w:tcPr>
                  <w:tcW w:w="476" w:type="pct"/>
                  <w:tcBorders>
                    <w:tl2br w:val="nil"/>
                    <w:tr2bl w:val="nil"/>
                  </w:tcBorders>
                  <w:noWrap w:val="0"/>
                  <w:vAlign w:val="center"/>
                </w:tcPr>
                <w:p w14:paraId="03F1443F">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ascii="Times New Roman" w:hAnsi="Times New Roman" w:eastAsia="宋体" w:cs="Times New Roman"/>
                      <w:sz w:val="21"/>
                      <w:szCs w:val="21"/>
                      <w:highlight w:val="none"/>
                      <w:u w:val="single" w:color="auto"/>
                      <w:lang w:eastAsia="zh-CN"/>
                    </w:rPr>
                    <w:t>HW</w:t>
                  </w:r>
                  <w:r>
                    <w:rPr>
                      <w:rFonts w:hint="eastAsia" w:ascii="Times New Roman" w:hAnsi="Times New Roman" w:eastAsia="宋体" w:cs="Times New Roman"/>
                      <w:sz w:val="21"/>
                      <w:szCs w:val="21"/>
                      <w:highlight w:val="none"/>
                      <w:u w:val="single" w:color="auto"/>
                      <w:lang w:val="en-US" w:eastAsia="zh-CN"/>
                    </w:rPr>
                    <w:t>49</w:t>
                  </w:r>
                </w:p>
              </w:tc>
              <w:tc>
                <w:tcPr>
                  <w:tcW w:w="766" w:type="pct"/>
                  <w:tcBorders>
                    <w:tl2br w:val="nil"/>
                    <w:tr2bl w:val="nil"/>
                  </w:tcBorders>
                  <w:noWrap w:val="0"/>
                  <w:vAlign w:val="center"/>
                </w:tcPr>
                <w:p w14:paraId="6B9F631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default" w:ascii="Times New Roman" w:hAnsi="Times New Roman" w:eastAsia="宋体" w:cs="Times New Roman"/>
                      <w:sz w:val="21"/>
                      <w:szCs w:val="21"/>
                      <w:highlight w:val="none"/>
                      <w:u w:val="single" w:color="auto"/>
                      <w:lang w:val="en-US" w:eastAsia="zh-CN"/>
                    </w:rPr>
                    <w:t>772-006-49</w:t>
                  </w:r>
                </w:p>
              </w:tc>
              <w:tc>
                <w:tcPr>
                  <w:tcW w:w="1354" w:type="pct"/>
                  <w:tcBorders>
                    <w:tl2br w:val="nil"/>
                    <w:tr2bl w:val="nil"/>
                  </w:tcBorders>
                  <w:noWrap w:val="0"/>
                  <w:vAlign w:val="center"/>
                </w:tcPr>
                <w:p w14:paraId="5D1D4D9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污泥</w:t>
                  </w:r>
                </w:p>
              </w:tc>
              <w:tc>
                <w:tcPr>
                  <w:tcW w:w="714" w:type="pct"/>
                  <w:tcBorders>
                    <w:tl2br w:val="nil"/>
                    <w:tr2bl w:val="nil"/>
                  </w:tcBorders>
                  <w:noWrap w:val="0"/>
                  <w:vAlign w:val="center"/>
                </w:tcPr>
                <w:p w14:paraId="6C9F823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感染性</w:t>
                  </w:r>
                </w:p>
              </w:tc>
            </w:tr>
            <w:tr w14:paraId="140C2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19BF663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3</w:t>
                  </w:r>
                </w:p>
              </w:tc>
              <w:tc>
                <w:tcPr>
                  <w:tcW w:w="830" w:type="pct"/>
                  <w:gridSpan w:val="2"/>
                  <w:tcBorders>
                    <w:tl2br w:val="nil"/>
                    <w:tr2bl w:val="nil"/>
                  </w:tcBorders>
                  <w:noWrap w:val="0"/>
                  <w:vAlign w:val="center"/>
                </w:tcPr>
                <w:p w14:paraId="6C312B5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r>
                    <w:rPr>
                      <w:rFonts w:hint="eastAsia" w:ascii="Times New Roman" w:hAnsi="Times New Roman" w:eastAsia="宋体" w:cs="Times New Roman"/>
                      <w:sz w:val="21"/>
                      <w:szCs w:val="21"/>
                      <w:highlight w:val="none"/>
                      <w:u w:val="single" w:color="auto"/>
                      <w:lang w:eastAsia="zh-CN"/>
                    </w:rPr>
                    <w:t>废包装物</w:t>
                  </w:r>
                </w:p>
              </w:tc>
              <w:tc>
                <w:tcPr>
                  <w:tcW w:w="544" w:type="pct"/>
                  <w:tcBorders>
                    <w:tl2br w:val="nil"/>
                    <w:tr2bl w:val="nil"/>
                  </w:tcBorders>
                  <w:noWrap w:val="0"/>
                  <w:vAlign w:val="center"/>
                </w:tcPr>
                <w:p w14:paraId="066F9C5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14:paraId="357FC7F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14:paraId="41CBC1D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14:paraId="1BCDDFAC">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default" w:ascii="Times New Roman" w:hAnsi="Times New Roman" w:eastAsia="宋体" w:cs="Times New Roman"/>
                      <w:sz w:val="21"/>
                      <w:szCs w:val="21"/>
                      <w:highlight w:val="none"/>
                      <w:u w:val="single" w:color="auto"/>
                      <w:lang w:val="en-US" w:eastAsia="zh-CN"/>
                    </w:rPr>
                    <w:t>中西药包装</w:t>
                  </w:r>
                  <w:r>
                    <w:rPr>
                      <w:rFonts w:hint="eastAsia" w:ascii="Times New Roman" w:hAnsi="Times New Roman" w:eastAsia="宋体" w:cs="Times New Roman"/>
                      <w:sz w:val="21"/>
                      <w:szCs w:val="21"/>
                      <w:highlight w:val="none"/>
                      <w:u w:val="single" w:color="auto"/>
                      <w:lang w:val="en-US" w:eastAsia="zh-CN"/>
                    </w:rPr>
                    <w:t>等</w:t>
                  </w:r>
                </w:p>
              </w:tc>
              <w:tc>
                <w:tcPr>
                  <w:tcW w:w="714" w:type="pct"/>
                  <w:tcBorders>
                    <w:tl2br w:val="nil"/>
                    <w:tr2bl w:val="nil"/>
                  </w:tcBorders>
                  <w:noWrap w:val="0"/>
                  <w:vAlign w:val="center"/>
                </w:tcPr>
                <w:p w14:paraId="2D4F0BA7">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14:paraId="70CE1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14" w:type="pct"/>
                  <w:tcBorders>
                    <w:tl2br w:val="nil"/>
                    <w:tr2bl w:val="nil"/>
                  </w:tcBorders>
                  <w:noWrap w:val="0"/>
                  <w:vAlign w:val="center"/>
                </w:tcPr>
                <w:p w14:paraId="49BECB81">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u w:val="single" w:color="auto"/>
                      <w:lang w:val="en-US" w:eastAsia="zh-CN" w:bidi="ar-SA"/>
                    </w:rPr>
                  </w:pPr>
                  <w:r>
                    <w:rPr>
                      <w:rFonts w:hint="eastAsia" w:cs="Times New Roman"/>
                      <w:sz w:val="21"/>
                      <w:szCs w:val="21"/>
                      <w:highlight w:val="none"/>
                      <w:u w:val="single" w:color="auto"/>
                      <w:lang w:val="en-US" w:eastAsia="zh-CN"/>
                    </w:rPr>
                    <w:t>4</w:t>
                  </w:r>
                </w:p>
              </w:tc>
              <w:tc>
                <w:tcPr>
                  <w:tcW w:w="830" w:type="pct"/>
                  <w:gridSpan w:val="2"/>
                  <w:tcBorders>
                    <w:tl2br w:val="nil"/>
                    <w:tr2bl w:val="nil"/>
                  </w:tcBorders>
                  <w:noWrap w:val="0"/>
                  <w:vAlign w:val="center"/>
                </w:tcPr>
                <w:p w14:paraId="4B5D922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val="en-US" w:eastAsia="zh-CN"/>
                    </w:rPr>
                    <w:t>生活垃圾</w:t>
                  </w:r>
                </w:p>
              </w:tc>
              <w:tc>
                <w:tcPr>
                  <w:tcW w:w="544" w:type="pct"/>
                  <w:tcBorders>
                    <w:tl2br w:val="nil"/>
                    <w:tr2bl w:val="nil"/>
                  </w:tcBorders>
                  <w:noWrap w:val="0"/>
                  <w:vAlign w:val="center"/>
                </w:tcPr>
                <w:p w14:paraId="11A106E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14:paraId="43822740">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14:paraId="727B1E4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w:t>
                  </w:r>
                </w:p>
              </w:tc>
              <w:tc>
                <w:tcPr>
                  <w:tcW w:w="1354" w:type="pct"/>
                  <w:tcBorders>
                    <w:tl2br w:val="nil"/>
                    <w:tr2bl w:val="nil"/>
                  </w:tcBorders>
                  <w:noWrap w:val="0"/>
                  <w:vAlign w:val="center"/>
                </w:tcPr>
                <w:p w14:paraId="3AD9426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纸张、包装袋等</w:t>
                  </w:r>
                </w:p>
              </w:tc>
              <w:tc>
                <w:tcPr>
                  <w:tcW w:w="714" w:type="pct"/>
                  <w:tcBorders>
                    <w:tl2br w:val="nil"/>
                    <w:tr2bl w:val="nil"/>
                  </w:tcBorders>
                  <w:noWrap w:val="0"/>
                  <w:vAlign w:val="center"/>
                </w:tcPr>
                <w:p w14:paraId="36131245">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r w14:paraId="2C805B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314" w:type="pct"/>
                  <w:tcBorders>
                    <w:tl2br w:val="nil"/>
                    <w:tr2bl w:val="nil"/>
                  </w:tcBorders>
                  <w:noWrap w:val="0"/>
                  <w:vAlign w:val="center"/>
                </w:tcPr>
                <w:p w14:paraId="6363F79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u w:val="single" w:color="auto"/>
                      <w:lang w:val="en-US" w:eastAsia="zh-CN"/>
                    </w:rPr>
                  </w:pPr>
                  <w:r>
                    <w:rPr>
                      <w:rFonts w:hint="eastAsia" w:cs="Times New Roman"/>
                      <w:sz w:val="21"/>
                      <w:szCs w:val="21"/>
                      <w:highlight w:val="none"/>
                      <w:u w:val="single" w:color="auto"/>
                      <w:lang w:val="en-US" w:eastAsia="zh-CN"/>
                    </w:rPr>
                    <w:t>5</w:t>
                  </w:r>
                </w:p>
              </w:tc>
              <w:tc>
                <w:tcPr>
                  <w:tcW w:w="830" w:type="pct"/>
                  <w:gridSpan w:val="2"/>
                  <w:tcBorders>
                    <w:tl2br w:val="nil"/>
                    <w:tr2bl w:val="nil"/>
                  </w:tcBorders>
                  <w:noWrap w:val="0"/>
                  <w:vAlign w:val="center"/>
                </w:tcPr>
                <w:p w14:paraId="2861E324">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eastAsia="宋体" w:cs="Times New Roman"/>
                      <w:sz w:val="21"/>
                      <w:szCs w:val="21"/>
                      <w:highlight w:val="none"/>
                      <w:u w:val="single" w:color="auto"/>
                      <w:lang w:val="en-US" w:eastAsia="zh-CN"/>
                    </w:rPr>
                    <w:t>中药渣</w:t>
                  </w:r>
                </w:p>
              </w:tc>
              <w:tc>
                <w:tcPr>
                  <w:tcW w:w="544" w:type="pct"/>
                  <w:tcBorders>
                    <w:tl2br w:val="nil"/>
                    <w:tr2bl w:val="nil"/>
                  </w:tcBorders>
                  <w:noWrap w:val="0"/>
                  <w:vAlign w:val="center"/>
                </w:tcPr>
                <w:p w14:paraId="12CFACA3">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否</w:t>
                  </w:r>
                </w:p>
              </w:tc>
              <w:tc>
                <w:tcPr>
                  <w:tcW w:w="476" w:type="pct"/>
                  <w:tcBorders>
                    <w:tl2br w:val="nil"/>
                    <w:tr2bl w:val="nil"/>
                  </w:tcBorders>
                  <w:noWrap w:val="0"/>
                  <w:vAlign w:val="center"/>
                </w:tcPr>
                <w:p w14:paraId="35C3C978">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c>
                <w:tcPr>
                  <w:tcW w:w="766" w:type="pct"/>
                  <w:tcBorders>
                    <w:tl2br w:val="nil"/>
                    <w:tr2bl w:val="nil"/>
                  </w:tcBorders>
                  <w:noWrap w:val="0"/>
                  <w:vAlign w:val="center"/>
                </w:tcPr>
                <w:p w14:paraId="5F22DCE9">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val="en-US" w:eastAsia="zh-CN"/>
                    </w:rPr>
                  </w:pPr>
                  <w:r>
                    <w:rPr>
                      <w:rFonts w:hint="eastAsia" w:ascii="Times New Roman" w:hAnsi="Times New Roman" w:cs="Times New Roman"/>
                      <w:sz w:val="21"/>
                      <w:szCs w:val="21"/>
                      <w:highlight w:val="none"/>
                      <w:u w:val="single" w:color="auto"/>
                      <w:lang w:val="en-US" w:eastAsia="zh-CN"/>
                    </w:rPr>
                    <w:t>/</w:t>
                  </w:r>
                </w:p>
              </w:tc>
              <w:tc>
                <w:tcPr>
                  <w:tcW w:w="1354" w:type="pct"/>
                  <w:tcBorders>
                    <w:tl2br w:val="nil"/>
                    <w:tr2bl w:val="nil"/>
                  </w:tcBorders>
                  <w:noWrap w:val="0"/>
                  <w:vAlign w:val="center"/>
                </w:tcPr>
                <w:p w14:paraId="6BE216AB">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u w:val="single" w:color="auto"/>
                      <w:lang w:eastAsia="zh-CN"/>
                    </w:rPr>
                  </w:pPr>
                  <w:r>
                    <w:rPr>
                      <w:rFonts w:hint="eastAsia" w:ascii="Times New Roman" w:hAnsi="Times New Roman" w:eastAsia="宋体" w:cs="Times New Roman"/>
                      <w:sz w:val="21"/>
                      <w:szCs w:val="21"/>
                      <w:highlight w:val="none"/>
                      <w:u w:val="single" w:color="auto"/>
                      <w:lang w:eastAsia="zh-CN"/>
                    </w:rPr>
                    <w:t>中药渣</w:t>
                  </w:r>
                </w:p>
              </w:tc>
              <w:tc>
                <w:tcPr>
                  <w:tcW w:w="714" w:type="pct"/>
                  <w:tcBorders>
                    <w:tl2br w:val="nil"/>
                    <w:tr2bl w:val="nil"/>
                  </w:tcBorders>
                  <w:noWrap w:val="0"/>
                  <w:vAlign w:val="center"/>
                </w:tcPr>
                <w:p w14:paraId="3478411E">
                  <w:pPr>
                    <w:keepNext w:val="0"/>
                    <w:keepLines w:val="0"/>
                    <w:pageBreakBefore w:val="0"/>
                    <w:widowControl w:val="0"/>
                    <w:kinsoku w:val="0"/>
                    <w:wordWrap/>
                    <w:overflowPunct w:val="0"/>
                    <w:topLinePunct w:val="0"/>
                    <w:autoSpaceDE/>
                    <w:autoSpaceDN/>
                    <w:bidi w:val="0"/>
                    <w:adjustRightInd w:val="0"/>
                    <w:snapToGrid w:val="0"/>
                    <w:spacing w:line="240" w:lineRule="auto"/>
                    <w:jc w:val="center"/>
                    <w:textAlignment w:val="auto"/>
                    <w:rPr>
                      <w:rFonts w:hint="eastAsia" w:ascii="Times New Roman" w:hAnsi="Times New Roman"/>
                      <w:sz w:val="21"/>
                      <w:szCs w:val="21"/>
                      <w:highlight w:val="none"/>
                      <w:u w:val="single" w:color="auto"/>
                      <w:lang w:val="en-US" w:eastAsia="zh-CN"/>
                    </w:rPr>
                  </w:pPr>
                  <w:r>
                    <w:rPr>
                      <w:rFonts w:hint="eastAsia" w:ascii="Times New Roman" w:hAnsi="Times New Roman"/>
                      <w:sz w:val="21"/>
                      <w:szCs w:val="21"/>
                      <w:highlight w:val="none"/>
                      <w:u w:val="single" w:color="auto"/>
                      <w:lang w:val="en-US" w:eastAsia="zh-CN"/>
                    </w:rPr>
                    <w:t>/</w:t>
                  </w:r>
                </w:p>
              </w:tc>
            </w:tr>
          </w:tbl>
          <w:p w14:paraId="76BE96A9">
            <w:pPr>
              <w:keepNext w:val="0"/>
              <w:keepLines w:val="0"/>
              <w:pageBreakBefore w:val="0"/>
              <w:widowControl w:val="0"/>
              <w:numPr>
                <w:ilvl w:val="0"/>
                <w:numId w:val="0"/>
              </w:numPr>
              <w:tabs>
                <w:tab w:val="left" w:pos="856"/>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kern w:val="0"/>
                <w:sz w:val="24"/>
                <w:highlight w:val="none"/>
                <w:u w:val="single" w:color="auto"/>
                <w:lang w:val="en-US" w:eastAsia="zh-CN"/>
              </w:rPr>
            </w:pPr>
            <w:r>
              <w:rPr>
                <w:rFonts w:hint="default" w:ascii="Times New Roman" w:hAnsi="Times New Roman" w:eastAsia="宋体" w:cs="Times New Roman"/>
                <w:color w:val="auto"/>
                <w:sz w:val="24"/>
                <w:szCs w:val="24"/>
                <w:highlight w:val="none"/>
                <w:u w:val="single" w:color="auto"/>
                <w:lang w:val="en-US" w:eastAsia="zh-CN"/>
              </w:rPr>
              <w:t>本项目营运期固体废物产生情况及去向详见下表。</w:t>
            </w:r>
          </w:p>
          <w:p w14:paraId="09BAA558">
            <w:pPr>
              <w:spacing w:line="240" w:lineRule="auto"/>
              <w:ind w:firstLine="480" w:firstLineChars="200"/>
              <w:jc w:val="center"/>
              <w:rPr>
                <w:rFonts w:hint="default" w:ascii="Times New Roman" w:hAnsi="Times New Roman" w:eastAsia="宋体" w:cs="Times New Roman"/>
                <w:b/>
                <w:color w:val="auto"/>
                <w:sz w:val="21"/>
                <w:szCs w:val="21"/>
                <w:u w:val="single" w:color="auto"/>
              </w:rPr>
            </w:pPr>
            <w:r>
              <w:rPr>
                <w:rFonts w:hint="eastAsia"/>
                <w:kern w:val="0"/>
                <w:sz w:val="24"/>
                <w:highlight w:val="none"/>
                <w:u w:val="single" w:color="auto"/>
                <w:lang w:val="en-US" w:eastAsia="zh-CN"/>
              </w:rPr>
              <w:t xml:space="preserve"> </w:t>
            </w:r>
            <w:r>
              <w:rPr>
                <w:rFonts w:hint="default" w:ascii="Times New Roman" w:hAnsi="Times New Roman" w:eastAsia="宋体" w:cs="Times New Roman"/>
                <w:b/>
                <w:color w:val="auto"/>
                <w:sz w:val="21"/>
                <w:szCs w:val="21"/>
                <w:u w:val="single" w:color="auto"/>
              </w:rPr>
              <w:t>表4-</w:t>
            </w:r>
            <w:r>
              <w:rPr>
                <w:rFonts w:hint="eastAsia" w:cs="Times New Roman"/>
                <w:b/>
                <w:color w:val="auto"/>
                <w:sz w:val="21"/>
                <w:szCs w:val="21"/>
                <w:u w:val="single" w:color="auto"/>
                <w:lang w:val="en-US" w:eastAsia="zh-CN"/>
              </w:rPr>
              <w:t>13</w:t>
            </w:r>
            <w:r>
              <w:rPr>
                <w:rFonts w:hint="default" w:ascii="Times New Roman" w:hAnsi="Times New Roman" w:eastAsia="宋体" w:cs="Times New Roman"/>
                <w:b/>
                <w:color w:val="auto"/>
                <w:sz w:val="21"/>
                <w:szCs w:val="21"/>
                <w:u w:val="single" w:color="auto"/>
                <w:lang w:val="en-US" w:eastAsia="zh-CN"/>
              </w:rPr>
              <w:t xml:space="preserve">  </w:t>
            </w:r>
            <w:r>
              <w:rPr>
                <w:rFonts w:hint="default" w:ascii="Times New Roman" w:hAnsi="Times New Roman" w:eastAsia="宋体" w:cs="Times New Roman"/>
                <w:b/>
                <w:color w:val="auto"/>
                <w:sz w:val="21"/>
                <w:szCs w:val="21"/>
                <w:u w:val="single" w:color="auto"/>
              </w:rPr>
              <w:t>本项目固体废物产生</w:t>
            </w:r>
            <w:r>
              <w:rPr>
                <w:rFonts w:hint="eastAsia" w:cs="Times New Roman"/>
                <w:b/>
                <w:color w:val="auto"/>
                <w:sz w:val="21"/>
                <w:szCs w:val="21"/>
                <w:u w:val="single" w:color="auto"/>
                <w:lang w:eastAsia="zh-CN"/>
              </w:rPr>
              <w:t>及处置情况</w:t>
            </w:r>
          </w:p>
          <w:tbl>
            <w:tblPr>
              <w:tblStyle w:val="25"/>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764"/>
              <w:gridCol w:w="1090"/>
              <w:gridCol w:w="1144"/>
              <w:gridCol w:w="3082"/>
            </w:tblGrid>
            <w:tr w14:paraId="37DC5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3205BD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序号</w:t>
                  </w:r>
                </w:p>
              </w:tc>
              <w:tc>
                <w:tcPr>
                  <w:tcW w:w="1133" w:type="pct"/>
                  <w:tcBorders>
                    <w:tl2br w:val="nil"/>
                    <w:tr2bl w:val="nil"/>
                  </w:tcBorders>
                  <w:vAlign w:val="center"/>
                </w:tcPr>
                <w:p w14:paraId="60A280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污染物名称</w:t>
                  </w:r>
                </w:p>
              </w:tc>
              <w:tc>
                <w:tcPr>
                  <w:tcW w:w="700" w:type="pct"/>
                  <w:tcBorders>
                    <w:tl2br w:val="nil"/>
                    <w:tr2bl w:val="nil"/>
                  </w:tcBorders>
                  <w:vAlign w:val="center"/>
                </w:tcPr>
                <w:p w14:paraId="7B8470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产生量</w:t>
                  </w:r>
                </w:p>
              </w:tc>
              <w:tc>
                <w:tcPr>
                  <w:tcW w:w="735" w:type="pct"/>
                  <w:tcBorders>
                    <w:tl2br w:val="nil"/>
                    <w:tr2bl w:val="nil"/>
                  </w:tcBorders>
                  <w:vAlign w:val="center"/>
                </w:tcPr>
                <w:p w14:paraId="456277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废物属性</w:t>
                  </w:r>
                </w:p>
              </w:tc>
              <w:tc>
                <w:tcPr>
                  <w:tcW w:w="1980" w:type="pct"/>
                  <w:tcBorders>
                    <w:tl2br w:val="nil"/>
                    <w:tr2bl w:val="nil"/>
                  </w:tcBorders>
                  <w:vAlign w:val="center"/>
                </w:tcPr>
                <w:p w14:paraId="74A915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kern w:val="0"/>
                      <w:sz w:val="21"/>
                      <w:szCs w:val="21"/>
                      <w:u w:val="single" w:color="auto"/>
                      <w14:textFill>
                        <w14:solidFill>
                          <w14:schemeClr w14:val="tx1"/>
                        </w14:solidFill>
                      </w14:textFill>
                    </w:rPr>
                  </w:pPr>
                  <w:r>
                    <w:rPr>
                      <w:rFonts w:hint="default" w:ascii="Times New Roman" w:hAnsi="Times New Roman" w:cs="Times New Roman"/>
                      <w:b/>
                      <w:bCs/>
                      <w:color w:val="000000" w:themeColor="text1"/>
                      <w:kern w:val="0"/>
                      <w:sz w:val="21"/>
                      <w:szCs w:val="21"/>
                      <w:u w:val="single" w:color="auto"/>
                      <w14:textFill>
                        <w14:solidFill>
                          <w14:schemeClr w14:val="tx1"/>
                        </w14:solidFill>
                      </w14:textFill>
                    </w:rPr>
                    <w:t>处置措施</w:t>
                  </w:r>
                </w:p>
              </w:tc>
            </w:tr>
            <w:tr w14:paraId="6FFDF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3E1085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w:t>
                  </w:r>
                </w:p>
              </w:tc>
              <w:tc>
                <w:tcPr>
                  <w:tcW w:w="1133" w:type="pct"/>
                  <w:tcBorders>
                    <w:tl2br w:val="nil"/>
                    <w:tr2bl w:val="nil"/>
                  </w:tcBorders>
                  <w:vAlign w:val="center"/>
                </w:tcPr>
                <w:p w14:paraId="5C5B9C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生活垃圾</w:t>
                  </w:r>
                </w:p>
              </w:tc>
              <w:tc>
                <w:tcPr>
                  <w:tcW w:w="700" w:type="pct"/>
                  <w:tcBorders>
                    <w:tl2br w:val="nil"/>
                    <w:tr2bl w:val="nil"/>
                  </w:tcBorders>
                  <w:vAlign w:val="center"/>
                </w:tcPr>
                <w:p w14:paraId="6772FE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19.71</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14:paraId="5A6E14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生活垃圾</w:t>
                  </w:r>
                </w:p>
              </w:tc>
              <w:tc>
                <w:tcPr>
                  <w:tcW w:w="1980" w:type="pct"/>
                  <w:vMerge w:val="restart"/>
                  <w:tcBorders>
                    <w:tl2br w:val="nil"/>
                    <w:tr2bl w:val="nil"/>
                  </w:tcBorders>
                  <w:vAlign w:val="center"/>
                </w:tcPr>
                <w:p w14:paraId="51E35A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分类收集后由环卫部门处理</w:t>
                  </w:r>
                </w:p>
              </w:tc>
            </w:tr>
            <w:tr w14:paraId="2C161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4B9E90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2</w:t>
                  </w:r>
                </w:p>
              </w:tc>
              <w:tc>
                <w:tcPr>
                  <w:tcW w:w="1133" w:type="pct"/>
                  <w:tcBorders>
                    <w:tl2br w:val="nil"/>
                    <w:tr2bl w:val="nil"/>
                  </w:tcBorders>
                  <w:vAlign w:val="center"/>
                </w:tcPr>
                <w:p w14:paraId="61DF98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中药渣</w:t>
                  </w:r>
                </w:p>
              </w:tc>
              <w:tc>
                <w:tcPr>
                  <w:tcW w:w="700" w:type="pct"/>
                  <w:tcBorders>
                    <w:tl2br w:val="nil"/>
                    <w:tr2bl w:val="nil"/>
                  </w:tcBorders>
                  <w:vAlign w:val="center"/>
                </w:tcPr>
                <w:p w14:paraId="00C1A3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1t/a</w:t>
                  </w:r>
                </w:p>
              </w:tc>
              <w:tc>
                <w:tcPr>
                  <w:tcW w:w="735" w:type="pct"/>
                  <w:tcBorders>
                    <w:tl2br w:val="nil"/>
                    <w:tr2bl w:val="nil"/>
                  </w:tcBorders>
                  <w:vAlign w:val="center"/>
                </w:tcPr>
                <w:p w14:paraId="794A0C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vMerge w:val="continue"/>
                  <w:tcBorders>
                    <w:tl2br w:val="nil"/>
                    <w:tr2bl w:val="nil"/>
                  </w:tcBorders>
                  <w:vAlign w:val="center"/>
                </w:tcPr>
                <w:p w14:paraId="4163B0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p>
              </w:tc>
            </w:tr>
            <w:tr w14:paraId="104C46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31B265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3</w:t>
                  </w:r>
                </w:p>
              </w:tc>
              <w:tc>
                <w:tcPr>
                  <w:tcW w:w="1133" w:type="pct"/>
                  <w:tcBorders>
                    <w:tl2br w:val="nil"/>
                    <w:tr2bl w:val="nil"/>
                  </w:tcBorders>
                  <w:vAlign w:val="center"/>
                </w:tcPr>
                <w:p w14:paraId="3DE860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一般废包装材料</w:t>
                  </w:r>
                </w:p>
              </w:tc>
              <w:tc>
                <w:tcPr>
                  <w:tcW w:w="700" w:type="pct"/>
                  <w:tcBorders>
                    <w:tl2br w:val="nil"/>
                    <w:tr2bl w:val="nil"/>
                  </w:tcBorders>
                  <w:vAlign w:val="center"/>
                </w:tcPr>
                <w:p w14:paraId="4645E0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0.5t/a</w:t>
                  </w:r>
                </w:p>
              </w:tc>
              <w:tc>
                <w:tcPr>
                  <w:tcW w:w="735" w:type="pct"/>
                  <w:tcBorders>
                    <w:tl2br w:val="nil"/>
                    <w:tr2bl w:val="nil"/>
                  </w:tcBorders>
                  <w:vAlign w:val="center"/>
                </w:tcPr>
                <w:p w14:paraId="2D80AC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eastAsia="zh-CN"/>
                      <w14:textFill>
                        <w14:solidFill>
                          <w14:schemeClr w14:val="tx1"/>
                        </w14:solidFill>
                      </w14:textFill>
                    </w:rPr>
                    <w:t>一般固废</w:t>
                  </w:r>
                </w:p>
              </w:tc>
              <w:tc>
                <w:tcPr>
                  <w:tcW w:w="1980" w:type="pct"/>
                  <w:tcBorders>
                    <w:tl2br w:val="nil"/>
                    <w:tr2bl w:val="nil"/>
                  </w:tcBorders>
                  <w:vAlign w:val="center"/>
                </w:tcPr>
                <w:p w14:paraId="09E84D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单独收集，定期交物资回收公司回收处理。</w:t>
                  </w:r>
                </w:p>
              </w:tc>
            </w:tr>
            <w:tr w14:paraId="50EF90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58FE46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4</w:t>
                  </w:r>
                </w:p>
              </w:tc>
              <w:tc>
                <w:tcPr>
                  <w:tcW w:w="1133" w:type="pct"/>
                  <w:tcBorders>
                    <w:tl2br w:val="nil"/>
                    <w:tr2bl w:val="nil"/>
                  </w:tcBorders>
                  <w:vAlign w:val="center"/>
                </w:tcPr>
                <w:p w14:paraId="02CF06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医疗废物</w:t>
                  </w:r>
                </w:p>
              </w:tc>
              <w:tc>
                <w:tcPr>
                  <w:tcW w:w="700" w:type="pct"/>
                  <w:tcBorders>
                    <w:tl2br w:val="nil"/>
                    <w:tr2bl w:val="nil"/>
                  </w:tcBorders>
                  <w:vAlign w:val="center"/>
                </w:tcPr>
                <w:p w14:paraId="4B5C4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3.335</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14:paraId="193FBD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14:paraId="6824D2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暂存于危险废物暂存间后委托有资质定位定期清运和处置</w:t>
                  </w:r>
                </w:p>
              </w:tc>
            </w:tr>
            <w:tr w14:paraId="0B7BF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9" w:type="pct"/>
                  <w:tcBorders>
                    <w:tl2br w:val="nil"/>
                    <w:tr2bl w:val="nil"/>
                  </w:tcBorders>
                  <w:vAlign w:val="center"/>
                </w:tcPr>
                <w:p w14:paraId="74ACEC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kern w:val="0"/>
                      <w:sz w:val="21"/>
                      <w:szCs w:val="21"/>
                      <w:u w:val="single" w:color="auto"/>
                      <w:lang w:val="en-US" w:eastAsia="zh-CN"/>
                      <w14:textFill>
                        <w14:solidFill>
                          <w14:schemeClr w14:val="tx1"/>
                        </w14:solidFill>
                      </w14:textFill>
                    </w:rPr>
                  </w:pPr>
                  <w:r>
                    <w:rPr>
                      <w:rFonts w:hint="eastAsia" w:cs="Times New Roman"/>
                      <w:color w:val="000000" w:themeColor="text1"/>
                      <w:kern w:val="0"/>
                      <w:sz w:val="21"/>
                      <w:szCs w:val="21"/>
                      <w:u w:val="single" w:color="auto"/>
                      <w:lang w:val="en-US" w:eastAsia="zh-CN"/>
                      <w14:textFill>
                        <w14:solidFill>
                          <w14:schemeClr w14:val="tx1"/>
                        </w14:solidFill>
                      </w14:textFill>
                    </w:rPr>
                    <w:t>5</w:t>
                  </w:r>
                </w:p>
              </w:tc>
              <w:tc>
                <w:tcPr>
                  <w:tcW w:w="1133" w:type="pct"/>
                  <w:tcBorders>
                    <w:tl2br w:val="nil"/>
                    <w:tr2bl w:val="nil"/>
                  </w:tcBorders>
                  <w:vAlign w:val="center"/>
                </w:tcPr>
                <w:p w14:paraId="6DACDC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污水处理站污泥</w:t>
                  </w:r>
                </w:p>
              </w:tc>
              <w:tc>
                <w:tcPr>
                  <w:tcW w:w="700" w:type="pct"/>
                  <w:tcBorders>
                    <w:tl2br w:val="nil"/>
                    <w:tr2bl w:val="nil"/>
                  </w:tcBorders>
                  <w:vAlign w:val="center"/>
                </w:tcPr>
                <w:p w14:paraId="68CA91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lang w:val="en-US" w:eastAsia="zh-CN"/>
                      <w14:textFill>
                        <w14:solidFill>
                          <w14:schemeClr w14:val="tx1"/>
                        </w14:solidFill>
                      </w14:textFill>
                    </w:rPr>
                    <w:t>0.</w:t>
                  </w:r>
                  <w:r>
                    <w:rPr>
                      <w:rFonts w:hint="eastAsia" w:cs="Times New Roman"/>
                      <w:color w:val="000000" w:themeColor="text1"/>
                      <w:kern w:val="0"/>
                      <w:sz w:val="21"/>
                      <w:szCs w:val="21"/>
                      <w:u w:val="single" w:color="auto"/>
                      <w:lang w:val="en-US" w:eastAsia="zh-CN"/>
                      <w14:textFill>
                        <w14:solidFill>
                          <w14:schemeClr w14:val="tx1"/>
                        </w14:solidFill>
                      </w14:textFill>
                    </w:rPr>
                    <w:t>798</w:t>
                  </w:r>
                  <w:r>
                    <w:rPr>
                      <w:rFonts w:hint="default" w:ascii="Times New Roman" w:hAnsi="Times New Roman" w:cs="Times New Roman"/>
                      <w:color w:val="000000" w:themeColor="text1"/>
                      <w:kern w:val="0"/>
                      <w:sz w:val="21"/>
                      <w:szCs w:val="21"/>
                      <w:u w:val="single" w:color="auto"/>
                      <w14:textFill>
                        <w14:solidFill>
                          <w14:schemeClr w14:val="tx1"/>
                        </w14:solidFill>
                      </w14:textFill>
                    </w:rPr>
                    <w:t>t/a</w:t>
                  </w:r>
                </w:p>
              </w:tc>
              <w:tc>
                <w:tcPr>
                  <w:tcW w:w="735" w:type="pct"/>
                  <w:tcBorders>
                    <w:tl2br w:val="nil"/>
                    <w:tr2bl w:val="nil"/>
                  </w:tcBorders>
                  <w:vAlign w:val="center"/>
                </w:tcPr>
                <w:p w14:paraId="2DC19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危险废物</w:t>
                  </w:r>
                </w:p>
              </w:tc>
              <w:tc>
                <w:tcPr>
                  <w:tcW w:w="1980" w:type="pct"/>
                  <w:tcBorders>
                    <w:tl2br w:val="nil"/>
                    <w:tr2bl w:val="nil"/>
                  </w:tcBorders>
                  <w:vAlign w:val="center"/>
                </w:tcPr>
                <w:p w14:paraId="03B554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kern w:val="0"/>
                      <w:sz w:val="21"/>
                      <w:szCs w:val="21"/>
                      <w:u w:val="single" w:color="auto"/>
                      <w14:textFill>
                        <w14:solidFill>
                          <w14:schemeClr w14:val="tx1"/>
                        </w14:solidFill>
                      </w14:textFill>
                    </w:rPr>
                  </w:pPr>
                  <w:r>
                    <w:rPr>
                      <w:rFonts w:hint="default" w:ascii="Times New Roman" w:hAnsi="Times New Roman" w:cs="Times New Roman"/>
                      <w:color w:val="000000" w:themeColor="text1"/>
                      <w:kern w:val="0"/>
                      <w:sz w:val="21"/>
                      <w:szCs w:val="21"/>
                      <w:u w:val="single" w:color="auto"/>
                      <w14:textFill>
                        <w14:solidFill>
                          <w14:schemeClr w14:val="tx1"/>
                        </w14:solidFill>
                      </w14:textFill>
                    </w:rPr>
                    <w:t>定期委托有资质定位清运和处置</w:t>
                  </w:r>
                </w:p>
              </w:tc>
            </w:tr>
          </w:tbl>
          <w:p w14:paraId="16D9B461">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eastAsia" w:cs="Times New Roman"/>
                <w:color w:val="000000" w:themeColor="text1"/>
                <w:kern w:val="0"/>
                <w:sz w:val="24"/>
                <w:szCs w:val="20"/>
                <w:lang w:val="en-US" w:eastAsia="zh-CN"/>
                <w14:textFill>
                  <w14:solidFill>
                    <w14:schemeClr w14:val="tx1"/>
                  </w14:solidFill>
                </w14:textFill>
              </w:rPr>
              <w:t>2、</w:t>
            </w:r>
            <w:r>
              <w:rPr>
                <w:rFonts w:hint="default" w:ascii="Times New Roman" w:hAnsi="Times New Roman" w:cs="Times New Roman"/>
                <w:color w:val="000000" w:themeColor="text1"/>
                <w:kern w:val="0"/>
                <w:sz w:val="24"/>
                <w:szCs w:val="20"/>
                <w14:textFill>
                  <w14:solidFill>
                    <w14:schemeClr w14:val="tx1"/>
                  </w14:solidFill>
                </w14:textFill>
              </w:rPr>
              <w:t>危废暂存间设置要求</w:t>
            </w:r>
          </w:p>
          <w:p w14:paraId="27FC4EA4">
            <w:pPr>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①根据《医疗卫生机构医疗废物管理办法》危险废物暂存间内应设置温控设施，将暂存温度控制在20℃以下（项目危险废物暂存间内设置有空调），医疗卫生机构应当及时分类收集医疗废物。</w:t>
            </w:r>
          </w:p>
          <w:p w14:paraId="1EDC6ABC">
            <w:pPr>
              <w:spacing w:line="360" w:lineRule="auto"/>
              <w:ind w:firstLine="48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②感染性废物、病理性废物、损伤性废物、药物性废物及化学性废物是不能混合收集；放入包装物或者容器内的感染性废物、病理性废物、损伤性废物不得取出。</w:t>
            </w:r>
          </w:p>
          <w:p w14:paraId="2498F48B">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③医院在每个科室配置专用的废物转运箱，各科室产生的医疗废物由专人打包收集后送至项目医疗固废暂存间。</w:t>
            </w:r>
          </w:p>
          <w:p w14:paraId="1AF9270F">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④医疗废物应当使用防渗漏、防遗撒的专用运送工具，按照本单位确定的内部医疗废物运送时间、路线，将医疗废物收集、运送至项目危险废物暂存间。运送工具使用后应当在医院内指定的地点及时消毒和清洁。医疗废物转运车应满足《医疗废物转运车技术要求》（GB19217-2003）。</w:t>
            </w:r>
          </w:p>
          <w:p w14:paraId="460535EC">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⑤应严格按照《医疗废物管理条例》、《医疗卫生机构医疗废物管理办法》、《危险废物贮存污染控制标准》、《医疗废物集中处置技术规范》、《医疗废物转运车技术要求》、《危险废物转移联单管理办法》等相关规定，对医疗废物实行严格管理，每日消毒，控制存放时间不超过48h，对于不同性质的医疗废物严格按照管理规定进行分类收集处理，以不同颜色标识区分放置。</w:t>
            </w:r>
          </w:p>
          <w:p w14:paraId="67BA7D06">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⑥医院应设置专人负责院内的转运过程，对操作人员进行严格培训和管理，配备必要的个人防护用品，确定转运的时间、路线、器具，对于进入临时存放间的医疗废物应逐一登记。操作人员与专业公司的工作人员应做好交接工作，配合将医疗废物安全的转移到运输车辆上，并填写转移联单，禁止将危险废物以任何形式转移给无许可证的单位，或转移到非危险废物贮存设施中。</w:t>
            </w:r>
          </w:p>
          <w:p w14:paraId="26B08DE6">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⑦危险废物贮存设施的设计、运行与管理、安全防护与监测、危险废物警示标志以及危险废物储存设施的关闭等须遵循《危险废物贮存污染控制标准》的要求和规定。</w:t>
            </w:r>
          </w:p>
          <w:p w14:paraId="09550D75">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⑧完善医疗废物登记管理，加强相关科室医疗废物的登记管理制度，将医疗废物交接给指定收集医疗废物的工作人员时，必须由责任人进行医疗废物登记并建立台账制度。</w:t>
            </w:r>
          </w:p>
          <w:p w14:paraId="1AFE39C8">
            <w:pPr>
              <w:spacing w:line="360" w:lineRule="auto"/>
              <w:ind w:firstLine="480" w:firstLineChars="200"/>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cs="Times New Roman"/>
                <w:color w:val="000000" w:themeColor="text1"/>
                <w:kern w:val="0"/>
                <w:sz w:val="24"/>
                <w:szCs w:val="20"/>
                <w14:textFill>
                  <w14:solidFill>
                    <w14:schemeClr w14:val="tx1"/>
                  </w14:solidFill>
                </w14:textFill>
              </w:rPr>
              <w:t>⑨危险废物暂存间尽量远离医疗区、人员活动区；设置严密的封闭措施，设专职人员管理，防止非工作人员接触医疗废物；门、窗保证完好无损，有防鼠、防蚊蝇、防蟑螂的安全措施，随时关好门窗，防止渗漏和雨水冲刷；严禁存放未密封包装的医疗废物；对于医院废物当日消毒，消毒后装入容器，常温下贮存期不超过48h；每天工作结束后，对运送工具进行清洁、消毒，对暂存点地面、设施进行冲洗、消毒；废物的贮存容器有明显标志，并且具有耐腐蚀、与所贮存的废物发生反应等特性，贮存场所内禁止混放不相容危险废物；设有明显的医疗废物警示标识和“禁止吸烟、饮食”的警示标识。</w:t>
            </w:r>
          </w:p>
          <w:p w14:paraId="5770F72F">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ascii="Times New Roman" w:hAnsi="Times New Roman" w:cs="Times New Roman"/>
                <w:color w:val="000000" w:themeColor="text1"/>
                <w:kern w:val="0"/>
                <w:sz w:val="24"/>
                <w:szCs w:val="20"/>
                <w14:textFill>
                  <w14:solidFill>
                    <w14:schemeClr w14:val="tx1"/>
                  </w14:solidFill>
                </w14:textFill>
              </w:rPr>
            </w:pPr>
            <w:r>
              <w:rPr>
                <w:rFonts w:hint="default" w:ascii="Times New Roman" w:hAnsi="Times New Roman" w:eastAsia="宋体" w:cs="Times New Roman"/>
                <w:color w:val="000000" w:themeColor="text1"/>
                <w:kern w:val="0"/>
                <w:sz w:val="24"/>
                <w:szCs w:val="20"/>
                <w:lang w:val="en-US" w:eastAsia="zh-CN" w:bidi="ar-SA"/>
                <w14:textFill>
                  <w14:solidFill>
                    <w14:schemeClr w14:val="tx1"/>
                  </w14:solidFill>
                </w14:textFill>
              </w:rPr>
              <w:t>⑩</w:t>
            </w:r>
            <w:r>
              <w:rPr>
                <w:rFonts w:hint="default" w:ascii="Times New Roman" w:hAnsi="Times New Roman" w:cs="Times New Roman"/>
                <w:color w:val="000000" w:themeColor="text1"/>
                <w:kern w:val="0"/>
                <w:sz w:val="24"/>
                <w:szCs w:val="20"/>
                <w14:textFill>
                  <w14:solidFill>
                    <w14:schemeClr w14:val="tx1"/>
                  </w14:solidFill>
                </w14:textFill>
              </w:rPr>
              <w:t>危险废物堆放要防风、防雨、防晒</w:t>
            </w:r>
            <w:r>
              <w:rPr>
                <w:rFonts w:hint="eastAsia" w:cs="Times New Roman"/>
                <w:color w:val="000000" w:themeColor="text1"/>
                <w:kern w:val="0"/>
                <w:sz w:val="24"/>
                <w:szCs w:val="20"/>
                <w:lang w:eastAsia="zh-CN"/>
                <w14:textFill>
                  <w14:solidFill>
                    <w14:schemeClr w14:val="tx1"/>
                  </w14:solidFill>
                </w14:textFill>
              </w:rPr>
              <w:t>，</w:t>
            </w:r>
            <w:r>
              <w:rPr>
                <w:rFonts w:hint="eastAsia" w:cs="Times New Roman"/>
                <w:color w:val="000000" w:themeColor="text1"/>
                <w:kern w:val="0"/>
                <w:sz w:val="24"/>
                <w:szCs w:val="20"/>
                <w:lang w:val="en-US" w:eastAsia="zh-CN"/>
                <w14:textFill>
                  <w14:solidFill>
                    <w14:schemeClr w14:val="tx1"/>
                  </w14:solidFill>
                </w14:textFill>
              </w:rPr>
              <w:t>符合</w:t>
            </w:r>
            <w:r>
              <w:rPr>
                <w:rFonts w:hint="default" w:ascii="Times New Roman" w:hAnsi="Times New Roman" w:eastAsia="宋体" w:cs="Times New Roman"/>
                <w:b w:val="0"/>
                <w:color w:val="000000"/>
                <w:spacing w:val="3"/>
                <w:kern w:val="2"/>
                <w:sz w:val="24"/>
                <w:szCs w:val="24"/>
                <w:highlight w:val="none"/>
                <w:u w:val="none" w:color="auto"/>
                <w:lang w:val="en-US" w:eastAsia="zh-CN" w:bidi="ar-SA"/>
              </w:rPr>
              <w:t>《危险废物贮存污染控制标准》（GB18597-2023）</w:t>
            </w:r>
            <w:r>
              <w:rPr>
                <w:rFonts w:hint="eastAsia" w:ascii="Times New Roman" w:hAnsi="Times New Roman" w:eastAsia="宋体" w:cs="Times New Roman"/>
                <w:b w:val="0"/>
                <w:color w:val="000000"/>
                <w:spacing w:val="3"/>
                <w:kern w:val="2"/>
                <w:sz w:val="24"/>
                <w:szCs w:val="24"/>
                <w:highlight w:val="none"/>
                <w:u w:val="none" w:color="auto"/>
                <w:lang w:val="en-US" w:eastAsia="zh-CN" w:bidi="ar-SA"/>
              </w:rPr>
              <w:t>相关要求</w:t>
            </w:r>
            <w:r>
              <w:rPr>
                <w:rFonts w:hint="default" w:ascii="Times New Roman" w:hAnsi="Times New Roman" w:cs="Times New Roman"/>
                <w:color w:val="000000" w:themeColor="text1"/>
                <w:kern w:val="0"/>
                <w:sz w:val="24"/>
                <w:szCs w:val="20"/>
                <w14:textFill>
                  <w14:solidFill>
                    <w14:schemeClr w14:val="tx1"/>
                  </w14:solidFill>
                </w14:textFill>
              </w:rPr>
              <w:t>。</w:t>
            </w:r>
          </w:p>
          <w:p w14:paraId="19251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u w:val="none" w:color="auto"/>
                <w:lang w:eastAsia="zh-CN"/>
              </w:rPr>
              <w:t>五、地下水、土壤环境影响分析</w:t>
            </w:r>
          </w:p>
          <w:p w14:paraId="2A80E59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项目运营期废水由医院污水处理站进行处理后，排入</w:t>
            </w:r>
            <w:r>
              <w:rPr>
                <w:rFonts w:hint="eastAsia" w:cs="Times New Roman"/>
                <w:sz w:val="24"/>
                <w:szCs w:val="24"/>
                <w:highlight w:val="none"/>
                <w:lang w:val="en-US" w:eastAsia="zh-CN"/>
              </w:rPr>
              <w:t>新田县污水处理厂</w:t>
            </w:r>
            <w:r>
              <w:rPr>
                <w:rFonts w:hint="eastAsia" w:ascii="Times New Roman" w:hAnsi="Times New Roman" w:eastAsia="宋体" w:cs="Times New Roman"/>
                <w:sz w:val="24"/>
                <w:szCs w:val="24"/>
                <w:highlight w:val="none"/>
              </w:rPr>
              <w:t>集中处理，不会产生地面漫流，不会垂直入渗到土壤中。</w:t>
            </w:r>
            <w:r>
              <w:rPr>
                <w:rFonts w:hint="eastAsia" w:ascii="Times New Roman" w:hAnsi="Times New Roman" w:eastAsia="宋体" w:cs="Times New Roman"/>
                <w:sz w:val="24"/>
                <w:szCs w:val="24"/>
                <w:highlight w:val="none"/>
                <w:lang w:eastAsia="zh-CN"/>
              </w:rPr>
              <w:t>医疗废物暂存间</w:t>
            </w:r>
            <w:r>
              <w:rPr>
                <w:rFonts w:hint="eastAsia" w:ascii="Times New Roman" w:hAnsi="Times New Roman" w:eastAsia="宋体" w:cs="Times New Roman"/>
                <w:sz w:val="24"/>
                <w:szCs w:val="24"/>
                <w:highlight w:val="none"/>
              </w:rPr>
              <w:t>进行防漏防渗设置。</w:t>
            </w:r>
          </w:p>
          <w:p w14:paraId="33FD4A6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本项目无污染土壤及地下水环境的途径，不会对土壤及地下水环境产生影响。</w:t>
            </w:r>
          </w:p>
          <w:p w14:paraId="64D2E8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b/>
                <w:bCs/>
                <w:color w:val="auto"/>
                <w:sz w:val="24"/>
                <w:szCs w:val="24"/>
                <w:u w:val="single" w:color="auto"/>
                <w:lang w:val="en-US" w:eastAsia="zh-CN"/>
              </w:rPr>
            </w:pPr>
            <w:r>
              <w:rPr>
                <w:rFonts w:hint="default" w:ascii="Times New Roman" w:hAnsi="Times New Roman" w:eastAsia="宋体" w:cs="Times New Roman"/>
                <w:b/>
                <w:bCs/>
                <w:color w:val="auto"/>
                <w:sz w:val="24"/>
                <w:szCs w:val="24"/>
                <w:u w:val="single" w:color="auto"/>
                <w:lang w:eastAsia="zh-CN"/>
              </w:rPr>
              <w:t>六、环境风险</w:t>
            </w:r>
          </w:p>
          <w:p w14:paraId="3D6BBD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1、</w:t>
            </w:r>
            <w:r>
              <w:rPr>
                <w:rFonts w:hint="default" w:ascii="Times New Roman" w:hAnsi="Times New Roman" w:eastAsia="宋体" w:cs="Times New Roman"/>
                <w:color w:val="auto"/>
                <w:sz w:val="24"/>
                <w:szCs w:val="24"/>
                <w:u w:val="single" w:color="auto"/>
                <w:lang w:val="en-US" w:eastAsia="zh-CN"/>
              </w:rPr>
              <w:t>危险物质及重大风险源识别</w:t>
            </w:r>
          </w:p>
          <w:p w14:paraId="667090D5">
            <w:pPr>
              <w:spacing w:line="360" w:lineRule="auto"/>
              <w:ind w:firstLine="480" w:firstLineChars="200"/>
              <w:jc w:val="both"/>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根据《建设项目环境风险评价技术导则》（HJ169-2018），物质危险性识别包括主要原辅材料、燃料、中间产品、副产品、最终产品、生产过程排放的“三废”污染物、火灾和爆炸半生/次生物等。</w:t>
            </w:r>
          </w:p>
          <w:p w14:paraId="70AA4894">
            <w:pPr>
              <w:spacing w:line="360" w:lineRule="auto"/>
              <w:ind w:firstLine="480" w:firstLineChars="200"/>
              <w:jc w:val="left"/>
              <w:rPr>
                <w:rFonts w:hint="default" w:ascii="Times New Roman" w:hAnsi="Times New Roman" w:cs="Times New Roman"/>
                <w:color w:val="000000" w:themeColor="text1"/>
                <w:kern w:val="0"/>
                <w:sz w:val="24"/>
                <w:szCs w:val="20"/>
                <w:u w:val="single" w:color="auto"/>
                <w14:textFill>
                  <w14:solidFill>
                    <w14:schemeClr w14:val="tx1"/>
                  </w14:solidFill>
                </w14:textFill>
              </w:rPr>
            </w:pPr>
            <w:r>
              <w:rPr>
                <w:rFonts w:hint="default" w:ascii="Times New Roman" w:hAnsi="Times New Roman" w:cs="Times New Roman"/>
                <w:color w:val="000000" w:themeColor="text1"/>
                <w:kern w:val="0"/>
                <w:sz w:val="24"/>
                <w:szCs w:val="20"/>
                <w:u w:val="single" w:color="auto"/>
                <w14:textFill>
                  <w14:solidFill>
                    <w14:schemeClr w14:val="tx1"/>
                  </w14:solidFill>
                </w14:textFill>
              </w:rPr>
              <w:t>本项目营运期采用清洁能源</w:t>
            </w:r>
            <w:r>
              <w:rPr>
                <w:rFonts w:hint="eastAsia" w:cs="Times New Roman"/>
                <w:color w:val="000000" w:themeColor="text1"/>
                <w:kern w:val="0"/>
                <w:sz w:val="24"/>
                <w:szCs w:val="20"/>
                <w:u w:val="single" w:color="auto"/>
                <w:lang w:val="en-US" w:eastAsia="zh-CN"/>
                <w14:textFill>
                  <w14:solidFill>
                    <w14:schemeClr w14:val="tx1"/>
                  </w14:solidFill>
                </w14:textFill>
              </w:rPr>
              <w:t>，且</w:t>
            </w:r>
            <w:r>
              <w:rPr>
                <w:rFonts w:hint="default" w:ascii="Times New Roman" w:hAnsi="Times New Roman" w:cs="Times New Roman"/>
                <w:color w:val="000000" w:themeColor="text1"/>
                <w:kern w:val="0"/>
                <w:sz w:val="24"/>
                <w:szCs w:val="20"/>
                <w:u w:val="single" w:color="auto"/>
                <w14:textFill>
                  <w14:solidFill>
                    <w14:schemeClr w14:val="tx1"/>
                  </w14:solidFill>
                </w14:textFill>
              </w:rPr>
              <w:t>本项目不涉及中间产品和副产品。根据《建设项目环境风险评价技术导则》（HJ169-2018）附录B、《危险化学品危险化学品重大危险源辨识》（GB18218-2018）等国家标准中规定的危险物质分类原则，本次评价对本项目原辅材料、最终产品、生产过程排放的“三废”污染物、火灾和爆炸半生/次生物等进行危险源辨识。</w:t>
            </w:r>
          </w:p>
          <w:p w14:paraId="1246B5BA">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default" w:ascii="Times New Roman" w:hAnsi="Times New Roman" w:eastAsia="宋体" w:cs="Times New Roman"/>
                <w:color w:val="auto"/>
                <w:highlight w:val="none"/>
                <w:u w:val="single" w:color="auto"/>
              </w:rPr>
            </w:pPr>
            <w:r>
              <w:rPr>
                <w:rFonts w:hint="eastAsia" w:cs="Times New Roman"/>
                <w:color w:val="000000" w:themeColor="text1"/>
                <w:kern w:val="0"/>
                <w:sz w:val="24"/>
                <w:szCs w:val="20"/>
                <w:u w:val="single" w:color="auto"/>
                <w:lang w:eastAsia="zh-CN"/>
                <w14:textFill>
                  <w14:solidFill>
                    <w14:schemeClr w14:val="tx1"/>
                  </w14:solidFill>
                </w14:textFill>
              </w:rPr>
              <w:t>根据</w:t>
            </w:r>
            <w:r>
              <w:rPr>
                <w:rFonts w:hint="eastAsia" w:cs="Times New Roman"/>
                <w:color w:val="000000" w:themeColor="text1"/>
                <w:kern w:val="0"/>
                <w:sz w:val="24"/>
                <w:szCs w:val="20"/>
                <w:u w:val="single" w:color="auto"/>
                <w:lang w:val="en-US" w:eastAsia="zh-CN"/>
                <w14:textFill>
                  <w14:solidFill>
                    <w14:schemeClr w14:val="tx1"/>
                  </w14:solidFill>
                </w14:textFill>
              </w:rPr>
              <w:t>下</w:t>
            </w:r>
            <w:r>
              <w:rPr>
                <w:rFonts w:hint="eastAsia" w:ascii="Times New Roman" w:hAnsi="Times New Roman" w:eastAsia="宋体" w:cs="Times New Roman"/>
                <w:color w:val="000000" w:themeColor="text1"/>
                <w:kern w:val="0"/>
                <w:sz w:val="24"/>
                <w:szCs w:val="20"/>
                <w:u w:val="single" w:color="auto"/>
                <w:lang w:val="en-US" w:eastAsia="zh-CN"/>
                <w14:textFill>
                  <w14:solidFill>
                    <w14:schemeClr w14:val="tx1"/>
                  </w14:solidFill>
                </w14:textFill>
              </w:rPr>
              <w:t>表，</w:t>
            </w:r>
            <w:r>
              <w:rPr>
                <w:rFonts w:hint="default" w:ascii="Times New Roman" w:hAnsi="Times New Roman" w:eastAsia="宋体" w:cs="Times New Roman"/>
                <w:color w:val="000000" w:themeColor="text1"/>
                <w:kern w:val="0"/>
                <w:sz w:val="24"/>
                <w:szCs w:val="20"/>
                <w:u w:val="single" w:color="auto"/>
                <w:lang w:eastAsia="zh-CN"/>
                <w14:textFill>
                  <w14:solidFill>
                    <w14:schemeClr w14:val="tx1"/>
                  </w14:solidFill>
                </w14:textFill>
              </w:rPr>
              <w:t>本项目涉及的</w:t>
            </w:r>
            <w:r>
              <w:rPr>
                <w:rFonts w:hint="eastAsia" w:ascii="Times New Roman" w:hAnsi="Times New Roman" w:eastAsia="宋体" w:cs="Times New Roman"/>
                <w:color w:val="000000" w:themeColor="text1"/>
                <w:kern w:val="0"/>
                <w:sz w:val="24"/>
                <w:szCs w:val="20"/>
                <w:u w:val="single" w:color="auto"/>
                <w:lang w:eastAsia="zh-CN"/>
                <w14:textFill>
                  <w14:solidFill>
                    <w14:schemeClr w14:val="tx1"/>
                  </w14:solidFill>
                </w14:textFill>
              </w:rPr>
              <w:t>环境风险物质主要为原辅材料中医用酒精、</w:t>
            </w:r>
            <w:r>
              <w:rPr>
                <w:rFonts w:hint="eastAsia" w:ascii="Times New Roman" w:hAnsi="Times New Roman" w:eastAsia="宋体" w:cs="Times New Roman"/>
                <w:color w:val="000000" w:themeColor="text1"/>
                <w:kern w:val="0"/>
                <w:sz w:val="24"/>
                <w:szCs w:val="20"/>
                <w:u w:val="single" w:color="auto"/>
                <w:lang w:val="en-US" w:eastAsia="zh-CN"/>
                <w14:textFill>
                  <w14:solidFill>
                    <w14:schemeClr w14:val="tx1"/>
                  </w14:solidFill>
                </w14:textFill>
              </w:rPr>
              <w:t>84消毒液、</w:t>
            </w:r>
            <w:r>
              <w:rPr>
                <w:rFonts w:hint="eastAsia" w:ascii="Times New Roman" w:hAnsi="Times New Roman" w:eastAsia="宋体" w:cs="Times New Roman"/>
                <w:color w:val="000000" w:themeColor="text1"/>
                <w:kern w:val="0"/>
                <w:sz w:val="24"/>
                <w:szCs w:val="20"/>
                <w:u w:val="single" w:color="auto"/>
                <w:lang w:eastAsia="zh-CN"/>
                <w14:textFill>
                  <w14:solidFill>
                    <w14:schemeClr w14:val="tx1"/>
                  </w14:solidFill>
                </w14:textFill>
              </w:rPr>
              <w:t>及</w:t>
            </w:r>
            <w:r>
              <w:rPr>
                <w:rFonts w:hint="eastAsia" w:cs="Times New Roman"/>
                <w:color w:val="000000" w:themeColor="text1"/>
                <w:kern w:val="0"/>
                <w:sz w:val="24"/>
                <w:szCs w:val="20"/>
                <w:u w:val="single" w:color="auto"/>
                <w:lang w:eastAsia="zh-CN"/>
                <w14:textFill>
                  <w14:solidFill>
                    <w14:schemeClr w14:val="tx1"/>
                  </w14:solidFill>
                </w14:textFill>
              </w:rPr>
              <w:t>危险废物</w:t>
            </w:r>
            <w:r>
              <w:rPr>
                <w:rFonts w:hint="default" w:ascii="Times New Roman" w:hAnsi="Times New Roman" w:cs="Times New Roman"/>
                <w:color w:val="000000" w:themeColor="text1"/>
                <w:kern w:val="0"/>
                <w:sz w:val="24"/>
                <w:szCs w:val="20"/>
                <w:u w:val="single" w:color="auto"/>
                <w14:textFill>
                  <w14:solidFill>
                    <w14:schemeClr w14:val="tx1"/>
                  </w14:solidFill>
                </w14:textFill>
              </w:rPr>
              <w:t>。</w:t>
            </w:r>
          </w:p>
          <w:p w14:paraId="28B9934E">
            <w:pPr>
              <w:pStyle w:val="39"/>
              <w:keepNext w:val="0"/>
              <w:keepLines w:val="0"/>
              <w:pageBreakBefore w:val="0"/>
              <w:widowControl w:val="0"/>
              <w:kinsoku/>
              <w:wordWrap/>
              <w:overflowPunct/>
              <w:topLinePunct w:val="0"/>
              <w:autoSpaceDE/>
              <w:autoSpaceDN/>
              <w:bidi w:val="0"/>
              <w:adjustRightInd w:val="0"/>
              <w:snapToGrid/>
              <w:spacing w:before="0" w:beforeLines="0" w:after="0" w:afterLines="0" w:line="240" w:lineRule="auto"/>
              <w:textAlignment w:val="auto"/>
              <w:rPr>
                <w:rFonts w:hint="default" w:ascii="Times New Roman" w:hAnsi="Times New Roman" w:eastAsia="宋体" w:cs="Times New Roman"/>
                <w:color w:val="auto"/>
                <w:highlight w:val="none"/>
                <w:u w:val="single" w:color="auto"/>
              </w:rPr>
            </w:pPr>
            <w:r>
              <w:rPr>
                <w:rFonts w:hint="default" w:ascii="Times New Roman" w:hAnsi="Times New Roman" w:eastAsia="宋体" w:cs="Times New Roman"/>
                <w:color w:val="auto"/>
                <w:highlight w:val="none"/>
                <w:u w:val="single" w:color="auto"/>
              </w:rPr>
              <w:t>表</w:t>
            </w:r>
            <w:r>
              <w:rPr>
                <w:rFonts w:hint="eastAsia" w:ascii="Times New Roman" w:hAns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w:t>
            </w:r>
            <w:r>
              <w:rPr>
                <w:rFonts w:hint="eastAsia" w:ascii="Times New Roman" w:hAnsi="Times New Roman" w:eastAsia="宋体" w:cs="Times New Roman"/>
                <w:color w:val="auto"/>
                <w:highlight w:val="none"/>
                <w:u w:val="single" w:color="auto"/>
                <w:lang w:val="en-US" w:eastAsia="zh-CN"/>
              </w:rPr>
              <w:t>1</w:t>
            </w:r>
            <w:r>
              <w:rPr>
                <w:rFonts w:hint="eastAsia" w:ascii="Times New Roman" w:eastAsia="宋体" w:cs="Times New Roman"/>
                <w:color w:val="auto"/>
                <w:highlight w:val="none"/>
                <w:u w:val="single" w:color="auto"/>
                <w:lang w:val="en-US" w:eastAsia="zh-CN"/>
              </w:rPr>
              <w:t>4</w:t>
            </w:r>
            <w:r>
              <w:rPr>
                <w:rFonts w:hint="default" w:ascii="Times New Roman" w:hAnsi="Times New Roman" w:eastAsia="宋体" w:cs="Times New Roman"/>
                <w:color w:val="auto"/>
                <w:highlight w:val="none"/>
                <w:u w:val="single" w:color="auto"/>
              </w:rPr>
              <w:t xml:space="preserve">   危险化学品理化性质一览表</w:t>
            </w:r>
          </w:p>
          <w:tbl>
            <w:tblPr>
              <w:tblStyle w:val="24"/>
              <w:tblW w:w="4996"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276"/>
              <w:gridCol w:w="5108"/>
              <w:gridCol w:w="1389"/>
            </w:tblGrid>
            <w:tr w14:paraId="683F6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821" w:type="pct"/>
                  <w:tcBorders>
                    <w:tl2br w:val="nil"/>
                    <w:tr2bl w:val="nil"/>
                  </w:tcBorders>
                  <w:noWrap w:val="0"/>
                  <w:vAlign w:val="center"/>
                </w:tcPr>
                <w:p w14:paraId="1380D089">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名称</w:t>
                  </w:r>
                </w:p>
              </w:tc>
              <w:tc>
                <w:tcPr>
                  <w:tcW w:w="3285" w:type="pct"/>
                  <w:tcBorders>
                    <w:tl2br w:val="nil"/>
                    <w:tr2bl w:val="nil"/>
                  </w:tcBorders>
                  <w:noWrap w:val="0"/>
                  <w:vAlign w:val="center"/>
                </w:tcPr>
                <w:p w14:paraId="2E5F705B">
                  <w:pPr>
                    <w:tabs>
                      <w:tab w:val="left" w:pos="0"/>
                    </w:tabs>
                    <w:spacing w:line="240" w:lineRule="auto"/>
                    <w:jc w:val="center"/>
                    <w:rPr>
                      <w:rFonts w:hint="default" w:ascii="Times New Roman" w:hAnsi="Times New Roman" w:eastAsia="宋体" w:cs="Times New Roman"/>
                      <w:color w:val="auto"/>
                      <w:sz w:val="21"/>
                      <w:szCs w:val="21"/>
                      <w:highlight w:val="none"/>
                      <w:u w:val="single" w:color="auto"/>
                    </w:rPr>
                  </w:pPr>
                  <w:r>
                    <w:rPr>
                      <w:rFonts w:hint="default" w:ascii="Times New Roman" w:hAnsi="Times New Roman" w:eastAsia="宋体" w:cs="Times New Roman"/>
                      <w:color w:val="auto"/>
                      <w:sz w:val="21"/>
                      <w:szCs w:val="21"/>
                      <w:highlight w:val="none"/>
                      <w:u w:val="single" w:color="auto"/>
                    </w:rPr>
                    <w:t>理化性质</w:t>
                  </w:r>
                </w:p>
              </w:tc>
              <w:tc>
                <w:tcPr>
                  <w:tcW w:w="893" w:type="pct"/>
                  <w:tcBorders>
                    <w:tl2br w:val="nil"/>
                    <w:tr2bl w:val="nil"/>
                  </w:tcBorders>
                  <w:noWrap w:val="0"/>
                  <w:vAlign w:val="center"/>
                </w:tcPr>
                <w:p w14:paraId="43FAF492">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是否是环境风险物质</w:t>
                  </w:r>
                </w:p>
              </w:tc>
            </w:tr>
            <w:tr w14:paraId="363457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14:paraId="299791F0">
                  <w:pPr>
                    <w:tabs>
                      <w:tab w:val="left" w:pos="0"/>
                    </w:tabs>
                    <w:spacing w:line="240" w:lineRule="auto"/>
                    <w:jc w:val="center"/>
                    <w:rPr>
                      <w:rFonts w:hint="eastAsia" w:ascii="Times New Roman" w:hAnsi="Times New Roman" w:eastAsia="宋体" w:cs="Times New Roman"/>
                      <w:color w:val="auto"/>
                      <w:kern w:val="2"/>
                      <w:sz w:val="21"/>
                      <w:szCs w:val="21"/>
                      <w:highlight w:val="none"/>
                      <w:u w:val="single" w:color="auto"/>
                      <w:lang w:val="en-US" w:eastAsia="zh-CN" w:bidi="ar-SA"/>
                    </w:rPr>
                  </w:pPr>
                  <w:r>
                    <w:rPr>
                      <w:rFonts w:hint="eastAsia" w:cs="Times New Roman"/>
                      <w:snapToGrid w:val="0"/>
                      <w:color w:val="auto"/>
                      <w:sz w:val="21"/>
                      <w:szCs w:val="21"/>
                      <w:u w:val="single" w:color="auto"/>
                      <w:vertAlign w:val="baseline"/>
                      <w:lang w:eastAsia="zh-CN"/>
                    </w:rPr>
                    <w:t>医用酒精</w:t>
                  </w:r>
                </w:p>
              </w:tc>
              <w:tc>
                <w:tcPr>
                  <w:tcW w:w="3285" w:type="pct"/>
                  <w:tcBorders>
                    <w:tl2br w:val="nil"/>
                    <w:tr2bl w:val="nil"/>
                  </w:tcBorders>
                  <w:noWrap w:val="0"/>
                  <w:vAlign w:val="center"/>
                </w:tcPr>
                <w:p w14:paraId="051D4A4B">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default" w:ascii="Times New Roman" w:hAnsi="Times New Roman" w:eastAsia="宋体" w:cs="Times New Roman"/>
                      <w:color w:val="auto"/>
                      <w:kern w:val="2"/>
                      <w:sz w:val="21"/>
                      <w:szCs w:val="21"/>
                      <w:highlight w:val="none"/>
                      <w:u w:val="single" w:color="auto"/>
                      <w:lang w:val="en-US" w:eastAsia="zh-CN" w:bidi="ar-SA"/>
                    </w:rPr>
                    <w:t>即为75%乙醇。乙醇（ethanol），俗称酒精</w:t>
                  </w:r>
                  <w:r>
                    <w:rPr>
                      <w:rFonts w:hint="eastAsia" w:ascii="Times New Roman" w:hAnsi="Times New Roman" w:eastAsia="宋体" w:cs="Times New Roman"/>
                      <w:color w:val="auto"/>
                      <w:kern w:val="2"/>
                      <w:sz w:val="21"/>
                      <w:szCs w:val="21"/>
                      <w:highlight w:val="none"/>
                      <w:u w:val="single" w:color="auto"/>
                      <w:lang w:val="en-US" w:eastAsia="zh-CN" w:bidi="ar-SA"/>
                    </w:rPr>
                    <w:t>，</w:t>
                  </w:r>
                  <w:r>
                    <w:rPr>
                      <w:rFonts w:hint="default" w:ascii="Times New Roman" w:hAnsi="Times New Roman" w:eastAsia="宋体" w:cs="Times New Roman"/>
                      <w:color w:val="auto"/>
                      <w:kern w:val="2"/>
                      <w:sz w:val="21"/>
                      <w:szCs w:val="21"/>
                      <w:highlight w:val="none"/>
                      <w:u w:val="single" w:color="auto"/>
                      <w:lang w:val="en-US" w:eastAsia="zh-CN" w:bidi="ar-SA"/>
                    </w:rPr>
                    <w:t>在常温常压下是一种易燃、易挥发的无色透明液体，低毒性，纯液体不可直接饮用；具有特殊香味，并略带刺激；微甘，并伴有刺激的辛辣滋味；易燃，其蒸气能与空气形成爆炸性混合物</w:t>
                  </w:r>
                  <w:r>
                    <w:rPr>
                      <w:rFonts w:hint="eastAsia" w:ascii="Times New Roman" w:hAnsi="Times New Roman" w:eastAsia="宋体" w:cs="Times New Roman"/>
                      <w:color w:val="auto"/>
                      <w:kern w:val="2"/>
                      <w:sz w:val="21"/>
                      <w:szCs w:val="21"/>
                      <w:highlight w:val="none"/>
                      <w:u w:val="single" w:color="auto"/>
                      <w:lang w:val="en-US" w:eastAsia="zh-CN" w:bidi="ar-SA"/>
                    </w:rPr>
                    <w:t>。</w:t>
                  </w:r>
                </w:p>
              </w:tc>
              <w:tc>
                <w:tcPr>
                  <w:tcW w:w="893" w:type="pct"/>
                  <w:tcBorders>
                    <w:tl2br w:val="nil"/>
                    <w:tr2bl w:val="nil"/>
                  </w:tcBorders>
                  <w:noWrap w:val="0"/>
                  <w:vAlign w:val="center"/>
                </w:tcPr>
                <w:p w14:paraId="5A848621">
                  <w:pPr>
                    <w:pStyle w:val="29"/>
                    <w:ind w:left="0" w:leftChars="0"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r w14:paraId="0AEB4A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85" w:hRule="atLeast"/>
                <w:jc w:val="center"/>
              </w:trPr>
              <w:tc>
                <w:tcPr>
                  <w:tcW w:w="821" w:type="pct"/>
                  <w:tcBorders>
                    <w:tl2br w:val="nil"/>
                    <w:tr2bl w:val="nil"/>
                  </w:tcBorders>
                  <w:noWrap w:val="0"/>
                  <w:vAlign w:val="center"/>
                </w:tcPr>
                <w:p w14:paraId="480A9BBF">
                  <w:pPr>
                    <w:tabs>
                      <w:tab w:val="left" w:pos="0"/>
                    </w:tabs>
                    <w:spacing w:line="240" w:lineRule="auto"/>
                    <w:jc w:val="center"/>
                    <w:rPr>
                      <w:rFonts w:hint="eastAsia" w:cs="Times New Roman"/>
                      <w:snapToGrid w:val="0"/>
                      <w:color w:val="auto"/>
                      <w:sz w:val="21"/>
                      <w:szCs w:val="21"/>
                      <w:u w:val="single" w:color="auto"/>
                      <w:vertAlign w:val="baseline"/>
                      <w:lang w:eastAsia="zh-CN"/>
                    </w:rPr>
                  </w:pPr>
                  <w:r>
                    <w:rPr>
                      <w:rFonts w:hint="eastAsia" w:ascii="Times New Roman" w:hAnsi="Times New Roman" w:cs="Times New Roman"/>
                      <w:color w:val="auto"/>
                      <w:kern w:val="2"/>
                      <w:sz w:val="21"/>
                      <w:szCs w:val="21"/>
                      <w:u w:val="single" w:color="auto"/>
                      <w:lang w:val="en-US" w:eastAsia="zh-CN"/>
                    </w:rPr>
                    <w:t>84消毒液</w:t>
                  </w:r>
                </w:p>
              </w:tc>
              <w:tc>
                <w:tcPr>
                  <w:tcW w:w="3285" w:type="pct"/>
                  <w:tcBorders>
                    <w:tl2br w:val="nil"/>
                    <w:tr2bl w:val="nil"/>
                  </w:tcBorders>
                  <w:noWrap w:val="0"/>
                  <w:vAlign w:val="center"/>
                </w:tcPr>
                <w:p w14:paraId="52A4891A">
                  <w:pPr>
                    <w:tabs>
                      <w:tab w:val="left" w:pos="0"/>
                    </w:tabs>
                    <w:spacing w:line="240" w:lineRule="auto"/>
                    <w:jc w:val="both"/>
                    <w:rPr>
                      <w:rFonts w:hint="default" w:ascii="Times New Roman" w:hAnsi="Times New Roman" w:eastAsia="宋体" w:cs="Times New Roman"/>
                      <w:color w:val="auto"/>
                      <w:kern w:val="2"/>
                      <w:sz w:val="21"/>
                      <w:szCs w:val="21"/>
                      <w:highlight w:val="none"/>
                      <w:u w:val="single" w:color="auto"/>
                      <w:lang w:val="en-US" w:eastAsia="zh-CN" w:bidi="ar-SA"/>
                    </w:rPr>
                  </w:pPr>
                  <w:r>
                    <w:rPr>
                      <w:rFonts w:hint="eastAsia" w:ascii="Times New Roman" w:hAnsi="Times New Roman" w:cs="Times New Roman"/>
                      <w:color w:val="auto"/>
                      <w:sz w:val="21"/>
                      <w:szCs w:val="21"/>
                      <w:highlight w:val="none"/>
                      <w:u w:val="single" w:color="auto"/>
                      <w:vertAlign w:val="baseline"/>
                      <w:lang w:val="en-US" w:eastAsia="zh-CN"/>
                    </w:rPr>
                    <w:t>主要成分为次氯酸钠，CAS NO为7681-52-9，分子式NaClO，分子量74.44，危险货物编号为83501（第8.3类其它腐蚀品），沸点102℃，比重（水=1）1.10，熔点为-6℃，溶于水，微黄色溶液，有似氯气的气味。侵入途径为吸入、皮肤、经口；急性毒性为LD10：8500mg/kg（小鼠经口）。经常用手接触本品的工人，手掌大量出汗，指甲变薄，毛发脱落。本品不燃，具腐蚀性，可致人体灼伤，具致敏性；放出的游离氯有可能引起中毒。对环境有危害，对水体可造成污染。</w:t>
                  </w:r>
                </w:p>
              </w:tc>
              <w:tc>
                <w:tcPr>
                  <w:tcW w:w="893" w:type="pct"/>
                  <w:tcBorders>
                    <w:tl2br w:val="nil"/>
                    <w:tr2bl w:val="nil"/>
                  </w:tcBorders>
                  <w:noWrap w:val="0"/>
                  <w:vAlign w:val="center"/>
                </w:tcPr>
                <w:p w14:paraId="519AA5A9">
                  <w:pPr>
                    <w:pStyle w:val="29"/>
                    <w:ind w:left="0" w:leftChars="0" w:firstLine="0" w:firstLineChars="0"/>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是</w:t>
                  </w:r>
                </w:p>
              </w:tc>
            </w:tr>
            <w:tr w14:paraId="63BD1D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821" w:type="pct"/>
                  <w:tcBorders>
                    <w:tl2br w:val="nil"/>
                    <w:tr2bl w:val="nil"/>
                  </w:tcBorders>
                  <w:noWrap w:val="0"/>
                  <w:vAlign w:val="center"/>
                </w:tcPr>
                <w:p w14:paraId="45BA839E">
                  <w:pPr>
                    <w:tabs>
                      <w:tab w:val="left" w:pos="0"/>
                    </w:tabs>
                    <w:spacing w:line="240" w:lineRule="auto"/>
                    <w:jc w:val="center"/>
                    <w:rPr>
                      <w:rFonts w:hint="eastAsia" w:ascii="Times New Roman" w:hAnsi="Times New Roman" w:eastAsia="宋体" w:cs="Times New Roman"/>
                      <w:color w:val="auto"/>
                      <w:sz w:val="21"/>
                      <w:szCs w:val="21"/>
                      <w:highlight w:val="none"/>
                      <w:u w:val="single" w:color="auto"/>
                      <w:lang w:eastAsia="zh-CN"/>
                    </w:rPr>
                  </w:pPr>
                  <w:r>
                    <w:rPr>
                      <w:rFonts w:hint="eastAsia" w:ascii="Times New Roman" w:hAnsi="Times New Roman" w:eastAsia="宋体" w:cs="Times New Roman"/>
                      <w:color w:val="auto"/>
                      <w:sz w:val="21"/>
                      <w:szCs w:val="21"/>
                      <w:highlight w:val="none"/>
                      <w:u w:val="single" w:color="auto"/>
                      <w:lang w:eastAsia="zh-CN"/>
                    </w:rPr>
                    <w:t>危险废物</w:t>
                  </w:r>
                </w:p>
              </w:tc>
              <w:tc>
                <w:tcPr>
                  <w:tcW w:w="3285" w:type="pct"/>
                  <w:tcBorders>
                    <w:tl2br w:val="nil"/>
                    <w:tr2bl w:val="nil"/>
                  </w:tcBorders>
                  <w:noWrap w:val="0"/>
                  <w:vAlign w:val="center"/>
                </w:tcPr>
                <w:p w14:paraId="4118EED2">
                  <w:pPr>
                    <w:tabs>
                      <w:tab w:val="left" w:pos="0"/>
                    </w:tabs>
                    <w:spacing w:line="240" w:lineRule="auto"/>
                    <w:jc w:val="center"/>
                    <w:rPr>
                      <w:rFonts w:hint="default"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val="en-US" w:eastAsia="zh-CN"/>
                    </w:rPr>
                    <w:t>属于《国家危险废物名录（202</w:t>
                  </w:r>
                  <w:r>
                    <w:rPr>
                      <w:rFonts w:hint="eastAsia" w:cs="Times New Roman"/>
                      <w:color w:val="auto"/>
                      <w:sz w:val="21"/>
                      <w:szCs w:val="21"/>
                      <w:highlight w:val="none"/>
                      <w:u w:val="single" w:color="auto"/>
                      <w:lang w:val="en-US" w:eastAsia="zh-CN"/>
                    </w:rPr>
                    <w:t>5</w:t>
                  </w:r>
                  <w:r>
                    <w:rPr>
                      <w:rFonts w:hint="eastAsia" w:ascii="Times New Roman" w:hAnsi="Times New Roman" w:eastAsia="宋体" w:cs="Times New Roman"/>
                      <w:color w:val="auto"/>
                      <w:sz w:val="21"/>
                      <w:szCs w:val="21"/>
                      <w:highlight w:val="none"/>
                      <w:u w:val="single" w:color="auto"/>
                      <w:lang w:val="en-US" w:eastAsia="zh-CN"/>
                    </w:rPr>
                    <w:t>年版）》中名录范围内。</w:t>
                  </w:r>
                </w:p>
              </w:tc>
              <w:tc>
                <w:tcPr>
                  <w:tcW w:w="893" w:type="pct"/>
                  <w:tcBorders>
                    <w:tl2br w:val="nil"/>
                    <w:tr2bl w:val="nil"/>
                  </w:tcBorders>
                  <w:noWrap w:val="0"/>
                  <w:vAlign w:val="center"/>
                </w:tcPr>
                <w:p w14:paraId="114EA1A3">
                  <w:pPr>
                    <w:pStyle w:val="29"/>
                    <w:ind w:left="0" w:leftChars="0" w:firstLine="0" w:firstLineChars="0"/>
                    <w:jc w:val="center"/>
                    <w:rPr>
                      <w:rFonts w:hint="eastAsia" w:ascii="Times New Roman" w:hAnsi="Times New Roman" w:eastAsia="宋体" w:cs="Times New Roman"/>
                      <w:color w:val="auto"/>
                      <w:sz w:val="21"/>
                      <w:szCs w:val="21"/>
                      <w:highlight w:val="none"/>
                      <w:u w:val="single" w:color="auto"/>
                      <w:lang w:val="en-US" w:eastAsia="zh-CN"/>
                    </w:rPr>
                  </w:pPr>
                  <w:r>
                    <w:rPr>
                      <w:rFonts w:hint="eastAsia" w:ascii="Times New Roman" w:hAnsi="Times New Roman" w:eastAsia="宋体" w:cs="Times New Roman"/>
                      <w:color w:val="auto"/>
                      <w:sz w:val="21"/>
                      <w:szCs w:val="21"/>
                      <w:highlight w:val="none"/>
                      <w:u w:val="single" w:color="auto"/>
                      <w:lang w:eastAsia="zh-CN"/>
                    </w:rPr>
                    <w:t>是</w:t>
                  </w:r>
                </w:p>
              </w:tc>
            </w:tr>
          </w:tbl>
          <w:p w14:paraId="3A223784">
            <w:pPr>
              <w:keepNext w:val="0"/>
              <w:keepLines w:val="0"/>
              <w:pageBreakBefore w:val="0"/>
              <w:kinsoku/>
              <w:wordWrap/>
              <w:topLinePunct w:val="0"/>
              <w:bidi w:val="0"/>
              <w:spacing w:line="240" w:lineRule="auto"/>
              <w:jc w:val="center"/>
              <w:rPr>
                <w:rFonts w:hint="default" w:eastAsia="宋体"/>
                <w:color w:val="auto"/>
                <w:u w:val="single" w:color="auto"/>
                <w:lang w:val="en-US" w:eastAsia="zh-CN"/>
              </w:rPr>
            </w:pPr>
            <w:r>
              <w:rPr>
                <w:rFonts w:hint="eastAsia" w:cs="Times New Roman"/>
                <w:color w:val="000000" w:themeColor="text1"/>
                <w:kern w:val="0"/>
                <w:sz w:val="21"/>
                <w:szCs w:val="21"/>
                <w:u w:val="single" w:color="auto"/>
                <w:lang w:val="en-US" w:eastAsia="zh-CN"/>
                <w14:textFill>
                  <w14:solidFill>
                    <w14:schemeClr w14:val="tx1"/>
                  </w14:solidFill>
                </w14:textFill>
              </w:rPr>
              <w:t xml:space="preserve"> </w:t>
            </w:r>
            <w:r>
              <w:rPr>
                <w:rFonts w:hint="eastAsia"/>
                <w:b/>
                <w:bCs/>
                <w:color w:val="auto"/>
                <w:sz w:val="21"/>
                <w:szCs w:val="21"/>
                <w:u w:val="single" w:color="auto"/>
                <w:lang w:val="en-US" w:eastAsia="zh-CN"/>
              </w:rPr>
              <w:t xml:space="preserve">表4-15 </w:t>
            </w:r>
            <w:r>
              <w:rPr>
                <w:rFonts w:hint="default"/>
                <w:b/>
                <w:bCs/>
                <w:color w:val="auto"/>
                <w:sz w:val="21"/>
                <w:szCs w:val="21"/>
                <w:u w:val="single" w:color="auto"/>
              </w:rPr>
              <w:t>危险</w:t>
            </w:r>
            <w:r>
              <w:rPr>
                <w:rFonts w:hint="eastAsia"/>
                <w:b/>
                <w:bCs/>
                <w:color w:val="auto"/>
                <w:sz w:val="21"/>
                <w:szCs w:val="21"/>
                <w:u w:val="single" w:color="auto"/>
                <w:lang w:val="en-US" w:eastAsia="zh-CN"/>
              </w:rPr>
              <w:t>物质Q值确定</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1406"/>
              <w:gridCol w:w="1961"/>
              <w:gridCol w:w="2327"/>
            </w:tblGrid>
            <w:tr w14:paraId="05F0F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082" w:type="dxa"/>
                  <w:tcBorders>
                    <w:tl2br w:val="nil"/>
                    <w:tr2bl w:val="nil"/>
                  </w:tcBorders>
                  <w:noWrap w:val="0"/>
                  <w:vAlign w:val="center"/>
                </w:tcPr>
                <w:p w14:paraId="6D5776E4">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危险物质名称</w:t>
                  </w:r>
                </w:p>
              </w:tc>
              <w:tc>
                <w:tcPr>
                  <w:tcW w:w="1406" w:type="dxa"/>
                  <w:tcBorders>
                    <w:tl2br w:val="nil"/>
                    <w:tr2bl w:val="nil"/>
                  </w:tcBorders>
                  <w:noWrap w:val="0"/>
                  <w:vAlign w:val="center"/>
                </w:tcPr>
                <w:p w14:paraId="0CCFD669">
                  <w:pPr>
                    <w:pStyle w:val="41"/>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最大</w:t>
                  </w:r>
                  <w:r>
                    <w:rPr>
                      <w:rFonts w:hint="eastAsia" w:ascii="Times New Roman" w:hAnsi="Times New Roman" w:eastAsia="宋体" w:cs="Times New Roman"/>
                      <w:b w:val="0"/>
                      <w:bCs w:val="0"/>
                      <w:color w:val="auto"/>
                      <w:kern w:val="2"/>
                      <w:sz w:val="21"/>
                      <w:szCs w:val="21"/>
                      <w:u w:val="single" w:color="auto"/>
                      <w:lang w:val="en-US" w:eastAsia="zh-CN"/>
                    </w:rPr>
                    <w:t>储存</w:t>
                  </w:r>
                  <w:r>
                    <w:rPr>
                      <w:rFonts w:hint="default" w:ascii="Times New Roman" w:hAnsi="Times New Roman" w:eastAsia="宋体" w:cs="Times New Roman"/>
                      <w:b w:val="0"/>
                      <w:bCs w:val="0"/>
                      <w:color w:val="auto"/>
                      <w:kern w:val="2"/>
                      <w:sz w:val="21"/>
                      <w:szCs w:val="21"/>
                      <w:u w:val="single" w:color="auto"/>
                    </w:rPr>
                    <w:t>q</w:t>
                  </w:r>
                  <w:r>
                    <w:rPr>
                      <w:rFonts w:hint="default" w:ascii="Times New Roman" w:hAnsi="Times New Roman" w:eastAsia="宋体" w:cs="Times New Roman"/>
                      <w:b w:val="0"/>
                      <w:bCs w:val="0"/>
                      <w:color w:val="auto"/>
                      <w:kern w:val="2"/>
                      <w:sz w:val="21"/>
                      <w:szCs w:val="21"/>
                      <w:u w:val="single" w:color="auto"/>
                      <w:vertAlign w:val="subscript"/>
                    </w:rPr>
                    <w:t>n</w:t>
                  </w:r>
                </w:p>
              </w:tc>
              <w:tc>
                <w:tcPr>
                  <w:tcW w:w="1961" w:type="dxa"/>
                  <w:tcBorders>
                    <w:tl2br w:val="nil"/>
                    <w:tr2bl w:val="nil"/>
                  </w:tcBorders>
                  <w:noWrap w:val="0"/>
                  <w:vAlign w:val="center"/>
                </w:tcPr>
                <w:p w14:paraId="6D3661A3">
                  <w:pPr>
                    <w:pStyle w:val="41"/>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临界量Q</w:t>
                  </w:r>
                  <w:r>
                    <w:rPr>
                      <w:rFonts w:hint="default" w:ascii="Times New Roman" w:hAnsi="Times New Roman" w:eastAsia="宋体" w:cs="Times New Roman"/>
                      <w:b w:val="0"/>
                      <w:bCs w:val="0"/>
                      <w:color w:val="auto"/>
                      <w:kern w:val="2"/>
                      <w:sz w:val="21"/>
                      <w:szCs w:val="21"/>
                      <w:u w:val="single" w:color="auto"/>
                      <w:vertAlign w:val="subscript"/>
                    </w:rPr>
                    <w:t>n</w:t>
                  </w:r>
                </w:p>
              </w:tc>
              <w:tc>
                <w:tcPr>
                  <w:tcW w:w="2327" w:type="dxa"/>
                  <w:tcBorders>
                    <w:tl2br w:val="nil"/>
                    <w:tr2bl w:val="nil"/>
                  </w:tcBorders>
                  <w:noWrap w:val="0"/>
                  <w:vAlign w:val="center"/>
                </w:tcPr>
                <w:p w14:paraId="183B35B7">
                  <w:pPr>
                    <w:pStyle w:val="41"/>
                    <w:keepNext w:val="0"/>
                    <w:keepLines w:val="0"/>
                    <w:pageBreakBefore w:val="0"/>
                    <w:widowControl w:val="0"/>
                    <w:kinsoku/>
                    <w:wordWrap/>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u w:val="single" w:color="auto"/>
                    </w:rPr>
                  </w:pPr>
                  <w:r>
                    <w:rPr>
                      <w:rFonts w:hint="default" w:ascii="Times New Roman" w:hAnsi="Times New Roman" w:eastAsia="宋体" w:cs="Times New Roman"/>
                      <w:b w:val="0"/>
                      <w:bCs w:val="0"/>
                      <w:color w:val="auto"/>
                      <w:kern w:val="2"/>
                      <w:sz w:val="21"/>
                      <w:szCs w:val="21"/>
                      <w:u w:val="single" w:color="auto"/>
                    </w:rPr>
                    <w:t>该种危险物质Q值q</w:t>
                  </w:r>
                  <w:r>
                    <w:rPr>
                      <w:rFonts w:hint="default" w:ascii="Times New Roman" w:hAnsi="Times New Roman" w:eastAsia="宋体" w:cs="Times New Roman"/>
                      <w:b w:val="0"/>
                      <w:bCs w:val="0"/>
                      <w:color w:val="auto"/>
                      <w:kern w:val="2"/>
                      <w:sz w:val="21"/>
                      <w:szCs w:val="21"/>
                      <w:u w:val="single" w:color="auto"/>
                      <w:vertAlign w:val="subscript"/>
                    </w:rPr>
                    <w:t>n</w:t>
                  </w:r>
                  <w:r>
                    <w:rPr>
                      <w:rFonts w:hint="default" w:ascii="Times New Roman" w:hAnsi="Times New Roman" w:eastAsia="宋体" w:cs="Times New Roman"/>
                      <w:b w:val="0"/>
                      <w:bCs w:val="0"/>
                      <w:color w:val="auto"/>
                      <w:kern w:val="2"/>
                      <w:sz w:val="21"/>
                      <w:szCs w:val="21"/>
                      <w:u w:val="single" w:color="auto"/>
                    </w:rPr>
                    <w:t>/ Q</w:t>
                  </w:r>
                  <w:r>
                    <w:rPr>
                      <w:rFonts w:hint="default" w:ascii="Times New Roman" w:hAnsi="Times New Roman" w:eastAsia="宋体" w:cs="Times New Roman"/>
                      <w:b w:val="0"/>
                      <w:bCs w:val="0"/>
                      <w:color w:val="auto"/>
                      <w:kern w:val="2"/>
                      <w:sz w:val="21"/>
                      <w:szCs w:val="21"/>
                      <w:u w:val="single" w:color="auto"/>
                      <w:vertAlign w:val="subscript"/>
                    </w:rPr>
                    <w:t>n</w:t>
                  </w:r>
                </w:p>
              </w:tc>
            </w:tr>
            <w:tr w14:paraId="6140A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14:paraId="509131FB">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eastAsia="宋体" w:cs="Times New Roman"/>
                      <w:color w:val="auto"/>
                      <w:kern w:val="2"/>
                      <w:sz w:val="21"/>
                      <w:szCs w:val="21"/>
                      <w:u w:val="single" w:color="auto"/>
                      <w:lang w:eastAsia="zh-CN"/>
                    </w:rPr>
                    <w:t>医用酒精</w:t>
                  </w:r>
                </w:p>
              </w:tc>
              <w:tc>
                <w:tcPr>
                  <w:tcW w:w="1406" w:type="dxa"/>
                  <w:tcBorders>
                    <w:tl2br w:val="nil"/>
                    <w:tr2bl w:val="nil"/>
                  </w:tcBorders>
                  <w:noWrap w:val="0"/>
                  <w:vAlign w:val="center"/>
                </w:tcPr>
                <w:p w14:paraId="2F374B59">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w:t>
                  </w:r>
                  <w:r>
                    <w:rPr>
                      <w:rFonts w:hint="eastAsia" w:ascii="Times New Roman" w:cs="Times New Roman"/>
                      <w:color w:val="auto"/>
                      <w:sz w:val="21"/>
                      <w:szCs w:val="21"/>
                      <w:u w:val="single" w:color="auto"/>
                      <w:lang w:val="en-US" w:eastAsia="zh-CN"/>
                    </w:rPr>
                    <w:t>25t</w:t>
                  </w:r>
                </w:p>
              </w:tc>
              <w:tc>
                <w:tcPr>
                  <w:tcW w:w="1961" w:type="dxa"/>
                  <w:tcBorders>
                    <w:tl2br w:val="nil"/>
                    <w:tr2bl w:val="nil"/>
                  </w:tcBorders>
                  <w:noWrap w:val="0"/>
                  <w:vAlign w:val="center"/>
                </w:tcPr>
                <w:p w14:paraId="28797613">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500</w:t>
                  </w:r>
                  <w:r>
                    <w:rPr>
                      <w:rFonts w:hint="eastAsia" w:ascii="Times New Roman" w:cs="Times New Roman"/>
                      <w:color w:val="auto"/>
                      <w:sz w:val="21"/>
                      <w:szCs w:val="21"/>
                      <w:u w:val="single" w:color="auto"/>
                      <w:lang w:val="en-US" w:eastAsia="zh-CN"/>
                    </w:rPr>
                    <w:t>t</w:t>
                  </w:r>
                </w:p>
              </w:tc>
              <w:tc>
                <w:tcPr>
                  <w:tcW w:w="2327" w:type="dxa"/>
                  <w:tcBorders>
                    <w:tl2br w:val="nil"/>
                    <w:tr2bl w:val="nil"/>
                  </w:tcBorders>
                  <w:noWrap w:val="0"/>
                  <w:vAlign w:val="center"/>
                </w:tcPr>
                <w:p w14:paraId="514A2D0C">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0.00005</w:t>
                  </w:r>
                </w:p>
              </w:tc>
            </w:tr>
            <w:tr w14:paraId="29745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2082" w:type="dxa"/>
                  <w:tcBorders>
                    <w:tl2br w:val="nil"/>
                    <w:tr2bl w:val="nil"/>
                  </w:tcBorders>
                  <w:noWrap w:val="0"/>
                  <w:vAlign w:val="center"/>
                </w:tcPr>
                <w:p w14:paraId="6983AE71">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kern w:val="2"/>
                      <w:sz w:val="21"/>
                      <w:szCs w:val="21"/>
                      <w:u w:val="single" w:color="auto"/>
                      <w:lang w:eastAsia="zh-CN"/>
                    </w:rPr>
                  </w:pPr>
                  <w:r>
                    <w:rPr>
                      <w:rFonts w:hint="eastAsia" w:ascii="Times New Roman" w:hAnsi="Times New Roman" w:cs="Times New Roman"/>
                      <w:color w:val="auto"/>
                      <w:kern w:val="2"/>
                      <w:sz w:val="21"/>
                      <w:szCs w:val="21"/>
                      <w:u w:val="single" w:color="auto"/>
                      <w:lang w:val="en-US" w:eastAsia="zh-CN"/>
                    </w:rPr>
                    <w:t>84消毒液</w:t>
                  </w:r>
                </w:p>
              </w:tc>
              <w:tc>
                <w:tcPr>
                  <w:tcW w:w="1406" w:type="dxa"/>
                  <w:tcBorders>
                    <w:tl2br w:val="nil"/>
                    <w:tr2bl w:val="nil"/>
                  </w:tcBorders>
                  <w:noWrap w:val="0"/>
                  <w:vAlign w:val="center"/>
                </w:tcPr>
                <w:p w14:paraId="09134B7F">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2</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14:paraId="637FC5EA">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eastAsia"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5t</w:t>
                  </w:r>
                </w:p>
              </w:tc>
              <w:tc>
                <w:tcPr>
                  <w:tcW w:w="2327" w:type="dxa"/>
                  <w:tcBorders>
                    <w:tl2br w:val="nil"/>
                    <w:tr2bl w:val="nil"/>
                  </w:tcBorders>
                  <w:noWrap w:val="0"/>
                  <w:vAlign w:val="center"/>
                </w:tcPr>
                <w:p w14:paraId="494F548A">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0.04</w:t>
                  </w:r>
                </w:p>
              </w:tc>
            </w:tr>
            <w:tr w14:paraId="7F66B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082" w:type="dxa"/>
                  <w:tcBorders>
                    <w:tl2br w:val="nil"/>
                    <w:tr2bl w:val="nil"/>
                  </w:tcBorders>
                  <w:noWrap w:val="0"/>
                  <w:vAlign w:val="center"/>
                </w:tcPr>
                <w:p w14:paraId="6EE3897D">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kern w:val="2"/>
                      <w:sz w:val="21"/>
                      <w:szCs w:val="21"/>
                      <w:u w:val="single" w:color="auto"/>
                      <w:lang w:val="en-US" w:eastAsia="zh-CN"/>
                    </w:rPr>
                  </w:pPr>
                  <w:r>
                    <w:rPr>
                      <w:rFonts w:hint="eastAsia" w:ascii="Times New Roman" w:cs="Times New Roman"/>
                      <w:color w:val="auto"/>
                      <w:kern w:val="2"/>
                      <w:sz w:val="21"/>
                      <w:szCs w:val="21"/>
                      <w:u w:val="single" w:color="auto"/>
                      <w:lang w:val="en-US" w:eastAsia="zh-CN"/>
                    </w:rPr>
                    <w:t>医疗废物</w:t>
                  </w:r>
                </w:p>
              </w:tc>
              <w:tc>
                <w:tcPr>
                  <w:tcW w:w="1406" w:type="dxa"/>
                  <w:tcBorders>
                    <w:tl2br w:val="nil"/>
                    <w:tr2bl w:val="nil"/>
                  </w:tcBorders>
                  <w:noWrap w:val="0"/>
                  <w:vAlign w:val="center"/>
                </w:tcPr>
                <w:p w14:paraId="17AABE82">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3.335</w:t>
                  </w:r>
                  <w:r>
                    <w:rPr>
                      <w:rFonts w:hint="eastAsia" w:ascii="Times New Roman" w:hAnsi="Times New Roman" w:eastAsia="宋体" w:cs="Times New Roman"/>
                      <w:color w:val="auto"/>
                      <w:sz w:val="21"/>
                      <w:szCs w:val="21"/>
                      <w:u w:val="single" w:color="auto"/>
                      <w:lang w:val="en-US" w:eastAsia="zh-CN"/>
                    </w:rPr>
                    <w:t>t</w:t>
                  </w:r>
                </w:p>
              </w:tc>
              <w:tc>
                <w:tcPr>
                  <w:tcW w:w="1961" w:type="dxa"/>
                  <w:tcBorders>
                    <w:tl2br w:val="nil"/>
                    <w:tr2bl w:val="nil"/>
                  </w:tcBorders>
                  <w:noWrap w:val="0"/>
                  <w:vAlign w:val="center"/>
                </w:tcPr>
                <w:p w14:paraId="11FE374A">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cs="Times New Roman"/>
                      <w:color w:val="auto"/>
                      <w:sz w:val="21"/>
                      <w:szCs w:val="21"/>
                      <w:u w:val="single" w:color="auto"/>
                      <w:lang w:val="en-US" w:eastAsia="zh-CN"/>
                    </w:rPr>
                    <w:t>50</w:t>
                  </w:r>
                  <w:r>
                    <w:rPr>
                      <w:rFonts w:hint="eastAsia" w:ascii="Times New Roman" w:hAnsi="Times New Roman" w:eastAsia="宋体" w:cs="Times New Roman"/>
                      <w:color w:val="auto"/>
                      <w:sz w:val="21"/>
                      <w:szCs w:val="21"/>
                      <w:u w:val="single" w:color="auto"/>
                      <w:lang w:val="en-US" w:eastAsia="zh-CN"/>
                    </w:rPr>
                    <w:t>t</w:t>
                  </w:r>
                </w:p>
              </w:tc>
              <w:tc>
                <w:tcPr>
                  <w:tcW w:w="2327" w:type="dxa"/>
                  <w:tcBorders>
                    <w:tl2br w:val="nil"/>
                    <w:tr2bl w:val="nil"/>
                  </w:tcBorders>
                  <w:noWrap w:val="0"/>
                  <w:vAlign w:val="center"/>
                </w:tcPr>
                <w:p w14:paraId="581B4B12">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lang w:val="en-US" w:eastAsia="zh-CN"/>
                    </w:rPr>
                  </w:pPr>
                  <w:r>
                    <w:rPr>
                      <w:rFonts w:hint="eastAsia" w:ascii="Times New Roman" w:hAnsi="Times New Roman" w:eastAsia="宋体" w:cs="Times New Roman"/>
                      <w:color w:val="auto"/>
                      <w:sz w:val="21"/>
                      <w:szCs w:val="21"/>
                      <w:u w:val="single" w:color="auto"/>
                      <w:lang w:val="en-US" w:eastAsia="zh-CN"/>
                    </w:rPr>
                    <w:t>0.0667</w:t>
                  </w:r>
                </w:p>
              </w:tc>
            </w:tr>
            <w:tr w14:paraId="3694DE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5449" w:type="dxa"/>
                  <w:gridSpan w:val="3"/>
                  <w:tcBorders>
                    <w:tl2br w:val="nil"/>
                    <w:tr2bl w:val="nil"/>
                  </w:tcBorders>
                  <w:noWrap w:val="0"/>
                  <w:vAlign w:val="center"/>
                </w:tcPr>
                <w:p w14:paraId="22E85AD3">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项目Q值∑</w:t>
                  </w:r>
                </w:p>
              </w:tc>
              <w:tc>
                <w:tcPr>
                  <w:tcW w:w="2327" w:type="dxa"/>
                  <w:tcBorders>
                    <w:tl2br w:val="nil"/>
                    <w:tr2bl w:val="nil"/>
                  </w:tcBorders>
                  <w:noWrap w:val="0"/>
                  <w:vAlign w:val="center"/>
                </w:tcPr>
                <w:p w14:paraId="3A5CEE8E">
                  <w:pPr>
                    <w:pStyle w:val="29"/>
                    <w:keepNext w:val="0"/>
                    <w:keepLines w:val="0"/>
                    <w:pageBreakBefore w:val="0"/>
                    <w:widowControl w:val="0"/>
                    <w:kinsoku/>
                    <w:wordWrap/>
                    <w:topLinePunct w:val="0"/>
                    <w:autoSpaceDE w:val="0"/>
                    <w:autoSpaceDN w:val="0"/>
                    <w:bidi w:val="0"/>
                    <w:adjustRightInd w:val="0"/>
                    <w:spacing w:line="240" w:lineRule="auto"/>
                    <w:ind w:firstLine="0" w:firstLineChars="0"/>
                    <w:jc w:val="center"/>
                    <w:textAlignment w:val="auto"/>
                    <w:rPr>
                      <w:rFonts w:hint="default" w:ascii="Times New Roman" w:hAnsi="Times New Roman" w:eastAsia="宋体" w:cs="Times New Roman"/>
                      <w:color w:val="auto"/>
                      <w:sz w:val="21"/>
                      <w:szCs w:val="21"/>
                      <w:u w:val="single" w:color="auto"/>
                    </w:rPr>
                  </w:pPr>
                  <w:r>
                    <w:rPr>
                      <w:rFonts w:hint="default" w:ascii="Times New Roman" w:hAnsi="Times New Roman" w:eastAsia="宋体" w:cs="Times New Roman"/>
                      <w:color w:val="auto"/>
                      <w:sz w:val="21"/>
                      <w:szCs w:val="21"/>
                      <w:u w:val="single" w:color="auto"/>
                    </w:rPr>
                    <w:t>Q</w:t>
                  </w:r>
                  <w:r>
                    <w:rPr>
                      <w:rFonts w:hint="default" w:ascii="Times New Roman" w:hAnsi="Times New Roman" w:eastAsia="宋体" w:cs="Times New Roman"/>
                      <w:color w:val="auto"/>
                      <w:sz w:val="21"/>
                      <w:szCs w:val="21"/>
                      <w:u w:val="single" w:color="auto"/>
                      <w:lang w:val="en-US" w:eastAsia="zh-CN"/>
                    </w:rPr>
                    <w:t>=</w:t>
                  </w:r>
                  <w:r>
                    <w:rPr>
                      <w:rFonts w:hint="eastAsia" w:ascii="Times New Roman" w:hAnsi="Times New Roman" w:eastAsia="宋体" w:cs="Times New Roman"/>
                      <w:color w:val="auto"/>
                      <w:sz w:val="21"/>
                      <w:szCs w:val="21"/>
                      <w:u w:val="single" w:color="auto"/>
                      <w:lang w:val="en-US" w:eastAsia="zh-CN"/>
                    </w:rPr>
                    <w:t>0.</w:t>
                  </w:r>
                  <w:r>
                    <w:rPr>
                      <w:rFonts w:hint="eastAsia" w:ascii="Times New Roman" w:cs="Times New Roman"/>
                      <w:color w:val="auto"/>
                      <w:sz w:val="21"/>
                      <w:szCs w:val="21"/>
                      <w:u w:val="single" w:color="auto"/>
                      <w:lang w:val="en-US" w:eastAsia="zh-CN"/>
                    </w:rPr>
                    <w:t>10675</w:t>
                  </w:r>
                  <w:r>
                    <w:rPr>
                      <w:rFonts w:hint="default" w:ascii="Times New Roman" w:hAnsi="Times New Roman" w:eastAsia="宋体" w:cs="Times New Roman"/>
                      <w:color w:val="auto"/>
                      <w:sz w:val="21"/>
                      <w:szCs w:val="21"/>
                      <w:u w:val="single" w:color="auto"/>
                    </w:rPr>
                    <w:t>&lt;1</w:t>
                  </w:r>
                </w:p>
              </w:tc>
            </w:tr>
          </w:tbl>
          <w:p w14:paraId="7827B1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4"/>
                <w:szCs w:val="24"/>
                <w:u w:val="single" w:color="auto"/>
                <w:lang w:val="en-US" w:eastAsia="zh-CN"/>
              </w:rPr>
            </w:pPr>
            <w:r>
              <w:rPr>
                <w:rFonts w:hint="eastAsia" w:cs="Times New Roman"/>
                <w:color w:val="000000" w:themeColor="text1"/>
                <w:kern w:val="0"/>
                <w:sz w:val="24"/>
                <w:szCs w:val="20"/>
                <w:u w:val="single" w:color="auto"/>
                <w:lang w:val="en-US" w:eastAsia="zh-CN"/>
                <w14:textFill>
                  <w14:solidFill>
                    <w14:schemeClr w14:val="tx1"/>
                  </w14:solidFill>
                </w14:textFill>
              </w:rPr>
              <w:t xml:space="preserve"> </w:t>
            </w:r>
            <w:r>
              <w:rPr>
                <w:rFonts w:hint="default" w:ascii="Times New Roman" w:hAnsi="Times New Roman" w:eastAsia="宋体" w:cs="Times New Roman"/>
                <w:bCs/>
                <w:caps w:val="0"/>
                <w:color w:val="auto"/>
                <w:spacing w:val="0"/>
                <w:sz w:val="24"/>
                <w:szCs w:val="24"/>
                <w:highlight w:val="none"/>
                <w:u w:val="single" w:color="auto"/>
                <w:lang w:val="en-US" w:eastAsia="zh-CN"/>
              </w:rPr>
              <w:t>从上表可以看出，本项目涉及多种危险物质，按各危险物质的总量与其临界量的比值之和计量Q，总Q值为</w:t>
            </w:r>
            <w:r>
              <w:rPr>
                <w:rFonts w:hint="eastAsia"/>
                <w:bCs/>
                <w:color w:val="auto"/>
                <w:highlight w:val="none"/>
                <w:u w:val="single" w:color="auto"/>
              </w:rPr>
              <w:t>0.</w:t>
            </w:r>
            <w:r>
              <w:rPr>
                <w:rFonts w:hint="eastAsia"/>
                <w:bCs/>
                <w:color w:val="auto"/>
                <w:highlight w:val="none"/>
                <w:u w:val="single" w:color="auto"/>
                <w:lang w:val="en-US" w:eastAsia="zh-CN"/>
              </w:rPr>
              <w:t>10675</w:t>
            </w:r>
            <w:r>
              <w:rPr>
                <w:rFonts w:hint="default" w:ascii="Times New Roman" w:hAnsi="Times New Roman" w:eastAsia="宋体" w:cs="Times New Roman"/>
                <w:bCs/>
                <w:caps w:val="0"/>
                <w:color w:val="auto"/>
                <w:spacing w:val="0"/>
                <w:sz w:val="24"/>
                <w:szCs w:val="24"/>
                <w:highlight w:val="none"/>
                <w:u w:val="single" w:color="auto"/>
                <w:lang w:val="en-US" w:eastAsia="zh-CN"/>
              </w:rPr>
              <w:t>&lt;1，且各危险物质储存区均不属于重大危险源。</w:t>
            </w:r>
          </w:p>
          <w:p w14:paraId="3C5FA2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2、</w:t>
            </w:r>
            <w:r>
              <w:rPr>
                <w:rFonts w:hint="default" w:ascii="Times New Roman" w:hAnsi="Times New Roman" w:eastAsia="宋体" w:cs="Times New Roman"/>
                <w:color w:val="auto"/>
                <w:sz w:val="24"/>
                <w:szCs w:val="24"/>
                <w:u w:val="single" w:color="auto"/>
                <w:lang w:val="en-US" w:eastAsia="zh-CN"/>
              </w:rPr>
              <w:t>环境风险潜势划分</w:t>
            </w:r>
          </w:p>
          <w:p w14:paraId="4D725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 169-2018）中的附录C，当危险物质数量与临界量比值Q＜1时，该项目环境风险潜势为I。因此，直接判定本项目环境风险潜势为I。</w:t>
            </w:r>
          </w:p>
          <w:p w14:paraId="0209F1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Times New Roman" w:hAnsi="Times New Roman" w:eastAsia="宋体" w:cs="Times New Roman"/>
                <w:color w:val="auto"/>
                <w:sz w:val="24"/>
                <w:szCs w:val="24"/>
                <w:u w:val="single" w:color="auto"/>
                <w:lang w:val="en-US"/>
              </w:rPr>
            </w:pPr>
            <w:r>
              <w:rPr>
                <w:rFonts w:hint="eastAsia" w:cs="Times New Roman"/>
                <w:color w:val="auto"/>
                <w:sz w:val="24"/>
                <w:szCs w:val="24"/>
                <w:u w:val="single" w:color="auto"/>
                <w:lang w:val="en-US" w:eastAsia="zh-CN"/>
              </w:rPr>
              <w:t>3、</w:t>
            </w:r>
            <w:r>
              <w:rPr>
                <w:rFonts w:hint="default" w:ascii="Times New Roman" w:hAnsi="Times New Roman" w:eastAsia="宋体" w:cs="Times New Roman"/>
                <w:color w:val="auto"/>
                <w:sz w:val="24"/>
                <w:szCs w:val="24"/>
                <w:u w:val="single" w:color="auto"/>
                <w:lang w:val="en-US" w:eastAsia="zh-CN"/>
              </w:rPr>
              <w:t>评价工作等级</w:t>
            </w:r>
          </w:p>
          <w:p w14:paraId="544F17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u w:val="single" w:color="auto"/>
                <w:lang w:val="en-US" w:eastAsia="zh-CN"/>
              </w:rPr>
            </w:pPr>
            <w:r>
              <w:rPr>
                <w:rFonts w:hint="default" w:ascii="Times New Roman" w:hAnsi="Times New Roman" w:eastAsia="宋体" w:cs="Times New Roman"/>
                <w:color w:val="auto"/>
                <w:sz w:val="24"/>
                <w:szCs w:val="24"/>
                <w:u w:val="single" w:color="auto"/>
                <w:lang w:val="en-US" w:eastAsia="zh-CN"/>
              </w:rPr>
              <w:t>根据《建设项目环境风险评价技术导则》（HJ/T169-2018）规定，风险评价级别划分根据项目涉及的物质及工艺系统危险性和所在地的环境敏感性确定环境风险潜势，再根据等级划分表确定评价工作等级。当风险潜势为I时，可开展简单分析。</w:t>
            </w:r>
          </w:p>
          <w:p w14:paraId="3E9DAD89">
            <w:pPr>
              <w:keepNext w:val="0"/>
              <w:keepLines w:val="0"/>
              <w:pageBreakBefore w:val="0"/>
              <w:widowControl w:val="0"/>
              <w:kinsoku/>
              <w:wordWrap/>
              <w:overflowPunct/>
              <w:topLinePunct w:val="0"/>
              <w:autoSpaceDE/>
              <w:autoSpaceDN/>
              <w:bidi w:val="0"/>
              <w:spacing w:line="360" w:lineRule="auto"/>
              <w:ind w:leftChars="0" w:firstLine="480" w:firstLineChars="200"/>
              <w:textAlignment w:val="auto"/>
              <w:rPr>
                <w:rFonts w:hint="default"/>
                <w:b/>
                <w:bCs/>
                <w:sz w:val="21"/>
                <w:szCs w:val="21"/>
                <w:u w:val="single" w:color="auto"/>
                <w:lang w:val="en-US" w:eastAsia="zh-CN"/>
              </w:rPr>
            </w:pPr>
            <w:r>
              <w:rPr>
                <w:rFonts w:hint="default" w:ascii="Times New Roman" w:hAnsi="Times New Roman" w:eastAsia="宋体" w:cs="Times New Roman"/>
                <w:color w:val="auto"/>
                <w:sz w:val="24"/>
                <w:szCs w:val="24"/>
                <w:u w:val="single" w:color="auto"/>
                <w:lang w:val="en-US" w:eastAsia="zh-CN"/>
              </w:rPr>
              <w:t>导则明确，简单分析是相对于详细评价工作内容而言，在描述危险物质、环境影响途径、环境危害后果、风险防范措施等方面给出定性说明即可。</w:t>
            </w:r>
          </w:p>
          <w:p w14:paraId="48CCB3F7">
            <w:pPr>
              <w:numPr>
                <w:ilvl w:val="0"/>
                <w:numId w:val="0"/>
              </w:numPr>
              <w:spacing w:line="240" w:lineRule="auto"/>
              <w:jc w:val="center"/>
              <w:rPr>
                <w:rFonts w:hint="default"/>
                <w:b/>
                <w:bCs/>
                <w:sz w:val="21"/>
                <w:szCs w:val="21"/>
                <w:u w:val="single" w:color="auto"/>
                <w:lang w:val="en-US" w:eastAsia="zh-CN"/>
              </w:rPr>
            </w:pPr>
            <w:r>
              <w:rPr>
                <w:rFonts w:hint="default"/>
                <w:b/>
                <w:bCs/>
                <w:sz w:val="21"/>
                <w:szCs w:val="21"/>
                <w:u w:val="single" w:color="auto"/>
                <w:lang w:val="en-US" w:eastAsia="zh-CN"/>
              </w:rPr>
              <w:t>表4-1</w:t>
            </w:r>
            <w:r>
              <w:rPr>
                <w:rFonts w:hint="eastAsia"/>
                <w:b/>
                <w:bCs/>
                <w:sz w:val="21"/>
                <w:szCs w:val="21"/>
                <w:u w:val="single" w:color="auto"/>
                <w:lang w:val="en-US" w:eastAsia="zh-CN"/>
              </w:rPr>
              <w:t>6</w:t>
            </w:r>
            <w:r>
              <w:rPr>
                <w:rFonts w:hint="default"/>
                <w:b/>
                <w:bCs/>
                <w:sz w:val="21"/>
                <w:szCs w:val="21"/>
                <w:u w:val="single" w:color="auto"/>
                <w:lang w:val="en-US" w:eastAsia="zh-CN"/>
              </w:rPr>
              <w:t xml:space="preserve"> 建设项目环境风险分析内容表</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734"/>
              <w:gridCol w:w="2346"/>
              <w:gridCol w:w="735"/>
              <w:gridCol w:w="2368"/>
            </w:tblGrid>
            <w:tr w14:paraId="2DBE6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5AD62256">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建设项目名称</w:t>
                  </w:r>
                </w:p>
              </w:tc>
              <w:tc>
                <w:tcPr>
                  <w:tcW w:w="5929" w:type="dxa"/>
                  <w:gridSpan w:val="4"/>
                  <w:tcBorders>
                    <w:tl2br w:val="nil"/>
                    <w:tr2bl w:val="nil"/>
                  </w:tcBorders>
                  <w:noWrap w:val="0"/>
                  <w:vAlign w:val="center"/>
                </w:tcPr>
                <w:p w14:paraId="361AB977">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rFonts w:hint="eastAsia"/>
                      <w:sz w:val="21"/>
                      <w:szCs w:val="21"/>
                      <w:u w:val="single" w:color="auto"/>
                      <w:lang w:eastAsia="zh-CN"/>
                    </w:rPr>
                    <w:t>新田县三井镇卫生院建设项目</w:t>
                  </w:r>
                </w:p>
              </w:tc>
            </w:tr>
            <w:tr w14:paraId="294B3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1A5FB014">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建设地点</w:t>
                  </w:r>
                </w:p>
              </w:tc>
              <w:tc>
                <w:tcPr>
                  <w:tcW w:w="5929" w:type="dxa"/>
                  <w:gridSpan w:val="4"/>
                  <w:tcBorders>
                    <w:tl2br w:val="nil"/>
                    <w:tr2bl w:val="nil"/>
                  </w:tcBorders>
                  <w:noWrap w:val="0"/>
                  <w:vAlign w:val="center"/>
                </w:tcPr>
                <w:p w14:paraId="4CB32D2A">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rFonts w:hint="eastAsia"/>
                      <w:sz w:val="21"/>
                      <w:szCs w:val="21"/>
                      <w:u w:val="single" w:color="auto"/>
                      <w:lang w:val="en-US" w:eastAsia="zh-CN"/>
                    </w:rPr>
                    <w:t>永州市新田县三井镇三井村</w:t>
                  </w:r>
                </w:p>
              </w:tc>
            </w:tr>
            <w:tr w14:paraId="43D04F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066CAA72">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地理坐标</w:t>
                  </w:r>
                </w:p>
              </w:tc>
              <w:tc>
                <w:tcPr>
                  <w:tcW w:w="704" w:type="dxa"/>
                  <w:tcBorders>
                    <w:tl2br w:val="nil"/>
                    <w:tr2bl w:val="nil"/>
                  </w:tcBorders>
                  <w:noWrap w:val="0"/>
                  <w:vAlign w:val="center"/>
                </w:tcPr>
                <w:p w14:paraId="159CDC03">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经度</w:t>
                  </w:r>
                </w:p>
              </w:tc>
              <w:tc>
                <w:tcPr>
                  <w:tcW w:w="2250" w:type="dxa"/>
                  <w:tcBorders>
                    <w:tl2br w:val="nil"/>
                    <w:tr2bl w:val="nil"/>
                  </w:tcBorders>
                  <w:noWrap w:val="0"/>
                  <w:vAlign w:val="center"/>
                </w:tcPr>
                <w:p w14:paraId="473EDE49">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112°13'15.151"</w:t>
                  </w:r>
                </w:p>
              </w:tc>
              <w:tc>
                <w:tcPr>
                  <w:tcW w:w="705" w:type="dxa"/>
                  <w:tcBorders>
                    <w:tl2br w:val="nil"/>
                    <w:tr2bl w:val="nil"/>
                  </w:tcBorders>
                  <w:noWrap w:val="0"/>
                  <w:vAlign w:val="center"/>
                </w:tcPr>
                <w:p w14:paraId="73B533D7">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cs="Times New Roman"/>
                      <w:sz w:val="21"/>
                      <w:szCs w:val="21"/>
                      <w:u w:val="single" w:color="auto"/>
                    </w:rPr>
                  </w:pPr>
                  <w:r>
                    <w:rPr>
                      <w:rFonts w:hint="default" w:ascii="Times New Roman" w:hAnsi="Times New Roman" w:cs="Times New Roman"/>
                      <w:sz w:val="21"/>
                      <w:szCs w:val="21"/>
                      <w:u w:val="single" w:color="auto"/>
                    </w:rPr>
                    <w:t>纬度</w:t>
                  </w:r>
                </w:p>
              </w:tc>
              <w:tc>
                <w:tcPr>
                  <w:tcW w:w="2270" w:type="dxa"/>
                  <w:tcBorders>
                    <w:tl2br w:val="nil"/>
                    <w:tr2bl w:val="nil"/>
                  </w:tcBorders>
                  <w:noWrap w:val="0"/>
                  <w:vAlign w:val="center"/>
                </w:tcPr>
                <w:p w14:paraId="79191E0E">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center"/>
                    <w:textAlignment w:val="baseline"/>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auto"/>
                      <w:kern w:val="21"/>
                      <w:sz w:val="21"/>
                      <w:szCs w:val="21"/>
                      <w:u w:val="single" w:color="auto"/>
                      <w:lang w:val="en-US" w:eastAsia="zh-CN"/>
                    </w:rPr>
                    <w:t>25°47'30.069"</w:t>
                  </w:r>
                </w:p>
              </w:tc>
            </w:tr>
            <w:tr w14:paraId="61AE7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5B60986C">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主要危险物质</w:t>
                  </w:r>
                  <w:r>
                    <w:rPr>
                      <w:rFonts w:hint="eastAsia"/>
                      <w:sz w:val="21"/>
                      <w:szCs w:val="21"/>
                      <w:u w:val="single" w:color="auto"/>
                    </w:rPr>
                    <w:t>及分布</w:t>
                  </w:r>
                </w:p>
              </w:tc>
              <w:tc>
                <w:tcPr>
                  <w:tcW w:w="5929" w:type="dxa"/>
                  <w:gridSpan w:val="4"/>
                  <w:tcBorders>
                    <w:tl2br w:val="nil"/>
                    <w:tr2bl w:val="nil"/>
                  </w:tcBorders>
                  <w:noWrap w:val="0"/>
                  <w:vAlign w:val="center"/>
                </w:tcPr>
                <w:p w14:paraId="74CE2741">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rFonts w:hint="eastAsia" w:eastAsia="宋体"/>
                      <w:sz w:val="21"/>
                      <w:szCs w:val="21"/>
                      <w:u w:val="single" w:color="auto"/>
                      <w:lang w:eastAsia="zh-CN"/>
                    </w:rPr>
                  </w:pPr>
                  <w:r>
                    <w:rPr>
                      <w:sz w:val="21"/>
                      <w:szCs w:val="21"/>
                      <w:u w:val="single" w:color="auto"/>
                    </w:rPr>
                    <w:t>项目主要危险物质为</w:t>
                  </w:r>
                  <w:r>
                    <w:rPr>
                      <w:rFonts w:hint="eastAsia"/>
                      <w:sz w:val="21"/>
                      <w:szCs w:val="21"/>
                      <w:u w:val="single" w:color="auto"/>
                    </w:rPr>
                    <w:t>酒精</w:t>
                  </w:r>
                  <w:r>
                    <w:rPr>
                      <w:rFonts w:hint="eastAsia"/>
                      <w:sz w:val="21"/>
                      <w:szCs w:val="21"/>
                      <w:u w:val="single" w:color="auto"/>
                      <w:lang w:eastAsia="zh-CN"/>
                    </w:rPr>
                    <w:t>、</w:t>
                  </w:r>
                  <w:r>
                    <w:rPr>
                      <w:rFonts w:hint="eastAsia" w:ascii="Times New Roman" w:hAnsi="Times New Roman" w:eastAsia="宋体" w:cs="Times New Roman"/>
                      <w:sz w:val="21"/>
                      <w:szCs w:val="21"/>
                      <w:u w:val="single" w:color="auto"/>
                      <w:lang w:val="en-US" w:eastAsia="zh-CN"/>
                    </w:rPr>
                    <w:t>84消毒液</w:t>
                  </w:r>
                  <w:r>
                    <w:rPr>
                      <w:rFonts w:hint="eastAsia" w:ascii="Times New Roman" w:hAnsi="Times New Roman" w:eastAsia="宋体" w:cs="Times New Roman"/>
                      <w:sz w:val="21"/>
                      <w:szCs w:val="21"/>
                      <w:u w:val="single" w:color="auto"/>
                      <w:lang w:eastAsia="zh-CN"/>
                    </w:rPr>
                    <w:t>、</w:t>
                  </w:r>
                  <w:r>
                    <w:rPr>
                      <w:rFonts w:hint="eastAsia" w:ascii="Times New Roman" w:hAnsi="Times New Roman" w:eastAsia="宋体" w:cs="Times New Roman"/>
                      <w:sz w:val="21"/>
                      <w:szCs w:val="21"/>
                      <w:u w:val="single" w:color="auto"/>
                    </w:rPr>
                    <w:t>医疗废物、污泥、检验废液等危险废物</w:t>
                  </w:r>
                  <w:r>
                    <w:rPr>
                      <w:rFonts w:hint="eastAsia" w:ascii="Times New Roman" w:hAnsi="Times New Roman" w:eastAsia="宋体" w:cs="Times New Roman"/>
                      <w:sz w:val="21"/>
                      <w:szCs w:val="21"/>
                      <w:u w:val="single" w:color="auto"/>
                      <w:lang w:eastAsia="zh-CN"/>
                    </w:rPr>
                    <w:t>；</w:t>
                  </w:r>
                  <w:r>
                    <w:rPr>
                      <w:rFonts w:hint="eastAsia" w:ascii="Times New Roman" w:hAnsi="Times New Roman" w:eastAsia="宋体" w:cs="Times New Roman"/>
                      <w:sz w:val="21"/>
                      <w:szCs w:val="21"/>
                      <w:u w:val="single" w:color="auto"/>
                    </w:rPr>
                    <w:t>分别贮存于</w:t>
                  </w:r>
                  <w:r>
                    <w:rPr>
                      <w:rFonts w:hint="eastAsia" w:ascii="Times New Roman" w:hAnsi="Times New Roman" w:eastAsia="宋体" w:cs="Times New Roman"/>
                      <w:sz w:val="21"/>
                      <w:szCs w:val="21"/>
                      <w:u w:val="single" w:color="auto"/>
                      <w:lang w:val="en-US" w:eastAsia="zh-CN"/>
                    </w:rPr>
                    <w:t>院区</w:t>
                  </w:r>
                  <w:r>
                    <w:rPr>
                      <w:rFonts w:hint="eastAsia" w:ascii="Times New Roman" w:hAnsi="Times New Roman" w:eastAsia="宋体" w:cs="Times New Roman"/>
                      <w:sz w:val="21"/>
                      <w:szCs w:val="21"/>
                      <w:u w:val="single" w:color="auto"/>
                    </w:rPr>
                    <w:t>现有危</w:t>
                  </w:r>
                  <w:r>
                    <w:rPr>
                      <w:rFonts w:hint="eastAsia"/>
                      <w:sz w:val="21"/>
                      <w:szCs w:val="21"/>
                      <w:u w:val="single" w:color="auto"/>
                    </w:rPr>
                    <w:t>废暂存间</w:t>
                  </w:r>
                  <w:r>
                    <w:rPr>
                      <w:rFonts w:hint="eastAsia"/>
                      <w:sz w:val="21"/>
                      <w:szCs w:val="21"/>
                      <w:u w:val="single" w:color="auto"/>
                      <w:lang w:eastAsia="zh-CN"/>
                    </w:rPr>
                    <w:t>、</w:t>
                  </w:r>
                  <w:r>
                    <w:rPr>
                      <w:rFonts w:hint="eastAsia"/>
                      <w:sz w:val="21"/>
                      <w:szCs w:val="21"/>
                      <w:u w:val="single" w:color="auto"/>
                      <w:lang w:val="en-US" w:eastAsia="zh-CN"/>
                    </w:rPr>
                    <w:t>药品库房</w:t>
                  </w:r>
                  <w:r>
                    <w:rPr>
                      <w:rFonts w:hint="eastAsia"/>
                      <w:sz w:val="21"/>
                      <w:szCs w:val="21"/>
                      <w:u w:val="single" w:color="auto"/>
                      <w:lang w:eastAsia="zh-CN"/>
                    </w:rPr>
                    <w:t>。</w:t>
                  </w:r>
                </w:p>
              </w:tc>
            </w:tr>
            <w:tr w14:paraId="19F022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0668C6BA">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环境影响途径及危害后果</w:t>
                  </w:r>
                </w:p>
              </w:tc>
              <w:tc>
                <w:tcPr>
                  <w:tcW w:w="5929" w:type="dxa"/>
                  <w:gridSpan w:val="4"/>
                  <w:tcBorders>
                    <w:tl2br w:val="nil"/>
                    <w:tr2bl w:val="nil"/>
                  </w:tcBorders>
                  <w:noWrap w:val="0"/>
                  <w:vAlign w:val="center"/>
                </w:tcPr>
                <w:p w14:paraId="6E334E74">
                  <w:pPr>
                    <w:pStyle w:val="42"/>
                    <w:keepNext w:val="0"/>
                    <w:keepLines w:val="0"/>
                    <w:pageBreakBefore w:val="0"/>
                    <w:widowControl/>
                    <w:numPr>
                      <w:ilvl w:val="0"/>
                      <w:numId w:val="0"/>
                    </w:numPr>
                    <w:kinsoku/>
                    <w:wordWrap/>
                    <w:overflowPunct w:val="0"/>
                    <w:topLinePunct w:val="0"/>
                    <w:autoSpaceDE w:val="0"/>
                    <w:autoSpaceDN w:val="0"/>
                    <w:bidi w:val="0"/>
                    <w:adjustRightInd w:val="0"/>
                    <w:snapToGrid w:val="0"/>
                    <w:spacing w:before="0" w:beforeLines="0" w:after="0" w:line="240" w:lineRule="auto"/>
                    <w:ind w:right="0" w:rightChars="0" w:firstLine="0" w:firstLineChars="0"/>
                    <w:jc w:val="both"/>
                    <w:textAlignment w:val="baseline"/>
                    <w:rPr>
                      <w:rFonts w:hint="eastAsia" w:ascii="Times New Roman" w:hAnsi="Times New Roman" w:eastAsia="宋体" w:cs="Times New Roman"/>
                      <w:color w:val="auto"/>
                      <w:sz w:val="21"/>
                      <w:szCs w:val="21"/>
                      <w:u w:val="single" w:color="auto"/>
                      <w:vertAlign w:val="baseline"/>
                      <w:lang w:val="en-US" w:eastAsia="zh-CN"/>
                    </w:rPr>
                  </w:pPr>
                  <w:r>
                    <w:rPr>
                      <w:rFonts w:hint="eastAsia" w:ascii="Times New Roman" w:hAnsi="Times New Roman" w:eastAsia="宋体" w:cs="Times New Roman"/>
                      <w:color w:val="auto"/>
                      <w:kern w:val="0"/>
                      <w:sz w:val="21"/>
                      <w:szCs w:val="21"/>
                      <w:u w:val="single" w:color="auto"/>
                      <w:vertAlign w:val="baseline"/>
                      <w:lang w:val="en-US" w:eastAsia="zh-CN" w:bidi="ar-SA"/>
                    </w:rPr>
                    <w:t>（1）</w:t>
                  </w:r>
                  <w:r>
                    <w:rPr>
                      <w:rFonts w:hint="eastAsia"/>
                      <w:sz w:val="21"/>
                      <w:szCs w:val="21"/>
                      <w:u w:val="single" w:color="auto"/>
                      <w:lang w:val="en-US" w:eastAsia="zh-CN"/>
                    </w:rPr>
                    <w:t>药品</w:t>
                  </w:r>
                  <w:r>
                    <w:rPr>
                      <w:rFonts w:hint="default" w:ascii="Times New Roman" w:hAnsi="Times New Roman" w:eastAsia="宋体" w:cs="Times New Roman"/>
                      <w:color w:val="auto"/>
                      <w:sz w:val="21"/>
                      <w:szCs w:val="21"/>
                      <w:u w:val="single" w:color="auto"/>
                      <w:vertAlign w:val="baseline"/>
                      <w:lang w:val="en-US" w:eastAsia="zh-CN"/>
                    </w:rPr>
                    <w:t>包装</w:t>
                  </w:r>
                  <w:r>
                    <w:rPr>
                      <w:rFonts w:hint="eastAsia" w:ascii="Times New Roman" w:hAnsi="Times New Roman" w:eastAsia="宋体" w:cs="Times New Roman"/>
                      <w:color w:val="auto"/>
                      <w:sz w:val="21"/>
                      <w:szCs w:val="21"/>
                      <w:u w:val="single" w:color="auto"/>
                      <w:vertAlign w:val="baseline"/>
                      <w:lang w:val="en-US" w:eastAsia="zh-CN"/>
                    </w:rPr>
                    <w:t>容器破</w:t>
                  </w:r>
                  <w:r>
                    <w:rPr>
                      <w:rFonts w:hint="default" w:ascii="Times New Roman" w:hAnsi="Times New Roman" w:eastAsia="宋体" w:cs="Times New Roman"/>
                      <w:color w:val="auto"/>
                      <w:sz w:val="21"/>
                      <w:szCs w:val="21"/>
                      <w:u w:val="single" w:color="auto"/>
                      <w:vertAlign w:val="baseline"/>
                      <w:lang w:val="en-US" w:eastAsia="zh-CN"/>
                    </w:rPr>
                    <w:t>裂而发生泄漏，泄漏后</w:t>
                  </w:r>
                  <w:r>
                    <w:rPr>
                      <w:rFonts w:hint="eastAsia" w:ascii="Times New Roman" w:hAnsi="Times New Roman" w:eastAsia="宋体" w:cs="Times New Roman"/>
                      <w:color w:val="auto"/>
                      <w:sz w:val="21"/>
                      <w:szCs w:val="21"/>
                      <w:u w:val="single" w:color="auto"/>
                      <w:vertAlign w:val="baseline"/>
                      <w:lang w:val="en-US" w:eastAsia="zh-CN"/>
                    </w:rPr>
                    <w:t>，若流入外环境，造成水体环境污染；遇明火、高热源燃烧发生火灾爆炸事故，产生次生污染物，入外界环境，造成大气污染。</w:t>
                  </w:r>
                </w:p>
                <w:p w14:paraId="2135A9C6">
                  <w:pPr>
                    <w:keepNext w:val="0"/>
                    <w:keepLines w:val="0"/>
                    <w:pageBreakBefore w:val="0"/>
                    <w:numPr>
                      <w:ilvl w:val="0"/>
                      <w:numId w:val="0"/>
                    </w:numPr>
                    <w:kinsoku/>
                    <w:wordWrap/>
                    <w:topLinePunct w:val="0"/>
                    <w:bidi w:val="0"/>
                    <w:spacing w:line="240" w:lineRule="auto"/>
                    <w:rPr>
                      <w:rFonts w:hint="eastAsia"/>
                      <w:sz w:val="21"/>
                      <w:szCs w:val="21"/>
                      <w:u w:val="single" w:color="auto"/>
                    </w:rPr>
                  </w:pPr>
                  <w:r>
                    <w:rPr>
                      <w:rFonts w:hint="eastAsia" w:ascii="Times New Roman" w:hAnsi="Times New Roman" w:eastAsia="宋体" w:cs="Times New Roman"/>
                      <w:kern w:val="2"/>
                      <w:sz w:val="21"/>
                      <w:szCs w:val="21"/>
                      <w:u w:val="single" w:color="auto"/>
                      <w:lang w:val="en-US" w:eastAsia="zh-CN" w:bidi="ar-SA"/>
                    </w:rPr>
                    <w:t>（2）</w:t>
                  </w:r>
                  <w:r>
                    <w:rPr>
                      <w:rFonts w:hint="eastAsia"/>
                      <w:sz w:val="21"/>
                      <w:szCs w:val="21"/>
                      <w:u w:val="single" w:color="auto"/>
                    </w:rPr>
                    <w:t>包装容器破裂而发生泄漏，泄漏后，若流入外环境，造成水体环境污染。</w:t>
                  </w:r>
                </w:p>
                <w:p w14:paraId="32023B2B">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rFonts w:hint="eastAsia"/>
                      <w:sz w:val="21"/>
                      <w:szCs w:val="21"/>
                      <w:u w:val="single" w:color="auto"/>
                    </w:rPr>
                    <w:t>（</w:t>
                  </w:r>
                  <w:r>
                    <w:rPr>
                      <w:rFonts w:hint="eastAsia"/>
                      <w:sz w:val="21"/>
                      <w:szCs w:val="21"/>
                      <w:u w:val="single" w:color="auto"/>
                      <w:lang w:val="en-US" w:eastAsia="zh-CN"/>
                    </w:rPr>
                    <w:t>3</w:t>
                  </w:r>
                  <w:r>
                    <w:rPr>
                      <w:rFonts w:hint="eastAsia"/>
                      <w:sz w:val="21"/>
                      <w:szCs w:val="21"/>
                      <w:u w:val="single" w:color="auto"/>
                    </w:rPr>
                    <w:t>）医废及项目产生的其它危废贮存和转移过程若管理不当，可能进入外环境，在雨水淋滤作用下，淋滤液下渗也可能引起土壤污染。</w:t>
                  </w:r>
                </w:p>
              </w:tc>
            </w:tr>
            <w:tr w14:paraId="27A8F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tcBorders>
                    <w:tl2br w:val="nil"/>
                    <w:tr2bl w:val="nil"/>
                  </w:tcBorders>
                  <w:noWrap w:val="0"/>
                  <w:vAlign w:val="center"/>
                </w:tcPr>
                <w:p w14:paraId="589FE79B">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textAlignment w:val="baseline"/>
                    <w:rPr>
                      <w:sz w:val="21"/>
                      <w:szCs w:val="21"/>
                      <w:u w:val="single" w:color="auto"/>
                    </w:rPr>
                  </w:pPr>
                  <w:r>
                    <w:rPr>
                      <w:sz w:val="21"/>
                      <w:szCs w:val="21"/>
                      <w:u w:val="single" w:color="auto"/>
                    </w:rPr>
                    <w:t>风险防范措施要求</w:t>
                  </w:r>
                </w:p>
              </w:tc>
              <w:tc>
                <w:tcPr>
                  <w:tcW w:w="5929" w:type="dxa"/>
                  <w:gridSpan w:val="4"/>
                  <w:tcBorders>
                    <w:tl2br w:val="nil"/>
                    <w:tr2bl w:val="nil"/>
                  </w:tcBorders>
                  <w:noWrap w:val="0"/>
                  <w:vAlign w:val="center"/>
                </w:tcPr>
                <w:p w14:paraId="74214E79">
                  <w:pPr>
                    <w:keepNext w:val="0"/>
                    <w:keepLines w:val="0"/>
                    <w:pageBreakBefore w:val="0"/>
                    <w:kinsoku/>
                    <w:wordWrap/>
                    <w:topLinePunct w:val="0"/>
                    <w:bidi w:val="0"/>
                    <w:spacing w:line="240" w:lineRule="auto"/>
                    <w:rPr>
                      <w:rFonts w:hint="eastAsia"/>
                      <w:sz w:val="21"/>
                      <w:szCs w:val="21"/>
                      <w:u w:val="single" w:color="auto"/>
                    </w:rPr>
                  </w:pPr>
                  <w:r>
                    <w:rPr>
                      <w:rFonts w:hint="eastAsia"/>
                      <w:sz w:val="21"/>
                      <w:szCs w:val="21"/>
                      <w:u w:val="single" w:color="auto"/>
                    </w:rPr>
                    <w:t>①对液态风险物质暂存区进行防渗处理，设置托盘；</w:t>
                  </w:r>
                </w:p>
                <w:p w14:paraId="00F84153">
                  <w:pPr>
                    <w:keepNext w:val="0"/>
                    <w:keepLines w:val="0"/>
                    <w:pageBreakBefore w:val="0"/>
                    <w:kinsoku/>
                    <w:wordWrap/>
                    <w:topLinePunct w:val="0"/>
                    <w:bidi w:val="0"/>
                    <w:spacing w:line="240" w:lineRule="auto"/>
                    <w:rPr>
                      <w:rFonts w:hint="eastAsia" w:eastAsia="宋体"/>
                      <w:sz w:val="21"/>
                      <w:szCs w:val="21"/>
                      <w:u w:val="single" w:color="auto"/>
                      <w:lang w:eastAsia="zh-CN"/>
                    </w:rPr>
                  </w:pPr>
                  <w:r>
                    <w:rPr>
                      <w:rFonts w:hint="eastAsia"/>
                      <w:sz w:val="21"/>
                      <w:szCs w:val="21"/>
                      <w:u w:val="single" w:color="auto"/>
                    </w:rPr>
                    <w:t>②在</w:t>
                  </w:r>
                  <w:r>
                    <w:rPr>
                      <w:rFonts w:hint="eastAsia"/>
                      <w:sz w:val="21"/>
                      <w:szCs w:val="21"/>
                      <w:u w:val="single" w:color="auto"/>
                      <w:lang w:val="en-US" w:eastAsia="zh-CN"/>
                    </w:rPr>
                    <w:t>院区</w:t>
                  </w:r>
                  <w:r>
                    <w:rPr>
                      <w:rFonts w:hint="eastAsia"/>
                      <w:sz w:val="21"/>
                      <w:szCs w:val="21"/>
                      <w:u w:val="single" w:color="auto"/>
                    </w:rPr>
                    <w:t>及项目进入口的明显位置张贴禁用明火的告示，</w:t>
                  </w:r>
                  <w:r>
                    <w:rPr>
                      <w:rFonts w:hint="eastAsia"/>
                      <w:sz w:val="21"/>
                      <w:szCs w:val="21"/>
                      <w:u w:val="single" w:color="auto"/>
                      <w:lang w:val="en-US" w:eastAsia="zh-CN"/>
                    </w:rPr>
                    <w:t>院区</w:t>
                  </w:r>
                  <w:r>
                    <w:rPr>
                      <w:rFonts w:hint="eastAsia"/>
                      <w:sz w:val="21"/>
                      <w:szCs w:val="21"/>
                      <w:u w:val="single" w:color="auto"/>
                    </w:rPr>
                    <w:t>内配置移动式泡沫灭火器</w:t>
                  </w:r>
                  <w:r>
                    <w:rPr>
                      <w:rFonts w:hint="eastAsia"/>
                      <w:sz w:val="21"/>
                      <w:szCs w:val="21"/>
                      <w:u w:val="single" w:color="auto"/>
                      <w:lang w:eastAsia="zh-CN"/>
                    </w:rPr>
                    <w:t>；</w:t>
                  </w:r>
                </w:p>
                <w:p w14:paraId="3A2D33F1">
                  <w:pPr>
                    <w:keepNext w:val="0"/>
                    <w:keepLines w:val="0"/>
                    <w:pageBreakBefore w:val="0"/>
                    <w:kinsoku/>
                    <w:wordWrap/>
                    <w:topLinePunct w:val="0"/>
                    <w:bidi w:val="0"/>
                    <w:spacing w:line="240" w:lineRule="auto"/>
                    <w:rPr>
                      <w:sz w:val="21"/>
                      <w:szCs w:val="21"/>
                      <w:u w:val="single" w:color="auto"/>
                    </w:rPr>
                  </w:pPr>
                  <w:r>
                    <w:rPr>
                      <w:rFonts w:hint="eastAsia"/>
                      <w:sz w:val="21"/>
                      <w:szCs w:val="21"/>
                      <w:u w:val="single" w:color="auto"/>
                    </w:rPr>
                    <w:t>③对医疗废水暂存间进行防渗处理，并在医疗废物暂存间内设置托盘，防止泄漏/散落</w:t>
                  </w:r>
                  <w:r>
                    <w:rPr>
                      <w:rFonts w:hint="eastAsia"/>
                      <w:sz w:val="21"/>
                      <w:szCs w:val="21"/>
                      <w:u w:val="single" w:color="auto"/>
                      <w:lang w:eastAsia="zh-CN"/>
                    </w:rPr>
                    <w:t>；</w:t>
                  </w:r>
                </w:p>
              </w:tc>
            </w:tr>
            <w:tr w14:paraId="6FA94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58" w:type="dxa"/>
                  <w:gridSpan w:val="5"/>
                  <w:tcBorders>
                    <w:tl2br w:val="nil"/>
                    <w:tr2bl w:val="nil"/>
                  </w:tcBorders>
                  <w:noWrap w:val="0"/>
                  <w:vAlign w:val="center"/>
                </w:tcPr>
                <w:p w14:paraId="3F2143DD">
                  <w:pPr>
                    <w:pStyle w:val="42"/>
                    <w:keepNext w:val="0"/>
                    <w:keepLines w:val="0"/>
                    <w:pageBreakBefore w:val="0"/>
                    <w:widowControl/>
                    <w:kinsoku/>
                    <w:wordWrap/>
                    <w:overflowPunct w:val="0"/>
                    <w:topLinePunct w:val="0"/>
                    <w:autoSpaceDE w:val="0"/>
                    <w:autoSpaceDN w:val="0"/>
                    <w:bidi w:val="0"/>
                    <w:adjustRightInd w:val="0"/>
                    <w:snapToGrid w:val="0"/>
                    <w:spacing w:before="0" w:beforeLines="0" w:after="0" w:line="240" w:lineRule="auto"/>
                    <w:ind w:right="0" w:firstLine="0" w:firstLineChars="0"/>
                    <w:jc w:val="both"/>
                    <w:textAlignment w:val="baseline"/>
                    <w:rPr>
                      <w:sz w:val="21"/>
                      <w:szCs w:val="21"/>
                      <w:u w:val="single" w:color="auto"/>
                    </w:rPr>
                  </w:pPr>
                  <w:r>
                    <w:rPr>
                      <w:sz w:val="21"/>
                      <w:szCs w:val="21"/>
                      <w:u w:val="single" w:color="auto"/>
                    </w:rPr>
                    <w:t>填表说明：</w:t>
                  </w:r>
                  <w:r>
                    <w:rPr>
                      <w:rFonts w:hint="eastAsia"/>
                      <w:sz w:val="21"/>
                      <w:szCs w:val="21"/>
                      <w:u w:val="single" w:color="auto"/>
                    </w:rPr>
                    <w:t>根据《建设项目环境风险评价技术导则》（HJ169-2018），本项目本项目Q＜1，不构成重大危险源，环境风险潜势为I，可展开简单分析。根据《建设项目环境风险评价技术导则》（HJ169-2018）附录A，对本项目进行环境风险分析，针对可能发生的风险采取了相应的防范措施及应急要求，在采取相应的防范措施及应急要求后，环境风险可以控制在可接受风险水平之内。</w:t>
                  </w:r>
                </w:p>
              </w:tc>
            </w:tr>
          </w:tbl>
          <w:p w14:paraId="4BEC684C">
            <w:pPr>
              <w:bidi w:val="0"/>
              <w:rPr>
                <w:rFonts w:hint="default"/>
                <w:u w:val="single" w:color="auto"/>
                <w:lang w:val="en-US" w:eastAsia="zh-CN"/>
              </w:rPr>
            </w:pPr>
            <w:r>
              <w:rPr>
                <w:rFonts w:hint="eastAsia" w:cs="Times New Roman"/>
                <w:color w:val="auto"/>
                <w:sz w:val="24"/>
                <w:szCs w:val="24"/>
                <w:u w:val="single" w:color="auto"/>
                <w:lang w:val="en-US" w:eastAsia="zh-CN"/>
              </w:rPr>
              <w:t xml:space="preserve">   4、</w:t>
            </w:r>
            <w:r>
              <w:rPr>
                <w:rFonts w:hint="eastAsia"/>
                <w:u w:val="single" w:color="auto"/>
                <w:lang w:val="en-US" w:eastAsia="zh-CN"/>
              </w:rPr>
              <w:t>风险防范措施</w:t>
            </w:r>
          </w:p>
          <w:p w14:paraId="605074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A 医疗废物贮存和运输泄漏事故防范措施</w:t>
            </w:r>
          </w:p>
          <w:p w14:paraId="02E5EB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项目应当根据《医疗废物分类目录》，对医疗废物实施分类管理，应当按照以下要求，及时分类收集医疗废物：</w:t>
            </w:r>
          </w:p>
          <w:p w14:paraId="11DA3B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①根据医疗废物的类别，将医疗废物分置于符合《医疗废物专用包装物、容器的标准和警示标识的规定》的包装物或者容器内；</w:t>
            </w:r>
          </w:p>
          <w:p w14:paraId="333CF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②在盛装医疗废物前，应当对医疗废物包装物或者容器进行认真检查，确保无破损、渗漏和其它缺陷；</w:t>
            </w:r>
          </w:p>
          <w:p w14:paraId="35530E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③感染性废物、病理性废物、损伤性废物、药物性废物及化学性废物不能混合收集。少量的药物性废物可以混入感染性废物，但应当在标签上注明；</w:t>
            </w:r>
          </w:p>
          <w:p w14:paraId="0C9BA4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④废弃的麻醉、精神、放射性、毒性等药品及其相关的废物的管理，依照有关法律、行政法规和国家有关规定、标准执行；</w:t>
            </w:r>
          </w:p>
          <w:p w14:paraId="5837E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⑤化学性废物中批量的废化学试剂、废消毒剂应当交由专门机构处置；</w:t>
            </w:r>
          </w:p>
          <w:p w14:paraId="289B2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⑥批量的含有汞的体温计、血压计等医疗器具报废时，应当交由专门机构处置；</w:t>
            </w:r>
          </w:p>
          <w:p w14:paraId="6D32A2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⑦医疗废物中病原体的培养基、标本和菌种、毒种保存液等高危险废物，应当首先在产生地点进行压力蒸汽灭菌或者化学消毒处理，然后按感染性废物收集处理。</w:t>
            </w:r>
          </w:p>
          <w:p w14:paraId="328C05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项目内医疗废物产生地点应当有医疗废物分类收集方法的示意图或者文字说明。</w:t>
            </w:r>
          </w:p>
          <w:p w14:paraId="1B0551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盛装的医疗废物达到包装物或者容器的3/4时，应当使用有效的封口方式，使包装物或者容器的封口紧实、严密。</w:t>
            </w:r>
          </w:p>
          <w:p w14:paraId="164F54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包装物或者容器的外表面被感染性废物污染时，应当对被污染处进行消毒处理或者增加一层包装。</w:t>
            </w:r>
          </w:p>
          <w:p w14:paraId="627EE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盛装医疗废物的每个包装物、容器外表面应当有警示标识，在每个包装物、容器上应当系中文标签，中文标签的内容应当包括：医疗废物产生单位、产生日期、类别及需要的特别说明等。</w:t>
            </w:r>
          </w:p>
          <w:p w14:paraId="279987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运送人员每天从医疗废物产生地点将分类包装的医疗废物按照规定的时间和路线运送至内部指定的暂时贮存地点。</w:t>
            </w:r>
          </w:p>
          <w:p w14:paraId="25457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14:paraId="172FD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14:paraId="60107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运送人员在运送医疗废物前，应当检查包装物或者容器的标识、标签及封口是否符合要求，不得将不符合要求的医疗废物运送至暂时贮存地点。</w:t>
            </w:r>
          </w:p>
          <w:p w14:paraId="73F9FF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运送人员在运送医疗废物时，应当防止造成包装物或容器破损和医疗废物的流失、泄漏和扩散，并防止医疗废物直接接触身体。</w:t>
            </w:r>
          </w:p>
          <w:p w14:paraId="41BE3F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运送医疗废物应当使用防渗漏、防遗撒、无锐利边角、易于装卸和清洁的专用运送工具。每天运送工作结束后，应当对运送工具及时进行清洁和消毒。</w:t>
            </w:r>
          </w:p>
          <w:p w14:paraId="455A3C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医院应当建立医疗废物暂时贮存设施、设备，不得露天存放医疗废物；医疗废物暂时贮存的时间不得超过 2 天。</w:t>
            </w:r>
          </w:p>
          <w:p w14:paraId="4560F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13</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建立的医疗废物暂时贮存设施、设备应当达到以下要求：医疗废物临时贮存间应按照《危险废物贮存污染控制标准》(GB18597-2023)的要求：地面与裙脚要用坚固、防渗的材料建造，建筑材料必须与危险废物不相容；必须有泄漏液体收集装置；不相容的危险废物必须分开存放，并设有隔离间隔断。用以存放装载液体、半固体危险废物容器的地方，必须有耐腐蚀的硬化地面，且表面无裂隙；贮存设施要防风、防雨、防晒；贮存设施都必须按规定设置警示标志。</w:t>
            </w:r>
          </w:p>
          <w:p w14:paraId="6DEDEE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14</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暂时贮存病理性废物，应当具备低温贮存或者防腐条件。</w:t>
            </w:r>
          </w:p>
          <w:p w14:paraId="15EB4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15</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医院应当将医疗废物交由取得县级以上人民政府环境保护行政主管部门许可的医疗废物集中处置单位处置，依照危险废物转移联单制度填写和保存转移联单。</w:t>
            </w:r>
          </w:p>
          <w:p w14:paraId="6832C7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16</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医院应当对医疗废物进行登记，登记内容应当包括医疗废物的来源、种类、重量或者数量、交接时间、最终去向以及经办人签名等项目。登记资料至少保存 3 年。</w:t>
            </w:r>
          </w:p>
          <w:p w14:paraId="6A85BE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17</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医疗废物转交出去后，应当对暂时贮存地点、设施及时进行清洁和消毒。</w:t>
            </w:r>
          </w:p>
          <w:p w14:paraId="07BC83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18</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禁止项目及其工作人员转让、买卖医疗废物。禁止在非收集、非暂时贮存地点倾倒、堆放医疗废物，禁止将医疗废物混入其它废物和生活垃圾。</w:t>
            </w:r>
          </w:p>
          <w:p w14:paraId="68A9D1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19</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医疗卫生机构发生医疗废物流失、泄漏、扩散和意外事故时，应当按照以下要求及时采取紧急处理措施：</w:t>
            </w:r>
          </w:p>
          <w:p w14:paraId="48E938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①确定流失、泄漏、扩散的医疗废物的类别、数量、发生时间、影响范围及严重程度；</w:t>
            </w:r>
          </w:p>
          <w:p w14:paraId="604592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②组织有关人员尽快按照应急方案，对发生医疗废物泄漏、扩散的现场进行处理；</w:t>
            </w:r>
          </w:p>
          <w:p w14:paraId="13B156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③对被医疗废物污染的区域进行处理时，应当尽可能减少对病人、医务人员、其它现场人员及环境的影响；</w:t>
            </w:r>
          </w:p>
          <w:p w14:paraId="26CBB6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④采取适当的安全处置措施，对泄漏物及受污染的区域、物品进行消毒或者其他无害化处置，必要时封锁污染区域，以防扩大污染；</w:t>
            </w:r>
          </w:p>
          <w:p w14:paraId="37154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⑤对感染性废物污染区域进行消毒时，消毒工作从污染最轻区域向污染最严重区域进行，对可能被污染的所有使用过的工具也应当进行消毒；</w:t>
            </w:r>
          </w:p>
          <w:p w14:paraId="731DB7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⑥工作人员应当做好卫生安全防护后进行工作。处理工作结束后，项目应当对事件的起因进行调查，并采取有效的防范措施预防类似事件的发生。</w:t>
            </w:r>
          </w:p>
          <w:p w14:paraId="30E307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20</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人员培训和职业安全防护</w:t>
            </w:r>
          </w:p>
          <w:p w14:paraId="6F0740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医院应当对本机构工作人员进行培训，提高全体工作人员对医疗废物管理工作的认识。对从事医疗废物分类收集、运送、暂时贮存、处置等工作的人员和管理人员，进行相关法律和专业技术、安全防护以及紧急处理等知识的培训。医疗废物相关工作人员和管理人员应当达到以下要求：</w:t>
            </w:r>
          </w:p>
          <w:p w14:paraId="1489D5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①掌握国家相关法律、法规、规章和有关规范性文件的规定，熟悉本机构制定的医疗废物管理的规章制度、工作流程和各项工作要求；</w:t>
            </w:r>
          </w:p>
          <w:p w14:paraId="1F26DD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②掌握医疗废物分类收集、运送、暂时贮存的正确方法和操作程序；</w:t>
            </w:r>
          </w:p>
          <w:p w14:paraId="049DE5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③掌握医疗废物分类中的安全知识、专业技术、职业卫生安全防护等知识；</w:t>
            </w:r>
          </w:p>
          <w:p w14:paraId="7C597B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④掌握在医疗废物分类收集、运送、暂时贮存及处置过程中预防被医疗废物刺伤、擦伤等伤害的措施及发生后的处理措施；</w:t>
            </w:r>
          </w:p>
          <w:p w14:paraId="20FB15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⑤掌握发生医疗废物流失、泄漏、扩散和意外事故情况时的紧急处理措施。</w:t>
            </w:r>
          </w:p>
          <w:p w14:paraId="1A9A9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21</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应根据接触医疗废物种类及风险大小的不同，采取适宜、有效的职业卫生防护措施，为机构内从事医疗废物分类收集、运送、暂时贮存和处置等工作和管理人员配备必要的防护用品，定期进行健康检查，防止其受到健康损害。</w:t>
            </w:r>
          </w:p>
          <w:p w14:paraId="7872BD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22</w:t>
            </w:r>
            <w:r>
              <w:rPr>
                <w:rFonts w:hint="eastAsia" w:cs="Times New Roman"/>
                <w:sz w:val="24"/>
                <w:szCs w:val="24"/>
                <w:u w:val="single" w:color="auto"/>
                <w:lang w:eastAsia="zh-CN"/>
              </w:rPr>
              <w:t>）</w:t>
            </w:r>
            <w:r>
              <w:rPr>
                <w:rFonts w:hint="default" w:ascii="Times New Roman" w:hAnsi="Times New Roman" w:eastAsia="宋体" w:cs="Times New Roman"/>
                <w:sz w:val="24"/>
                <w:szCs w:val="24"/>
                <w:u w:val="single" w:color="auto"/>
                <w:lang w:eastAsia="zh-CN"/>
              </w:rPr>
              <w:t>项目工作人员在工作中发生被医疗废物刺伤、擦伤等伤害时，应当采取相应的处理措施，并及时报告机构内的相关部门。</w:t>
            </w:r>
          </w:p>
          <w:p w14:paraId="1A6F1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sz w:val="24"/>
                <w:szCs w:val="24"/>
                <w:u w:val="single" w:color="auto"/>
                <w:lang w:eastAsia="zh-CN"/>
              </w:rPr>
              <w:t>B 废水非正常排放防范措施</w:t>
            </w:r>
          </w:p>
          <w:p w14:paraId="329271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default" w:ascii="Times New Roman" w:hAnsi="Times New Roman" w:eastAsia="宋体" w:cs="Times New Roman"/>
                <w:kern w:val="2"/>
                <w:sz w:val="24"/>
                <w:szCs w:val="24"/>
                <w:u w:val="single" w:color="auto"/>
                <w:lang w:val="en-US" w:eastAsia="zh-CN" w:bidi="ar-SA"/>
              </w:rPr>
              <w:t>1)</w:t>
            </w:r>
            <w:r>
              <w:rPr>
                <w:rFonts w:hint="default" w:ascii="Times New Roman" w:hAnsi="Times New Roman" w:eastAsia="宋体" w:cs="Times New Roman"/>
                <w:sz w:val="24"/>
                <w:szCs w:val="24"/>
                <w:u w:val="single" w:color="auto"/>
                <w:lang w:eastAsia="zh-CN"/>
              </w:rPr>
              <w:t>医院废水的事故排放，多为处理设施运行不稳定，或停止运行时出现的废水超标外排。因此，医院管理方应将医院污水处理设备的日常维护应纳入医院正常的设备维护管理工作。并根据工艺要求，定期对构筑物、设备、电气及自控仪表进行检查维护，确保处理设施稳定运行，提高污水处理设施的自动化程度，提高投药准确率和医疗污水处理站的处理效果，保证设备的正常运转率。</w:t>
            </w:r>
          </w:p>
          <w:p w14:paraId="70EE5E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kern w:val="2"/>
                <w:sz w:val="24"/>
                <w:szCs w:val="24"/>
                <w:u w:val="single" w:color="auto"/>
                <w:lang w:val="en-US" w:eastAsia="zh-CN" w:bidi="ar-SA"/>
              </w:rPr>
              <w:t>2</w:t>
            </w:r>
            <w:r>
              <w:rPr>
                <w:rFonts w:hint="default" w:ascii="Times New Roman" w:hAnsi="Times New Roman" w:eastAsia="宋体" w:cs="Times New Roman"/>
                <w:kern w:val="2"/>
                <w:sz w:val="24"/>
                <w:szCs w:val="24"/>
                <w:u w:val="single" w:color="auto"/>
                <w:lang w:val="en-US" w:eastAsia="zh-CN" w:bidi="ar-SA"/>
              </w:rPr>
              <w:t>)</w:t>
            </w:r>
            <w:r>
              <w:rPr>
                <w:rFonts w:hint="default" w:ascii="Times New Roman" w:hAnsi="Times New Roman" w:eastAsia="宋体" w:cs="Times New Roman"/>
                <w:sz w:val="24"/>
                <w:szCs w:val="24"/>
                <w:u w:val="single" w:color="auto"/>
                <w:lang w:eastAsia="zh-CN"/>
              </w:rPr>
              <w:t>鼓励委托具有运营资质的单位运行管理。建立健全运行台帐制度，如实填写运行记录，并妥善保存。管理中明确污染事故防止对策和制定污染事故应急预案。一旦发生以上事故情况时，医院方应按“事故情况下的应急程序”进行操作。</w:t>
            </w:r>
          </w:p>
          <w:p w14:paraId="3382E0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3</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加强对医疗污水处理站技术人员和操作人员的培训，熟练掌握医疗污水处理站工艺技术原理和运行经验及设备的操作说明，加强工作人员的岗位责任管理，减少人员因素产生的故障。</w:t>
            </w:r>
          </w:p>
          <w:p w14:paraId="1281B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u w:val="single" w:color="auto"/>
                <w:lang w:eastAsia="zh-CN"/>
              </w:rPr>
            </w:pPr>
            <w:r>
              <w:rPr>
                <w:rFonts w:hint="eastAsia" w:ascii="Times New Roman" w:hAnsi="Times New Roman" w:eastAsia="宋体" w:cs="Times New Roman"/>
                <w:sz w:val="24"/>
                <w:szCs w:val="24"/>
                <w:u w:val="single" w:color="auto"/>
                <w:lang w:val="en-US" w:eastAsia="zh-CN"/>
              </w:rPr>
              <w:t>4</w:t>
            </w:r>
            <w:r>
              <w:rPr>
                <w:rFonts w:hint="eastAsia" w:ascii="宋体" w:hAnsi="宋体" w:eastAsia="宋体" w:cs="宋体"/>
                <w:sz w:val="24"/>
                <w:szCs w:val="24"/>
                <w:u w:val="single" w:color="auto"/>
                <w:lang w:eastAsia="zh-CN"/>
              </w:rPr>
              <w:t>)</w:t>
            </w:r>
            <w:r>
              <w:rPr>
                <w:rFonts w:hint="default" w:ascii="Times New Roman" w:hAnsi="Times New Roman" w:eastAsia="宋体" w:cs="Times New Roman"/>
                <w:sz w:val="24"/>
                <w:szCs w:val="24"/>
                <w:u w:val="single" w:color="auto"/>
                <w:lang w:eastAsia="zh-CN"/>
              </w:rPr>
              <w:t>对医疗污水处理站的供电系统实行双回路控制，确保和医疗污水处理站的运行率；处理站机电设备关键部位建议采用一用一备方式。</w:t>
            </w:r>
          </w:p>
          <w:p w14:paraId="37FD870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eastAsia" w:ascii="Times New Roman" w:hAnsi="Times New Roman" w:eastAsia="宋体" w:cs="Times New Roman"/>
                <w:kern w:val="2"/>
                <w:sz w:val="24"/>
                <w:szCs w:val="24"/>
                <w:u w:val="single" w:color="auto"/>
                <w:lang w:val="en-US" w:eastAsia="zh-CN" w:bidi="ar-SA"/>
              </w:rPr>
              <w:t xml:space="preserve">C </w:t>
            </w:r>
            <w:r>
              <w:rPr>
                <w:rFonts w:hint="default" w:ascii="Times New Roman" w:hAnsi="Times New Roman" w:eastAsia="宋体" w:cs="Times New Roman"/>
                <w:kern w:val="2"/>
                <w:sz w:val="24"/>
                <w:szCs w:val="24"/>
                <w:u w:val="single" w:color="auto"/>
                <w:lang w:val="en-US" w:eastAsia="zh-CN" w:bidi="ar-SA"/>
              </w:rPr>
              <w:t>火灾的防范措施</w:t>
            </w:r>
          </w:p>
          <w:p w14:paraId="78DCECC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易燃物质(例如乙醇等)要存放于无太阳直射及远离热源的仓库，夏天要有降温措施，车间及仓库要有排风设施，在运行管理和应急处理上应采取下列措施：</w:t>
            </w:r>
          </w:p>
          <w:p w14:paraId="7D7B5A27">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1)应置于专用仓库储存；</w:t>
            </w:r>
          </w:p>
          <w:p w14:paraId="59964C7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2)仓库内严禁明火和气体热源，仓库内应通风，干燥和避免阳光直射；</w:t>
            </w:r>
          </w:p>
          <w:p w14:paraId="1E271CF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kern w:val="2"/>
                <w:sz w:val="24"/>
                <w:szCs w:val="24"/>
                <w:u w:val="single" w:color="auto"/>
                <w:lang w:val="en-US" w:eastAsia="zh-CN" w:bidi="ar-SA"/>
              </w:rPr>
            </w:pPr>
            <w:r>
              <w:rPr>
                <w:rFonts w:hint="default" w:ascii="Times New Roman" w:hAnsi="Times New Roman" w:eastAsia="宋体" w:cs="Times New Roman"/>
                <w:kern w:val="2"/>
                <w:sz w:val="24"/>
                <w:szCs w:val="24"/>
                <w:u w:val="single" w:color="auto"/>
                <w:lang w:val="en-US" w:eastAsia="zh-CN" w:bidi="ar-SA"/>
              </w:rPr>
              <w:t>3)对入库危险废物进行检查确认；</w:t>
            </w:r>
          </w:p>
          <w:p w14:paraId="0652642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zCs w:val="24"/>
                <w:u w:val="single" w:color="auto"/>
                <w:lang w:val="en-US" w:eastAsia="zh-CN"/>
              </w:rPr>
            </w:pPr>
            <w:r>
              <w:rPr>
                <w:rFonts w:hint="default" w:ascii="Times New Roman" w:hAnsi="Times New Roman" w:eastAsia="宋体" w:cs="Times New Roman"/>
                <w:kern w:val="2"/>
                <w:sz w:val="24"/>
                <w:szCs w:val="24"/>
                <w:u w:val="single" w:color="auto"/>
                <w:lang w:val="en-US" w:eastAsia="zh-CN" w:bidi="ar-SA"/>
              </w:rPr>
              <w:t>4)生产装置区的配电和照明均应按《爆炸和火灾危险环境电力装置设计规范》的规定，选用相应防爆级别的电气设备和照明灯具及开关，线路敷设均应满足安全要求。项目危险物质的储存量较小，泄漏、火灾等事故发生概率较低，只要通过加强公司管理，并做好防范措施等，可以较为有效地最大限度防范风险事故的发生，项目的风险处于环境可接受的水平。</w:t>
            </w:r>
          </w:p>
          <w:p w14:paraId="0CB96C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七</w:t>
            </w:r>
            <w:r>
              <w:rPr>
                <w:rFonts w:hint="default" w:ascii="Times New Roman" w:hAnsi="Times New Roman" w:cs="Times New Roman"/>
                <w:b/>
                <w:bCs/>
                <w:color w:val="000000" w:themeColor="text1"/>
                <w:kern w:val="0"/>
                <w:sz w:val="24"/>
                <w:szCs w:val="20"/>
                <w14:textFill>
                  <w14:solidFill>
                    <w14:schemeClr w14:val="tx1"/>
                  </w14:solidFill>
                </w14:textFill>
              </w:rPr>
              <w:t>、</w:t>
            </w:r>
            <w:r>
              <w:rPr>
                <w:rFonts w:hint="eastAsia" w:ascii="Times New Roman" w:hAnsi="Times New Roman" w:cs="Times New Roman"/>
                <w:b/>
                <w:bCs/>
                <w:sz w:val="24"/>
                <w:szCs w:val="24"/>
                <w:u w:val="none"/>
                <w:lang w:val="en-US" w:eastAsia="zh-CN"/>
              </w:rPr>
              <w:t>生态</w:t>
            </w:r>
          </w:p>
          <w:p w14:paraId="2D621DA4">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根据生态环境部办公厅2020年12月24日印发的《建设项目环境影响报告表编制技术指南（污染影响类）（试行）》中具体编制要求“产业园区外建设项目新增用地且用地范围内有生态环境敏感的，应明确环保措施”，本项目不涉及地表扰动，也不会破坏地表植被，本项目建设对生态环境造成影响较小不涉及新增用地，周边无生态环境保护目标，无生态环境影响。</w:t>
            </w:r>
          </w:p>
          <w:p w14:paraId="09F7446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Times New Roman" w:hAnsi="Times New Roman" w:cs="Times New Roman"/>
                <w:b/>
                <w:bCs/>
                <w:color w:val="000000"/>
                <w:sz w:val="24"/>
                <w:szCs w:val="24"/>
                <w:u w:val="none"/>
                <w:lang w:val="en-US" w:eastAsia="zh-CN"/>
              </w:rPr>
            </w:pPr>
            <w:r>
              <w:rPr>
                <w:rFonts w:hint="eastAsia" w:cs="Times New Roman"/>
                <w:b/>
                <w:bCs/>
                <w:color w:val="000000" w:themeColor="text1"/>
                <w:kern w:val="0"/>
                <w:sz w:val="24"/>
                <w:szCs w:val="20"/>
                <w:lang w:val="en-US" w:eastAsia="zh-CN"/>
                <w14:textFill>
                  <w14:solidFill>
                    <w14:schemeClr w14:val="tx1"/>
                  </w14:solidFill>
                </w14:textFill>
              </w:rPr>
              <w:t>八、</w:t>
            </w:r>
            <w:r>
              <w:rPr>
                <w:rFonts w:hint="eastAsia" w:ascii="Times New Roman" w:hAnsi="Times New Roman" w:cs="Times New Roman"/>
                <w:b/>
                <w:bCs/>
                <w:color w:val="000000"/>
                <w:sz w:val="24"/>
                <w:szCs w:val="24"/>
                <w:u w:val="none"/>
                <w:lang w:val="en-US" w:eastAsia="zh-CN"/>
              </w:rPr>
              <w:t>电磁辐射</w:t>
            </w:r>
          </w:p>
          <w:p w14:paraId="1C0368E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Times New Roman" w:hAnsi="Times New Roman" w:eastAsia="宋体" w:cs="Times New Roman"/>
                <w:spacing w:val="6"/>
                <w:sz w:val="24"/>
                <w:u w:val="none"/>
                <w:lang w:val="en-US" w:eastAsia="zh-CN"/>
              </w:rPr>
            </w:pPr>
            <w:r>
              <w:rPr>
                <w:rFonts w:hint="eastAsia" w:ascii="Times New Roman" w:hAnsi="Times New Roman" w:eastAsia="宋体" w:cs="Times New Roman"/>
                <w:spacing w:val="6"/>
                <w:sz w:val="24"/>
                <w:u w:val="none"/>
                <w:lang w:val="en-US" w:eastAsia="zh-CN"/>
              </w:rPr>
              <w:t>本次环评不对辐射影响进行评价。</w:t>
            </w:r>
          </w:p>
          <w:p w14:paraId="67299069">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jc w:val="both"/>
              <w:textAlignment w:val="auto"/>
              <w:rPr>
                <w:rFonts w:hint="eastAsia" w:ascii="Times New Roman" w:hAnsi="Times New Roman" w:eastAsia="宋体" w:cs="Times New Roman"/>
                <w:b/>
                <w:bCs/>
                <w:color w:val="auto"/>
                <w:sz w:val="24"/>
                <w:szCs w:val="24"/>
                <w:u w:val="single"/>
                <w:lang w:val="en-US" w:eastAsia="zh-CN"/>
              </w:rPr>
            </w:pPr>
            <w:r>
              <w:rPr>
                <w:rFonts w:hint="eastAsia" w:ascii="Times New Roman" w:hAnsi="Times New Roman" w:eastAsia="宋体" w:cs="Times New Roman"/>
                <w:b/>
                <w:bCs/>
                <w:color w:val="auto"/>
                <w:sz w:val="24"/>
                <w:szCs w:val="24"/>
                <w:u w:val="single"/>
                <w:lang w:val="en-US" w:eastAsia="zh-CN"/>
              </w:rPr>
              <w:t>九、外环境对本项目的影响</w:t>
            </w:r>
          </w:p>
          <w:p w14:paraId="55430791">
            <w:pPr>
              <w:keepNext w:val="0"/>
              <w:keepLines w:val="0"/>
              <w:pageBreakBefore w:val="0"/>
              <w:kinsoku/>
              <w:overflowPunct/>
              <w:topLinePunct w:val="0"/>
              <w:bidi w:val="0"/>
              <w:adjustRightInd w:val="0"/>
              <w:snapToGrid w:val="0"/>
              <w:spacing w:line="360" w:lineRule="auto"/>
              <w:ind w:firstLine="480" w:firstLineChars="200"/>
              <w:rPr>
                <w:rFonts w:hint="eastAsia" w:eastAsia="宋体"/>
                <w:bCs/>
                <w:color w:val="auto"/>
                <w:sz w:val="24"/>
                <w:szCs w:val="24"/>
                <w:u w:val="single"/>
                <w:lang w:eastAsia="zh-CN"/>
              </w:rPr>
            </w:pPr>
            <w:r>
              <w:rPr>
                <w:rFonts w:hint="eastAsia"/>
                <w:bCs/>
                <w:color w:val="auto"/>
                <w:sz w:val="24"/>
                <w:szCs w:val="24"/>
                <w:u w:val="single"/>
                <w:lang w:eastAsia="zh-CN"/>
              </w:rPr>
              <w:t>根据现场勘察，项目周边无工业企业，外环境对本项目的影响主要为道路汽车尾气以及噪声。</w:t>
            </w:r>
          </w:p>
          <w:p w14:paraId="3431C635">
            <w:pPr>
              <w:keepNext w:val="0"/>
              <w:keepLines w:val="0"/>
              <w:pageBreakBefore w:val="0"/>
              <w:kinsoku/>
              <w:overflowPunct/>
              <w:topLinePunct w:val="0"/>
              <w:bidi w:val="0"/>
              <w:adjustRightInd w:val="0"/>
              <w:snapToGrid w:val="0"/>
              <w:spacing w:line="360" w:lineRule="auto"/>
              <w:ind w:firstLine="480" w:firstLineChars="200"/>
              <w:rPr>
                <w:bCs/>
                <w:color w:val="auto"/>
                <w:sz w:val="24"/>
                <w:szCs w:val="24"/>
                <w:u w:val="single"/>
              </w:rPr>
            </w:pPr>
            <w:r>
              <w:rPr>
                <w:rFonts w:hint="eastAsia"/>
                <w:bCs/>
                <w:color w:val="auto"/>
                <w:sz w:val="24"/>
                <w:szCs w:val="24"/>
                <w:u w:val="single"/>
              </w:rPr>
              <w:t>（</w:t>
            </w:r>
            <w:r>
              <w:rPr>
                <w:bCs/>
                <w:color w:val="auto"/>
                <w:sz w:val="24"/>
                <w:szCs w:val="24"/>
                <w:u w:val="single"/>
              </w:rPr>
              <w:t>1</w:t>
            </w:r>
            <w:r>
              <w:rPr>
                <w:rFonts w:hint="eastAsia"/>
                <w:bCs/>
                <w:color w:val="auto"/>
                <w:sz w:val="24"/>
                <w:szCs w:val="24"/>
                <w:u w:val="single"/>
              </w:rPr>
              <w:t>）交通道路汽车尾气对项目的影响</w:t>
            </w:r>
          </w:p>
          <w:p w14:paraId="5D78EB8C">
            <w:pPr>
              <w:keepNext w:val="0"/>
              <w:keepLines w:val="0"/>
              <w:pageBreakBefore w:val="0"/>
              <w:kinsoku/>
              <w:overflowPunct/>
              <w:topLinePunct w:val="0"/>
              <w:bidi w:val="0"/>
              <w:adjustRightInd w:val="0"/>
              <w:snapToGrid w:val="0"/>
              <w:spacing w:line="360" w:lineRule="auto"/>
              <w:ind w:firstLine="480" w:firstLineChars="200"/>
              <w:rPr>
                <w:color w:val="auto"/>
                <w:sz w:val="24"/>
                <w:szCs w:val="24"/>
                <w:u w:val="single"/>
              </w:rPr>
            </w:pPr>
            <w:r>
              <w:rPr>
                <w:rFonts w:hint="eastAsia"/>
                <w:color w:val="auto"/>
                <w:sz w:val="24"/>
                <w:szCs w:val="24"/>
                <w:u w:val="single"/>
              </w:rPr>
              <w:t>外环境对项目的影响主要</w:t>
            </w:r>
            <w:r>
              <w:rPr>
                <w:rFonts w:hint="eastAsia"/>
                <w:color w:val="auto"/>
                <w:sz w:val="24"/>
                <w:szCs w:val="24"/>
                <w:highlight w:val="none"/>
                <w:u w:val="single"/>
              </w:rPr>
              <w:t>来自</w:t>
            </w:r>
            <w:r>
              <w:rPr>
                <w:rFonts w:hint="eastAsia"/>
                <w:color w:val="auto"/>
                <w:sz w:val="24"/>
                <w:szCs w:val="24"/>
                <w:highlight w:val="none"/>
                <w:u w:val="single"/>
                <w:lang w:eastAsia="zh-CN"/>
              </w:rPr>
              <w:t>道路交通噪声</w:t>
            </w:r>
            <w:r>
              <w:rPr>
                <w:rFonts w:hint="eastAsia"/>
                <w:color w:val="auto"/>
                <w:sz w:val="24"/>
                <w:szCs w:val="24"/>
                <w:u w:val="single"/>
              </w:rPr>
              <w:t>，项目</w:t>
            </w:r>
            <w:r>
              <w:rPr>
                <w:rFonts w:hint="eastAsia"/>
                <w:color w:val="auto"/>
                <w:sz w:val="24"/>
                <w:szCs w:val="24"/>
                <w:u w:val="single"/>
                <w:lang w:val="en-US" w:eastAsia="zh-CN"/>
              </w:rPr>
              <w:t>南侧临近镇上马路</w:t>
            </w:r>
            <w:r>
              <w:rPr>
                <w:rFonts w:hint="eastAsia"/>
                <w:color w:val="auto"/>
                <w:sz w:val="24"/>
                <w:szCs w:val="24"/>
                <w:u w:val="single"/>
              </w:rPr>
              <w:t>。</w:t>
            </w:r>
            <w:r>
              <w:rPr>
                <w:rFonts w:hint="eastAsia"/>
                <w:color w:val="auto"/>
                <w:sz w:val="24"/>
                <w:szCs w:val="24"/>
                <w:u w:val="single"/>
                <w:lang w:eastAsia="zh-CN"/>
              </w:rPr>
              <w:t>车辆</w:t>
            </w:r>
            <w:r>
              <w:rPr>
                <w:rFonts w:hint="eastAsia"/>
                <w:color w:val="auto"/>
                <w:sz w:val="24"/>
                <w:szCs w:val="24"/>
                <w:u w:val="single"/>
              </w:rPr>
              <w:t>尾气会对项目临街面建筑物带来一定的影响。通过加强临近街道边绿化带的建设，种植叶茂枝密，树冠低垂、粗壮、生长迅速、抗污力强的树木，可以减轻汽车尾气对项目的影响。</w:t>
            </w:r>
          </w:p>
          <w:p w14:paraId="178BB2DE">
            <w:pPr>
              <w:keepNext w:val="0"/>
              <w:keepLines w:val="0"/>
              <w:pageBreakBefore w:val="0"/>
              <w:kinsoku/>
              <w:overflowPunct/>
              <w:topLinePunct w:val="0"/>
              <w:bidi w:val="0"/>
              <w:adjustRightInd w:val="0"/>
              <w:snapToGrid w:val="0"/>
              <w:spacing w:line="360" w:lineRule="auto"/>
              <w:ind w:firstLine="480" w:firstLineChars="200"/>
              <w:rPr>
                <w:rFonts w:hint="eastAsia"/>
                <w:bCs/>
                <w:color w:val="auto"/>
                <w:sz w:val="24"/>
                <w:szCs w:val="24"/>
                <w:u w:val="single"/>
              </w:rPr>
            </w:pPr>
            <w:r>
              <w:rPr>
                <w:rFonts w:hint="eastAsia"/>
                <w:bCs/>
                <w:color w:val="auto"/>
                <w:sz w:val="24"/>
                <w:szCs w:val="24"/>
                <w:u w:val="single"/>
              </w:rPr>
              <w:t>（2）交通噪声对项目的影响分析</w:t>
            </w:r>
          </w:p>
          <w:p w14:paraId="7B55FEB3">
            <w:pPr>
              <w:keepNext w:val="0"/>
              <w:keepLines w:val="0"/>
              <w:pageBreakBefore w:val="0"/>
              <w:kinsoku/>
              <w:overflowPunct/>
              <w:topLinePunct w:val="0"/>
              <w:bidi w:val="0"/>
              <w:adjustRightInd w:val="0"/>
              <w:snapToGrid w:val="0"/>
              <w:spacing w:line="360" w:lineRule="auto"/>
              <w:ind w:firstLine="480" w:firstLineChars="200"/>
              <w:rPr>
                <w:rFonts w:hint="eastAsia"/>
                <w:color w:val="auto"/>
                <w:sz w:val="24"/>
                <w:szCs w:val="24"/>
                <w:u w:val="single"/>
              </w:rPr>
            </w:pPr>
            <w:r>
              <w:rPr>
                <w:rFonts w:hint="eastAsia"/>
                <w:color w:val="auto"/>
                <w:sz w:val="24"/>
                <w:szCs w:val="24"/>
                <w:u w:val="single"/>
              </w:rPr>
              <w:t>项目</w:t>
            </w:r>
            <w:r>
              <w:rPr>
                <w:rFonts w:hint="eastAsia"/>
                <w:color w:val="auto"/>
                <w:sz w:val="24"/>
                <w:szCs w:val="24"/>
                <w:u w:val="single"/>
                <w:lang w:val="en-US" w:eastAsia="zh-CN"/>
              </w:rPr>
              <w:t>临近县道</w:t>
            </w:r>
            <w:r>
              <w:rPr>
                <w:rFonts w:hint="eastAsia"/>
                <w:color w:val="auto"/>
                <w:sz w:val="24"/>
                <w:szCs w:val="24"/>
                <w:u w:val="single"/>
              </w:rPr>
              <w:t>。道路车辆噪声对项目运营具有一定的影响。根据噪声监测结果，</w:t>
            </w:r>
            <w:r>
              <w:rPr>
                <w:rFonts w:hint="eastAsia"/>
                <w:color w:val="auto"/>
                <w:sz w:val="24"/>
                <w:szCs w:val="24"/>
                <w:u w:val="single"/>
                <w:lang w:eastAsia="zh-CN"/>
              </w:rPr>
              <w:t>项目周边敏感点</w:t>
            </w:r>
            <w:r>
              <w:rPr>
                <w:rFonts w:hint="eastAsia"/>
                <w:color w:val="auto"/>
                <w:sz w:val="24"/>
                <w:szCs w:val="24"/>
                <w:u w:val="single"/>
              </w:rPr>
              <w:t>噪声值能满足《声环境质量标准》（</w:t>
            </w:r>
            <w:r>
              <w:rPr>
                <w:color w:val="auto"/>
                <w:sz w:val="24"/>
                <w:szCs w:val="24"/>
                <w:u w:val="single"/>
              </w:rPr>
              <w:t>GB3096-2008</w:t>
            </w:r>
            <w:r>
              <w:rPr>
                <w:rFonts w:hint="eastAsia"/>
                <w:color w:val="auto"/>
                <w:sz w:val="24"/>
                <w:szCs w:val="24"/>
                <w:u w:val="single"/>
              </w:rPr>
              <w:t>）</w:t>
            </w:r>
            <w:r>
              <w:rPr>
                <w:rFonts w:hint="eastAsia"/>
                <w:color w:val="auto"/>
                <w:sz w:val="24"/>
                <w:szCs w:val="24"/>
                <w:u w:val="single"/>
                <w:lang w:val="en-US" w:eastAsia="zh-CN"/>
              </w:rPr>
              <w:t>2</w:t>
            </w:r>
            <w:r>
              <w:rPr>
                <w:rFonts w:hint="eastAsia"/>
                <w:color w:val="auto"/>
                <w:sz w:val="24"/>
                <w:szCs w:val="24"/>
                <w:u w:val="single"/>
              </w:rPr>
              <w:t>类标准的要求，道路产生的交通噪声对项目的影响不大。交通噪声经道路两侧建筑物阻隔衰减后，再经过距离衰减后，</w:t>
            </w:r>
            <w:r>
              <w:rPr>
                <w:rFonts w:hint="eastAsia"/>
                <w:color w:val="auto"/>
                <w:sz w:val="24"/>
                <w:szCs w:val="24"/>
                <w:u w:val="single"/>
                <w:lang w:val="en-US" w:eastAsia="zh-CN"/>
              </w:rPr>
              <w:t>县道</w:t>
            </w:r>
            <w:r>
              <w:rPr>
                <w:rFonts w:hint="eastAsia"/>
                <w:color w:val="auto"/>
                <w:sz w:val="24"/>
                <w:szCs w:val="24"/>
                <w:u w:val="single"/>
              </w:rPr>
              <w:t>产生的交通噪声能得到有效衰减，对项目的影响较小。</w:t>
            </w:r>
          </w:p>
          <w:p w14:paraId="498231D1">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为减缓外环境噪声对项目住院病人的影响，本次环评提出以下建议：</w:t>
            </w:r>
          </w:p>
          <w:p w14:paraId="1881161C">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（1）对临路的窗户采取真空双层玻璃，根据调查可知一般情况下，墙体、真空双层玻璃和门的隔声量分别约为：40dB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、30dB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和25dB</w:t>
            </w:r>
            <w:r>
              <w:rPr>
                <w:rFonts w:hint="eastAsia"/>
                <w:sz w:val="24"/>
                <w:szCs w:val="24"/>
                <w:u w:val="single"/>
                <w:lang w:eastAsia="zh-CN"/>
              </w:rPr>
              <w:t>（</w:t>
            </w:r>
            <w:r>
              <w:rPr>
                <w:rFonts w:hint="eastAsia"/>
                <w:sz w:val="24"/>
                <w:szCs w:val="24"/>
                <w:u w:val="single"/>
              </w:rPr>
              <w:t>A</w:t>
            </w:r>
            <w:r>
              <w:rPr>
                <w:rFonts w:hint="eastAsia"/>
                <w:sz w:val="24"/>
                <w:szCs w:val="24"/>
                <w:u w:val="single"/>
                <w:lang w:eastAsia="zh-CN"/>
              </w:rPr>
              <w:t>）</w:t>
            </w:r>
            <w:r>
              <w:rPr>
                <w:rFonts w:hint="eastAsia"/>
                <w:sz w:val="24"/>
                <w:szCs w:val="24"/>
                <w:u w:val="single"/>
              </w:rPr>
              <w:t>，通过房屋墙体、真空双层窗和门的隔声阻挡作用后，外环境噪声带来的影响可以降到最低。</w:t>
            </w:r>
          </w:p>
          <w:p w14:paraId="68C5BD15">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（2）利用室内摆放的绿色植物来降低噪声，同时可以在临街的窗台、阳台摆放枝叶较多的绿色植物。</w:t>
            </w:r>
          </w:p>
          <w:p w14:paraId="060FCAAE">
            <w:pPr>
              <w:keepNext w:val="0"/>
              <w:keepLines w:val="0"/>
              <w:pageBreakBefore w:val="0"/>
              <w:kinsoku/>
              <w:overflowPunct/>
              <w:topLinePunct w:val="0"/>
              <w:bidi w:val="0"/>
              <w:adjustRightInd w:val="0"/>
              <w:snapToGrid w:val="0"/>
              <w:spacing w:line="360" w:lineRule="auto"/>
              <w:ind w:firstLine="480" w:firstLineChars="200"/>
              <w:rPr>
                <w:rFonts w:hint="eastAsia"/>
                <w:sz w:val="24"/>
                <w:szCs w:val="24"/>
                <w:u w:val="single"/>
              </w:rPr>
            </w:pPr>
            <w:r>
              <w:rPr>
                <w:rFonts w:hint="eastAsia"/>
                <w:sz w:val="24"/>
                <w:szCs w:val="24"/>
                <w:u w:val="single"/>
              </w:rPr>
              <w:t>（3）对室内布艺装饰和软性装饰，如窗帘的厚度，越厚的窗帘、吸音效果越好。</w:t>
            </w:r>
          </w:p>
          <w:p w14:paraId="2ED583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spacing w:val="6"/>
                <w:sz w:val="24"/>
                <w:u w:val="single"/>
                <w:lang w:val="en-US" w:eastAsia="zh-CN"/>
              </w:rPr>
            </w:pPr>
            <w:r>
              <w:rPr>
                <w:rFonts w:hint="eastAsia"/>
                <w:sz w:val="24"/>
                <w:szCs w:val="24"/>
                <w:u w:val="single"/>
              </w:rPr>
              <w:t>采取上述措施后，确保外环境交通噪声对项目影响较小。</w:t>
            </w:r>
          </w:p>
          <w:p w14:paraId="7CEB72E9">
            <w:pPr>
              <w:spacing w:line="360" w:lineRule="auto"/>
              <w:ind w:firstLine="482" w:firstLineChars="200"/>
              <w:jc w:val="left"/>
              <w:rPr>
                <w:rFonts w:hint="default" w:ascii="Times New Roman" w:hAnsi="Times New Roman" w:cs="Times New Roman"/>
                <w:b/>
                <w:bCs/>
                <w:color w:val="000000" w:themeColor="text1"/>
                <w:kern w:val="0"/>
                <w:sz w:val="24"/>
                <w:szCs w:val="20"/>
                <w:u w:val="single"/>
                <w14:textFill>
                  <w14:solidFill>
                    <w14:schemeClr w14:val="tx1"/>
                  </w14:solidFill>
                </w14:textFill>
              </w:rPr>
            </w:pPr>
            <w:r>
              <w:rPr>
                <w:rFonts w:hint="eastAsia" w:cs="Times New Roman"/>
                <w:b/>
                <w:bCs/>
                <w:color w:val="000000" w:themeColor="text1"/>
                <w:kern w:val="0"/>
                <w:sz w:val="24"/>
                <w:szCs w:val="20"/>
                <w:u w:val="single"/>
                <w:lang w:val="en-US" w:eastAsia="zh-CN"/>
                <w14:textFill>
                  <w14:solidFill>
                    <w14:schemeClr w14:val="tx1"/>
                  </w14:solidFill>
                </w14:textFill>
              </w:rPr>
              <w:t>十、</w:t>
            </w:r>
            <w:r>
              <w:rPr>
                <w:rFonts w:hint="default" w:ascii="Times New Roman" w:hAnsi="Times New Roman" w:cs="Times New Roman"/>
                <w:b/>
                <w:bCs/>
                <w:color w:val="000000" w:themeColor="text1"/>
                <w:kern w:val="0"/>
                <w:sz w:val="24"/>
                <w:szCs w:val="20"/>
                <w:u w:val="single"/>
                <w14:textFill>
                  <w14:solidFill>
                    <w14:schemeClr w14:val="tx1"/>
                  </w14:solidFill>
                </w14:textFill>
              </w:rPr>
              <w:t>项目环境保护投资估算</w:t>
            </w:r>
          </w:p>
          <w:p w14:paraId="6D15F6F2">
            <w:pPr>
              <w:spacing w:line="360" w:lineRule="auto"/>
              <w:ind w:firstLine="480" w:firstLineChars="200"/>
              <w:rPr>
                <w:rFonts w:hint="default" w:ascii="Times New Roman" w:hAnsi="Times New Roman" w:cs="Times New Roman"/>
                <w:color w:val="000000" w:themeColor="text1"/>
                <w:kern w:val="0"/>
                <w:sz w:val="24"/>
                <w:szCs w:val="20"/>
                <w:u w:val="single"/>
                <w14:textFill>
                  <w14:solidFill>
                    <w14:schemeClr w14:val="tx1"/>
                  </w14:solidFill>
                </w14:textFill>
              </w:rPr>
            </w:pPr>
            <w:r>
              <w:rPr>
                <w:rFonts w:hint="default" w:ascii="Times New Roman" w:hAnsi="Times New Roman" w:cs="Times New Roman"/>
                <w:color w:val="000000" w:themeColor="text1"/>
                <w:kern w:val="0"/>
                <w:sz w:val="24"/>
                <w:szCs w:val="20"/>
                <w:u w:val="single"/>
                <w14:textFill>
                  <w14:solidFill>
                    <w14:schemeClr w14:val="tx1"/>
                  </w14:solidFill>
                </w14:textFill>
              </w:rPr>
              <w:t>项目总投资</w:t>
            </w:r>
            <w:r>
              <w:rPr>
                <w:rFonts w:hint="eastAsia" w:cs="Times New Roman"/>
                <w:color w:val="000000" w:themeColor="text1"/>
                <w:kern w:val="0"/>
                <w:sz w:val="24"/>
                <w:szCs w:val="20"/>
                <w:u w:val="single"/>
                <w:lang w:val="en-US" w:eastAsia="zh-CN"/>
                <w14:textFill>
                  <w14:solidFill>
                    <w14:schemeClr w14:val="tx1"/>
                  </w14:solidFill>
                </w14:textFill>
              </w:rPr>
              <w:t>797</w:t>
            </w:r>
            <w:r>
              <w:rPr>
                <w:rFonts w:hint="default" w:ascii="Times New Roman" w:hAnsi="Times New Roman" w:cs="Times New Roman"/>
                <w:color w:val="000000" w:themeColor="text1"/>
                <w:kern w:val="0"/>
                <w:sz w:val="24"/>
                <w:szCs w:val="20"/>
                <w:u w:val="single"/>
                <w14:textFill>
                  <w14:solidFill>
                    <w14:schemeClr w14:val="tx1"/>
                  </w14:solidFill>
                </w14:textFill>
              </w:rPr>
              <w:t>万元，其中环保投资为</w:t>
            </w:r>
            <w:r>
              <w:rPr>
                <w:rFonts w:hint="eastAsia" w:cs="Times New Roman"/>
                <w:color w:val="000000" w:themeColor="text1"/>
                <w:kern w:val="0"/>
                <w:sz w:val="24"/>
                <w:szCs w:val="20"/>
                <w:u w:val="single"/>
                <w:lang w:val="en-US" w:eastAsia="zh-CN"/>
                <w14:textFill>
                  <w14:solidFill>
                    <w14:schemeClr w14:val="tx1"/>
                  </w14:solidFill>
                </w14:textFill>
              </w:rPr>
              <w:t>16</w:t>
            </w:r>
            <w:r>
              <w:rPr>
                <w:rFonts w:hint="default" w:ascii="Times New Roman" w:hAnsi="Times New Roman" w:cs="Times New Roman"/>
                <w:color w:val="000000" w:themeColor="text1"/>
                <w:kern w:val="0"/>
                <w:sz w:val="24"/>
                <w:szCs w:val="20"/>
                <w:u w:val="single"/>
                <w14:textFill>
                  <w14:solidFill>
                    <w14:schemeClr w14:val="tx1"/>
                  </w14:solidFill>
                </w14:textFill>
              </w:rPr>
              <w:t>万元，所占比为</w:t>
            </w:r>
            <w:r>
              <w:rPr>
                <w:rFonts w:hint="eastAsia" w:cs="Times New Roman"/>
                <w:color w:val="000000" w:themeColor="text1"/>
                <w:kern w:val="0"/>
                <w:sz w:val="24"/>
                <w:szCs w:val="20"/>
                <w:u w:val="single"/>
                <w:lang w:val="en-US" w:eastAsia="zh-CN"/>
                <w14:textFill>
                  <w14:solidFill>
                    <w14:schemeClr w14:val="tx1"/>
                  </w14:solidFill>
                </w14:textFill>
              </w:rPr>
              <w:t>2.0</w:t>
            </w:r>
            <w:r>
              <w:rPr>
                <w:rFonts w:hint="eastAsia" w:cs="Times New Roman"/>
                <w:color w:val="000000" w:themeColor="text1"/>
                <w:kern w:val="0"/>
                <w:sz w:val="24"/>
                <w:szCs w:val="20"/>
                <w:u w:val="single"/>
                <w:lang w:eastAsia="zh-CN"/>
                <w14:textFill>
                  <w14:solidFill>
                    <w14:schemeClr w14:val="tx1"/>
                  </w14:solidFill>
                </w14:textFill>
              </w:rPr>
              <w:t>%</w:t>
            </w:r>
            <w:r>
              <w:rPr>
                <w:rFonts w:hint="default" w:ascii="Times New Roman" w:hAnsi="Times New Roman" w:cs="Times New Roman"/>
                <w:color w:val="000000" w:themeColor="text1"/>
                <w:kern w:val="0"/>
                <w:sz w:val="24"/>
                <w:szCs w:val="20"/>
                <w:u w:val="single"/>
                <w14:textFill>
                  <w14:solidFill>
                    <w14:schemeClr w14:val="tx1"/>
                  </w14:solidFill>
                </w14:textFill>
              </w:rPr>
              <w:t>。环保投资情况详见表4-</w:t>
            </w:r>
            <w:r>
              <w:rPr>
                <w:rFonts w:hint="eastAsia" w:cs="Times New Roman"/>
                <w:color w:val="000000" w:themeColor="text1"/>
                <w:kern w:val="0"/>
                <w:sz w:val="24"/>
                <w:szCs w:val="20"/>
                <w:u w:val="single"/>
                <w:lang w:val="en-US" w:eastAsia="zh-CN"/>
                <w14:textFill>
                  <w14:solidFill>
                    <w14:schemeClr w14:val="tx1"/>
                  </w14:solidFill>
                </w14:textFill>
              </w:rPr>
              <w:t>17</w:t>
            </w:r>
            <w:r>
              <w:rPr>
                <w:rFonts w:hint="default" w:ascii="Times New Roman" w:hAnsi="Times New Roman" w:cs="Times New Roman"/>
                <w:color w:val="000000" w:themeColor="text1"/>
                <w:kern w:val="0"/>
                <w:sz w:val="24"/>
                <w:szCs w:val="20"/>
                <w:u w:val="single"/>
                <w14:textFill>
                  <w14:solidFill>
                    <w14:schemeClr w14:val="tx1"/>
                  </w14:solidFill>
                </w14:textFill>
              </w:rPr>
              <w:t>。</w:t>
            </w:r>
          </w:p>
          <w:p w14:paraId="53E9869C">
            <w:pPr>
              <w:spacing w:line="240" w:lineRule="auto"/>
              <w:ind w:firstLine="422" w:firstLineChars="200"/>
              <w:jc w:val="center"/>
              <w:rPr>
                <w:rFonts w:hint="default" w:ascii="Times New Roman" w:hAnsi="Times New Roman" w:eastAsia="宋体" w:cs="Times New Roman"/>
                <w:b/>
                <w:color w:val="auto"/>
                <w:sz w:val="21"/>
                <w:szCs w:val="21"/>
                <w:u w:val="single"/>
              </w:rPr>
            </w:pPr>
            <w:r>
              <w:rPr>
                <w:rFonts w:hint="default" w:ascii="Times New Roman" w:hAnsi="Times New Roman" w:eastAsia="宋体" w:cs="Times New Roman"/>
                <w:b/>
                <w:color w:val="auto"/>
                <w:sz w:val="21"/>
                <w:szCs w:val="21"/>
                <w:u w:val="single"/>
              </w:rPr>
              <w:t>表4-</w:t>
            </w:r>
            <w:r>
              <w:rPr>
                <w:rFonts w:hint="eastAsia" w:ascii="Times New Roman" w:hAnsi="Times New Roman" w:eastAsia="宋体" w:cs="Times New Roman"/>
                <w:b/>
                <w:color w:val="auto"/>
                <w:sz w:val="21"/>
                <w:szCs w:val="21"/>
                <w:u w:val="single"/>
                <w:lang w:val="en-US" w:eastAsia="zh-CN"/>
              </w:rPr>
              <w:t>1</w:t>
            </w:r>
            <w:r>
              <w:rPr>
                <w:rFonts w:hint="eastAsia" w:cs="Times New Roman"/>
                <w:b/>
                <w:color w:val="auto"/>
                <w:sz w:val="21"/>
                <w:szCs w:val="21"/>
                <w:u w:val="single"/>
                <w:lang w:val="en-US" w:eastAsia="zh-CN"/>
              </w:rPr>
              <w:t xml:space="preserve">7  </w:t>
            </w:r>
            <w:r>
              <w:rPr>
                <w:rFonts w:hint="default" w:ascii="Times New Roman" w:hAnsi="Times New Roman" w:eastAsia="宋体" w:cs="Times New Roman"/>
                <w:b/>
                <w:color w:val="auto"/>
                <w:sz w:val="21"/>
                <w:szCs w:val="21"/>
                <w:u w:val="single"/>
              </w:rPr>
              <w:t>环保投资情况详情</w:t>
            </w:r>
          </w:p>
          <w:tbl>
            <w:tblPr>
              <w:tblStyle w:val="24"/>
              <w:tblW w:w="493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884"/>
              <w:gridCol w:w="4480"/>
              <w:gridCol w:w="1395"/>
            </w:tblGrid>
            <w:tr w14:paraId="41F81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95" w:type="pct"/>
                  <w:vAlign w:val="center"/>
                </w:tcPr>
                <w:p w14:paraId="332568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序号</w:t>
                  </w:r>
                </w:p>
              </w:tc>
              <w:tc>
                <w:tcPr>
                  <w:tcW w:w="3495" w:type="pct"/>
                  <w:gridSpan w:val="2"/>
                  <w:vAlign w:val="center"/>
                </w:tcPr>
                <w:p w14:paraId="631E35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项目污染防治措施</w:t>
                  </w:r>
                </w:p>
              </w:tc>
              <w:tc>
                <w:tcPr>
                  <w:tcW w:w="909" w:type="pct"/>
                  <w:vAlign w:val="center"/>
                </w:tcPr>
                <w:p w14:paraId="21005D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1"/>
                      <w:szCs w:val="21"/>
                      <w:u w:val="single"/>
                      <w14:textFill>
                        <w14:solidFill>
                          <w14:schemeClr w14:val="tx1"/>
                        </w14:solidFill>
                      </w14:textFill>
                    </w:rPr>
                  </w:pPr>
                  <w:r>
                    <w:rPr>
                      <w:rFonts w:hint="default" w:ascii="Times New Roman" w:hAnsi="Times New Roman" w:cs="Times New Roman"/>
                      <w:b/>
                      <w:bCs/>
                      <w:color w:val="000000" w:themeColor="text1"/>
                      <w:sz w:val="21"/>
                      <w:szCs w:val="21"/>
                      <w:u w:val="single"/>
                      <w14:textFill>
                        <w14:solidFill>
                          <w14:schemeClr w14:val="tx1"/>
                        </w14:solidFill>
                      </w14:textFill>
                    </w:rPr>
                    <w:t>投资费用（万元）</w:t>
                  </w:r>
                </w:p>
              </w:tc>
            </w:tr>
            <w:tr w14:paraId="46868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restart"/>
                  <w:vAlign w:val="center"/>
                </w:tcPr>
                <w:p w14:paraId="2E9FA7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1</w:t>
                  </w:r>
                </w:p>
              </w:tc>
              <w:tc>
                <w:tcPr>
                  <w:tcW w:w="576" w:type="pct"/>
                  <w:vMerge w:val="restart"/>
                  <w:vAlign w:val="center"/>
                </w:tcPr>
                <w:p w14:paraId="34665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废气</w:t>
                  </w:r>
                </w:p>
              </w:tc>
              <w:tc>
                <w:tcPr>
                  <w:tcW w:w="2919" w:type="pct"/>
                  <w:vAlign w:val="center"/>
                </w:tcPr>
                <w:p w14:paraId="266744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医疗废水处理站</w:t>
                  </w:r>
                  <w:r>
                    <w:rPr>
                      <w:rFonts w:hint="eastAsia" w:cs="Times New Roman"/>
                      <w:color w:val="000000" w:themeColor="text1"/>
                      <w:sz w:val="21"/>
                      <w:szCs w:val="21"/>
                      <w:u w:val="single"/>
                      <w:lang w:val="en-US" w:eastAsia="zh-CN"/>
                      <w14:textFill>
                        <w14:solidFill>
                          <w14:schemeClr w14:val="tx1"/>
                        </w14:solidFill>
                      </w14:textFill>
                    </w:rPr>
                    <w:t>地埋式</w:t>
                  </w:r>
                  <w:r>
                    <w:rPr>
                      <w:rFonts w:hint="default" w:ascii="Times New Roman" w:hAnsi="Times New Roman" w:cs="Times New Roman"/>
                      <w:color w:val="000000" w:themeColor="text1"/>
                      <w:sz w:val="21"/>
                      <w:szCs w:val="21"/>
                      <w:u w:val="single"/>
                      <w14:textFill>
                        <w14:solidFill>
                          <w14:schemeClr w14:val="tx1"/>
                        </w14:solidFill>
                      </w14:textFill>
                    </w:rPr>
                    <w:t>加盖密闭措施</w:t>
                  </w:r>
                </w:p>
              </w:tc>
              <w:tc>
                <w:tcPr>
                  <w:tcW w:w="909" w:type="pct"/>
                  <w:vAlign w:val="center"/>
                </w:tcPr>
                <w:p w14:paraId="1C892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14:paraId="5E986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14:paraId="5C9498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14:paraId="20E000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14:paraId="3BED2D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油烟净化器</w:t>
                  </w:r>
                </w:p>
              </w:tc>
              <w:tc>
                <w:tcPr>
                  <w:tcW w:w="909" w:type="pct"/>
                  <w:vAlign w:val="center"/>
                </w:tcPr>
                <w:p w14:paraId="26F731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w:t>
                  </w:r>
                </w:p>
              </w:tc>
            </w:tr>
            <w:tr w14:paraId="74A29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14:paraId="4C78B1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2</w:t>
                  </w:r>
                </w:p>
              </w:tc>
              <w:tc>
                <w:tcPr>
                  <w:tcW w:w="576" w:type="pct"/>
                  <w:vAlign w:val="center"/>
                </w:tcPr>
                <w:p w14:paraId="3B671B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废水</w:t>
                  </w:r>
                </w:p>
              </w:tc>
              <w:tc>
                <w:tcPr>
                  <w:tcW w:w="2919" w:type="pct"/>
                  <w:vAlign w:val="center"/>
                </w:tcPr>
                <w:p w14:paraId="694856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化粪池</w:t>
                  </w:r>
                  <w:r>
                    <w:rPr>
                      <w:rFonts w:hint="eastAsia" w:cs="Times New Roman"/>
                      <w:color w:val="000000" w:themeColor="text1"/>
                      <w:sz w:val="21"/>
                      <w:szCs w:val="21"/>
                      <w:u w:val="single"/>
                      <w:lang w:val="en-US" w:eastAsia="zh-CN"/>
                      <w14:textFill>
                        <w14:solidFill>
                          <w14:schemeClr w14:val="tx1"/>
                        </w14:solidFill>
                      </w14:textFill>
                    </w:rPr>
                    <w:t>+污水处理站（调节池+沉淀池+消毒池（活性氧））</w:t>
                  </w:r>
                </w:p>
              </w:tc>
              <w:tc>
                <w:tcPr>
                  <w:tcW w:w="909" w:type="pct"/>
                  <w:vAlign w:val="center"/>
                </w:tcPr>
                <w:p w14:paraId="5D02AD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lang w:val="en-US"/>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4</w:t>
                  </w:r>
                </w:p>
              </w:tc>
            </w:tr>
            <w:tr w14:paraId="25A26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Align w:val="center"/>
                </w:tcPr>
                <w:p w14:paraId="7EAEC8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3</w:t>
                  </w:r>
                </w:p>
              </w:tc>
              <w:tc>
                <w:tcPr>
                  <w:tcW w:w="576" w:type="pct"/>
                  <w:vAlign w:val="center"/>
                </w:tcPr>
                <w:p w14:paraId="090BB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噪声</w:t>
                  </w:r>
                </w:p>
              </w:tc>
              <w:tc>
                <w:tcPr>
                  <w:tcW w:w="2919" w:type="pct"/>
                  <w:vAlign w:val="center"/>
                </w:tcPr>
                <w:p w14:paraId="0007E2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隔声减振</w:t>
                  </w:r>
                </w:p>
              </w:tc>
              <w:tc>
                <w:tcPr>
                  <w:tcW w:w="909" w:type="pct"/>
                  <w:vAlign w:val="center"/>
                </w:tcPr>
                <w:p w14:paraId="12F582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14:paraId="458C4E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95" w:type="pct"/>
                  <w:vMerge w:val="restart"/>
                  <w:vAlign w:val="center"/>
                </w:tcPr>
                <w:p w14:paraId="547A8C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4</w:t>
                  </w:r>
                </w:p>
              </w:tc>
              <w:tc>
                <w:tcPr>
                  <w:tcW w:w="576" w:type="pct"/>
                  <w:vMerge w:val="restart"/>
                  <w:vAlign w:val="center"/>
                </w:tcPr>
                <w:p w14:paraId="46AE25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固废</w:t>
                  </w:r>
                </w:p>
              </w:tc>
              <w:tc>
                <w:tcPr>
                  <w:tcW w:w="2919" w:type="pct"/>
                  <w:vAlign w:val="center"/>
                </w:tcPr>
                <w:p w14:paraId="51D01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危险废物暂存场所，医疗废物暂存场所，按标准要求贮存、合法转移</w:t>
                  </w:r>
                </w:p>
              </w:tc>
              <w:tc>
                <w:tcPr>
                  <w:tcW w:w="909" w:type="pct"/>
                  <w:vAlign w:val="center"/>
                </w:tcPr>
                <w:p w14:paraId="2C6751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sz w:val="21"/>
                      <w:szCs w:val="21"/>
                      <w:u w:val="single"/>
                      <w:lang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5</w:t>
                  </w:r>
                </w:p>
              </w:tc>
            </w:tr>
            <w:tr w14:paraId="37058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95" w:type="pct"/>
                  <w:vMerge w:val="continue"/>
                  <w:vAlign w:val="center"/>
                </w:tcPr>
                <w:p w14:paraId="15C79D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576" w:type="pct"/>
                  <w:vMerge w:val="continue"/>
                  <w:vAlign w:val="center"/>
                </w:tcPr>
                <w:p w14:paraId="749F3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2919" w:type="pct"/>
                  <w:vAlign w:val="center"/>
                </w:tcPr>
                <w:p w14:paraId="271A22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生活垃圾</w:t>
                  </w:r>
                  <w:r>
                    <w:rPr>
                      <w:rFonts w:hint="eastAsia" w:ascii="Times New Roman" w:hAnsi="Times New Roman" w:cs="Times New Roman"/>
                      <w:color w:val="000000" w:themeColor="text1"/>
                      <w:sz w:val="21"/>
                      <w:szCs w:val="21"/>
                      <w:u w:val="single"/>
                      <w:lang w:eastAsia="zh-CN"/>
                      <w14:textFill>
                        <w14:solidFill>
                          <w14:schemeClr w14:val="tx1"/>
                        </w14:solidFill>
                      </w14:textFill>
                    </w:rPr>
                    <w:t>、</w:t>
                  </w:r>
                  <w:r>
                    <w:rPr>
                      <w:rFonts w:hint="eastAsia" w:ascii="Times New Roman" w:hAnsi="Times New Roman" w:cs="Times New Roman"/>
                      <w:color w:val="000000" w:themeColor="text1"/>
                      <w:sz w:val="21"/>
                      <w:szCs w:val="21"/>
                      <w:u w:val="single"/>
                      <w:lang w:val="en-US" w:eastAsia="zh-CN"/>
                      <w14:textFill>
                        <w14:solidFill>
                          <w14:schemeClr w14:val="tx1"/>
                        </w14:solidFill>
                      </w14:textFill>
                    </w:rPr>
                    <w:t>中药渣</w:t>
                  </w:r>
                  <w:r>
                    <w:rPr>
                      <w:rFonts w:hint="default" w:ascii="Times New Roman" w:hAnsi="Times New Roman" w:cs="Times New Roman"/>
                      <w:color w:val="000000" w:themeColor="text1"/>
                      <w:sz w:val="21"/>
                      <w:szCs w:val="21"/>
                      <w:u w:val="single"/>
                      <w14:textFill>
                        <w14:solidFill>
                          <w14:schemeClr w14:val="tx1"/>
                        </w14:solidFill>
                      </w14:textFill>
                    </w:rPr>
                    <w:t>委托环卫部门清运</w:t>
                  </w:r>
                </w:p>
              </w:tc>
              <w:tc>
                <w:tcPr>
                  <w:tcW w:w="909" w:type="pct"/>
                  <w:vAlign w:val="center"/>
                </w:tcPr>
                <w:p w14:paraId="582489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0.5</w:t>
                  </w:r>
                </w:p>
              </w:tc>
            </w:tr>
            <w:tr w14:paraId="312E20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95" w:type="pct"/>
                  <w:vMerge w:val="continue"/>
                  <w:vAlign w:val="center"/>
                </w:tcPr>
                <w:p w14:paraId="72F9A1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p>
              </w:tc>
              <w:tc>
                <w:tcPr>
                  <w:tcW w:w="3495" w:type="pct"/>
                  <w:gridSpan w:val="2"/>
                  <w:vAlign w:val="center"/>
                </w:tcPr>
                <w:p w14:paraId="477360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u w:val="single"/>
                      <w14:textFill>
                        <w14:solidFill>
                          <w14:schemeClr w14:val="tx1"/>
                        </w14:solidFill>
                      </w14:textFill>
                    </w:rPr>
                  </w:pPr>
                  <w:r>
                    <w:rPr>
                      <w:rFonts w:hint="default" w:ascii="Times New Roman" w:hAnsi="Times New Roman" w:cs="Times New Roman"/>
                      <w:color w:val="000000" w:themeColor="text1"/>
                      <w:sz w:val="21"/>
                      <w:szCs w:val="21"/>
                      <w:u w:val="single"/>
                      <w14:textFill>
                        <w14:solidFill>
                          <w14:schemeClr w14:val="tx1"/>
                        </w14:solidFill>
                      </w14:textFill>
                    </w:rPr>
                    <w:t>合计</w:t>
                  </w:r>
                </w:p>
              </w:tc>
              <w:tc>
                <w:tcPr>
                  <w:tcW w:w="909" w:type="pct"/>
                  <w:vAlign w:val="center"/>
                </w:tcPr>
                <w:p w14:paraId="069E4A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sz w:val="21"/>
                      <w:szCs w:val="21"/>
                      <w:u w:val="single"/>
                      <w:lang w:val="en-US" w:eastAsia="zh-CN"/>
                      <w14:textFill>
                        <w14:solidFill>
                          <w14:schemeClr w14:val="tx1"/>
                        </w14:solidFill>
                      </w14:textFill>
                    </w:rPr>
                  </w:pPr>
                  <w:r>
                    <w:rPr>
                      <w:rFonts w:hint="eastAsia" w:cs="Times New Roman"/>
                      <w:color w:val="000000" w:themeColor="text1"/>
                      <w:sz w:val="21"/>
                      <w:szCs w:val="21"/>
                      <w:u w:val="single"/>
                      <w:lang w:val="en-US" w:eastAsia="zh-CN"/>
                      <w14:textFill>
                        <w14:solidFill>
                          <w14:schemeClr w14:val="tx1"/>
                        </w14:solidFill>
                      </w14:textFill>
                    </w:rPr>
                    <w:t>16</w:t>
                  </w:r>
                </w:p>
              </w:tc>
            </w:tr>
          </w:tbl>
          <w:p w14:paraId="1654BF1C">
            <w:pPr>
              <w:spacing w:line="240" w:lineRule="auto"/>
              <w:ind w:firstLine="422" w:firstLineChars="200"/>
              <w:jc w:val="center"/>
              <w:rPr>
                <w:rFonts w:hint="default" w:ascii="Times New Roman" w:hAnsi="Times New Roman" w:eastAsia="宋体" w:cs="Times New Roman"/>
                <w:b/>
                <w:color w:val="auto"/>
                <w:sz w:val="21"/>
                <w:szCs w:val="21"/>
              </w:rPr>
            </w:pPr>
          </w:p>
          <w:p w14:paraId="198FFFB3">
            <w:pPr>
              <w:keepNext w:val="0"/>
              <w:keepLines w:val="0"/>
              <w:pageBreakBefore w:val="0"/>
              <w:widowControl w:val="0"/>
              <w:kinsoku/>
              <w:wordWrap/>
              <w:overflowPunct/>
              <w:topLinePunct w:val="0"/>
              <w:autoSpaceDE/>
              <w:autoSpaceDN/>
              <w:bidi w:val="0"/>
              <w:spacing w:line="360" w:lineRule="auto"/>
              <w:textAlignment w:val="auto"/>
              <w:rPr>
                <w:rFonts w:hint="eastAsia" w:ascii="Times New Roman" w:hAnsi="Times New Roman" w:eastAsia="宋体" w:cs="Times New Roman"/>
                <w:color w:val="auto"/>
                <w:sz w:val="24"/>
                <w:szCs w:val="24"/>
                <w:lang w:val="en-US" w:eastAsia="zh-CN"/>
              </w:rPr>
            </w:pPr>
          </w:p>
        </w:tc>
      </w:tr>
    </w:tbl>
    <w:p w14:paraId="02CD0DD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12DBED28">
      <w:pPr>
        <w:pStyle w:val="22"/>
        <w:spacing w:before="0" w:beforeAutospacing="0" w:after="0" w:afterAutospacing="0" w:line="360" w:lineRule="auto"/>
        <w:jc w:val="center"/>
        <w:outlineLvl w:val="0"/>
        <w:rPr>
          <w:rFonts w:ascii="Times New Roman" w:hAnsi="Times New Roman"/>
          <w:b/>
          <w:bCs/>
          <w:snapToGrid w:val="0"/>
          <w:sz w:val="30"/>
          <w:szCs w:val="30"/>
          <w:u w:val="single"/>
        </w:rPr>
      </w:pPr>
      <w:bookmarkStart w:id="21" w:name="_Toc30425"/>
      <w:bookmarkStart w:id="22" w:name="_Toc21252"/>
      <w:r>
        <w:rPr>
          <w:rFonts w:ascii="Times New Roman" w:hAnsi="Times New Roman"/>
          <w:b/>
          <w:bCs/>
          <w:snapToGrid w:val="0"/>
          <w:sz w:val="30"/>
          <w:szCs w:val="30"/>
          <w:u w:val="single"/>
        </w:rPr>
        <w:t>五、</w:t>
      </w:r>
      <w:bookmarkStart w:id="23" w:name="_Hlk54167917"/>
      <w:r>
        <w:rPr>
          <w:rFonts w:ascii="Times New Roman" w:hAnsi="Times New Roman"/>
          <w:b/>
          <w:bCs/>
          <w:snapToGrid w:val="0"/>
          <w:sz w:val="30"/>
          <w:szCs w:val="30"/>
          <w:u w:val="single"/>
        </w:rPr>
        <w:t>环境保护措施监督检查清单</w:t>
      </w:r>
      <w:bookmarkEnd w:id="21"/>
      <w:bookmarkEnd w:id="22"/>
      <w:bookmarkEnd w:id="23"/>
    </w:p>
    <w:tbl>
      <w:tblPr>
        <w:tblStyle w:val="25"/>
        <w:tblW w:w="49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682"/>
        <w:gridCol w:w="1783"/>
        <w:gridCol w:w="1803"/>
        <w:gridCol w:w="2042"/>
      </w:tblGrid>
      <w:tr w14:paraId="44DB2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78" w:type="pct"/>
            <w:tcBorders>
              <w:tl2br w:val="nil"/>
              <w:tr2bl w:val="nil"/>
            </w:tcBorders>
            <w:vAlign w:val="center"/>
          </w:tcPr>
          <w:p w14:paraId="79107BD3">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4" w:name="_Toc111626329"/>
            <w:bookmarkStart w:id="25" w:name="_Toc111626089"/>
            <w:r>
              <w:rPr>
                <w:rFonts w:hint="default" w:ascii="Times New Roman" w:hAnsi="Times New Roman" w:eastAsia="宋体" w:cs="Times New Roman"/>
                <w:b/>
                <w:bCs/>
                <w:snapToGrid w:val="0"/>
                <w:kern w:val="0"/>
                <w:sz w:val="24"/>
                <w:szCs w:val="24"/>
                <w:u w:val="single"/>
              </w:rPr>
              <w:t>内容要素</w:t>
            </w:r>
            <w:bookmarkEnd w:id="24"/>
            <w:bookmarkEnd w:id="25"/>
          </w:p>
        </w:tc>
        <w:tc>
          <w:tcPr>
            <w:tcW w:w="994" w:type="pct"/>
            <w:tcBorders>
              <w:tl2br w:val="nil"/>
              <w:tr2bl w:val="nil"/>
            </w:tcBorders>
            <w:vAlign w:val="center"/>
          </w:tcPr>
          <w:p w14:paraId="2584C58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6" w:name="_Toc111626090"/>
            <w:bookmarkStart w:id="27" w:name="_Toc111626330"/>
            <w:r>
              <w:rPr>
                <w:rFonts w:hint="default" w:ascii="Times New Roman" w:hAnsi="Times New Roman" w:eastAsia="宋体" w:cs="Times New Roman"/>
                <w:b/>
                <w:bCs/>
                <w:snapToGrid w:val="0"/>
                <w:kern w:val="0"/>
                <w:sz w:val="24"/>
                <w:szCs w:val="24"/>
                <w:u w:val="single"/>
              </w:rPr>
              <w:t>排放口（编号、名称）/污染源</w:t>
            </w:r>
            <w:bookmarkEnd w:id="26"/>
            <w:bookmarkEnd w:id="27"/>
          </w:p>
        </w:tc>
        <w:tc>
          <w:tcPr>
            <w:tcW w:w="1054" w:type="pct"/>
            <w:tcBorders>
              <w:tl2br w:val="nil"/>
              <w:tr2bl w:val="nil"/>
            </w:tcBorders>
            <w:vAlign w:val="center"/>
          </w:tcPr>
          <w:p w14:paraId="7A695AB8">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28" w:name="_Toc111626331"/>
            <w:bookmarkStart w:id="29" w:name="_Toc111626091"/>
            <w:r>
              <w:rPr>
                <w:rFonts w:hint="default" w:ascii="Times New Roman" w:hAnsi="Times New Roman" w:eastAsia="宋体" w:cs="Times New Roman"/>
                <w:b/>
                <w:bCs/>
                <w:snapToGrid w:val="0"/>
                <w:kern w:val="0"/>
                <w:sz w:val="24"/>
                <w:szCs w:val="24"/>
                <w:u w:val="single"/>
              </w:rPr>
              <w:t>污染物项目</w:t>
            </w:r>
            <w:bookmarkEnd w:id="28"/>
            <w:bookmarkEnd w:id="29"/>
          </w:p>
        </w:tc>
        <w:tc>
          <w:tcPr>
            <w:tcW w:w="1065" w:type="pct"/>
            <w:tcBorders>
              <w:tl2br w:val="nil"/>
              <w:tr2bl w:val="nil"/>
            </w:tcBorders>
            <w:vAlign w:val="center"/>
          </w:tcPr>
          <w:p w14:paraId="13222E6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0" w:name="_Toc111626092"/>
            <w:bookmarkStart w:id="31" w:name="_Toc111626332"/>
            <w:r>
              <w:rPr>
                <w:rFonts w:hint="default" w:ascii="Times New Roman" w:hAnsi="Times New Roman" w:eastAsia="宋体" w:cs="Times New Roman"/>
                <w:b/>
                <w:bCs/>
                <w:snapToGrid w:val="0"/>
                <w:kern w:val="0"/>
                <w:sz w:val="24"/>
                <w:szCs w:val="24"/>
                <w:u w:val="single"/>
              </w:rPr>
              <w:t>环境保护措施</w:t>
            </w:r>
            <w:bookmarkEnd w:id="30"/>
            <w:bookmarkEnd w:id="31"/>
          </w:p>
        </w:tc>
        <w:tc>
          <w:tcPr>
            <w:tcW w:w="1207" w:type="pct"/>
            <w:tcBorders>
              <w:tl2br w:val="nil"/>
              <w:tr2bl w:val="nil"/>
            </w:tcBorders>
            <w:vAlign w:val="center"/>
          </w:tcPr>
          <w:p w14:paraId="3C4A9F57">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bCs/>
                <w:snapToGrid w:val="0"/>
                <w:kern w:val="0"/>
                <w:sz w:val="24"/>
                <w:szCs w:val="24"/>
                <w:u w:val="single"/>
              </w:rPr>
            </w:pPr>
            <w:bookmarkStart w:id="32" w:name="_Toc111626093"/>
            <w:bookmarkStart w:id="33" w:name="_Toc111626333"/>
            <w:r>
              <w:rPr>
                <w:rFonts w:hint="default" w:ascii="Times New Roman" w:hAnsi="Times New Roman" w:eastAsia="宋体" w:cs="Times New Roman"/>
                <w:b/>
                <w:bCs/>
                <w:snapToGrid w:val="0"/>
                <w:kern w:val="0"/>
                <w:sz w:val="24"/>
                <w:szCs w:val="24"/>
                <w:u w:val="single"/>
              </w:rPr>
              <w:t>执行标准</w:t>
            </w:r>
            <w:bookmarkEnd w:id="32"/>
            <w:bookmarkEnd w:id="33"/>
          </w:p>
        </w:tc>
      </w:tr>
      <w:tr w14:paraId="18E9C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8" w:type="pct"/>
            <w:vMerge w:val="restart"/>
            <w:tcBorders>
              <w:tl2br w:val="nil"/>
              <w:tr2bl w:val="nil"/>
            </w:tcBorders>
            <w:vAlign w:val="center"/>
          </w:tcPr>
          <w:p w14:paraId="2C5C7D0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4" w:name="_Toc111626094"/>
            <w:bookmarkStart w:id="35" w:name="_Toc111626334"/>
            <w:r>
              <w:rPr>
                <w:rFonts w:hint="default" w:ascii="Times New Roman" w:hAnsi="Times New Roman" w:eastAsia="宋体" w:cs="Times New Roman"/>
                <w:b w:val="0"/>
                <w:bCs w:val="0"/>
                <w:snapToGrid w:val="0"/>
                <w:kern w:val="0"/>
                <w:sz w:val="24"/>
                <w:szCs w:val="24"/>
                <w:u w:val="single"/>
              </w:rPr>
              <w:t>大气环境</w:t>
            </w:r>
            <w:bookmarkEnd w:id="34"/>
            <w:bookmarkEnd w:id="35"/>
          </w:p>
        </w:tc>
        <w:tc>
          <w:tcPr>
            <w:tcW w:w="994" w:type="pct"/>
            <w:tcBorders>
              <w:tl2br w:val="nil"/>
              <w:tr2bl w:val="nil"/>
            </w:tcBorders>
            <w:vAlign w:val="center"/>
          </w:tcPr>
          <w:p w14:paraId="5EADDE18">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医疗废物</w:t>
            </w:r>
          </w:p>
          <w:p w14:paraId="21FF86BD">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暂存间异味</w:t>
            </w:r>
          </w:p>
        </w:tc>
        <w:tc>
          <w:tcPr>
            <w:tcW w:w="1054" w:type="pct"/>
            <w:tcBorders>
              <w:tl2br w:val="nil"/>
              <w:tr2bl w:val="nil"/>
            </w:tcBorders>
            <w:vAlign w:val="center"/>
          </w:tcPr>
          <w:p w14:paraId="430E90AE">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臭气浓度</w:t>
            </w:r>
          </w:p>
        </w:tc>
        <w:tc>
          <w:tcPr>
            <w:tcW w:w="1065" w:type="pct"/>
            <w:tcBorders>
              <w:tl2br w:val="nil"/>
              <w:tr2bl w:val="nil"/>
            </w:tcBorders>
            <w:vAlign w:val="center"/>
          </w:tcPr>
          <w:p w14:paraId="099447E4">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封闭房间，加强清洁及消毒</w:t>
            </w:r>
          </w:p>
        </w:tc>
        <w:tc>
          <w:tcPr>
            <w:tcW w:w="1207" w:type="pct"/>
            <w:vMerge w:val="restart"/>
            <w:tcBorders>
              <w:tl2br w:val="nil"/>
              <w:tr2bl w:val="nil"/>
            </w:tcBorders>
            <w:vAlign w:val="center"/>
          </w:tcPr>
          <w:p w14:paraId="6530B986">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w:t>
            </w:r>
          </w:p>
        </w:tc>
      </w:tr>
      <w:tr w14:paraId="4CA08F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4E52EC64">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6" w:name="_Toc111626341"/>
            <w:bookmarkStart w:id="37" w:name="_Toc111626101"/>
          </w:p>
        </w:tc>
        <w:tc>
          <w:tcPr>
            <w:tcW w:w="994" w:type="pct"/>
            <w:tcBorders>
              <w:tl2br w:val="nil"/>
              <w:tr2bl w:val="nil"/>
            </w:tcBorders>
            <w:vAlign w:val="center"/>
          </w:tcPr>
          <w:p w14:paraId="1E5A75ED">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医疗废气</w:t>
            </w:r>
          </w:p>
        </w:tc>
        <w:tc>
          <w:tcPr>
            <w:tcW w:w="1054" w:type="pct"/>
            <w:tcBorders>
              <w:tl2br w:val="nil"/>
              <w:tr2bl w:val="nil"/>
            </w:tcBorders>
            <w:vAlign w:val="center"/>
          </w:tcPr>
          <w:p w14:paraId="064F5DA9">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异味</w:t>
            </w:r>
          </w:p>
        </w:tc>
        <w:tc>
          <w:tcPr>
            <w:tcW w:w="1065" w:type="pct"/>
            <w:tcBorders>
              <w:tl2br w:val="nil"/>
              <w:tr2bl w:val="nil"/>
            </w:tcBorders>
            <w:vAlign w:val="center"/>
          </w:tcPr>
          <w:p w14:paraId="71E34C4F">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加强开窗通风</w:t>
            </w:r>
          </w:p>
        </w:tc>
        <w:tc>
          <w:tcPr>
            <w:tcW w:w="1207" w:type="pct"/>
            <w:vMerge w:val="continue"/>
            <w:tcBorders>
              <w:tl2br w:val="nil"/>
              <w:tr2bl w:val="nil"/>
            </w:tcBorders>
            <w:vAlign w:val="center"/>
          </w:tcPr>
          <w:p w14:paraId="64B82FB2">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14:paraId="75AA4F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8" w:type="pct"/>
            <w:vMerge w:val="continue"/>
            <w:tcBorders>
              <w:tl2br w:val="nil"/>
              <w:tr2bl w:val="nil"/>
            </w:tcBorders>
            <w:vAlign w:val="center"/>
          </w:tcPr>
          <w:p w14:paraId="5D931A6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14:paraId="1A3EAD12">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煎药废气</w:t>
            </w:r>
          </w:p>
        </w:tc>
        <w:tc>
          <w:tcPr>
            <w:tcW w:w="1054" w:type="pct"/>
            <w:tcBorders>
              <w:tl2br w:val="nil"/>
              <w:tr2bl w:val="nil"/>
            </w:tcBorders>
            <w:vAlign w:val="center"/>
          </w:tcPr>
          <w:p w14:paraId="6B7D31CE">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异味</w:t>
            </w:r>
          </w:p>
        </w:tc>
        <w:tc>
          <w:tcPr>
            <w:tcW w:w="1065" w:type="pct"/>
            <w:tcBorders>
              <w:tl2br w:val="nil"/>
              <w:tr2bl w:val="nil"/>
            </w:tcBorders>
            <w:vAlign w:val="center"/>
          </w:tcPr>
          <w:p w14:paraId="1226D781">
            <w:pPr>
              <w:bidi w:val="0"/>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eastAsia="zh-CN"/>
              </w:rPr>
              <w:t>加强通风</w:t>
            </w:r>
          </w:p>
        </w:tc>
        <w:tc>
          <w:tcPr>
            <w:tcW w:w="1207" w:type="pct"/>
            <w:vMerge w:val="continue"/>
            <w:tcBorders>
              <w:tl2br w:val="nil"/>
              <w:tr2bl w:val="nil"/>
            </w:tcBorders>
            <w:vAlign w:val="center"/>
          </w:tcPr>
          <w:p w14:paraId="19763830">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p>
        </w:tc>
      </w:tr>
      <w:tr w14:paraId="1EF52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466CF95F">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14:paraId="032FFEC1">
            <w:pPr>
              <w:bidi w:val="0"/>
              <w:spacing w:line="240" w:lineRule="auto"/>
              <w:jc w:val="center"/>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污水处理站废气</w:t>
            </w:r>
          </w:p>
        </w:tc>
        <w:tc>
          <w:tcPr>
            <w:tcW w:w="1054" w:type="pct"/>
            <w:tcBorders>
              <w:tl2br w:val="nil"/>
              <w:tr2bl w:val="nil"/>
            </w:tcBorders>
            <w:vAlign w:val="center"/>
          </w:tcPr>
          <w:p w14:paraId="63CEAB9D">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eastAsia="zh-CN"/>
              </w:rPr>
              <w:t>氨、硫化氢、臭气浓度</w:t>
            </w:r>
          </w:p>
        </w:tc>
        <w:tc>
          <w:tcPr>
            <w:tcW w:w="1065" w:type="pct"/>
            <w:tcBorders>
              <w:tl2br w:val="nil"/>
              <w:tr2bl w:val="nil"/>
            </w:tcBorders>
            <w:vAlign w:val="center"/>
          </w:tcPr>
          <w:p w14:paraId="0794AD7A">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ascii="Times New Roman" w:hAnsi="Times New Roman" w:eastAsia="宋体" w:cs="Times New Roman"/>
                <w:b w:val="0"/>
                <w:bCs w:val="0"/>
                <w:sz w:val="24"/>
                <w:szCs w:val="24"/>
                <w:u w:val="single"/>
              </w:rPr>
              <w:t>采用一体化污水处理设施，污水处理设施采</w:t>
            </w:r>
            <w:r>
              <w:rPr>
                <w:rFonts w:hint="eastAsia" w:ascii="Times New Roman" w:hAnsi="Times New Roman" w:eastAsia="宋体" w:cs="Times New Roman"/>
                <w:b w:val="0"/>
                <w:bCs w:val="0"/>
                <w:sz w:val="24"/>
                <w:szCs w:val="24"/>
                <w:u w:val="single"/>
                <w:lang w:eastAsia="zh-CN"/>
              </w:rPr>
              <w:t>取地埋式</w:t>
            </w:r>
            <w:r>
              <w:rPr>
                <w:rFonts w:ascii="Times New Roman" w:hAnsi="Times New Roman" w:eastAsia="宋体" w:cs="Times New Roman"/>
                <w:b w:val="0"/>
                <w:bCs w:val="0"/>
                <w:sz w:val="24"/>
                <w:szCs w:val="24"/>
                <w:u w:val="single"/>
              </w:rPr>
              <w:t>封闭设置</w:t>
            </w:r>
            <w:r>
              <w:rPr>
                <w:rFonts w:hint="eastAsia" w:ascii="Times New Roman" w:hAnsi="Times New Roman" w:eastAsia="宋体" w:cs="Times New Roman"/>
                <w:b w:val="0"/>
                <w:bCs w:val="0"/>
                <w:sz w:val="24"/>
                <w:szCs w:val="24"/>
                <w:u w:val="single"/>
                <w:lang w:eastAsia="zh-CN"/>
              </w:rPr>
              <w:t>，</w:t>
            </w:r>
            <w:r>
              <w:rPr>
                <w:rFonts w:hint="default" w:ascii="Times New Roman" w:hAnsi="Times New Roman" w:eastAsia="宋体" w:cs="Times New Roman"/>
                <w:b w:val="0"/>
                <w:bCs w:val="0"/>
                <w:color w:val="auto"/>
                <w:sz w:val="24"/>
                <w:szCs w:val="24"/>
                <w:highlight w:val="none"/>
                <w:u w:val="single"/>
                <w:lang w:val="en-US" w:eastAsia="zh-CN"/>
              </w:rPr>
              <w:t>同时加强污水处理站周边绿化等措施</w:t>
            </w:r>
          </w:p>
        </w:tc>
        <w:tc>
          <w:tcPr>
            <w:tcW w:w="1207" w:type="pct"/>
            <w:tcBorders>
              <w:tl2br w:val="nil"/>
              <w:tr2bl w:val="nil"/>
            </w:tcBorders>
            <w:vAlign w:val="center"/>
          </w:tcPr>
          <w:p w14:paraId="2C311758">
            <w:pPr>
              <w:bidi w:val="0"/>
              <w:spacing w:line="240" w:lineRule="auto"/>
              <w:jc w:val="center"/>
              <w:rPr>
                <w:rFonts w:hint="eastAsia"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《医疗机构水污染物排放标准》（</w:t>
            </w:r>
            <w:r>
              <w:rPr>
                <w:rFonts w:hint="default" w:ascii="Times New Roman" w:hAnsi="Times New Roman" w:eastAsia="宋体" w:cs="Times New Roman"/>
                <w:b w:val="0"/>
                <w:bCs w:val="0"/>
                <w:sz w:val="24"/>
                <w:szCs w:val="24"/>
                <w:u w:val="single"/>
                <w:lang w:val="en-US" w:eastAsia="zh-CN"/>
              </w:rPr>
              <w:t>GB18466-2005</w:t>
            </w:r>
            <w:r>
              <w:rPr>
                <w:rFonts w:hint="eastAsia" w:ascii="Times New Roman" w:hAnsi="Times New Roman" w:eastAsia="宋体" w:cs="Times New Roman"/>
                <w:b w:val="0"/>
                <w:bCs w:val="0"/>
                <w:sz w:val="24"/>
                <w:szCs w:val="24"/>
                <w:u w:val="single"/>
                <w:lang w:val="en-US" w:eastAsia="zh-CN"/>
              </w:rPr>
              <w:t>）表3中污水处理站周边大气污染物最高允许浓度限值要求</w:t>
            </w:r>
          </w:p>
        </w:tc>
      </w:tr>
      <w:tr w14:paraId="2C202F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02166680">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994" w:type="pct"/>
            <w:tcBorders>
              <w:tl2br w:val="nil"/>
              <w:tr2bl w:val="nil"/>
            </w:tcBorders>
            <w:vAlign w:val="center"/>
          </w:tcPr>
          <w:p w14:paraId="6F51C4AC">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食堂油烟废气</w:t>
            </w:r>
          </w:p>
        </w:tc>
        <w:tc>
          <w:tcPr>
            <w:tcW w:w="1054" w:type="pct"/>
            <w:tcBorders>
              <w:tl2br w:val="nil"/>
              <w:tr2bl w:val="nil"/>
            </w:tcBorders>
            <w:vAlign w:val="center"/>
          </w:tcPr>
          <w:p w14:paraId="4644644A">
            <w:pPr>
              <w:bidi w:val="0"/>
              <w:spacing w:line="240" w:lineRule="auto"/>
              <w:jc w:val="center"/>
              <w:rPr>
                <w:rFonts w:hint="eastAsia" w:ascii="Times New Roman" w:hAnsi="Times New Roman" w:eastAsia="宋体" w:cs="Times New Roman"/>
                <w:b w:val="0"/>
                <w:bCs w:val="0"/>
                <w:sz w:val="24"/>
                <w:szCs w:val="24"/>
                <w:u w:val="single"/>
                <w:lang w:eastAsia="zh-CN"/>
              </w:rPr>
            </w:pPr>
            <w:r>
              <w:rPr>
                <w:rFonts w:hint="eastAsia" w:ascii="Times New Roman" w:hAnsi="Times New Roman" w:eastAsia="宋体" w:cs="Times New Roman"/>
                <w:b w:val="0"/>
                <w:bCs w:val="0"/>
                <w:sz w:val="24"/>
                <w:szCs w:val="24"/>
                <w:u w:val="single"/>
                <w:lang w:eastAsia="zh-CN"/>
              </w:rPr>
              <w:t>油烟</w:t>
            </w:r>
          </w:p>
        </w:tc>
        <w:tc>
          <w:tcPr>
            <w:tcW w:w="1065" w:type="pct"/>
            <w:tcBorders>
              <w:tl2br w:val="nil"/>
              <w:tr2bl w:val="nil"/>
            </w:tcBorders>
            <w:vAlign w:val="center"/>
          </w:tcPr>
          <w:p w14:paraId="696FC456">
            <w:pPr>
              <w:bidi w:val="0"/>
              <w:spacing w:line="240" w:lineRule="auto"/>
              <w:jc w:val="center"/>
              <w:rPr>
                <w:rFonts w:ascii="Times New Roman" w:hAnsi="Times New Roman" w:eastAsia="宋体" w:cs="Times New Roman"/>
                <w:b w:val="0"/>
                <w:bCs w:val="0"/>
                <w:sz w:val="24"/>
                <w:szCs w:val="24"/>
                <w:u w:val="single"/>
              </w:rPr>
            </w:pPr>
            <w:r>
              <w:rPr>
                <w:rFonts w:hint="eastAsia" w:ascii="Times New Roman" w:hAnsi="Times New Roman" w:eastAsia="宋体" w:cs="Times New Roman"/>
                <w:b w:val="0"/>
                <w:bCs w:val="0"/>
                <w:sz w:val="24"/>
                <w:szCs w:val="24"/>
                <w:u w:val="single"/>
              </w:rPr>
              <w:t>油烟净化器处理，经处理后屋顶高空排放</w:t>
            </w:r>
          </w:p>
        </w:tc>
        <w:tc>
          <w:tcPr>
            <w:tcW w:w="1207" w:type="pct"/>
            <w:tcBorders>
              <w:tl2br w:val="nil"/>
              <w:tr2bl w:val="nil"/>
            </w:tcBorders>
            <w:vAlign w:val="center"/>
          </w:tcPr>
          <w:p w14:paraId="5464152E">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sz w:val="24"/>
                <w:szCs w:val="24"/>
                <w:u w:val="single"/>
                <w:lang w:val="en-US" w:eastAsia="zh-CN"/>
              </w:rPr>
              <w:t>《饮食业油烟排放标准（试行）》（GB18483-2001）</w:t>
            </w:r>
          </w:p>
        </w:tc>
      </w:tr>
      <w:tr w14:paraId="5B6C5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78" w:type="pct"/>
            <w:tcBorders>
              <w:tl2br w:val="nil"/>
              <w:tr2bl w:val="nil"/>
            </w:tcBorders>
            <w:vAlign w:val="center"/>
          </w:tcPr>
          <w:p w14:paraId="6B93DAA4">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rPr>
            </w:pPr>
            <w:r>
              <w:rPr>
                <w:rFonts w:hint="default" w:ascii="Times New Roman" w:hAnsi="Times New Roman" w:eastAsia="宋体" w:cs="Times New Roman"/>
                <w:b w:val="0"/>
                <w:bCs w:val="0"/>
                <w:snapToGrid w:val="0"/>
                <w:kern w:val="0"/>
                <w:position w:val="0"/>
                <w:sz w:val="24"/>
                <w:szCs w:val="24"/>
                <w:u w:val="single"/>
              </w:rPr>
              <w:t>地表水环境</w:t>
            </w:r>
            <w:bookmarkEnd w:id="36"/>
            <w:bookmarkEnd w:id="37"/>
          </w:p>
        </w:tc>
        <w:tc>
          <w:tcPr>
            <w:tcW w:w="994" w:type="pct"/>
            <w:tcBorders>
              <w:tl2br w:val="nil"/>
              <w:tr2bl w:val="nil"/>
            </w:tcBorders>
            <w:vAlign w:val="center"/>
          </w:tcPr>
          <w:p w14:paraId="43EA338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eastAsia="zh-CN"/>
              </w:rPr>
            </w:pPr>
            <w:r>
              <w:rPr>
                <w:rFonts w:hint="eastAsia" w:ascii="Times New Roman" w:hAnsi="Times New Roman" w:eastAsia="宋体" w:cs="Times New Roman"/>
                <w:b w:val="0"/>
                <w:bCs w:val="0"/>
                <w:snapToGrid w:val="0"/>
                <w:kern w:val="0"/>
                <w:position w:val="0"/>
                <w:sz w:val="24"/>
                <w:szCs w:val="24"/>
                <w:u w:val="single"/>
                <w:lang w:val="en-US" w:eastAsia="zh-CN"/>
              </w:rPr>
              <w:t>综合医疗废水</w:t>
            </w:r>
          </w:p>
        </w:tc>
        <w:tc>
          <w:tcPr>
            <w:tcW w:w="1054" w:type="pct"/>
            <w:tcBorders>
              <w:tl2br w:val="nil"/>
              <w:tr2bl w:val="nil"/>
            </w:tcBorders>
            <w:vAlign w:val="center"/>
          </w:tcPr>
          <w:p w14:paraId="71C5CFD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rPr>
            </w:pPr>
            <w:r>
              <w:rPr>
                <w:rFonts w:hint="default" w:ascii="Times New Roman" w:hAnsi="Times New Roman" w:eastAsia="宋体" w:cs="Times New Roman"/>
                <w:b w:val="0"/>
                <w:bCs w:val="0"/>
                <w:sz w:val="24"/>
                <w:szCs w:val="24"/>
                <w:u w:val="single"/>
              </w:rPr>
              <w:t>pH、BOD</w:t>
            </w:r>
            <w:r>
              <w:rPr>
                <w:rFonts w:hint="default" w:ascii="Times New Roman" w:hAnsi="Times New Roman" w:eastAsia="宋体" w:cs="Times New Roman"/>
                <w:b w:val="0"/>
                <w:bCs w:val="0"/>
                <w:sz w:val="24"/>
                <w:szCs w:val="24"/>
                <w:u w:val="single"/>
                <w:vertAlign w:val="subscript"/>
              </w:rPr>
              <w:t>5</w:t>
            </w:r>
            <w:r>
              <w:rPr>
                <w:rFonts w:hint="default" w:ascii="Times New Roman" w:hAnsi="Times New Roman" w:eastAsia="宋体" w:cs="Times New Roman"/>
                <w:b w:val="0"/>
                <w:bCs w:val="0"/>
                <w:sz w:val="24"/>
                <w:szCs w:val="24"/>
                <w:u w:val="single"/>
              </w:rPr>
              <w:t>、CODcr、SS、NH</w:t>
            </w:r>
            <w:r>
              <w:rPr>
                <w:rFonts w:hint="default" w:ascii="Times New Roman" w:hAnsi="Times New Roman" w:eastAsia="宋体" w:cs="Times New Roman"/>
                <w:b w:val="0"/>
                <w:bCs w:val="0"/>
                <w:sz w:val="24"/>
                <w:szCs w:val="24"/>
                <w:u w:val="single"/>
                <w:vertAlign w:val="subscript"/>
              </w:rPr>
              <w:t>3</w:t>
            </w:r>
            <w:r>
              <w:rPr>
                <w:rFonts w:hint="default" w:ascii="Times New Roman" w:hAnsi="Times New Roman" w:eastAsia="宋体" w:cs="Times New Roman"/>
                <w:b w:val="0"/>
                <w:bCs w:val="0"/>
                <w:sz w:val="24"/>
                <w:szCs w:val="24"/>
                <w:u w:val="single"/>
              </w:rPr>
              <w:t>-N、粪大肠杆菌、</w:t>
            </w:r>
            <w:r>
              <w:rPr>
                <w:rFonts w:hint="eastAsia" w:ascii="Times New Roman" w:hAnsi="Times New Roman" w:eastAsia="宋体" w:cs="Times New Roman"/>
                <w:b w:val="0"/>
                <w:bCs w:val="0"/>
                <w:sz w:val="24"/>
                <w:szCs w:val="24"/>
                <w:u w:val="single"/>
                <w:lang w:val="en-US" w:eastAsia="zh-CN"/>
              </w:rPr>
              <w:t>动植物油、LAS</w:t>
            </w:r>
          </w:p>
        </w:tc>
        <w:tc>
          <w:tcPr>
            <w:tcW w:w="1065" w:type="pct"/>
            <w:tcBorders>
              <w:tl2br w:val="nil"/>
              <w:tr2bl w:val="nil"/>
            </w:tcBorders>
            <w:vAlign w:val="center"/>
          </w:tcPr>
          <w:p w14:paraId="6C5A3191">
            <w:pPr>
              <w:pStyle w:val="18"/>
              <w:keepNext w:val="0"/>
              <w:keepLines w:val="0"/>
              <w:pageBreakBefore w:val="0"/>
              <w:kinsoku/>
              <w:wordWrap/>
              <w:overflowPunct/>
              <w:topLinePunct w:val="0"/>
              <w:bidi w:val="0"/>
              <w:snapToGrid/>
              <w:spacing w:after="0" w:line="240" w:lineRule="auto"/>
              <w:ind w:left="0" w:leftChars="0" w:right="0" w:firstLine="0"/>
              <w:jc w:val="center"/>
              <w:textAlignment w:val="auto"/>
              <w:outlineLvl w:val="9"/>
              <w:rPr>
                <w:rFonts w:hint="default" w:ascii="Times New Roman" w:hAnsi="Times New Roman" w:eastAsia="宋体" w:cs="Times New Roman"/>
                <w:b w:val="0"/>
                <w:bCs w:val="0"/>
                <w:snapToGrid w:val="0"/>
                <w:kern w:val="0"/>
                <w:position w:val="0"/>
                <w:sz w:val="24"/>
                <w:szCs w:val="24"/>
                <w:u w:val="single"/>
                <w:lang w:val="en-US" w:bidi="zh-CN"/>
              </w:rPr>
            </w:pPr>
            <w:r>
              <w:rPr>
                <w:rFonts w:hint="default" w:ascii="Times New Roman" w:hAnsi="Times New Roman" w:eastAsia="宋体" w:cs="Times New Roman"/>
                <w:b w:val="0"/>
                <w:bCs w:val="0"/>
                <w:snapToGrid w:val="0"/>
                <w:kern w:val="0"/>
                <w:position w:val="0"/>
                <w:sz w:val="24"/>
                <w:szCs w:val="24"/>
                <w:u w:val="single"/>
                <w:lang w:bidi="zh-CN"/>
              </w:rPr>
              <w:t>化粪池</w:t>
            </w:r>
            <w:r>
              <w:rPr>
                <w:rFonts w:hint="eastAsia" w:ascii="Times New Roman" w:hAnsi="Times New Roman" w:eastAsia="宋体" w:cs="Times New Roman"/>
                <w:b w:val="0"/>
                <w:bCs w:val="0"/>
                <w:snapToGrid w:val="0"/>
                <w:kern w:val="0"/>
                <w:position w:val="0"/>
                <w:sz w:val="24"/>
                <w:szCs w:val="24"/>
                <w:u w:val="single"/>
                <w:lang w:val="en-US" w:bidi="zh-CN"/>
              </w:rPr>
              <w:t>+污水处理站（</w:t>
            </w:r>
            <w:r>
              <w:rPr>
                <w:rFonts w:hint="eastAsia" w:cs="Times New Roman"/>
                <w:b w:val="0"/>
                <w:bCs w:val="0"/>
                <w:snapToGrid w:val="0"/>
                <w:kern w:val="0"/>
                <w:position w:val="0"/>
                <w:sz w:val="24"/>
                <w:szCs w:val="24"/>
                <w:u w:val="single"/>
                <w:lang w:val="en-US" w:bidi="zh-CN"/>
              </w:rPr>
              <w:t>调节</w:t>
            </w:r>
            <w:r>
              <w:rPr>
                <w:rFonts w:hint="eastAsia" w:ascii="Times New Roman" w:hAnsi="Times New Roman" w:eastAsia="宋体" w:cs="Times New Roman"/>
                <w:b w:val="0"/>
                <w:bCs w:val="0"/>
                <w:snapToGrid w:val="0"/>
                <w:kern w:val="0"/>
                <w:position w:val="0"/>
                <w:sz w:val="24"/>
                <w:szCs w:val="24"/>
                <w:u w:val="single"/>
                <w:lang w:val="en-US" w:bidi="zh-CN"/>
              </w:rPr>
              <w:t>池+沉淀池+消毒）</w:t>
            </w:r>
          </w:p>
        </w:tc>
        <w:tc>
          <w:tcPr>
            <w:tcW w:w="1207" w:type="pct"/>
            <w:tcBorders>
              <w:tl2br w:val="nil"/>
              <w:tr2bl w:val="nil"/>
            </w:tcBorders>
            <w:vAlign w:val="center"/>
          </w:tcPr>
          <w:p w14:paraId="06FB3BE0">
            <w:pPr>
              <w:pStyle w:val="29"/>
              <w:keepNext w:val="0"/>
              <w:keepLines w:val="0"/>
              <w:pageBreakBefore w:val="0"/>
              <w:widowControl w:val="0"/>
              <w:kinsoku/>
              <w:wordWrap/>
              <w:overflowPunct/>
              <w:topLinePunct w:val="0"/>
              <w:autoSpaceDE w:val="0"/>
              <w:autoSpaceDN w:val="0"/>
              <w:bidi w:val="0"/>
              <w:adjustRightInd w:val="0"/>
              <w:snapToGrid/>
              <w:spacing w:line="240" w:lineRule="auto"/>
              <w:ind w:right="0" w:firstLine="0"/>
              <w:jc w:val="center"/>
              <w:textAlignment w:val="auto"/>
              <w:outlineLvl w:val="9"/>
              <w:rPr>
                <w:rFonts w:hint="default" w:ascii="Times New Roman" w:hAnsi="Times New Roman" w:eastAsia="宋体" w:cs="Times New Roman"/>
                <w:b w:val="0"/>
                <w:bCs w:val="0"/>
                <w:position w:val="0"/>
                <w:sz w:val="24"/>
                <w:szCs w:val="24"/>
                <w:u w:val="single"/>
              </w:rPr>
            </w:pPr>
            <w:r>
              <w:rPr>
                <w:rFonts w:hint="default" w:ascii="Times New Roman" w:hAnsi="Times New Roman" w:eastAsia="宋体" w:cs="Times New Roman"/>
                <w:b w:val="0"/>
                <w:bCs w:val="0"/>
                <w:sz w:val="24"/>
                <w:szCs w:val="24"/>
                <w:u w:val="single"/>
              </w:rPr>
              <w:t>《医疗机构水污染物排放标准》（GB18466-2005）表2</w:t>
            </w:r>
            <w:r>
              <w:rPr>
                <w:rFonts w:hint="default" w:ascii="Times New Roman" w:hAnsi="Times New Roman" w:eastAsia="宋体" w:cs="Times New Roman"/>
                <w:b w:val="0"/>
                <w:bCs w:val="0"/>
                <w:sz w:val="24"/>
                <w:szCs w:val="24"/>
                <w:u w:val="single"/>
                <w:lang w:eastAsia="zh-CN"/>
              </w:rPr>
              <w:t>综合医疗机构和其他医疗机构水污染物排放限值</w:t>
            </w:r>
            <w:r>
              <w:rPr>
                <w:rFonts w:hint="default" w:ascii="Times New Roman" w:hAnsi="Times New Roman" w:eastAsia="宋体" w:cs="Times New Roman"/>
                <w:b w:val="0"/>
                <w:bCs w:val="0"/>
                <w:sz w:val="24"/>
                <w:szCs w:val="24"/>
                <w:u w:val="single"/>
              </w:rPr>
              <w:t>的预处理标准</w:t>
            </w:r>
          </w:p>
        </w:tc>
      </w:tr>
      <w:tr w14:paraId="6D87D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678" w:type="pct"/>
            <w:tcBorders>
              <w:tl2br w:val="nil"/>
              <w:tr2bl w:val="nil"/>
            </w:tcBorders>
            <w:vAlign w:val="center"/>
          </w:tcPr>
          <w:p w14:paraId="1EDAF46A">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38" w:name="_Toc111626348"/>
            <w:bookmarkStart w:id="39" w:name="_Toc111626108"/>
            <w:r>
              <w:rPr>
                <w:rFonts w:hint="default" w:ascii="Times New Roman" w:hAnsi="Times New Roman" w:eastAsia="宋体" w:cs="Times New Roman"/>
                <w:b w:val="0"/>
                <w:bCs w:val="0"/>
                <w:snapToGrid w:val="0"/>
                <w:kern w:val="0"/>
                <w:sz w:val="24"/>
                <w:szCs w:val="24"/>
                <w:u w:val="single"/>
              </w:rPr>
              <w:t>声环境</w:t>
            </w:r>
            <w:bookmarkEnd w:id="38"/>
            <w:bookmarkEnd w:id="39"/>
          </w:p>
        </w:tc>
        <w:tc>
          <w:tcPr>
            <w:tcW w:w="994" w:type="pct"/>
            <w:tcBorders>
              <w:tl2br w:val="nil"/>
              <w:tr2bl w:val="nil"/>
            </w:tcBorders>
            <w:vAlign w:val="center"/>
          </w:tcPr>
          <w:p w14:paraId="7501ADD3">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0" w:name="_Toc111626349"/>
            <w:bookmarkStart w:id="41" w:name="_Toc111626109"/>
            <w:r>
              <w:rPr>
                <w:rFonts w:hint="eastAsia" w:ascii="Times New Roman" w:hAnsi="Times New Roman" w:eastAsia="宋体" w:cs="Times New Roman"/>
                <w:b w:val="0"/>
                <w:bCs w:val="0"/>
                <w:snapToGrid w:val="0"/>
                <w:kern w:val="0"/>
                <w:sz w:val="24"/>
                <w:szCs w:val="24"/>
                <w:u w:val="single"/>
                <w:lang w:val="en-US" w:eastAsia="zh-CN"/>
              </w:rPr>
              <w:t>设备运行噪声、社会生活噪声等</w:t>
            </w:r>
            <w:bookmarkEnd w:id="40"/>
            <w:bookmarkEnd w:id="41"/>
          </w:p>
        </w:tc>
        <w:tc>
          <w:tcPr>
            <w:tcW w:w="1054" w:type="pct"/>
            <w:tcBorders>
              <w:tl2br w:val="nil"/>
              <w:tr2bl w:val="nil"/>
            </w:tcBorders>
            <w:vAlign w:val="center"/>
          </w:tcPr>
          <w:p w14:paraId="7C552699">
            <w:pPr>
              <w:pStyle w:val="33"/>
              <w:keepNext w:val="0"/>
              <w:keepLines w:val="0"/>
              <w:pageBreakBefore w:val="0"/>
              <w:kinsoku/>
              <w:wordWrap/>
              <w:overflowPunct/>
              <w:topLinePunct w:val="0"/>
              <w:bidi w:val="0"/>
              <w:snapToGrid/>
              <w:spacing w:line="240" w:lineRule="auto"/>
              <w:ind w:right="0" w:firstLine="0"/>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position w:val="2"/>
                <w:sz w:val="24"/>
                <w:szCs w:val="24"/>
                <w:u w:val="single"/>
                <w:lang w:val="en-US" w:bidi="ar-SA"/>
              </w:rPr>
              <w:t>厂界噪声（等效A声级</w:t>
            </w:r>
          </w:p>
        </w:tc>
        <w:tc>
          <w:tcPr>
            <w:tcW w:w="1065" w:type="pct"/>
            <w:tcBorders>
              <w:tl2br w:val="nil"/>
              <w:tr2bl w:val="nil"/>
            </w:tcBorders>
            <w:vAlign w:val="center"/>
          </w:tcPr>
          <w:p w14:paraId="499E696C">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2" w:name="_Toc111626350"/>
            <w:bookmarkStart w:id="43" w:name="_Toc111626110"/>
            <w:r>
              <w:rPr>
                <w:rFonts w:hint="default" w:ascii="Times New Roman" w:hAnsi="Times New Roman" w:eastAsia="宋体" w:cs="Times New Roman"/>
                <w:b w:val="0"/>
                <w:bCs w:val="0"/>
                <w:snapToGrid w:val="0"/>
                <w:kern w:val="0"/>
                <w:sz w:val="24"/>
                <w:szCs w:val="24"/>
                <w:u w:val="single"/>
              </w:rPr>
              <w:t>采取低噪声设备，主要噪声源采取基础减振、隔声装置</w:t>
            </w:r>
            <w:bookmarkEnd w:id="42"/>
            <w:bookmarkEnd w:id="43"/>
          </w:p>
        </w:tc>
        <w:tc>
          <w:tcPr>
            <w:tcW w:w="1207" w:type="pct"/>
            <w:tcBorders>
              <w:tl2br w:val="nil"/>
              <w:tr2bl w:val="nil"/>
            </w:tcBorders>
            <w:vAlign w:val="center"/>
          </w:tcPr>
          <w:p w14:paraId="7F2D6017">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eastAsia" w:ascii="Times New Roman" w:cs="Times New Roman"/>
                <w:b w:val="0"/>
                <w:bCs w:val="0"/>
                <w:sz w:val="24"/>
                <w:szCs w:val="24"/>
                <w:u w:val="single"/>
                <w:lang w:eastAsia="zh-CN"/>
              </w:rPr>
              <w:t>《社会生活环境噪声排放标准》（GB 22337-2008）</w:t>
            </w:r>
            <w:r>
              <w:rPr>
                <w:rFonts w:hint="default" w:ascii="Times New Roman" w:hAnsi="Times New Roman" w:eastAsia="宋体" w:cs="Times New Roman"/>
                <w:b w:val="0"/>
                <w:bCs w:val="0"/>
                <w:sz w:val="24"/>
                <w:szCs w:val="24"/>
                <w:u w:val="single"/>
              </w:rPr>
              <w:t>中2类标准</w:t>
            </w:r>
          </w:p>
        </w:tc>
      </w:tr>
      <w:tr w14:paraId="10F1F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tcBorders>
              <w:tl2br w:val="nil"/>
              <w:tr2bl w:val="nil"/>
            </w:tcBorders>
            <w:vAlign w:val="center"/>
          </w:tcPr>
          <w:p w14:paraId="565D584E">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4" w:name="_Toc111626111"/>
            <w:bookmarkStart w:id="45" w:name="_Toc111626351"/>
            <w:r>
              <w:rPr>
                <w:rFonts w:hint="default" w:ascii="Times New Roman" w:hAnsi="Times New Roman" w:eastAsia="宋体" w:cs="Times New Roman"/>
                <w:b w:val="0"/>
                <w:bCs w:val="0"/>
                <w:snapToGrid w:val="0"/>
                <w:kern w:val="0"/>
                <w:sz w:val="24"/>
                <w:szCs w:val="24"/>
                <w:u w:val="single"/>
              </w:rPr>
              <w:t>电磁辐射</w:t>
            </w:r>
            <w:bookmarkEnd w:id="44"/>
            <w:bookmarkEnd w:id="45"/>
          </w:p>
        </w:tc>
        <w:tc>
          <w:tcPr>
            <w:tcW w:w="994" w:type="pct"/>
            <w:tcBorders>
              <w:tl2br w:val="nil"/>
              <w:tr2bl w:val="nil"/>
            </w:tcBorders>
            <w:vAlign w:val="center"/>
          </w:tcPr>
          <w:p w14:paraId="6F918F5C">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6" w:name="_Toc111626352"/>
            <w:bookmarkStart w:id="47" w:name="_Toc111626112"/>
            <w:r>
              <w:rPr>
                <w:rFonts w:hint="default" w:ascii="Times New Roman" w:hAnsi="Times New Roman" w:eastAsia="宋体" w:cs="Times New Roman"/>
                <w:b w:val="0"/>
                <w:bCs w:val="0"/>
                <w:snapToGrid w:val="0"/>
                <w:kern w:val="0"/>
                <w:sz w:val="24"/>
                <w:szCs w:val="24"/>
                <w:u w:val="single"/>
              </w:rPr>
              <w:t>/</w:t>
            </w:r>
            <w:bookmarkEnd w:id="46"/>
            <w:bookmarkEnd w:id="47"/>
          </w:p>
        </w:tc>
        <w:tc>
          <w:tcPr>
            <w:tcW w:w="1054" w:type="pct"/>
            <w:tcBorders>
              <w:tl2br w:val="nil"/>
              <w:tr2bl w:val="nil"/>
            </w:tcBorders>
            <w:vAlign w:val="center"/>
          </w:tcPr>
          <w:p w14:paraId="4BE39FEF">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48" w:name="_Toc111626353"/>
            <w:bookmarkStart w:id="49" w:name="_Toc111626113"/>
            <w:r>
              <w:rPr>
                <w:rFonts w:hint="default" w:ascii="Times New Roman" w:hAnsi="Times New Roman" w:eastAsia="宋体" w:cs="Times New Roman"/>
                <w:b w:val="0"/>
                <w:bCs w:val="0"/>
                <w:snapToGrid w:val="0"/>
                <w:kern w:val="0"/>
                <w:sz w:val="24"/>
                <w:szCs w:val="24"/>
                <w:u w:val="single"/>
              </w:rPr>
              <w:t>/</w:t>
            </w:r>
            <w:bookmarkEnd w:id="48"/>
            <w:bookmarkEnd w:id="49"/>
          </w:p>
        </w:tc>
        <w:tc>
          <w:tcPr>
            <w:tcW w:w="1065" w:type="pct"/>
            <w:tcBorders>
              <w:tl2br w:val="nil"/>
              <w:tr2bl w:val="nil"/>
            </w:tcBorders>
            <w:vAlign w:val="center"/>
          </w:tcPr>
          <w:p w14:paraId="3D2146A0">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0" w:name="_Toc111626354"/>
            <w:bookmarkStart w:id="51" w:name="_Toc111626114"/>
            <w:r>
              <w:rPr>
                <w:rFonts w:hint="default" w:ascii="Times New Roman" w:hAnsi="Times New Roman" w:eastAsia="宋体" w:cs="Times New Roman"/>
                <w:b w:val="0"/>
                <w:bCs w:val="0"/>
                <w:snapToGrid w:val="0"/>
                <w:kern w:val="0"/>
                <w:sz w:val="24"/>
                <w:szCs w:val="24"/>
                <w:u w:val="single"/>
              </w:rPr>
              <w:t>/</w:t>
            </w:r>
            <w:bookmarkEnd w:id="50"/>
            <w:bookmarkEnd w:id="51"/>
          </w:p>
        </w:tc>
        <w:tc>
          <w:tcPr>
            <w:tcW w:w="1207" w:type="pct"/>
            <w:tcBorders>
              <w:tl2br w:val="nil"/>
              <w:tr2bl w:val="nil"/>
            </w:tcBorders>
            <w:vAlign w:val="center"/>
          </w:tcPr>
          <w:p w14:paraId="110A4AEB">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w:t>
            </w:r>
          </w:p>
        </w:tc>
      </w:tr>
      <w:tr w14:paraId="4A099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restart"/>
            <w:tcBorders>
              <w:tl2br w:val="nil"/>
              <w:tr2bl w:val="nil"/>
            </w:tcBorders>
            <w:vAlign w:val="center"/>
          </w:tcPr>
          <w:p w14:paraId="1E73BFF5">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2" w:name="_Toc111626355"/>
            <w:bookmarkStart w:id="53" w:name="_Toc111626115"/>
            <w:r>
              <w:rPr>
                <w:rFonts w:hint="default" w:ascii="Times New Roman" w:hAnsi="Times New Roman" w:eastAsia="宋体" w:cs="Times New Roman"/>
                <w:b w:val="0"/>
                <w:bCs w:val="0"/>
                <w:snapToGrid w:val="0"/>
                <w:kern w:val="0"/>
                <w:sz w:val="24"/>
                <w:szCs w:val="24"/>
                <w:u w:val="single"/>
              </w:rPr>
              <w:t>固体废物</w:t>
            </w:r>
            <w:bookmarkEnd w:id="52"/>
            <w:bookmarkEnd w:id="53"/>
          </w:p>
        </w:tc>
        <w:tc>
          <w:tcPr>
            <w:tcW w:w="2048" w:type="pct"/>
            <w:gridSpan w:val="2"/>
            <w:tcBorders>
              <w:tl2br w:val="nil"/>
              <w:tr2bl w:val="nil"/>
            </w:tcBorders>
            <w:vAlign w:val="center"/>
          </w:tcPr>
          <w:p w14:paraId="3FE7B56C">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4" w:name="_Toc111626116"/>
            <w:bookmarkStart w:id="55" w:name="_Toc111626356"/>
            <w:r>
              <w:rPr>
                <w:rFonts w:hint="default" w:ascii="Times New Roman" w:hAnsi="Times New Roman" w:eastAsia="宋体" w:cs="Times New Roman"/>
                <w:b w:val="0"/>
                <w:bCs w:val="0"/>
                <w:snapToGrid w:val="0"/>
                <w:kern w:val="0"/>
                <w:sz w:val="24"/>
                <w:szCs w:val="24"/>
                <w:u w:val="single"/>
              </w:rPr>
              <w:t>生活垃圾</w:t>
            </w:r>
            <w:bookmarkEnd w:id="54"/>
            <w:bookmarkEnd w:id="55"/>
          </w:p>
        </w:tc>
        <w:tc>
          <w:tcPr>
            <w:tcW w:w="1065" w:type="pct"/>
            <w:tcBorders>
              <w:tl2br w:val="nil"/>
              <w:tr2bl w:val="nil"/>
            </w:tcBorders>
            <w:vAlign w:val="center"/>
          </w:tcPr>
          <w:p w14:paraId="0C59E3D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6" w:name="_Toc111626118"/>
            <w:bookmarkStart w:id="57" w:name="_Toc111626358"/>
            <w:r>
              <w:rPr>
                <w:rFonts w:hint="eastAsia" w:ascii="Times New Roman" w:hAnsi="Times New Roman" w:eastAsia="宋体" w:cs="Times New Roman"/>
                <w:b w:val="0"/>
                <w:bCs w:val="0"/>
                <w:snapToGrid w:val="0"/>
                <w:kern w:val="0"/>
                <w:sz w:val="24"/>
                <w:szCs w:val="24"/>
                <w:u w:val="single"/>
                <w:lang w:val="en-US" w:eastAsia="zh-CN"/>
              </w:rPr>
              <w:t>垃圾桶</w:t>
            </w:r>
            <w:bookmarkEnd w:id="56"/>
            <w:bookmarkEnd w:id="57"/>
          </w:p>
        </w:tc>
        <w:tc>
          <w:tcPr>
            <w:tcW w:w="1207" w:type="pct"/>
            <w:vMerge w:val="restart"/>
            <w:tcBorders>
              <w:tl2br w:val="nil"/>
              <w:tr2bl w:val="nil"/>
            </w:tcBorders>
            <w:vAlign w:val="center"/>
          </w:tcPr>
          <w:p w14:paraId="6B49BFF7">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napToGrid w:val="0"/>
                <w:kern w:val="0"/>
                <w:sz w:val="24"/>
                <w:szCs w:val="24"/>
                <w:u w:val="single"/>
              </w:rPr>
              <w:t>定点收集，由环卫部门统一处理</w:t>
            </w:r>
          </w:p>
        </w:tc>
      </w:tr>
      <w:tr w14:paraId="6DEAF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2DBB5D44">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14:paraId="7645793A">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rPr>
              <w:t>中药渣</w:t>
            </w:r>
          </w:p>
        </w:tc>
        <w:tc>
          <w:tcPr>
            <w:tcW w:w="1065" w:type="pct"/>
            <w:tcBorders>
              <w:tl2br w:val="nil"/>
              <w:tr2bl w:val="nil"/>
            </w:tcBorders>
            <w:vAlign w:val="center"/>
          </w:tcPr>
          <w:p w14:paraId="2917D8F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lang w:val="en-US" w:eastAsia="zh-CN"/>
              </w:rPr>
            </w:pPr>
            <w:r>
              <w:rPr>
                <w:rFonts w:hint="eastAsia" w:ascii="Times New Roman" w:hAnsi="Times New Roman" w:eastAsia="宋体" w:cs="Times New Roman"/>
                <w:b w:val="0"/>
                <w:bCs w:val="0"/>
                <w:snapToGrid w:val="0"/>
                <w:kern w:val="0"/>
                <w:sz w:val="24"/>
                <w:szCs w:val="24"/>
                <w:u w:val="single"/>
                <w:lang w:val="en-US" w:eastAsia="zh-CN"/>
              </w:rPr>
              <w:t>药渣收集桶</w:t>
            </w:r>
          </w:p>
        </w:tc>
        <w:tc>
          <w:tcPr>
            <w:tcW w:w="1207" w:type="pct"/>
            <w:vMerge w:val="continue"/>
            <w:tcBorders>
              <w:tl2br w:val="nil"/>
              <w:tr2bl w:val="nil"/>
            </w:tcBorders>
            <w:vAlign w:val="center"/>
          </w:tcPr>
          <w:p w14:paraId="40A20A57">
            <w:pPr>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r>
      <w:tr w14:paraId="4DD21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8" w:type="pct"/>
            <w:vMerge w:val="continue"/>
            <w:tcBorders>
              <w:tl2br w:val="nil"/>
              <w:tr2bl w:val="nil"/>
            </w:tcBorders>
            <w:vAlign w:val="center"/>
          </w:tcPr>
          <w:p w14:paraId="4F95374D">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14:paraId="77E21098">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bookmarkStart w:id="58" w:name="_Toc111626359"/>
            <w:bookmarkStart w:id="59" w:name="_Toc111626119"/>
            <w:r>
              <w:rPr>
                <w:rFonts w:hint="default" w:ascii="Times New Roman" w:hAnsi="Times New Roman" w:eastAsia="宋体" w:cs="Times New Roman"/>
                <w:b w:val="0"/>
                <w:bCs w:val="0"/>
                <w:snapToGrid w:val="0"/>
                <w:kern w:val="0"/>
                <w:sz w:val="24"/>
                <w:szCs w:val="24"/>
                <w:u w:val="single"/>
              </w:rPr>
              <w:t>医疗废物</w:t>
            </w:r>
            <w:bookmarkEnd w:id="58"/>
            <w:bookmarkEnd w:id="59"/>
          </w:p>
        </w:tc>
        <w:tc>
          <w:tcPr>
            <w:tcW w:w="1065" w:type="pct"/>
            <w:tcBorders>
              <w:tl2br w:val="nil"/>
              <w:tr2bl w:val="nil"/>
            </w:tcBorders>
            <w:vAlign w:val="center"/>
          </w:tcPr>
          <w:p w14:paraId="2F19E82A">
            <w:pPr>
              <w:pStyle w:val="33"/>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napToGrid w:val="0"/>
                <w:kern w:val="0"/>
                <w:sz w:val="24"/>
                <w:szCs w:val="24"/>
                <w:u w:val="single"/>
                <w:lang w:val="en-US" w:eastAsia="zh-CN" w:bidi="ar-SA"/>
              </w:rPr>
              <w:t>危险废物暂存间</w:t>
            </w:r>
          </w:p>
        </w:tc>
        <w:tc>
          <w:tcPr>
            <w:tcW w:w="1207" w:type="pct"/>
            <w:tcBorders>
              <w:tl2br w:val="nil"/>
              <w:tr2bl w:val="nil"/>
            </w:tcBorders>
            <w:vAlign w:val="center"/>
          </w:tcPr>
          <w:p w14:paraId="3B191856">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r>
              <w:rPr>
                <w:rFonts w:hint="default" w:ascii="Times New Roman" w:hAnsi="Times New Roman" w:eastAsia="宋体" w:cs="Times New Roman"/>
                <w:b w:val="0"/>
                <w:bCs w:val="0"/>
                <w:snapToGrid w:val="0"/>
                <w:kern w:val="0"/>
                <w:sz w:val="24"/>
                <w:szCs w:val="24"/>
                <w:u w:val="single"/>
                <w:lang w:val="en-US" w:bidi="ar-SA"/>
              </w:rPr>
              <w:t>暂存于危废暂存间，定期交由有资质单位处置</w:t>
            </w:r>
          </w:p>
        </w:tc>
      </w:tr>
      <w:tr w14:paraId="247E61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8" w:type="pct"/>
            <w:vMerge w:val="continue"/>
            <w:tcBorders>
              <w:tl2br w:val="nil"/>
              <w:tr2bl w:val="nil"/>
            </w:tcBorders>
            <w:vAlign w:val="center"/>
          </w:tcPr>
          <w:p w14:paraId="503659A0">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14:paraId="05CEBA85">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一般废包装材料</w:t>
            </w:r>
          </w:p>
        </w:tc>
        <w:tc>
          <w:tcPr>
            <w:tcW w:w="1065" w:type="pct"/>
            <w:tcBorders>
              <w:tl2br w:val="nil"/>
              <w:tr2bl w:val="nil"/>
            </w:tcBorders>
            <w:vAlign w:val="center"/>
          </w:tcPr>
          <w:p w14:paraId="46008CA5">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val="en-US" w:eastAsia="zh-CN"/>
              </w:rPr>
              <w:t>一般固废暂存间</w:t>
            </w:r>
          </w:p>
        </w:tc>
        <w:tc>
          <w:tcPr>
            <w:tcW w:w="1207" w:type="pct"/>
            <w:tcBorders>
              <w:tl2br w:val="nil"/>
              <w:tr2bl w:val="nil"/>
            </w:tcBorders>
            <w:vAlign w:val="center"/>
          </w:tcPr>
          <w:p w14:paraId="1EBA5628">
            <w:pPr>
              <w:bidi w:val="0"/>
              <w:spacing w:line="240" w:lineRule="auto"/>
              <w:jc w:val="center"/>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color w:val="000000" w:themeColor="text1"/>
                <w:kern w:val="0"/>
                <w:sz w:val="24"/>
                <w:szCs w:val="24"/>
                <w:u w:val="single"/>
                <w:lang w:val="en-US" w:eastAsia="zh-CN"/>
                <w14:textFill>
                  <w14:solidFill>
                    <w14:schemeClr w14:val="tx1"/>
                  </w14:solidFill>
                </w14:textFill>
              </w:rPr>
              <w:t>暂存于一般固废暂存间</w:t>
            </w: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，定期交物资回收公司回收处理。</w:t>
            </w:r>
          </w:p>
        </w:tc>
      </w:tr>
      <w:tr w14:paraId="70784B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78" w:type="pct"/>
            <w:vMerge w:val="continue"/>
            <w:tcBorders>
              <w:tl2br w:val="nil"/>
              <w:tr2bl w:val="nil"/>
            </w:tcBorders>
            <w:vAlign w:val="center"/>
          </w:tcPr>
          <w:p w14:paraId="21D90FD1">
            <w:pPr>
              <w:keepNext w:val="0"/>
              <w:keepLines w:val="0"/>
              <w:pageBreakBefore w:val="0"/>
              <w:widowControl/>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napToGrid w:val="0"/>
                <w:kern w:val="0"/>
                <w:sz w:val="24"/>
                <w:szCs w:val="24"/>
                <w:u w:val="single"/>
              </w:rPr>
            </w:pPr>
          </w:p>
        </w:tc>
        <w:tc>
          <w:tcPr>
            <w:tcW w:w="2048" w:type="pct"/>
            <w:gridSpan w:val="2"/>
            <w:tcBorders>
              <w:tl2br w:val="nil"/>
              <w:tr2bl w:val="nil"/>
            </w:tcBorders>
            <w:vAlign w:val="center"/>
          </w:tcPr>
          <w:p w14:paraId="3A188D54">
            <w:pPr>
              <w:bidi w:val="0"/>
              <w:spacing w:line="240" w:lineRule="auto"/>
              <w:jc w:val="center"/>
              <w:rPr>
                <w:rFonts w:hint="eastAsia" w:ascii="Times New Roman" w:hAnsi="Times New Roman" w:eastAsia="宋体" w:cs="Times New Roman"/>
                <w:b w:val="0"/>
                <w:bCs w:val="0"/>
                <w:sz w:val="24"/>
                <w:szCs w:val="24"/>
                <w:u w:val="single"/>
                <w:lang w:val="en-US" w:eastAsia="zh-CN"/>
              </w:rPr>
            </w:pPr>
            <w:r>
              <w:rPr>
                <w:rFonts w:hint="default" w:ascii="Times New Roman" w:hAnsi="Times New Roman" w:eastAsia="宋体" w:cs="Times New Roman"/>
                <w:b w:val="0"/>
                <w:bCs w:val="0"/>
                <w:color w:val="000000" w:themeColor="text1"/>
                <w:kern w:val="0"/>
                <w:sz w:val="24"/>
                <w:szCs w:val="24"/>
                <w:u w:val="single"/>
                <w14:textFill>
                  <w14:solidFill>
                    <w14:schemeClr w14:val="tx1"/>
                  </w14:solidFill>
                </w14:textFill>
              </w:rPr>
              <w:t>污水处理站污泥</w:t>
            </w:r>
          </w:p>
        </w:tc>
        <w:tc>
          <w:tcPr>
            <w:tcW w:w="1065" w:type="pct"/>
            <w:tcBorders>
              <w:tl2br w:val="nil"/>
              <w:tr2bl w:val="nil"/>
            </w:tcBorders>
            <w:vAlign w:val="center"/>
          </w:tcPr>
          <w:p w14:paraId="5100D227">
            <w:pPr>
              <w:bidi w:val="0"/>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w:t>
            </w:r>
          </w:p>
        </w:tc>
        <w:tc>
          <w:tcPr>
            <w:tcW w:w="1207" w:type="pct"/>
            <w:tcBorders>
              <w:tl2br w:val="nil"/>
              <w:tr2bl w:val="nil"/>
            </w:tcBorders>
            <w:vAlign w:val="center"/>
          </w:tcPr>
          <w:p w14:paraId="39725D3E">
            <w:pPr>
              <w:pStyle w:val="14"/>
              <w:spacing w:line="240" w:lineRule="auto"/>
              <w:jc w:val="center"/>
              <w:rPr>
                <w:rFonts w:hint="default" w:ascii="Times New Roman" w:hAnsi="Times New Roman" w:eastAsia="宋体" w:cs="Times New Roman"/>
                <w:b w:val="0"/>
                <w:bCs w:val="0"/>
                <w:snapToGrid w:val="0"/>
                <w:color w:val="000000" w:themeColor="text1"/>
                <w:kern w:val="0"/>
                <w:sz w:val="24"/>
                <w:szCs w:val="24"/>
                <w:u w:val="single"/>
                <w14:textFill>
                  <w14:solidFill>
                    <w14:schemeClr w14:val="tx1"/>
                  </w14:solidFill>
                </w14:textFill>
              </w:rPr>
            </w:pP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委托有资质单位处理；</w:t>
            </w:r>
            <w:r>
              <w:rPr>
                <w:rFonts w:hint="eastAsia" w:ascii="Times New Roman" w:hAnsi="Times New Roman" w:eastAsia="宋体" w:cs="Times New Roman"/>
                <w:b w:val="0"/>
                <w:bCs w:val="0"/>
                <w:color w:val="000000" w:themeColor="text1"/>
                <w:sz w:val="24"/>
                <w:szCs w:val="24"/>
                <w:u w:val="single"/>
                <w:lang w:val="en-US" w:eastAsia="zh-CN"/>
                <w14:textFill>
                  <w14:solidFill>
                    <w14:schemeClr w14:val="tx1"/>
                  </w14:solidFill>
                </w14:textFill>
              </w:rPr>
              <w:t>即清即运，不在场内贮存</w:t>
            </w:r>
            <w:r>
              <w:rPr>
                <w:rFonts w:hint="eastAsia" w:ascii="Times New Roman" w:hAnsi="Times New Roman" w:eastAsia="宋体" w:cs="Times New Roman"/>
                <w:b w:val="0"/>
                <w:bCs w:val="0"/>
                <w:color w:val="000000" w:themeColor="text1"/>
                <w:sz w:val="24"/>
                <w:szCs w:val="24"/>
                <w:u w:val="single"/>
                <w:lang w:eastAsia="zh-CN"/>
                <w14:textFill>
                  <w14:solidFill>
                    <w14:schemeClr w14:val="tx1"/>
                  </w14:solidFill>
                </w14:textFill>
              </w:rPr>
              <w:t>。</w:t>
            </w:r>
          </w:p>
        </w:tc>
      </w:tr>
      <w:tr w14:paraId="525773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678" w:type="pct"/>
            <w:tcBorders>
              <w:tl2br w:val="nil"/>
              <w:tr2bl w:val="nil"/>
            </w:tcBorders>
            <w:vAlign w:val="center"/>
          </w:tcPr>
          <w:p w14:paraId="3E713850">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环境风险防范措施</w:t>
            </w:r>
          </w:p>
        </w:tc>
        <w:tc>
          <w:tcPr>
            <w:tcW w:w="4321" w:type="pct"/>
            <w:gridSpan w:val="4"/>
            <w:tcBorders>
              <w:tl2br w:val="nil"/>
              <w:tr2bl w:val="nil"/>
            </w:tcBorders>
            <w:vAlign w:val="center"/>
          </w:tcPr>
          <w:p w14:paraId="473E867C">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napToGrid w:val="0"/>
                <w:kern w:val="0"/>
                <w:sz w:val="24"/>
                <w:szCs w:val="24"/>
                <w:u w:val="single"/>
              </w:rPr>
            </w:pP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应制定环境风险管理制度，包括制定</w:t>
            </w:r>
            <w:r>
              <w:rPr>
                <w:rFonts w:hint="eastAsia" w:ascii="Times New Roman" w:hAnsi="Times New Roman" w:eastAsia="宋体" w:cs="Times New Roman"/>
                <w:b w:val="0"/>
                <w:bCs w:val="0"/>
                <w:sz w:val="24"/>
                <w:szCs w:val="24"/>
                <w:u w:val="single"/>
                <w:lang w:eastAsia="zh-CN"/>
              </w:rPr>
              <w:t>废水处理设施</w:t>
            </w:r>
            <w:r>
              <w:rPr>
                <w:rFonts w:hint="eastAsia" w:ascii="Times New Roman" w:hAnsi="Times New Roman" w:eastAsia="宋体" w:cs="Times New Roman"/>
                <w:b w:val="0"/>
                <w:bCs w:val="0"/>
                <w:sz w:val="24"/>
                <w:szCs w:val="24"/>
                <w:u w:val="single"/>
              </w:rPr>
              <w:t>管理、</w:t>
            </w:r>
            <w:r>
              <w:rPr>
                <w:rFonts w:hint="eastAsia" w:ascii="Times New Roman" w:hAnsi="Times New Roman" w:eastAsia="宋体" w:cs="Times New Roman"/>
                <w:b w:val="0"/>
                <w:bCs w:val="0"/>
                <w:sz w:val="24"/>
                <w:szCs w:val="24"/>
                <w:u w:val="single"/>
                <w:lang w:eastAsia="zh-CN"/>
              </w:rPr>
              <w:t>院区</w:t>
            </w:r>
            <w:r>
              <w:rPr>
                <w:rFonts w:hint="eastAsia" w:ascii="Times New Roman" w:hAnsi="Times New Roman" w:eastAsia="宋体" w:cs="Times New Roman"/>
                <w:b w:val="0"/>
                <w:bCs w:val="0"/>
                <w:sz w:val="24"/>
                <w:szCs w:val="24"/>
                <w:u w:val="single"/>
              </w:rPr>
              <w:t>等环保管理制度，明确规定了</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作业要求、环保管理要求等内容；对环境风险源、</w:t>
            </w:r>
            <w:r>
              <w:rPr>
                <w:rFonts w:hint="eastAsia" w:ascii="Times New Roman" w:hAnsi="Times New Roman" w:eastAsia="宋体" w:cs="Times New Roman"/>
                <w:b w:val="0"/>
                <w:bCs w:val="0"/>
                <w:sz w:val="24"/>
                <w:szCs w:val="24"/>
                <w:u w:val="single"/>
                <w:lang w:eastAsia="zh-CN"/>
              </w:rPr>
              <w:t>废水处理</w:t>
            </w:r>
            <w:r>
              <w:rPr>
                <w:rFonts w:hint="eastAsia" w:ascii="Times New Roman" w:hAnsi="Times New Roman" w:eastAsia="宋体" w:cs="Times New Roman"/>
                <w:b w:val="0"/>
                <w:bCs w:val="0"/>
                <w:sz w:val="24"/>
                <w:szCs w:val="24"/>
                <w:u w:val="single"/>
              </w:rPr>
              <w:t>区域有定期巡查制度。有利于及时发现环境风险隐患及事故，迅速进行报告并采取措施；落实了责任制，并张贴上墙；</w:t>
            </w:r>
            <w:r>
              <w:rPr>
                <w:rFonts w:hint="eastAsia" w:ascii="Times New Roman" w:hAnsi="Times New Roman" w:eastAsia="宋体" w:cs="Times New Roman"/>
                <w:b w:val="0"/>
                <w:bCs w:val="0"/>
                <w:sz w:val="24"/>
                <w:szCs w:val="24"/>
                <w:u w:val="single"/>
                <w:lang w:eastAsia="zh-CN"/>
              </w:rPr>
              <w:t>医院</w:t>
            </w:r>
            <w:r>
              <w:rPr>
                <w:rFonts w:hint="eastAsia" w:ascii="Times New Roman" w:hAnsi="Times New Roman" w:eastAsia="宋体" w:cs="Times New Roman"/>
                <w:b w:val="0"/>
                <w:bCs w:val="0"/>
                <w:sz w:val="24"/>
                <w:szCs w:val="24"/>
                <w:u w:val="single"/>
              </w:rPr>
              <w:t>设置有兼职人员负责环保事宜</w:t>
            </w:r>
            <w:r>
              <w:rPr>
                <w:rFonts w:hint="eastAsia" w:ascii="Times New Roman" w:hAnsi="Times New Roman" w:eastAsia="宋体" w:cs="Times New Roman"/>
                <w:b w:val="0"/>
                <w:bCs w:val="0"/>
                <w:sz w:val="24"/>
                <w:szCs w:val="24"/>
                <w:u w:val="single"/>
                <w:lang w:eastAsia="zh-CN"/>
              </w:rPr>
              <w:t>，</w:t>
            </w:r>
            <w:r>
              <w:rPr>
                <w:rFonts w:hint="eastAsia" w:ascii="Times New Roman" w:hAnsi="Times New Roman" w:eastAsia="宋体" w:cs="Times New Roman"/>
                <w:b w:val="0"/>
                <w:bCs w:val="0"/>
                <w:sz w:val="24"/>
                <w:szCs w:val="24"/>
                <w:u w:val="single"/>
              </w:rPr>
              <w:t>加强人员现场管理</w:t>
            </w:r>
            <w:r>
              <w:rPr>
                <w:rFonts w:hint="eastAsia" w:ascii="Times New Roman" w:hAnsi="Times New Roman" w:eastAsia="宋体" w:cs="Times New Roman"/>
                <w:b w:val="0"/>
                <w:bCs w:val="0"/>
                <w:sz w:val="24"/>
                <w:szCs w:val="24"/>
                <w:u w:val="single"/>
                <w:lang w:eastAsia="zh-CN"/>
              </w:rPr>
              <w:t>。</w:t>
            </w:r>
          </w:p>
        </w:tc>
      </w:tr>
      <w:tr w14:paraId="31560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678" w:type="pct"/>
            <w:tcBorders>
              <w:tl2br w:val="nil"/>
              <w:tr2bl w:val="nil"/>
            </w:tcBorders>
            <w:vAlign w:val="center"/>
          </w:tcPr>
          <w:p w14:paraId="4FE54167">
            <w:pPr>
              <w:pStyle w:val="29"/>
              <w:keepNext w:val="0"/>
              <w:keepLines w:val="0"/>
              <w:pageBreakBefore w:val="0"/>
              <w:kinsoku/>
              <w:wordWrap/>
              <w:overflowPunct/>
              <w:topLinePunct w:val="0"/>
              <w:bidi w:val="0"/>
              <w:snapToGrid/>
              <w:spacing w:line="240" w:lineRule="auto"/>
              <w:ind w:right="0" w:firstLine="0"/>
              <w:jc w:val="center"/>
              <w:textAlignment w:val="auto"/>
              <w:outlineLvl w:val="9"/>
              <w:rPr>
                <w:rFonts w:hint="default" w:ascii="Times New Roman" w:hAnsi="Times New Roman" w:eastAsia="宋体" w:cs="Times New Roman"/>
                <w:b w:val="0"/>
                <w:bCs w:val="0"/>
                <w:sz w:val="24"/>
                <w:szCs w:val="24"/>
                <w:u w:val="single"/>
              </w:rPr>
            </w:pPr>
            <w:r>
              <w:rPr>
                <w:rFonts w:hint="default" w:ascii="Times New Roman" w:hAnsi="Times New Roman" w:eastAsia="宋体" w:cs="Times New Roman"/>
                <w:b w:val="0"/>
                <w:bCs w:val="0"/>
                <w:sz w:val="24"/>
                <w:szCs w:val="24"/>
                <w:u w:val="single"/>
              </w:rPr>
              <w:t>其他环境管理要求</w:t>
            </w:r>
          </w:p>
        </w:tc>
        <w:tc>
          <w:tcPr>
            <w:tcW w:w="4321" w:type="pct"/>
            <w:gridSpan w:val="4"/>
            <w:tcBorders>
              <w:tl2br w:val="nil"/>
              <w:tr2bl w:val="nil"/>
            </w:tcBorders>
            <w:vAlign w:val="center"/>
          </w:tcPr>
          <w:p w14:paraId="7FC02F0B">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1、排污许可</w:t>
            </w:r>
          </w:p>
          <w:p w14:paraId="07E5AB9A">
            <w:pPr>
              <w:pStyle w:val="15"/>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根据《建设项目环境影响评价分类管理名录》(2021年版)，本项目属于“四十九、卫生 108、基层医疗卫生服务 842”，不属于《固定污染源排污许可分类管理名录（2019版）》中“四十九、卫生84 107医院841，专业公共卫生服务843”和“五十一、通用工序”，本项目不需要纳入排污许可管理。</w:t>
            </w:r>
          </w:p>
          <w:p w14:paraId="229ABDFB">
            <w:pPr>
              <w:pStyle w:val="15"/>
              <w:keepNext w:val="0"/>
              <w:keepLines w:val="0"/>
              <w:pageBreakBefore w:val="0"/>
              <w:widowControl w:val="0"/>
              <w:numPr>
                <w:ilvl w:val="0"/>
                <w:numId w:val="3"/>
              </w:numPr>
              <w:kinsoku/>
              <w:wordWrap/>
              <w:overflowPunct/>
              <w:topLinePunct w:val="0"/>
              <w:bidi w:val="0"/>
              <w:adjustRightInd/>
              <w:snapToGrid/>
              <w:spacing w:line="360" w:lineRule="auto"/>
              <w:ind w:firstLine="480" w:firstLineChars="200"/>
              <w:jc w:val="both"/>
              <w:textAlignment w:val="auto"/>
              <w:rPr>
                <w:rFonts w:hint="eastAsia" w:ascii="Times New Roman" w:hAnsi="Times New Roman" w:eastAsia="宋体" w:cs="Times New Roman"/>
                <w:b w:val="0"/>
                <w:bCs w:val="0"/>
                <w:color w:val="auto"/>
                <w:sz w:val="24"/>
                <w:szCs w:val="24"/>
                <w:highlight w:val="none"/>
                <w:u w:val="single"/>
                <w:lang w:val="en-US" w:eastAsia="zh-CN"/>
              </w:rPr>
            </w:pPr>
            <w:r>
              <w:rPr>
                <w:rFonts w:hint="eastAsia" w:ascii="Times New Roman" w:hAnsi="Times New Roman" w:eastAsia="宋体" w:cs="Times New Roman"/>
                <w:b w:val="0"/>
                <w:bCs w:val="0"/>
                <w:color w:val="auto"/>
                <w:sz w:val="24"/>
                <w:szCs w:val="24"/>
                <w:highlight w:val="none"/>
                <w:u w:val="single"/>
                <w:lang w:val="en-US" w:eastAsia="zh-CN"/>
              </w:rPr>
              <w:t>竣工环保验收</w:t>
            </w:r>
          </w:p>
          <w:p w14:paraId="7568B5F4">
            <w:pPr>
              <w:pStyle w:val="6"/>
              <w:numPr>
                <w:ilvl w:val="0"/>
                <w:numId w:val="0"/>
              </w:numPr>
              <w:ind w:firstLine="480" w:firstLineChars="200"/>
              <w:rPr>
                <w:rFonts w:hint="eastAsia" w:ascii="Times New Roman" w:hAnsi="Times New Roman" w:eastAsia="宋体" w:cs="Times New Roman"/>
                <w:b w:val="0"/>
                <w:bCs w:val="0"/>
                <w:spacing w:val="0"/>
                <w:kern w:val="2"/>
                <w:sz w:val="24"/>
                <w:szCs w:val="24"/>
                <w:u w:val="single"/>
                <w:lang w:val="en-US" w:eastAsia="zh-CN" w:bidi="ar-SA"/>
              </w:rPr>
            </w:pPr>
            <w:r>
              <w:rPr>
                <w:rFonts w:hint="eastAsia" w:ascii="Times New Roman" w:hAnsi="Times New Roman" w:eastAsia="宋体" w:cs="Times New Roman"/>
                <w:b w:val="0"/>
                <w:bCs w:val="0"/>
                <w:color w:val="auto"/>
                <w:sz w:val="24"/>
                <w:szCs w:val="24"/>
                <w:highlight w:val="none"/>
                <w:u w:val="single"/>
                <w:lang w:val="en-US" w:eastAsia="zh-CN"/>
              </w:rPr>
              <w:t>贯彻落实《建设项目环境保护管理条例》及《建设项目竣工环境保护验收暂行办法》（国环规环评[2017]4 号）（以下简称《暂行办法》），项目竣工后建设单位应自主开展竣工环境保护验收。建设单位是建设项目竣工环境保护验收的责任主体，应当按照《暂行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p>
          <w:p w14:paraId="2BB8FCB2">
            <w:pPr>
              <w:pStyle w:val="6"/>
              <w:numPr>
                <w:ilvl w:val="0"/>
                <w:numId w:val="0"/>
              </w:numPr>
              <w:ind w:firstLine="480" w:firstLineChars="200"/>
              <w:rPr>
                <w:rFonts w:hint="eastAsia" w:ascii="Times New Roman" w:hAnsi="Times New Roman" w:eastAsia="宋体" w:cs="Times New Roman"/>
                <w:b w:val="0"/>
                <w:bCs w:val="0"/>
                <w:spacing w:val="0"/>
                <w:kern w:val="2"/>
                <w:sz w:val="24"/>
                <w:szCs w:val="24"/>
                <w:u w:val="single"/>
                <w:lang w:val="en-US" w:eastAsia="zh-CN" w:bidi="ar-SA"/>
              </w:rPr>
            </w:pPr>
            <w:r>
              <w:rPr>
                <w:rFonts w:hint="eastAsia" w:ascii="Times New Roman" w:hAnsi="Times New Roman" w:eastAsia="宋体" w:cs="Times New Roman"/>
                <w:b w:val="0"/>
                <w:bCs w:val="0"/>
                <w:spacing w:val="0"/>
                <w:kern w:val="2"/>
                <w:sz w:val="24"/>
                <w:szCs w:val="24"/>
                <w:lang w:val="en-US" w:eastAsia="zh-CN" w:bidi="ar-SA"/>
              </w:rPr>
              <w:t>3、</w:t>
            </w:r>
            <w:r>
              <w:rPr>
                <w:rFonts w:hint="eastAsia" w:ascii="Times New Roman" w:hAnsi="Times New Roman" w:eastAsia="宋体" w:cs="Times New Roman"/>
                <w:b w:val="0"/>
                <w:bCs w:val="0"/>
                <w:spacing w:val="0"/>
                <w:kern w:val="2"/>
                <w:sz w:val="24"/>
                <w:szCs w:val="24"/>
                <w:u w:val="single"/>
                <w:lang w:val="en-US" w:eastAsia="zh-CN" w:bidi="ar-SA"/>
              </w:rPr>
              <w:t>日常管理</w:t>
            </w:r>
          </w:p>
          <w:p w14:paraId="263DB0A3">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①制定各环保设施操作规程，定期维修制度，使各项环保设施在生产过程中处于良好的运行状态，如环保设施出现故障，应立即停产检修，严禁非正常排放。 </w:t>
            </w:r>
          </w:p>
          <w:p w14:paraId="7B042DEE">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rPr>
            </w:pPr>
            <w:r>
              <w:rPr>
                <w:rFonts w:hint="eastAsia" w:ascii="Times New Roman" w:hAnsi="Times New Roman" w:eastAsia="宋体" w:cs="Times New Roman"/>
                <w:bCs w:val="0"/>
                <w:spacing w:val="0"/>
                <w:sz w:val="24"/>
                <w:szCs w:val="24"/>
                <w:u w:val="single"/>
                <w:lang w:val="en-US" w:eastAsia="zh-CN"/>
              </w:rPr>
              <w:t xml:space="preserve">②加强环境监测工作，重点是各污染源的监测，注意做好记录，不弄虚作假。 </w:t>
            </w:r>
          </w:p>
          <w:p w14:paraId="0D1C5605">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Times New Roman" w:hAnsi="Times New Roman" w:eastAsia="宋体" w:cs="Times New Roman"/>
                <w:bCs w:val="0"/>
                <w:spacing w:val="0"/>
                <w:sz w:val="24"/>
                <w:szCs w:val="24"/>
                <w:u w:val="single"/>
                <w:lang w:val="en-US" w:eastAsia="zh-CN"/>
              </w:rPr>
              <w:t>③建立污染事故报告制度。当污染事故发生时，必须在事故发生二十四小时内，向区环境主管部门作出事故发生的时间、地点、类型和排放污染物的数量、经济损失等情 况的初步报告，事故查清后，向区环境主管部门报告事故的原因，采取的措施，处理结果，并附有关证明。若发生污染事故，则有责任排除危害，同时对直接受到损害的单位或个人赔偿损失。</w:t>
            </w:r>
          </w:p>
          <w:p w14:paraId="6F39D11A">
            <w:pPr>
              <w:adjustRightInd w:val="0"/>
              <w:snapToGrid w:val="0"/>
              <w:spacing w:line="360" w:lineRule="auto"/>
              <w:ind w:firstLine="480" w:firstLineChars="200"/>
              <w:jc w:val="both"/>
              <w:rPr>
                <w:rFonts w:hint="eastAsia" w:ascii="Times New Roman" w:hAnsi="Times New Roman" w:eastAsia="宋体" w:cs="Times New Roman"/>
                <w:bCs w:val="0"/>
                <w:spacing w:val="0"/>
                <w:sz w:val="24"/>
                <w:szCs w:val="24"/>
                <w:u w:val="single"/>
                <w:lang w:val="en-US" w:eastAsia="zh-CN"/>
              </w:rPr>
            </w:pPr>
            <w:r>
              <w:rPr>
                <w:rFonts w:hint="eastAsia" w:ascii="宋体" w:hAnsi="宋体" w:eastAsia="宋体" w:cs="宋体"/>
                <w:bCs w:val="0"/>
                <w:spacing w:val="0"/>
                <w:sz w:val="24"/>
                <w:szCs w:val="24"/>
                <w:u w:val="single"/>
                <w:lang w:val="en-US" w:eastAsia="zh-CN"/>
              </w:rPr>
              <w:t>④</w:t>
            </w:r>
            <w:r>
              <w:rPr>
                <w:rFonts w:hint="eastAsia" w:ascii="Times New Roman" w:hAnsi="Times New Roman" w:eastAsia="宋体" w:cs="Times New Roman"/>
                <w:bCs w:val="0"/>
                <w:spacing w:val="0"/>
                <w:sz w:val="24"/>
                <w:szCs w:val="24"/>
                <w:u w:val="single"/>
                <w:lang w:val="en-US" w:eastAsia="zh-CN"/>
              </w:rPr>
              <w:t>建立消毒药剂材料台账，记录废水消毒材料的名称、采购量、使用量、库存量；建立废水处理设施台账，记录废水处理设施出口的监测数据；建立危废台账，整理危废处置合同、转移联单及危废处理方资质佐证材料；台账保存期限不少于5年。</w:t>
            </w:r>
          </w:p>
          <w:p w14:paraId="3D2A1C24">
            <w:pPr>
              <w:pStyle w:val="2"/>
              <w:jc w:val="both"/>
              <w:rPr>
                <w:rFonts w:hint="default" w:ascii="Times New Roman" w:hAnsi="Times New Roman" w:eastAsia="宋体" w:cs="Times New Roman"/>
                <w:b/>
                <w:bCs/>
                <w:color w:val="000000"/>
                <w:kern w:val="2"/>
                <w:sz w:val="24"/>
                <w:szCs w:val="24"/>
                <w:u w:val="single" w:color="auto"/>
                <w:lang w:val="en-US" w:eastAsia="zh-CN" w:bidi="ar-SA"/>
              </w:rPr>
            </w:pPr>
            <w:r>
              <w:rPr>
                <w:rFonts w:hint="eastAsia" w:ascii="Times New Roman" w:hAnsi="Times New Roman" w:eastAsia="宋体" w:cs="Times New Roman"/>
                <w:b/>
                <w:bCs/>
                <w:color w:val="000000"/>
                <w:kern w:val="2"/>
                <w:sz w:val="24"/>
                <w:szCs w:val="24"/>
                <w:u w:val="single" w:color="auto"/>
                <w:lang w:val="en-US" w:eastAsia="zh-CN" w:bidi="ar-SA"/>
              </w:rPr>
              <w:t>4、自行监测计划</w:t>
            </w:r>
          </w:p>
          <w:p w14:paraId="015FC29F">
            <w:pPr>
              <w:jc w:val="center"/>
              <w:rPr>
                <w:rFonts w:hint="eastAsia" w:ascii="Times New Roman" w:hAnsi="Times New Roman" w:cs="Times New Roman"/>
                <w:b/>
                <w:color w:val="000000"/>
                <w:sz w:val="24"/>
                <w:szCs w:val="24"/>
                <w:u w:val="single" w:color="auto"/>
              </w:rPr>
            </w:pPr>
            <w:r>
              <w:rPr>
                <w:rFonts w:hint="eastAsia" w:ascii="Times New Roman" w:hAnsi="Times New Roman" w:cs="Times New Roman"/>
                <w:b/>
                <w:color w:val="000000"/>
                <w:sz w:val="24"/>
                <w:szCs w:val="24"/>
                <w:u w:val="single" w:color="auto"/>
              </w:rPr>
              <w:t>表5-</w:t>
            </w:r>
            <w:r>
              <w:rPr>
                <w:rFonts w:hint="eastAsia" w:ascii="Times New Roman" w:hAnsi="Times New Roman" w:cs="Times New Roman"/>
                <w:b/>
                <w:color w:val="000000"/>
                <w:sz w:val="24"/>
                <w:szCs w:val="24"/>
                <w:u w:val="single" w:color="auto"/>
                <w:lang w:val="en-US" w:eastAsia="zh-CN"/>
              </w:rPr>
              <w:t>1</w:t>
            </w:r>
            <w:r>
              <w:rPr>
                <w:rFonts w:hint="eastAsia" w:ascii="Times New Roman" w:hAnsi="Times New Roman" w:cs="Times New Roman"/>
                <w:b/>
                <w:color w:val="000000"/>
                <w:sz w:val="24"/>
                <w:szCs w:val="24"/>
                <w:u w:val="single" w:color="auto"/>
              </w:rPr>
              <w:t xml:space="preserve">  监测项目及频率一览表</w:t>
            </w:r>
          </w:p>
          <w:tbl>
            <w:tblPr>
              <w:tblStyle w:val="24"/>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36"/>
              <w:gridCol w:w="1177"/>
              <w:gridCol w:w="1110"/>
              <w:gridCol w:w="3002"/>
              <w:gridCol w:w="1239"/>
            </w:tblGrid>
            <w:tr w14:paraId="44AA13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tcBorders>
                    <w:tl2br w:val="nil"/>
                    <w:tr2bl w:val="nil"/>
                  </w:tcBorders>
                  <w:noWrap w:val="0"/>
                  <w:vAlign w:val="center"/>
                </w:tcPr>
                <w:p w14:paraId="694FA74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类别</w:t>
                  </w:r>
                </w:p>
              </w:tc>
              <w:tc>
                <w:tcPr>
                  <w:tcW w:w="833" w:type="pct"/>
                  <w:tcBorders>
                    <w:tl2br w:val="nil"/>
                    <w:tr2bl w:val="nil"/>
                  </w:tcBorders>
                  <w:noWrap w:val="0"/>
                  <w:vAlign w:val="center"/>
                </w:tcPr>
                <w:p w14:paraId="68A6822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监测项目</w:t>
                  </w:r>
                </w:p>
              </w:tc>
              <w:tc>
                <w:tcPr>
                  <w:tcW w:w="785" w:type="pct"/>
                  <w:tcBorders>
                    <w:tl2br w:val="nil"/>
                    <w:tr2bl w:val="nil"/>
                  </w:tcBorders>
                  <w:noWrap w:val="0"/>
                  <w:tcMar>
                    <w:top w:w="0" w:type="dxa"/>
                    <w:left w:w="28" w:type="dxa"/>
                    <w:bottom w:w="0" w:type="dxa"/>
                    <w:right w:w="28" w:type="dxa"/>
                  </w:tcMar>
                  <w:vAlign w:val="center"/>
                </w:tcPr>
                <w:p w14:paraId="53976BB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布  点</w:t>
                  </w:r>
                </w:p>
              </w:tc>
              <w:tc>
                <w:tcPr>
                  <w:tcW w:w="2124" w:type="pct"/>
                  <w:tcBorders>
                    <w:tl2br w:val="nil"/>
                    <w:tr2bl w:val="nil"/>
                  </w:tcBorders>
                  <w:noWrap w:val="0"/>
                  <w:tcMar>
                    <w:top w:w="0" w:type="dxa"/>
                    <w:left w:w="28" w:type="dxa"/>
                    <w:bottom w:w="0" w:type="dxa"/>
                    <w:right w:w="28" w:type="dxa"/>
                  </w:tcMar>
                  <w:vAlign w:val="center"/>
                </w:tcPr>
                <w:p w14:paraId="44C371E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监测项目</w:t>
                  </w:r>
                </w:p>
              </w:tc>
              <w:tc>
                <w:tcPr>
                  <w:tcW w:w="876" w:type="pct"/>
                  <w:tcBorders>
                    <w:tl2br w:val="nil"/>
                    <w:tr2bl w:val="nil"/>
                  </w:tcBorders>
                  <w:noWrap w:val="0"/>
                  <w:tcMar>
                    <w:top w:w="0" w:type="dxa"/>
                    <w:left w:w="28" w:type="dxa"/>
                    <w:bottom w:w="0" w:type="dxa"/>
                    <w:right w:w="28" w:type="dxa"/>
                  </w:tcMar>
                  <w:vAlign w:val="center"/>
                </w:tcPr>
                <w:p w14:paraId="7BAF67E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监测频次</w:t>
                  </w:r>
                </w:p>
              </w:tc>
            </w:tr>
            <w:tr w14:paraId="411C37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restart"/>
                  <w:tcBorders>
                    <w:tl2br w:val="nil"/>
                    <w:tr2bl w:val="nil"/>
                  </w:tcBorders>
                  <w:noWrap w:val="0"/>
                  <w:vAlign w:val="center"/>
                </w:tcPr>
                <w:p w14:paraId="1341865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污染源监测</w:t>
                  </w:r>
                </w:p>
              </w:tc>
              <w:tc>
                <w:tcPr>
                  <w:tcW w:w="833" w:type="pct"/>
                  <w:tcBorders>
                    <w:tl2br w:val="nil"/>
                    <w:tr2bl w:val="nil"/>
                  </w:tcBorders>
                  <w:noWrap w:val="0"/>
                  <w:vAlign w:val="center"/>
                </w:tcPr>
                <w:p w14:paraId="30D636E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无组织排放废气</w:t>
                  </w:r>
                </w:p>
              </w:tc>
              <w:tc>
                <w:tcPr>
                  <w:tcW w:w="785" w:type="pct"/>
                  <w:tcBorders>
                    <w:tl2br w:val="nil"/>
                    <w:tr2bl w:val="nil"/>
                  </w:tcBorders>
                  <w:noWrap w:val="0"/>
                  <w:tcMar>
                    <w:top w:w="0" w:type="dxa"/>
                    <w:left w:w="28" w:type="dxa"/>
                    <w:bottom w:w="0" w:type="dxa"/>
                    <w:right w:w="28" w:type="dxa"/>
                  </w:tcMar>
                  <w:vAlign w:val="center"/>
                </w:tcPr>
                <w:p w14:paraId="76E32ED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厂界</w:t>
                  </w:r>
                </w:p>
              </w:tc>
              <w:tc>
                <w:tcPr>
                  <w:tcW w:w="2124" w:type="pct"/>
                  <w:tcBorders>
                    <w:tl2br w:val="nil"/>
                    <w:tr2bl w:val="nil"/>
                  </w:tcBorders>
                  <w:noWrap w:val="0"/>
                  <w:tcMar>
                    <w:top w:w="0" w:type="dxa"/>
                    <w:left w:w="28" w:type="dxa"/>
                    <w:bottom w:w="0" w:type="dxa"/>
                    <w:right w:w="28" w:type="dxa"/>
                  </w:tcMar>
                  <w:vAlign w:val="center"/>
                </w:tcPr>
                <w:p w14:paraId="2FC952B5">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u w:val="single" w:color="auto"/>
                      <w:lang w:val="en-US" w:eastAsia="zh-CN"/>
                    </w:rPr>
                  </w:pPr>
                  <w:r>
                    <w:rPr>
                      <w:rFonts w:hint="default" w:ascii="Times New Roman" w:hAnsi="Times New Roman" w:cs="Times New Roman"/>
                      <w:color w:val="000000" w:themeColor="text1"/>
                      <w:kern w:val="0"/>
                      <w:sz w:val="21"/>
                      <w:szCs w:val="21"/>
                      <w:u w:val="single" w:color="auto"/>
                      <w14:textFill>
                        <w14:solidFill>
                          <w14:schemeClr w14:val="tx1"/>
                        </w14:solidFill>
                      </w14:textFill>
                    </w:rPr>
                    <w:t>氨、硫化氢、臭气浓度</w:t>
                  </w:r>
                </w:p>
              </w:tc>
              <w:tc>
                <w:tcPr>
                  <w:tcW w:w="876" w:type="pct"/>
                  <w:tcBorders>
                    <w:tl2br w:val="nil"/>
                    <w:tr2bl w:val="nil"/>
                  </w:tcBorders>
                  <w:noWrap w:val="0"/>
                  <w:tcMar>
                    <w:top w:w="0" w:type="dxa"/>
                    <w:left w:w="28" w:type="dxa"/>
                    <w:bottom w:w="0" w:type="dxa"/>
                    <w:right w:w="28" w:type="dxa"/>
                  </w:tcMar>
                  <w:vAlign w:val="center"/>
                </w:tcPr>
                <w:p w14:paraId="23B405CB">
                  <w:pPr>
                    <w:pStyle w:val="3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1"/>
                      <w:szCs w:val="21"/>
                      <w:u w:val="single" w:color="auto"/>
                    </w:rPr>
                  </w:pPr>
                  <w:r>
                    <w:rPr>
                      <w:rFonts w:hint="default" w:ascii="Times New Roman" w:hAnsi="Times New Roman" w:cs="Times New Roman"/>
                      <w:color w:val="000000" w:themeColor="text1"/>
                      <w:kern w:val="0"/>
                      <w:sz w:val="21"/>
                      <w:szCs w:val="21"/>
                      <w:u w:val="single" w:color="auto"/>
                      <w14:textFill>
                        <w14:solidFill>
                          <w14:schemeClr w14:val="tx1"/>
                        </w14:solidFill>
                      </w14:textFill>
                    </w:rPr>
                    <w:t>1次/</w:t>
                  </w:r>
                  <w:r>
                    <w:rPr>
                      <w:rFonts w:hint="eastAsia" w:cs="Times New Roman"/>
                      <w:color w:val="000000" w:themeColor="text1"/>
                      <w:kern w:val="0"/>
                      <w:sz w:val="21"/>
                      <w:szCs w:val="21"/>
                      <w:u w:val="single" w:color="auto"/>
                      <w:lang w:val="en-US" w:eastAsia="zh-CN"/>
                      <w14:textFill>
                        <w14:solidFill>
                          <w14:schemeClr w14:val="tx1"/>
                        </w14:solidFill>
                      </w14:textFill>
                    </w:rPr>
                    <w:t>季度</w:t>
                  </w:r>
                </w:p>
              </w:tc>
            </w:tr>
            <w:tr w14:paraId="13027D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tcBorders>
                    <w:tl2br w:val="nil"/>
                    <w:tr2bl w:val="nil"/>
                  </w:tcBorders>
                  <w:noWrap w:val="0"/>
                  <w:vAlign w:val="center"/>
                </w:tcPr>
                <w:p w14:paraId="675A63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p>
              </w:tc>
              <w:tc>
                <w:tcPr>
                  <w:tcW w:w="833" w:type="pct"/>
                  <w:tcBorders>
                    <w:tl2br w:val="nil"/>
                    <w:tr2bl w:val="nil"/>
                  </w:tcBorders>
                  <w:noWrap w:val="0"/>
                  <w:vAlign w:val="center"/>
                </w:tcPr>
                <w:p w14:paraId="64C01C3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厂界噪声</w:t>
                  </w:r>
                </w:p>
              </w:tc>
              <w:tc>
                <w:tcPr>
                  <w:tcW w:w="785" w:type="pct"/>
                  <w:tcBorders>
                    <w:tl2br w:val="nil"/>
                    <w:tr2bl w:val="nil"/>
                  </w:tcBorders>
                  <w:noWrap w:val="0"/>
                  <w:tcMar>
                    <w:top w:w="0" w:type="dxa"/>
                    <w:left w:w="28" w:type="dxa"/>
                    <w:bottom w:w="0" w:type="dxa"/>
                    <w:right w:w="28" w:type="dxa"/>
                  </w:tcMar>
                  <w:vAlign w:val="center"/>
                </w:tcPr>
                <w:p w14:paraId="6388C18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厂界四周</w:t>
                  </w:r>
                </w:p>
              </w:tc>
              <w:tc>
                <w:tcPr>
                  <w:tcW w:w="2124" w:type="pct"/>
                  <w:tcBorders>
                    <w:tl2br w:val="nil"/>
                    <w:tr2bl w:val="nil"/>
                  </w:tcBorders>
                  <w:noWrap w:val="0"/>
                  <w:tcMar>
                    <w:top w:w="0" w:type="dxa"/>
                    <w:left w:w="28" w:type="dxa"/>
                    <w:bottom w:w="0" w:type="dxa"/>
                    <w:right w:w="28" w:type="dxa"/>
                  </w:tcMar>
                  <w:vAlign w:val="center"/>
                </w:tcPr>
                <w:p w14:paraId="10425E9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ascii="Times New Roman" w:hAnsi="Times New Roman" w:eastAsia="宋体" w:cs="Times New Roman"/>
                      <w:sz w:val="21"/>
                      <w:szCs w:val="21"/>
                      <w:u w:val="single" w:color="auto"/>
                    </w:rPr>
                    <w:t>Leq dB（A）</w:t>
                  </w:r>
                </w:p>
              </w:tc>
              <w:tc>
                <w:tcPr>
                  <w:tcW w:w="876" w:type="pct"/>
                  <w:tcBorders>
                    <w:tl2br w:val="nil"/>
                    <w:tr2bl w:val="nil"/>
                  </w:tcBorders>
                  <w:noWrap w:val="0"/>
                  <w:tcMar>
                    <w:top w:w="0" w:type="dxa"/>
                    <w:left w:w="28" w:type="dxa"/>
                    <w:bottom w:w="0" w:type="dxa"/>
                    <w:right w:w="28" w:type="dxa"/>
                  </w:tcMar>
                  <w:vAlign w:val="center"/>
                </w:tcPr>
                <w:p w14:paraId="3C27DC5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r>
                    <w:rPr>
                      <w:rFonts w:hint="eastAsia" w:ascii="Times New Roman" w:hAnsi="Times New Roman" w:eastAsia="宋体" w:cs="Times New Roman"/>
                      <w:sz w:val="21"/>
                      <w:szCs w:val="21"/>
                      <w:u w:val="single" w:color="auto"/>
                    </w:rPr>
                    <w:t>一季度</w:t>
                  </w:r>
                  <w:r>
                    <w:rPr>
                      <w:rFonts w:ascii="Times New Roman" w:hAnsi="Times New Roman" w:eastAsia="宋体" w:cs="Times New Roman"/>
                      <w:sz w:val="21"/>
                      <w:szCs w:val="21"/>
                      <w:u w:val="single" w:color="auto"/>
                    </w:rPr>
                    <w:t>一次</w:t>
                  </w:r>
                </w:p>
              </w:tc>
            </w:tr>
            <w:tr w14:paraId="4FB8B40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tcBorders>
                    <w:tl2br w:val="nil"/>
                    <w:tr2bl w:val="nil"/>
                  </w:tcBorders>
                  <w:noWrap w:val="0"/>
                  <w:vAlign w:val="center"/>
                </w:tcPr>
                <w:p w14:paraId="1CB2386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p>
              </w:tc>
              <w:tc>
                <w:tcPr>
                  <w:tcW w:w="833" w:type="pct"/>
                  <w:vMerge w:val="restart"/>
                  <w:tcBorders>
                    <w:tl2br w:val="nil"/>
                    <w:tr2bl w:val="nil"/>
                  </w:tcBorders>
                  <w:noWrap w:val="0"/>
                  <w:vAlign w:val="center"/>
                </w:tcPr>
                <w:p w14:paraId="6D8BE18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u w:val="single" w:color="auto"/>
                      <w:lang w:val="en-US" w:eastAsia="zh-CN"/>
                    </w:rPr>
                  </w:pPr>
                  <w:r>
                    <w:rPr>
                      <w:rFonts w:hint="eastAsia" w:ascii="Times New Roman" w:hAnsi="Times New Roman" w:eastAsia="宋体" w:cs="Times New Roman"/>
                      <w:sz w:val="21"/>
                      <w:szCs w:val="21"/>
                      <w:u w:val="single" w:color="auto"/>
                      <w:lang w:val="en-US" w:eastAsia="zh-CN"/>
                    </w:rPr>
                    <w:t>废水</w:t>
                  </w:r>
                </w:p>
              </w:tc>
              <w:tc>
                <w:tcPr>
                  <w:tcW w:w="785" w:type="pct"/>
                  <w:vMerge w:val="restart"/>
                  <w:tcBorders>
                    <w:tl2br w:val="nil"/>
                    <w:tr2bl w:val="nil"/>
                  </w:tcBorders>
                  <w:noWrap w:val="0"/>
                  <w:tcMar>
                    <w:top w:w="0" w:type="dxa"/>
                    <w:left w:w="28" w:type="dxa"/>
                    <w:bottom w:w="0" w:type="dxa"/>
                    <w:right w:w="28" w:type="dxa"/>
                  </w:tcMar>
                  <w:vAlign w:val="center"/>
                </w:tcPr>
                <w:p w14:paraId="323765C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u w:val="single" w:color="auto"/>
                      <w:lang w:val="en-US"/>
                    </w:rPr>
                  </w:pPr>
                  <w:r>
                    <w:rPr>
                      <w:rFonts w:hint="eastAsia" w:ascii="Times New Roman" w:hAnsi="Times New Roman" w:eastAsia="宋体" w:cs="Times New Roman"/>
                      <w:sz w:val="21"/>
                      <w:szCs w:val="21"/>
                      <w:u w:val="single" w:color="auto"/>
                      <w:lang w:val="en-US" w:eastAsia="zh-CN"/>
                    </w:rPr>
                    <w:t>废水总排口</w:t>
                  </w:r>
                </w:p>
              </w:tc>
              <w:tc>
                <w:tcPr>
                  <w:tcW w:w="2124" w:type="pct"/>
                  <w:tcBorders>
                    <w:tl2br w:val="nil"/>
                    <w:tr2bl w:val="nil"/>
                  </w:tcBorders>
                  <w:noWrap w:val="0"/>
                  <w:tcMar>
                    <w:top w:w="0" w:type="dxa"/>
                    <w:left w:w="28" w:type="dxa"/>
                    <w:bottom w:w="0" w:type="dxa"/>
                    <w:right w:w="28" w:type="dxa"/>
                  </w:tcMar>
                  <w:vAlign w:val="center"/>
                </w:tcPr>
                <w:p w14:paraId="7DA322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u w:val="single" w:color="auto"/>
                      <w:lang w:val="en-US" w:eastAsia="zh-CN"/>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pH、COD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Cr</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、SS、BOD</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5</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、NH</w:t>
                  </w:r>
                  <w:r>
                    <w:rPr>
                      <w:rFonts w:hint="default" w:ascii="Times New Roman" w:hAnsi="Times New Roman" w:eastAsia="宋体" w:cs="Times New Roman"/>
                      <w:color w:val="000000" w:themeColor="text1"/>
                      <w:kern w:val="0"/>
                      <w:sz w:val="21"/>
                      <w:szCs w:val="21"/>
                      <w:u w:val="single" w:color="auto"/>
                      <w:vertAlign w:val="subscript"/>
                      <w14:textFill>
                        <w14:solidFill>
                          <w14:schemeClr w14:val="tx1"/>
                        </w14:solidFill>
                      </w14:textFill>
                    </w:rPr>
                    <w:t>3</w:t>
                  </w: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-N、粪大肠菌群数、动植物油</w:t>
                  </w:r>
                  <w:r>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t>、</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LAS</w:t>
                  </w:r>
                </w:p>
              </w:tc>
              <w:tc>
                <w:tcPr>
                  <w:tcW w:w="876" w:type="pct"/>
                  <w:tcBorders>
                    <w:tl2br w:val="nil"/>
                    <w:tr2bl w:val="nil"/>
                  </w:tcBorders>
                  <w:noWrap w:val="0"/>
                  <w:tcMar>
                    <w:top w:w="0" w:type="dxa"/>
                    <w:left w:w="28" w:type="dxa"/>
                    <w:bottom w:w="0" w:type="dxa"/>
                    <w:right w:w="28" w:type="dxa"/>
                  </w:tcMar>
                  <w:vAlign w:val="center"/>
                </w:tcPr>
                <w:p w14:paraId="2E7D5B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sz w:val="21"/>
                      <w:szCs w:val="21"/>
                      <w:u w:val="single" w:color="auto"/>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1次/年</w:t>
                  </w:r>
                </w:p>
              </w:tc>
            </w:tr>
            <w:tr w14:paraId="479D87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79" w:type="pct"/>
                  <w:vMerge w:val="continue"/>
                  <w:tcBorders>
                    <w:tl2br w:val="nil"/>
                    <w:tr2bl w:val="nil"/>
                  </w:tcBorders>
                  <w:noWrap w:val="0"/>
                  <w:vAlign w:val="center"/>
                </w:tcPr>
                <w:p w14:paraId="760F7D6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Times New Roman" w:hAnsi="Times New Roman" w:eastAsia="宋体" w:cs="Times New Roman"/>
                      <w:sz w:val="21"/>
                      <w:szCs w:val="21"/>
                      <w:u w:val="single" w:color="auto"/>
                    </w:rPr>
                  </w:pPr>
                </w:p>
              </w:tc>
              <w:tc>
                <w:tcPr>
                  <w:tcW w:w="833" w:type="pct"/>
                  <w:vMerge w:val="continue"/>
                  <w:tcBorders>
                    <w:tl2br w:val="nil"/>
                    <w:tr2bl w:val="nil"/>
                  </w:tcBorders>
                  <w:noWrap w:val="0"/>
                  <w:vAlign w:val="center"/>
                </w:tcPr>
                <w:p w14:paraId="60C02BB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u w:val="single" w:color="auto"/>
                      <w:lang w:val="en-US" w:eastAsia="zh-CN"/>
                    </w:rPr>
                  </w:pPr>
                </w:p>
              </w:tc>
              <w:tc>
                <w:tcPr>
                  <w:tcW w:w="785" w:type="pct"/>
                  <w:vMerge w:val="continue"/>
                  <w:tcBorders>
                    <w:tl2br w:val="nil"/>
                    <w:tr2bl w:val="nil"/>
                  </w:tcBorders>
                  <w:noWrap w:val="0"/>
                  <w:tcMar>
                    <w:top w:w="0" w:type="dxa"/>
                    <w:left w:w="28" w:type="dxa"/>
                    <w:bottom w:w="0" w:type="dxa"/>
                    <w:right w:w="28" w:type="dxa"/>
                  </w:tcMar>
                  <w:vAlign w:val="center"/>
                </w:tcPr>
                <w:p w14:paraId="36C8336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u w:val="single" w:color="auto"/>
                      <w:lang w:val="en-US" w:eastAsia="zh-CN"/>
                    </w:rPr>
                  </w:pPr>
                </w:p>
              </w:tc>
              <w:tc>
                <w:tcPr>
                  <w:tcW w:w="2124" w:type="pct"/>
                  <w:tcBorders>
                    <w:tl2br w:val="nil"/>
                    <w:tr2bl w:val="nil"/>
                  </w:tcBorders>
                  <w:noWrap w:val="0"/>
                  <w:tcMar>
                    <w:top w:w="0" w:type="dxa"/>
                    <w:left w:w="28" w:type="dxa"/>
                    <w:bottom w:w="0" w:type="dxa"/>
                    <w:right w:w="28" w:type="dxa"/>
                  </w:tcMar>
                  <w:vAlign w:val="center"/>
                </w:tcPr>
                <w:p w14:paraId="79A208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活性氧浓度</w:t>
                  </w:r>
                </w:p>
              </w:tc>
              <w:tc>
                <w:tcPr>
                  <w:tcW w:w="876" w:type="pct"/>
                  <w:tcBorders>
                    <w:tl2br w:val="nil"/>
                    <w:tr2bl w:val="nil"/>
                  </w:tcBorders>
                  <w:noWrap w:val="0"/>
                  <w:tcMar>
                    <w:top w:w="0" w:type="dxa"/>
                    <w:left w:w="28" w:type="dxa"/>
                    <w:bottom w:w="0" w:type="dxa"/>
                    <w:right w:w="28" w:type="dxa"/>
                  </w:tcMar>
                  <w:vAlign w:val="center"/>
                </w:tcPr>
                <w:p w14:paraId="6A77C0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themeColor="text1"/>
                      <w:kern w:val="0"/>
                      <w:sz w:val="21"/>
                      <w:szCs w:val="21"/>
                      <w:u w:val="single" w:color="auto"/>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u w:val="single" w:color="auto"/>
                      <w14:textFill>
                        <w14:solidFill>
                          <w14:schemeClr w14:val="tx1"/>
                        </w14:solidFill>
                      </w14:textFill>
                    </w:rPr>
                    <w:t>1次/</w:t>
                  </w:r>
                  <w:r>
                    <w:rPr>
                      <w:rFonts w:hint="eastAsia" w:ascii="Times New Roman" w:hAnsi="Times New Roman" w:eastAsia="宋体" w:cs="Times New Roman"/>
                      <w:color w:val="000000" w:themeColor="text1"/>
                      <w:kern w:val="0"/>
                      <w:sz w:val="21"/>
                      <w:szCs w:val="21"/>
                      <w:u w:val="single" w:color="auto"/>
                      <w:lang w:val="en-US" w:eastAsia="zh-CN"/>
                      <w14:textFill>
                        <w14:solidFill>
                          <w14:schemeClr w14:val="tx1"/>
                        </w14:solidFill>
                      </w14:textFill>
                    </w:rPr>
                    <w:t>月</w:t>
                  </w:r>
                </w:p>
              </w:tc>
            </w:tr>
          </w:tbl>
          <w:p w14:paraId="75B3C42C">
            <w:pPr>
              <w:pStyle w:val="15"/>
              <w:keepNext w:val="0"/>
              <w:keepLines w:val="0"/>
              <w:pageBreakBefore w:val="0"/>
              <w:widowControl w:val="0"/>
              <w:numPr>
                <w:ilvl w:val="0"/>
                <w:numId w:val="0"/>
              </w:numPr>
              <w:kinsoku/>
              <w:wordWrap/>
              <w:overflowPunct/>
              <w:topLinePunct w:val="0"/>
              <w:bidi w:val="0"/>
              <w:adjustRightInd/>
              <w:snapToGrid/>
              <w:spacing w:line="360" w:lineRule="auto"/>
              <w:ind w:firstLine="480" w:firstLineChars="200"/>
              <w:jc w:val="both"/>
              <w:textAlignment w:val="auto"/>
              <w:rPr>
                <w:rFonts w:hint="default" w:ascii="Times New Roman" w:hAnsi="Times New Roman" w:eastAsia="宋体" w:cs="Times New Roman"/>
                <w:b w:val="0"/>
                <w:bCs w:val="0"/>
                <w:sz w:val="24"/>
                <w:szCs w:val="24"/>
                <w:u w:val="single"/>
                <w:lang w:val="en-US" w:eastAsia="zh-CN"/>
              </w:rPr>
            </w:pPr>
          </w:p>
        </w:tc>
      </w:tr>
    </w:tbl>
    <w:p w14:paraId="027A58D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AADCADB">
      <w:pPr>
        <w:pStyle w:val="22"/>
        <w:keepNext w:val="0"/>
        <w:keepLines w:val="0"/>
        <w:pageBreakBefore w:val="0"/>
        <w:kinsoku/>
        <w:wordWrap/>
        <w:overflowPunct/>
        <w:topLinePunct w:val="0"/>
        <w:autoSpaceDE/>
        <w:autoSpaceDN/>
        <w:bidi w:val="0"/>
        <w:adjustRightInd/>
        <w:snapToGrid w:val="0"/>
        <w:spacing w:before="0" w:beforeAutospacing="0" w:after="0" w:afterAutospacing="0" w:line="360" w:lineRule="auto"/>
        <w:jc w:val="center"/>
        <w:textAlignment w:val="auto"/>
        <w:outlineLvl w:val="0"/>
        <w:rPr>
          <w:rFonts w:hint="default" w:ascii="Times New Roman" w:hAnsi="Times New Roman" w:eastAsia="宋体" w:cs="Times New Roman"/>
          <w:snapToGrid w:val="0"/>
          <w:color w:val="auto"/>
          <w:sz w:val="30"/>
          <w:szCs w:val="30"/>
        </w:rPr>
      </w:pPr>
      <w:bookmarkStart w:id="60" w:name="_Toc18973"/>
      <w:bookmarkStart w:id="61" w:name="_Toc16625"/>
      <w:bookmarkStart w:id="62" w:name="_Toc26346"/>
      <w:r>
        <w:rPr>
          <w:rFonts w:hint="default" w:ascii="Times New Roman" w:hAnsi="Times New Roman" w:eastAsia="宋体" w:cs="Times New Roman"/>
          <w:snapToGrid w:val="0"/>
          <w:color w:val="auto"/>
          <w:sz w:val="30"/>
          <w:szCs w:val="30"/>
        </w:rPr>
        <w:t>六、结论</w:t>
      </w:r>
      <w:bookmarkEnd w:id="60"/>
      <w:bookmarkEnd w:id="61"/>
      <w:bookmarkEnd w:id="62"/>
    </w:p>
    <w:tbl>
      <w:tblPr>
        <w:tblStyle w:val="24"/>
        <w:tblW w:w="86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06"/>
      </w:tblGrid>
      <w:tr w14:paraId="241B9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3" w:hRule="atLeast"/>
          <w:jc w:val="center"/>
        </w:trPr>
        <w:tc>
          <w:tcPr>
            <w:tcW w:w="8606" w:type="dxa"/>
            <w:vAlign w:val="top"/>
          </w:tcPr>
          <w:p w14:paraId="6F8378D1">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cs="Times New Roman"/>
                <w:sz w:val="24"/>
              </w:rPr>
            </w:pPr>
            <w:r>
              <w:rPr>
                <w:rFonts w:hint="eastAsia"/>
                <w:sz w:val="24"/>
                <w:szCs w:val="24"/>
                <w:lang w:val="en-US" w:eastAsia="zh-CN"/>
              </w:rPr>
              <w:t>新田县三井镇卫生院建设项目</w:t>
            </w:r>
            <w:r>
              <w:rPr>
                <w:rFonts w:hint="default" w:ascii="Times New Roman" w:hAnsi="Times New Roman" w:cs="Times New Roman"/>
                <w:sz w:val="24"/>
              </w:rPr>
              <w:t>符合国家产业政策</w:t>
            </w:r>
            <w:r>
              <w:rPr>
                <w:rFonts w:hint="eastAsia" w:cs="Times New Roman"/>
                <w:sz w:val="24"/>
                <w:lang w:eastAsia="zh-CN"/>
              </w:rPr>
              <w:t>，</w:t>
            </w:r>
            <w:r>
              <w:rPr>
                <w:rFonts w:hint="default" w:ascii="Times New Roman" w:hAnsi="Times New Roman" w:cs="Times New Roman"/>
                <w:sz w:val="24"/>
              </w:rPr>
              <w:t>项目选址符合相关规划要求</w:t>
            </w:r>
            <w:r>
              <w:rPr>
                <w:rFonts w:hint="eastAsia" w:cs="Times New Roman"/>
                <w:sz w:val="24"/>
                <w:lang w:eastAsia="zh-CN"/>
              </w:rPr>
              <w:t>。</w:t>
            </w:r>
            <w:r>
              <w:rPr>
                <w:rFonts w:hint="default" w:ascii="Times New Roman" w:hAnsi="Times New Roman" w:cs="Times New Roman"/>
                <w:sz w:val="24"/>
              </w:rPr>
              <w:t>通过采取有效的环保措施可实现达标排放，对周边环境的影响也能控制在可接受程度。因此，建设单位在严格执行环保“三同时”制度，严格落实本报告提出的各项环保措施后，项目建设对环境的影响是可接受的。因此，从环保的角度分析，本项目的建设是可行的。</w:t>
            </w:r>
          </w:p>
          <w:p w14:paraId="34B12A42">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both"/>
              <w:textAlignment w:val="auto"/>
              <w:rPr>
                <w:rFonts w:hint="default" w:ascii="Times New Roman" w:hAnsi="Times New Roman" w:eastAsia="宋体" w:cs="Times New Roman"/>
                <w:color w:val="auto"/>
                <w:sz w:val="24"/>
              </w:rPr>
            </w:pPr>
          </w:p>
        </w:tc>
      </w:tr>
    </w:tbl>
    <w:p w14:paraId="4257CFC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3658DF10">
      <w:pPr>
        <w:pStyle w:val="22"/>
        <w:keepNext w:val="0"/>
        <w:keepLines w:val="0"/>
        <w:pageBreakBefore w:val="0"/>
        <w:widowControl/>
        <w:kinsoku/>
        <w:wordWrap/>
        <w:overflowPunct/>
        <w:topLinePunct w:val="0"/>
        <w:autoSpaceDE/>
        <w:autoSpaceDN/>
        <w:bidi w:val="0"/>
        <w:adjustRightInd w:val="0"/>
        <w:snapToGrid w:val="0"/>
        <w:spacing w:before="0" w:beforeAutospacing="0" w:after="0" w:afterAutospacing="0" w:line="400" w:lineRule="exact"/>
        <w:textAlignment w:val="auto"/>
        <w:rPr>
          <w:rFonts w:ascii="Times New Roman" w:hAnsi="Times New Roman" w:eastAsia="黑体" w:cs="Times New Roman"/>
          <w:snapToGrid w:val="0"/>
          <w:kern w:val="0"/>
          <w:sz w:val="32"/>
          <w:szCs w:val="32"/>
          <w:highlight w:val="none"/>
        </w:rPr>
      </w:pPr>
      <w:r>
        <w:rPr>
          <w:rFonts w:ascii="Times New Roman" w:hAnsi="Times New Roman" w:eastAsia="黑体" w:cs="Times New Roman"/>
          <w:snapToGrid w:val="0"/>
          <w:sz w:val="32"/>
          <w:szCs w:val="32"/>
          <w:highlight w:val="none"/>
        </w:rPr>
        <w:t>附表</w:t>
      </w:r>
    </w:p>
    <w:p w14:paraId="328230C8">
      <w:pPr>
        <w:jc w:val="center"/>
        <w:outlineLvl w:val="0"/>
        <w:rPr>
          <w:rFonts w:hint="default" w:ascii="Times New Roman" w:hAnsi="Times New Roman" w:eastAsia="宋体" w:cs="Times New Roman"/>
          <w:b/>
          <w:bCs/>
          <w:snapToGrid w:val="0"/>
          <w:color w:val="000000" w:themeColor="text1"/>
          <w:sz w:val="36"/>
          <w:szCs w:val="36"/>
          <w:u w:val="none"/>
          <w14:textFill>
            <w14:solidFill>
              <w14:schemeClr w14:val="tx1"/>
            </w14:solidFill>
          </w14:textFill>
        </w:rPr>
      </w:pPr>
      <w:bookmarkStart w:id="63" w:name="_Toc9152"/>
      <w:bookmarkStart w:id="64" w:name="_Toc32100"/>
      <w:bookmarkStart w:id="65" w:name="_Toc6976"/>
      <w:r>
        <w:rPr>
          <w:rFonts w:ascii="Times New Roman" w:hAnsi="Times New Roman" w:eastAsia="方正小标宋_GBK" w:cs="Times New Roman"/>
          <w:snapToGrid w:val="0"/>
          <w:sz w:val="38"/>
          <w:szCs w:val="38"/>
          <w:highlight w:val="none"/>
        </w:rPr>
        <w:t>建设项目污染物排放量汇总表</w:t>
      </w:r>
      <w:bookmarkEnd w:id="63"/>
      <w:bookmarkEnd w:id="64"/>
      <w:bookmarkEnd w:id="65"/>
    </w:p>
    <w:tbl>
      <w:tblPr>
        <w:tblStyle w:val="24"/>
        <w:tblW w:w="4946"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32"/>
        <w:gridCol w:w="1433"/>
        <w:gridCol w:w="1416"/>
        <w:gridCol w:w="1996"/>
        <w:gridCol w:w="1710"/>
        <w:gridCol w:w="1733"/>
        <w:gridCol w:w="1435"/>
        <w:gridCol w:w="1635"/>
        <w:gridCol w:w="1373"/>
      </w:tblGrid>
      <w:tr w14:paraId="058699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tcBorders>
              <w:top w:val="single" w:color="auto" w:sz="8" w:space="0"/>
              <w:bottom w:val="single" w:color="auto" w:sz="6" w:space="0"/>
              <w:tl2br w:val="single" w:color="auto" w:sz="8" w:space="0"/>
            </w:tcBorders>
            <w:noWrap w:val="0"/>
            <w:tcMar>
              <w:top w:w="0" w:type="dxa"/>
              <w:left w:w="28" w:type="dxa"/>
              <w:bottom w:w="0" w:type="dxa"/>
              <w:right w:w="28" w:type="dxa"/>
            </w:tcMar>
            <w:vAlign w:val="center"/>
          </w:tcPr>
          <w:p w14:paraId="5BB78D5E">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hint="eastAsia" w:ascii="Times New Roman" w:hAnsi="Times New Roman" w:cs="Times New Roman"/>
                <w:b/>
                <w:color w:val="000000"/>
                <w:sz w:val="21"/>
                <w:szCs w:val="21"/>
                <w:highlight w:val="none"/>
                <w:lang w:val="en-US" w:eastAsia="zh-CN"/>
              </w:rPr>
              <w:t xml:space="preserve">    </w:t>
            </w:r>
            <w:r>
              <w:rPr>
                <w:rFonts w:ascii="Times New Roman" w:hAnsi="Times New Roman" w:cs="Times New Roman"/>
                <w:b/>
                <w:color w:val="000000"/>
                <w:sz w:val="21"/>
                <w:szCs w:val="21"/>
                <w:highlight w:val="none"/>
              </w:rPr>
              <w:t>项目</w:t>
            </w:r>
          </w:p>
          <w:p w14:paraId="00EC6C31">
            <w:pPr>
              <w:pStyle w:val="43"/>
              <w:keepNext w:val="0"/>
              <w:keepLines w:val="0"/>
              <w:pageBreakBefore w:val="0"/>
              <w:kinsoku/>
              <w:wordWrap/>
              <w:topLinePunct w:val="0"/>
              <w:bidi w:val="0"/>
              <w:adjustRightInd w:val="0"/>
              <w:snapToGrid w:val="0"/>
              <w:spacing w:beforeLines="0" w:line="240" w:lineRule="auto"/>
              <w:ind w:left="0" w:firstLine="0" w:firstLineChars="0"/>
              <w:jc w:val="both"/>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分类</w:t>
            </w:r>
          </w:p>
        </w:tc>
        <w:tc>
          <w:tcPr>
            <w:tcW w:w="1433" w:type="dxa"/>
            <w:noWrap w:val="0"/>
            <w:tcMar>
              <w:top w:w="0" w:type="dxa"/>
              <w:left w:w="28" w:type="dxa"/>
              <w:bottom w:w="0" w:type="dxa"/>
              <w:right w:w="28" w:type="dxa"/>
            </w:tcMar>
            <w:vAlign w:val="center"/>
          </w:tcPr>
          <w:p w14:paraId="1A9F20FB">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污染物名称</w:t>
            </w:r>
          </w:p>
        </w:tc>
        <w:tc>
          <w:tcPr>
            <w:tcW w:w="1416" w:type="dxa"/>
            <w:noWrap w:val="0"/>
            <w:tcMar>
              <w:top w:w="0" w:type="dxa"/>
              <w:left w:w="28" w:type="dxa"/>
              <w:bottom w:w="0" w:type="dxa"/>
              <w:right w:w="28" w:type="dxa"/>
            </w:tcMar>
            <w:vAlign w:val="center"/>
          </w:tcPr>
          <w:p w14:paraId="20346BB6">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1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①</w:t>
            </w:r>
            <w:r>
              <w:rPr>
                <w:rFonts w:ascii="Times New Roman" w:hAnsi="Times New Roman" w:cs="Times New Roman"/>
                <w:b/>
                <w:color w:val="000000"/>
                <w:sz w:val="21"/>
                <w:szCs w:val="21"/>
                <w:highlight w:val="none"/>
              </w:rPr>
              <w:fldChar w:fldCharType="end"/>
            </w:r>
          </w:p>
        </w:tc>
        <w:tc>
          <w:tcPr>
            <w:tcW w:w="1996" w:type="dxa"/>
            <w:noWrap w:val="0"/>
            <w:tcMar>
              <w:top w:w="0" w:type="dxa"/>
              <w:left w:w="28" w:type="dxa"/>
              <w:bottom w:w="0" w:type="dxa"/>
              <w:right w:w="28" w:type="dxa"/>
            </w:tcMar>
            <w:vAlign w:val="center"/>
          </w:tcPr>
          <w:p w14:paraId="6656BCDF">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现有工程许可排放量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2 \* GB3 \* MERGEFORMAT </w:instrText>
            </w:r>
            <w:r>
              <w:rPr>
                <w:rFonts w:ascii="Times New Roman" w:hAnsi="Times New Roman" w:cs="Times New Roman"/>
                <w:b/>
                <w:color w:val="000000"/>
                <w:sz w:val="21"/>
                <w:szCs w:val="21"/>
                <w:highlight w:val="none"/>
              </w:rPr>
              <w:fldChar w:fldCharType="separate"/>
            </w:r>
            <w:r>
              <w:rPr>
                <w:rFonts w:hint="eastAsia" w:cs="宋体"/>
                <w:b/>
                <w:color w:val="000000"/>
                <w:sz w:val="21"/>
                <w:szCs w:val="21"/>
                <w:highlight w:val="none"/>
              </w:rPr>
              <w:t>②</w:t>
            </w:r>
            <w:r>
              <w:rPr>
                <w:rFonts w:ascii="Times New Roman" w:hAnsi="Times New Roman" w:cs="Times New Roman"/>
                <w:b/>
                <w:color w:val="000000"/>
                <w:sz w:val="21"/>
                <w:szCs w:val="21"/>
                <w:highlight w:val="none"/>
              </w:rPr>
              <w:fldChar w:fldCharType="end"/>
            </w:r>
          </w:p>
        </w:tc>
        <w:tc>
          <w:tcPr>
            <w:tcW w:w="1710" w:type="dxa"/>
            <w:noWrap w:val="0"/>
            <w:tcMar>
              <w:top w:w="0" w:type="dxa"/>
              <w:left w:w="28" w:type="dxa"/>
              <w:bottom w:w="0" w:type="dxa"/>
              <w:right w:w="28" w:type="dxa"/>
            </w:tcMar>
            <w:vAlign w:val="center"/>
          </w:tcPr>
          <w:p w14:paraId="10EA50C4">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在建工程排放量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3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③</w:t>
            </w:r>
            <w:r>
              <w:rPr>
                <w:rFonts w:ascii="Times New Roman" w:hAnsi="Times New Roman" w:cs="Times New Roman"/>
                <w:b/>
                <w:color w:val="000000"/>
                <w:sz w:val="21"/>
                <w:szCs w:val="21"/>
                <w:highlight w:val="none"/>
              </w:rPr>
              <w:fldChar w:fldCharType="end"/>
            </w:r>
          </w:p>
        </w:tc>
        <w:tc>
          <w:tcPr>
            <w:tcW w:w="1733" w:type="dxa"/>
            <w:noWrap w:val="0"/>
            <w:tcMar>
              <w:top w:w="0" w:type="dxa"/>
              <w:left w:w="28" w:type="dxa"/>
              <w:bottom w:w="0" w:type="dxa"/>
              <w:right w:w="28" w:type="dxa"/>
            </w:tcMar>
            <w:vAlign w:val="center"/>
          </w:tcPr>
          <w:p w14:paraId="54D87FD6">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本项目排放量</w:t>
            </w:r>
          </w:p>
          <w:p w14:paraId="5C43272D">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4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④</w:t>
            </w:r>
            <w:r>
              <w:rPr>
                <w:rFonts w:ascii="Times New Roman" w:hAnsi="Times New Roman" w:cs="Times New Roman"/>
                <w:b/>
                <w:color w:val="000000"/>
                <w:sz w:val="21"/>
                <w:szCs w:val="21"/>
                <w:highlight w:val="none"/>
              </w:rPr>
              <w:fldChar w:fldCharType="end"/>
            </w:r>
          </w:p>
        </w:tc>
        <w:tc>
          <w:tcPr>
            <w:tcW w:w="1435" w:type="dxa"/>
            <w:noWrap w:val="0"/>
            <w:tcMar>
              <w:top w:w="0" w:type="dxa"/>
              <w:left w:w="28" w:type="dxa"/>
              <w:bottom w:w="0" w:type="dxa"/>
              <w:right w:w="28" w:type="dxa"/>
            </w:tcMar>
            <w:vAlign w:val="center"/>
          </w:tcPr>
          <w:p w14:paraId="188EB764">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以新带老削减量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5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⑤</w:t>
            </w:r>
            <w:r>
              <w:rPr>
                <w:rFonts w:ascii="Times New Roman" w:hAnsi="Times New Roman" w:cs="Times New Roman"/>
                <w:b/>
                <w:color w:val="000000"/>
                <w:sz w:val="21"/>
                <w:szCs w:val="21"/>
                <w:highlight w:val="none"/>
              </w:rPr>
              <w:fldChar w:fldCharType="end"/>
            </w:r>
          </w:p>
        </w:tc>
        <w:tc>
          <w:tcPr>
            <w:tcW w:w="1635" w:type="dxa"/>
            <w:noWrap w:val="0"/>
            <w:tcMar>
              <w:top w:w="0" w:type="dxa"/>
              <w:left w:w="28" w:type="dxa"/>
              <w:bottom w:w="0" w:type="dxa"/>
              <w:right w:w="28" w:type="dxa"/>
            </w:tcMar>
            <w:vAlign w:val="center"/>
          </w:tcPr>
          <w:p w14:paraId="103CC875">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本项目建成后全厂排放量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6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⑥</w:t>
            </w:r>
            <w:r>
              <w:rPr>
                <w:rFonts w:ascii="Times New Roman" w:hAnsi="Times New Roman" w:cs="Times New Roman"/>
                <w:b/>
                <w:color w:val="000000"/>
                <w:sz w:val="21"/>
                <w:szCs w:val="21"/>
                <w:highlight w:val="none"/>
              </w:rPr>
              <w:fldChar w:fldCharType="end"/>
            </w:r>
          </w:p>
        </w:tc>
        <w:tc>
          <w:tcPr>
            <w:tcW w:w="1373" w:type="dxa"/>
            <w:noWrap w:val="0"/>
            <w:tcMar>
              <w:top w:w="0" w:type="dxa"/>
              <w:left w:w="28" w:type="dxa"/>
              <w:bottom w:w="0" w:type="dxa"/>
              <w:right w:w="28" w:type="dxa"/>
            </w:tcMar>
            <w:vAlign w:val="center"/>
          </w:tcPr>
          <w:p w14:paraId="1EF71CCC">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b/>
                <w:color w:val="000000"/>
                <w:sz w:val="21"/>
                <w:szCs w:val="21"/>
                <w:highlight w:val="none"/>
              </w:rPr>
            </w:pPr>
            <w:r>
              <w:rPr>
                <w:rFonts w:ascii="Times New Roman" w:hAnsi="Times New Roman" w:cs="Times New Roman"/>
                <w:b/>
                <w:color w:val="000000"/>
                <w:sz w:val="21"/>
                <w:szCs w:val="21"/>
                <w:highlight w:val="none"/>
              </w:rPr>
              <w:t>变化量</w:t>
            </w:r>
            <w:r>
              <w:rPr>
                <w:rFonts w:ascii="Times New Roman" w:hAnsi="Times New Roman" w:cs="Times New Roman"/>
                <w:b/>
                <w:color w:val="000000"/>
                <w:sz w:val="21"/>
                <w:szCs w:val="21"/>
                <w:highlight w:val="none"/>
              </w:rPr>
              <w:fldChar w:fldCharType="begin"/>
            </w:r>
            <w:r>
              <w:rPr>
                <w:rFonts w:ascii="Times New Roman" w:hAnsi="Times New Roman" w:cs="Times New Roman"/>
                <w:b/>
                <w:color w:val="000000"/>
                <w:sz w:val="21"/>
                <w:szCs w:val="21"/>
                <w:highlight w:val="none"/>
              </w:rPr>
              <w:instrText xml:space="preserve"> = 7 \* GB3 \* MERGEFORMAT </w:instrText>
            </w:r>
            <w:r>
              <w:rPr>
                <w:rFonts w:ascii="Times New Roman" w:hAnsi="Times New Roman" w:cs="Times New Roman"/>
                <w:b/>
                <w:color w:val="000000"/>
                <w:sz w:val="21"/>
                <w:szCs w:val="21"/>
                <w:highlight w:val="none"/>
              </w:rPr>
              <w:fldChar w:fldCharType="separate"/>
            </w:r>
            <w:r>
              <w:rPr>
                <w:rFonts w:hint="eastAsia" w:cs="宋体"/>
                <w:b/>
                <w:sz w:val="21"/>
                <w:szCs w:val="21"/>
                <w:highlight w:val="none"/>
              </w:rPr>
              <w:t>⑦</w:t>
            </w:r>
            <w:r>
              <w:rPr>
                <w:rFonts w:ascii="Times New Roman" w:hAnsi="Times New Roman" w:cs="Times New Roman"/>
                <w:b/>
                <w:color w:val="000000"/>
                <w:sz w:val="21"/>
                <w:szCs w:val="21"/>
                <w:highlight w:val="none"/>
              </w:rPr>
              <w:fldChar w:fldCharType="end"/>
            </w:r>
          </w:p>
        </w:tc>
      </w:tr>
      <w:tr w14:paraId="343C9B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tcBorders>
              <w:top w:val="single" w:color="auto" w:sz="6" w:space="0"/>
            </w:tcBorders>
            <w:noWrap w:val="0"/>
            <w:vAlign w:val="center"/>
          </w:tcPr>
          <w:p w14:paraId="2EC16D84">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废气</w:t>
            </w:r>
          </w:p>
        </w:tc>
        <w:tc>
          <w:tcPr>
            <w:tcW w:w="1433" w:type="dxa"/>
            <w:noWrap w:val="0"/>
            <w:vAlign w:val="center"/>
          </w:tcPr>
          <w:p w14:paraId="31F435D1">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NH</w:t>
            </w:r>
            <w:r>
              <w:rPr>
                <w:rFonts w:ascii="Times New Roman" w:hAnsi="Times New Roman" w:eastAsia="宋体" w:cs="Times New Roman"/>
                <w:sz w:val="21"/>
                <w:szCs w:val="21"/>
                <w:highlight w:val="none"/>
                <w:vertAlign w:val="subscript"/>
              </w:rPr>
              <w:t>3</w:t>
            </w:r>
          </w:p>
        </w:tc>
        <w:tc>
          <w:tcPr>
            <w:tcW w:w="1416" w:type="dxa"/>
            <w:noWrap w:val="0"/>
            <w:vAlign w:val="center"/>
          </w:tcPr>
          <w:p w14:paraId="6D0B85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576AD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4B1516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6ADCD1BD">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825</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14:paraId="3001BC46">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576AFF23">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825</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14:paraId="095CB502">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w:t>
            </w:r>
            <w:r>
              <w:rPr>
                <w:rFonts w:hint="eastAsia" w:ascii="Times New Roman" w:hAnsi="Times New Roman" w:cs="Times New Roman"/>
                <w:color w:val="000000" w:themeColor="text1"/>
                <w:sz w:val="21"/>
                <w:szCs w:val="21"/>
                <w:lang w:val="en-US" w:eastAsia="zh-CN"/>
                <w14:textFill>
                  <w14:solidFill>
                    <w14:schemeClr w14:val="tx1"/>
                  </w14:solidFill>
                </w14:textFill>
              </w:rPr>
              <w:t>825</w:t>
            </w:r>
            <w:r>
              <w:rPr>
                <w:rFonts w:hint="default" w:ascii="Times New Roman" w:hAnsi="Times New Roman" w:cs="Times New Roman"/>
                <w:color w:val="000000" w:themeColor="text1"/>
                <w:sz w:val="24"/>
                <w:szCs w:val="24"/>
                <w14:textFill>
                  <w14:solidFill>
                    <w14:schemeClr w14:val="tx1"/>
                  </w14:solidFill>
                </w14:textFill>
              </w:rPr>
              <w:t>kg/a</w:t>
            </w:r>
          </w:p>
        </w:tc>
      </w:tr>
      <w:tr w14:paraId="4348E9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0270237D">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14:paraId="6287D1BE">
            <w:pPr>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H</w:t>
            </w:r>
            <w:r>
              <w:rPr>
                <w:rFonts w:ascii="Times New Roman" w:hAnsi="Times New Roman" w:eastAsia="宋体" w:cs="Times New Roman"/>
                <w:sz w:val="21"/>
                <w:szCs w:val="21"/>
                <w:highlight w:val="none"/>
                <w:vertAlign w:val="subscript"/>
              </w:rPr>
              <w:t>2</w:t>
            </w:r>
            <w:r>
              <w:rPr>
                <w:rFonts w:hint="eastAsia" w:ascii="Times New Roman" w:hAnsi="Times New Roman" w:eastAsia="宋体" w:cs="Times New Roman"/>
                <w:sz w:val="21"/>
                <w:szCs w:val="21"/>
                <w:highlight w:val="none"/>
              </w:rPr>
              <w:t>S</w:t>
            </w:r>
          </w:p>
        </w:tc>
        <w:tc>
          <w:tcPr>
            <w:tcW w:w="1416" w:type="dxa"/>
            <w:noWrap w:val="0"/>
            <w:vAlign w:val="center"/>
          </w:tcPr>
          <w:p w14:paraId="5FF0BD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0FEE6E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669FC5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5AA46F6F">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32</w:t>
            </w:r>
            <w:r>
              <w:rPr>
                <w:rFonts w:hint="default" w:ascii="Times New Roman" w:hAnsi="Times New Roman" w:cs="Times New Roman"/>
                <w:color w:val="000000" w:themeColor="text1"/>
                <w:sz w:val="24"/>
                <w:szCs w:val="24"/>
                <w14:textFill>
                  <w14:solidFill>
                    <w14:schemeClr w14:val="tx1"/>
                  </w14:solidFill>
                </w14:textFill>
              </w:rPr>
              <w:t>kg/a</w:t>
            </w:r>
          </w:p>
        </w:tc>
        <w:tc>
          <w:tcPr>
            <w:tcW w:w="1435" w:type="dxa"/>
            <w:noWrap w:val="0"/>
            <w:vAlign w:val="center"/>
          </w:tcPr>
          <w:p w14:paraId="41EF57A2">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32A47DD3">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32</w:t>
            </w:r>
            <w:r>
              <w:rPr>
                <w:rFonts w:hint="default" w:ascii="Times New Roman" w:hAnsi="Times New Roman" w:cs="Times New Roman"/>
                <w:color w:val="000000" w:themeColor="text1"/>
                <w:sz w:val="24"/>
                <w:szCs w:val="24"/>
                <w14:textFill>
                  <w14:solidFill>
                    <w14:schemeClr w14:val="tx1"/>
                  </w14:solidFill>
                </w14:textFill>
              </w:rPr>
              <w:t>kg/a</w:t>
            </w:r>
          </w:p>
        </w:tc>
        <w:tc>
          <w:tcPr>
            <w:tcW w:w="1373" w:type="dxa"/>
            <w:noWrap w:val="0"/>
            <w:vAlign w:val="center"/>
          </w:tcPr>
          <w:p w14:paraId="6A9CF061">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w:t>
            </w:r>
            <w:r>
              <w:rPr>
                <w:rFonts w:hint="eastAsia" w:ascii="Times New Roman" w:hAnsi="Times New Roman" w:cs="Times New Roman"/>
                <w:color w:val="000000" w:themeColor="text1"/>
                <w:sz w:val="21"/>
                <w:szCs w:val="21"/>
                <w:lang w:val="en-US" w:eastAsia="zh-CN"/>
                <w14:textFill>
                  <w14:solidFill>
                    <w14:schemeClr w14:val="tx1"/>
                  </w14:solidFill>
                </w14:textFill>
              </w:rPr>
              <w:t>32</w:t>
            </w:r>
            <w:r>
              <w:rPr>
                <w:rFonts w:hint="default" w:ascii="Times New Roman" w:hAnsi="Times New Roman" w:cs="Times New Roman"/>
                <w:color w:val="000000" w:themeColor="text1"/>
                <w:sz w:val="24"/>
                <w:szCs w:val="24"/>
                <w14:textFill>
                  <w14:solidFill>
                    <w14:schemeClr w14:val="tx1"/>
                  </w14:solidFill>
                </w14:textFill>
              </w:rPr>
              <w:t>kg/a</w:t>
            </w:r>
          </w:p>
        </w:tc>
      </w:tr>
      <w:tr w14:paraId="335632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33E0B4E6">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sz w:val="21"/>
                <w:szCs w:val="21"/>
                <w:highlight w:val="none"/>
                <w:lang w:eastAsia="zh-CN"/>
              </w:rPr>
            </w:pPr>
          </w:p>
        </w:tc>
        <w:tc>
          <w:tcPr>
            <w:tcW w:w="1433" w:type="dxa"/>
            <w:noWrap w:val="0"/>
            <w:vAlign w:val="center"/>
          </w:tcPr>
          <w:p w14:paraId="0BBE3F45">
            <w:pPr>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cs="Times New Roman"/>
                <w:sz w:val="21"/>
                <w:szCs w:val="21"/>
                <w:highlight w:val="none"/>
                <w:lang w:eastAsia="zh-CN"/>
              </w:rPr>
              <w:t>食堂油烟</w:t>
            </w:r>
          </w:p>
        </w:tc>
        <w:tc>
          <w:tcPr>
            <w:tcW w:w="1416" w:type="dxa"/>
            <w:noWrap w:val="0"/>
            <w:vAlign w:val="center"/>
          </w:tcPr>
          <w:p w14:paraId="28E1CF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0F5D9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719946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2CA10B9F">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14:paraId="52667362">
            <w:pPr>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76DA5D2B">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14:paraId="150FEB74">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0.00</w:t>
            </w:r>
            <w:r>
              <w:rPr>
                <w:rFonts w:hint="eastAsia" w:ascii="Times New Roman" w:hAnsi="Times New Roman" w:cs="Times New Roman"/>
                <w:color w:val="000000" w:themeColor="text1"/>
                <w:sz w:val="21"/>
                <w:szCs w:val="21"/>
                <w:lang w:val="en-US" w:eastAsia="zh-CN"/>
                <w14:textFill>
                  <w14:solidFill>
                    <w14:schemeClr w14:val="tx1"/>
                  </w14:solidFill>
                </w14:textFill>
              </w:rPr>
              <w:t>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14:paraId="531E76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14:paraId="429D322C">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r>
              <w:rPr>
                <w:rFonts w:ascii="Times New Roman" w:hAnsi="Times New Roman" w:cs="Times New Roman"/>
                <w:color w:val="000000"/>
                <w:sz w:val="21"/>
                <w:szCs w:val="21"/>
                <w:highlight w:val="none"/>
              </w:rPr>
              <w:t>废水</w:t>
            </w:r>
          </w:p>
        </w:tc>
        <w:tc>
          <w:tcPr>
            <w:tcW w:w="1433" w:type="dxa"/>
            <w:noWrap w:val="0"/>
            <w:vAlign w:val="center"/>
          </w:tcPr>
          <w:p w14:paraId="4A1DA2EB">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COD</w:t>
            </w:r>
          </w:p>
        </w:tc>
        <w:tc>
          <w:tcPr>
            <w:tcW w:w="1416" w:type="dxa"/>
            <w:noWrap w:val="0"/>
            <w:vAlign w:val="center"/>
          </w:tcPr>
          <w:p w14:paraId="4242E5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111EA1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324174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78A237F5">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1.329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14:paraId="765D8E9C">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0E7FFC11">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1.329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14:paraId="6A94F892">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1.329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14:paraId="1B05372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616371B3">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14:paraId="1F4E04AC">
            <w:pPr>
              <w:pStyle w:val="38"/>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BOD</w:t>
            </w:r>
            <w:r>
              <w:rPr>
                <w:rStyle w:val="44"/>
                <w:rFonts w:eastAsia="宋体" w:cs="Times New Roman"/>
                <w:b w:val="0"/>
                <w:bCs/>
                <w:color w:val="000000" w:themeColor="text1"/>
                <w:sz w:val="21"/>
                <w:szCs w:val="21"/>
                <w:highlight w:val="none"/>
                <w:vertAlign w:val="subscript"/>
                <w14:textFill>
                  <w14:solidFill>
                    <w14:schemeClr w14:val="tx1"/>
                  </w14:solidFill>
                </w14:textFill>
              </w:rPr>
              <w:t>5</w:t>
            </w:r>
          </w:p>
        </w:tc>
        <w:tc>
          <w:tcPr>
            <w:tcW w:w="1416" w:type="dxa"/>
            <w:noWrap w:val="0"/>
            <w:vAlign w:val="center"/>
          </w:tcPr>
          <w:p w14:paraId="186B78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70BE7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50EE1C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77AB95D3">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0.532</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14:paraId="45624626">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239BD69D">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0.532</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14:paraId="4985DC17">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0.532</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14:paraId="547705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2A0AE850">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sz w:val="21"/>
                <w:szCs w:val="21"/>
                <w:highlight w:val="none"/>
              </w:rPr>
            </w:pPr>
          </w:p>
        </w:tc>
        <w:tc>
          <w:tcPr>
            <w:tcW w:w="1433" w:type="dxa"/>
            <w:noWrap w:val="0"/>
            <w:vAlign w:val="center"/>
          </w:tcPr>
          <w:p w14:paraId="48AF8DB1">
            <w:pPr>
              <w:pStyle w:val="38"/>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SS</w:t>
            </w:r>
          </w:p>
        </w:tc>
        <w:tc>
          <w:tcPr>
            <w:tcW w:w="1416" w:type="dxa"/>
            <w:noWrap w:val="0"/>
            <w:vAlign w:val="center"/>
          </w:tcPr>
          <w:p w14:paraId="41F2D2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7F3887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727FA9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25A2FA9C">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0.186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14:paraId="2C9F8782">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6C7D7601">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0.186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14:paraId="6E57A20B">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0.186</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14:paraId="022725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01AC3341">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7E153A83">
            <w:pPr>
              <w:pStyle w:val="38"/>
              <w:keepNext w:val="0"/>
              <w:keepLines w:val="0"/>
              <w:pageBreakBefore w:val="0"/>
              <w:kinsoku/>
              <w:wordWrap/>
              <w:topLinePunct w:val="0"/>
              <w:bidi w:val="0"/>
              <w:adjustRightInd w:val="0"/>
              <w:snapToGrid w:val="0"/>
              <w:spacing w:line="240" w:lineRule="auto"/>
              <w:ind w:left="0" w:firstLine="0" w:firstLineChars="0"/>
              <w:jc w:val="center"/>
              <w:rPr>
                <w:rStyle w:val="44"/>
                <w:rFonts w:hint="eastAsia" w:ascii="Times New Roman" w:hAnsi="Times New Roman" w:cs="Times New Roman"/>
                <w:bCs/>
                <w:color w:val="000000" w:themeColor="text1"/>
                <w:sz w:val="21"/>
                <w:szCs w:val="21"/>
                <w:highlight w:val="none"/>
                <w14:textFill>
                  <w14:solidFill>
                    <w14:schemeClr w14:val="tx1"/>
                  </w14:solidFill>
                </w14:textFill>
              </w:rPr>
            </w:pPr>
            <w:r>
              <w:rPr>
                <w:rStyle w:val="44"/>
                <w:rFonts w:hint="eastAsia" w:eastAsia="宋体" w:cs="Times New Roman"/>
                <w:b w:val="0"/>
                <w:bCs/>
                <w:color w:val="000000" w:themeColor="text1"/>
                <w:sz w:val="21"/>
                <w:szCs w:val="21"/>
                <w:highlight w:val="none"/>
                <w14:textFill>
                  <w14:solidFill>
                    <w14:schemeClr w14:val="tx1"/>
                  </w14:solidFill>
                </w14:textFill>
              </w:rPr>
              <w:t>NH</w:t>
            </w:r>
            <w:r>
              <w:rPr>
                <w:rStyle w:val="44"/>
                <w:rFonts w:hint="eastAsia" w:eastAsia="宋体" w:cs="Times New Roman"/>
                <w:b w:val="0"/>
                <w:bCs/>
                <w:color w:val="000000" w:themeColor="text1"/>
                <w:sz w:val="21"/>
                <w:szCs w:val="21"/>
                <w:highlight w:val="none"/>
                <w:vertAlign w:val="baseline"/>
                <w14:textFill>
                  <w14:solidFill>
                    <w14:schemeClr w14:val="tx1"/>
                  </w14:solidFill>
                </w14:textFill>
              </w:rPr>
              <w:t>3</w:t>
            </w:r>
            <w:r>
              <w:rPr>
                <w:rStyle w:val="44"/>
                <w:rFonts w:eastAsia="宋体" w:cs="Times New Roman"/>
                <w:b w:val="0"/>
                <w:bCs/>
                <w:color w:val="000000" w:themeColor="text1"/>
                <w:sz w:val="21"/>
                <w:szCs w:val="21"/>
                <w:highlight w:val="none"/>
                <w14:textFill>
                  <w14:solidFill>
                    <w14:schemeClr w14:val="tx1"/>
                  </w14:solidFill>
                </w14:textFill>
              </w:rPr>
              <w:t>-</w:t>
            </w:r>
            <w:r>
              <w:rPr>
                <w:rStyle w:val="44"/>
                <w:rFonts w:hint="eastAsia" w:eastAsia="宋体" w:cs="Times New Roman"/>
                <w:b w:val="0"/>
                <w:bCs/>
                <w:color w:val="000000" w:themeColor="text1"/>
                <w:sz w:val="21"/>
                <w:szCs w:val="21"/>
                <w:highlight w:val="none"/>
                <w14:textFill>
                  <w14:solidFill>
                    <w14:schemeClr w14:val="tx1"/>
                  </w14:solidFill>
                </w14:textFill>
              </w:rPr>
              <w:t>N</w:t>
            </w:r>
          </w:p>
        </w:tc>
        <w:tc>
          <w:tcPr>
            <w:tcW w:w="1416" w:type="dxa"/>
            <w:noWrap w:val="0"/>
            <w:vAlign w:val="center"/>
          </w:tcPr>
          <w:p w14:paraId="0F3AD78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0EA1D7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01C57D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03A852E5">
            <w:pPr>
              <w:keepNext w:val="0"/>
              <w:keepLines w:val="0"/>
              <w:widowControl/>
              <w:suppressLineNumbers w:val="0"/>
              <w:jc w:val="center"/>
              <w:textAlignment w:val="center"/>
              <w:rPr>
                <w:rFonts w:hint="default" w:ascii="Times New Roman" w:hAnsi="Times New Roman" w:eastAsia="宋体" w:cs="Times New Roman"/>
                <w:color w:val="0000FF"/>
                <w:sz w:val="21"/>
                <w:szCs w:val="21"/>
                <w:highlight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0.319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435" w:type="dxa"/>
            <w:noWrap w:val="0"/>
            <w:vAlign w:val="center"/>
          </w:tcPr>
          <w:p w14:paraId="37413A8C">
            <w:pPr>
              <w:keepNext w:val="0"/>
              <w:keepLines w:val="0"/>
              <w:pageBreakBefore w:val="0"/>
              <w:kinsoku/>
              <w:wordWrap/>
              <w:topLinePunct w:val="0"/>
              <w:bidi w:val="0"/>
              <w:adjustRightInd w:val="0"/>
              <w:snapToGrid w:val="0"/>
              <w:spacing w:beforeLines="0" w:line="240" w:lineRule="auto"/>
              <w:ind w:left="0" w:firstLine="0" w:firstLineChars="0"/>
              <w:jc w:val="center"/>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w:t>
            </w:r>
          </w:p>
        </w:tc>
        <w:tc>
          <w:tcPr>
            <w:tcW w:w="1635" w:type="dxa"/>
            <w:noWrap w:val="0"/>
            <w:vAlign w:val="center"/>
          </w:tcPr>
          <w:p w14:paraId="625DC1AD">
            <w:pPr>
              <w:keepNext w:val="0"/>
              <w:keepLines w:val="0"/>
              <w:widowControl/>
              <w:suppressLineNumbers w:val="0"/>
              <w:jc w:val="center"/>
              <w:textAlignment w:val="center"/>
              <w:rPr>
                <w:rFonts w:ascii="Times New Roman" w:hAnsi="Times New Roman" w:eastAsia="宋体" w:cs="Times New Roman"/>
                <w:color w:val="FF0000"/>
                <w:kern w:val="2"/>
                <w:sz w:val="21"/>
                <w:szCs w:val="21"/>
                <w:highlight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0.319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c>
          <w:tcPr>
            <w:tcW w:w="1373" w:type="dxa"/>
            <w:noWrap w:val="0"/>
            <w:vAlign w:val="center"/>
          </w:tcPr>
          <w:p w14:paraId="526E084E">
            <w:pPr>
              <w:keepNext w:val="0"/>
              <w:keepLines w:val="0"/>
              <w:widowControl/>
              <w:suppressLineNumbers w:val="0"/>
              <w:jc w:val="center"/>
              <w:textAlignment w:val="center"/>
              <w:rPr>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0.319</w:t>
            </w:r>
            <w:r>
              <w:rPr>
                <w:rFonts w:hint="default" w:ascii="Times New Roman" w:hAnsi="Times New Roman" w:cs="Times New Roman"/>
                <w:color w:val="000000" w:themeColor="text1"/>
                <w:sz w:val="21"/>
                <w:szCs w:val="21"/>
                <w:lang w:val="en-US" w:eastAsia="zh-CN"/>
                <w14:textFill>
                  <w14:solidFill>
                    <w14:schemeClr w14:val="tx1"/>
                  </w14:solidFill>
                </w14:textFill>
              </w:rPr>
              <w:t>t/a</w:t>
            </w:r>
          </w:p>
        </w:tc>
      </w:tr>
      <w:tr w14:paraId="14382E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restart"/>
            <w:noWrap w:val="0"/>
            <w:vAlign w:val="center"/>
          </w:tcPr>
          <w:p w14:paraId="5A88BBAA">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固体废物</w:t>
            </w:r>
          </w:p>
        </w:tc>
        <w:tc>
          <w:tcPr>
            <w:tcW w:w="1433" w:type="dxa"/>
            <w:noWrap w:val="0"/>
            <w:vAlign w:val="center"/>
          </w:tcPr>
          <w:p w14:paraId="775B554F">
            <w:pPr>
              <w:pStyle w:val="38"/>
              <w:keepNext w:val="0"/>
              <w:keepLines w:val="0"/>
              <w:pageBreakBefore w:val="0"/>
              <w:kinsoku/>
              <w:wordWrap/>
              <w:topLinePunct w:val="0"/>
              <w:bidi w:val="0"/>
              <w:adjustRightInd w:val="0"/>
              <w:snapToGrid w:val="0"/>
              <w:spacing w:line="240" w:lineRule="auto"/>
              <w:ind w:left="0" w:firstLine="0" w:firstLineChars="0"/>
              <w:jc w:val="center"/>
              <w:rPr>
                <w:rFonts w:hint="eastAsia" w:ascii="Times New Roman" w:hAnsi="Times New Roman" w:eastAsia="宋体" w:cs="Times New Roman"/>
                <w:sz w:val="21"/>
                <w:szCs w:val="21"/>
                <w:highlight w:val="none"/>
                <w:lang w:eastAsia="zh-CN"/>
              </w:rPr>
            </w:pPr>
            <w:r>
              <w:rPr>
                <w:rFonts w:hint="eastAsia"/>
                <w:sz w:val="21"/>
                <w:szCs w:val="21"/>
                <w:highlight w:val="none"/>
              </w:rPr>
              <w:t>污水处理站污泥</w:t>
            </w:r>
          </w:p>
        </w:tc>
        <w:tc>
          <w:tcPr>
            <w:tcW w:w="1416" w:type="dxa"/>
            <w:noWrap w:val="0"/>
            <w:vAlign w:val="center"/>
          </w:tcPr>
          <w:p w14:paraId="322207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8F07E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0CAC2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4AE969A3">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798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3E7140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4984EFCD">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798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5C0BD42">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w:t>
            </w:r>
            <w:r>
              <w:rPr>
                <w:rFonts w:hint="default" w:ascii="Times New Roman" w:hAnsi="Times New Roman" w:cs="Times New Roman"/>
                <w:color w:val="000000" w:themeColor="text1"/>
                <w:kern w:val="0"/>
                <w:sz w:val="21"/>
                <w:szCs w:val="21"/>
                <w:u w:val="none"/>
                <w:lang w:val="en-US" w:eastAsia="zh-CN"/>
                <w14:textFill>
                  <w14:solidFill>
                    <w14:schemeClr w14:val="tx1"/>
                  </w14:solidFill>
                </w14:textFill>
              </w:rPr>
              <w:t>0.</w:t>
            </w:r>
            <w:r>
              <w:rPr>
                <w:rFonts w:hint="eastAsia" w:ascii="Times New Roman" w:hAnsi="Times New Roman" w:cs="Times New Roman"/>
                <w:color w:val="000000" w:themeColor="text1"/>
                <w:kern w:val="0"/>
                <w:sz w:val="21"/>
                <w:szCs w:val="21"/>
                <w:u w:val="none"/>
                <w:lang w:val="en-US" w:eastAsia="zh-CN"/>
                <w14:textFill>
                  <w14:solidFill>
                    <w14:schemeClr w14:val="tx1"/>
                  </w14:solidFill>
                </w14:textFill>
              </w:rPr>
              <w:t>798</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544730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4DF7A7DE">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7170C990">
            <w:pPr>
              <w:pStyle w:val="38"/>
              <w:keepNext w:val="0"/>
              <w:keepLines w:val="0"/>
              <w:pageBreakBefore w:val="0"/>
              <w:kinsoku/>
              <w:wordWrap/>
              <w:topLinePunct w:val="0"/>
              <w:bidi w:val="0"/>
              <w:adjustRightInd w:val="0"/>
              <w:snapToGrid w:val="0"/>
              <w:spacing w:line="240" w:lineRule="auto"/>
              <w:ind w:left="0" w:firstLine="0" w:firstLineChars="0"/>
              <w:jc w:val="center"/>
              <w:rPr>
                <w:sz w:val="21"/>
                <w:szCs w:val="21"/>
                <w:highlight w:val="none"/>
              </w:rPr>
            </w:pPr>
            <w:r>
              <w:rPr>
                <w:rFonts w:hint="eastAsia"/>
                <w:sz w:val="21"/>
                <w:szCs w:val="21"/>
                <w:highlight w:val="none"/>
              </w:rPr>
              <w:t>医疗废物</w:t>
            </w:r>
          </w:p>
        </w:tc>
        <w:tc>
          <w:tcPr>
            <w:tcW w:w="1416" w:type="dxa"/>
            <w:noWrap w:val="0"/>
            <w:vAlign w:val="center"/>
          </w:tcPr>
          <w:p w14:paraId="6FF394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DDF46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5D019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39C31CBA">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3.335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16B54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6CA8709A">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3.335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0DEF2D7">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lang w:val="en-US" w:eastAsia="zh-CN"/>
                <w14:textFill>
                  <w14:solidFill>
                    <w14:schemeClr w14:val="tx1"/>
                  </w14:solidFill>
                </w14:textFill>
              </w:rPr>
              <w:t>+3.335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6B6237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3C91689A">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05B305E8">
            <w:pPr>
              <w:pStyle w:val="38"/>
              <w:keepNext w:val="0"/>
              <w:keepLines w:val="0"/>
              <w:pageBreakBefore w:val="0"/>
              <w:kinsoku/>
              <w:wordWrap/>
              <w:topLinePunct w:val="0"/>
              <w:bidi w:val="0"/>
              <w:adjustRightInd w:val="0"/>
              <w:snapToGrid w:val="0"/>
              <w:spacing w:line="240" w:lineRule="auto"/>
              <w:ind w:left="0" w:firstLine="0" w:firstLineChars="0"/>
              <w:jc w:val="center"/>
              <w:rPr>
                <w:rFonts w:ascii="Times New Roman" w:hAnsi="Times New Roman" w:cs="Times New Roman"/>
                <w:sz w:val="21"/>
                <w:szCs w:val="21"/>
                <w:highlight w:val="none"/>
              </w:rPr>
            </w:pPr>
            <w:r>
              <w:rPr>
                <w:rFonts w:hint="eastAsia"/>
                <w:sz w:val="21"/>
                <w:szCs w:val="21"/>
                <w:highlight w:val="none"/>
              </w:rPr>
              <w:t>生活垃圾</w:t>
            </w:r>
          </w:p>
        </w:tc>
        <w:tc>
          <w:tcPr>
            <w:tcW w:w="1416" w:type="dxa"/>
            <w:noWrap w:val="0"/>
            <w:vAlign w:val="center"/>
          </w:tcPr>
          <w:p w14:paraId="235A79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56BEDB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326CE3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626FD7E6">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19.71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6364B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34928E7C">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19.71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3F4BA8DA">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ascii="Times New Roman" w:hAnsi="Times New Roman" w:eastAsia="宋体" w:cs="Times New Roman"/>
                <w:color w:val="000000"/>
                <w:sz w:val="21"/>
                <w:szCs w:val="21"/>
                <w:highlight w:val="none"/>
              </w:rPr>
            </w:pPr>
            <w:r>
              <w:rPr>
                <w:rFonts w:hint="eastAsia" w:ascii="Times New Roman" w:hAnsi="Times New Roman" w:cs="Times New Roman"/>
                <w:color w:val="000000" w:themeColor="text1"/>
                <w:kern w:val="0"/>
                <w:sz w:val="21"/>
                <w:szCs w:val="21"/>
                <w:u w:val="none" w:color="auto"/>
                <w:lang w:val="en-US" w:eastAsia="zh-CN"/>
                <w14:textFill>
                  <w14:solidFill>
                    <w14:schemeClr w14:val="tx1"/>
                  </w14:solidFill>
                </w14:textFill>
              </w:rPr>
              <w:t>+19.71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297652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196ABB43">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5F6C6C68">
            <w:pPr>
              <w:pStyle w:val="38"/>
              <w:keepNext w:val="0"/>
              <w:keepLines w:val="0"/>
              <w:pageBreakBefore w:val="0"/>
              <w:kinsoku/>
              <w:wordWrap/>
              <w:topLinePunct w:val="0"/>
              <w:bidi w:val="0"/>
              <w:adjustRightInd w:val="0"/>
              <w:snapToGrid w:val="0"/>
              <w:spacing w:line="240" w:lineRule="auto"/>
              <w:ind w:left="0" w:firstLine="0" w:firstLineChars="0"/>
              <w:jc w:val="center"/>
              <w:rPr>
                <w:rFonts w:hint="eastAsia" w:eastAsia="宋体"/>
                <w:sz w:val="21"/>
                <w:szCs w:val="21"/>
                <w:highlight w:val="none"/>
                <w:lang w:eastAsia="zh-CN"/>
              </w:rPr>
            </w:pPr>
            <w:r>
              <w:rPr>
                <w:rFonts w:hint="eastAsia" w:cs="Times New Roman"/>
                <w:color w:val="000000" w:themeColor="text1"/>
                <w:kern w:val="0"/>
                <w:sz w:val="21"/>
                <w:szCs w:val="21"/>
                <w:lang w:val="en-US" w:eastAsia="zh-CN"/>
                <w14:textFill>
                  <w14:solidFill>
                    <w14:schemeClr w14:val="tx1"/>
                  </w14:solidFill>
                </w14:textFill>
              </w:rPr>
              <w:t>一般废包装材料</w:t>
            </w:r>
          </w:p>
        </w:tc>
        <w:tc>
          <w:tcPr>
            <w:tcW w:w="1416" w:type="dxa"/>
            <w:noWrap w:val="0"/>
            <w:vAlign w:val="center"/>
          </w:tcPr>
          <w:p w14:paraId="0565D1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17ABE6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7948509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511596E7">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09BEA7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77353AA6">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532EA3B">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0.5</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r w14:paraId="39A1DB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132" w:type="dxa"/>
            <w:vMerge w:val="continue"/>
            <w:noWrap w:val="0"/>
            <w:vAlign w:val="center"/>
          </w:tcPr>
          <w:p w14:paraId="5134F71C">
            <w:pPr>
              <w:keepNext w:val="0"/>
              <w:keepLines w:val="0"/>
              <w:pageBreakBefore w:val="0"/>
              <w:widowControl/>
              <w:kinsoku/>
              <w:wordWrap/>
              <w:topLinePunct w:val="0"/>
              <w:bidi w:val="0"/>
              <w:adjustRightInd w:val="0"/>
              <w:snapToGrid w:val="0"/>
              <w:spacing w:line="240" w:lineRule="auto"/>
              <w:ind w:left="0" w:firstLine="0" w:firstLineChars="0"/>
              <w:jc w:val="center"/>
              <w:rPr>
                <w:rFonts w:ascii="Times New Roman" w:hAnsi="Times New Roman" w:eastAsia="宋体" w:cs="Times New Roman"/>
                <w:color w:val="000000"/>
                <w:sz w:val="21"/>
                <w:szCs w:val="21"/>
                <w:highlight w:val="none"/>
              </w:rPr>
            </w:pPr>
          </w:p>
        </w:tc>
        <w:tc>
          <w:tcPr>
            <w:tcW w:w="1433" w:type="dxa"/>
            <w:noWrap w:val="0"/>
            <w:vAlign w:val="center"/>
          </w:tcPr>
          <w:p w14:paraId="170D9818">
            <w:pPr>
              <w:pStyle w:val="38"/>
              <w:keepNext w:val="0"/>
              <w:keepLines w:val="0"/>
              <w:pageBreakBefore w:val="0"/>
              <w:kinsoku/>
              <w:wordWrap/>
              <w:topLinePunct w:val="0"/>
              <w:bidi w:val="0"/>
              <w:adjustRightInd w:val="0"/>
              <w:snapToGrid w:val="0"/>
              <w:spacing w:line="240" w:lineRule="auto"/>
              <w:ind w:left="0" w:firstLine="0" w:firstLineChars="0"/>
              <w:jc w:val="center"/>
              <w:rPr>
                <w:rFonts w:hint="eastAsia"/>
                <w:sz w:val="21"/>
                <w:szCs w:val="21"/>
                <w:highlight w:val="none"/>
                <w:lang w:eastAsia="zh-CN"/>
              </w:rPr>
            </w:pPr>
            <w:r>
              <w:rPr>
                <w:rFonts w:hint="eastAsia"/>
                <w:sz w:val="21"/>
                <w:szCs w:val="21"/>
                <w:highlight w:val="none"/>
                <w:lang w:eastAsia="zh-CN"/>
              </w:rPr>
              <w:t>中药渣</w:t>
            </w:r>
          </w:p>
        </w:tc>
        <w:tc>
          <w:tcPr>
            <w:tcW w:w="1416" w:type="dxa"/>
            <w:noWrap w:val="0"/>
            <w:vAlign w:val="center"/>
          </w:tcPr>
          <w:p w14:paraId="2A1542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996" w:type="dxa"/>
            <w:noWrap w:val="0"/>
            <w:vAlign w:val="center"/>
          </w:tcPr>
          <w:p w14:paraId="64CE7B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10" w:type="dxa"/>
            <w:noWrap w:val="0"/>
            <w:vAlign w:val="center"/>
          </w:tcPr>
          <w:p w14:paraId="2CD511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color w:val="000000"/>
                <w:sz w:val="21"/>
                <w:szCs w:val="21"/>
                <w:highlight w:val="none"/>
              </w:rPr>
            </w:pPr>
            <w:r>
              <w:rPr>
                <w:rFonts w:hint="default" w:ascii="Times New Roman" w:hAnsi="Times New Roman" w:cs="Times New Roman"/>
                <w:color w:val="000000" w:themeColor="text1"/>
                <w:sz w:val="21"/>
                <w:szCs w:val="21"/>
                <w14:textFill>
                  <w14:solidFill>
                    <w14:schemeClr w14:val="tx1"/>
                  </w14:solidFill>
                </w14:textFill>
              </w:rPr>
              <w:t>/</w:t>
            </w:r>
          </w:p>
        </w:tc>
        <w:tc>
          <w:tcPr>
            <w:tcW w:w="1733" w:type="dxa"/>
            <w:noWrap w:val="0"/>
            <w:vAlign w:val="center"/>
          </w:tcPr>
          <w:p w14:paraId="30E5C22E">
            <w:pPr>
              <w:pStyle w:val="43"/>
              <w:keepNext w:val="0"/>
              <w:keepLines w:val="0"/>
              <w:pageBreakBefore w:val="0"/>
              <w:kinsoku/>
              <w:wordWrap/>
              <w:topLinePunct w:val="0"/>
              <w:bidi w:val="0"/>
              <w:adjustRightInd w:val="0"/>
              <w:snapToGrid w:val="0"/>
              <w:spacing w:beforeLines="0" w:line="240" w:lineRule="auto"/>
              <w:ind w:left="0" w:firstLine="0" w:firstLineChars="0"/>
              <w:jc w:val="center"/>
              <w:rPr>
                <w:rFonts w:hint="default" w:ascii="Times New Roman" w:hAnsi="Times New Roman" w:cs="Times New Roman"/>
                <w:color w:val="000000"/>
                <w:sz w:val="21"/>
                <w:szCs w:val="21"/>
                <w:highlight w:val="none"/>
                <w:lang w:val="en-US" w:eastAsia="zh-CN"/>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435" w:type="dxa"/>
            <w:noWrap w:val="0"/>
            <w:vAlign w:val="center"/>
          </w:tcPr>
          <w:p w14:paraId="6D0234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themeColor="text1"/>
                <w:sz w:val="21"/>
                <w:szCs w:val="21"/>
                <w14:textFill>
                  <w14:solidFill>
                    <w14:schemeClr w14:val="tx1"/>
                  </w14:solidFill>
                </w14:textFill>
              </w:rPr>
              <w:t>/</w:t>
            </w:r>
          </w:p>
        </w:tc>
        <w:tc>
          <w:tcPr>
            <w:tcW w:w="1635" w:type="dxa"/>
            <w:noWrap w:val="0"/>
            <w:vAlign w:val="center"/>
          </w:tcPr>
          <w:p w14:paraId="3E525374">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c>
          <w:tcPr>
            <w:tcW w:w="1373" w:type="dxa"/>
            <w:noWrap w:val="0"/>
            <w:vAlign w:val="center"/>
          </w:tcPr>
          <w:p w14:paraId="62E40CFB">
            <w:pPr>
              <w:pStyle w:val="43"/>
              <w:keepNext w:val="0"/>
              <w:keepLines w:val="0"/>
              <w:pageBreakBefore w:val="0"/>
              <w:kinsoku/>
              <w:wordWrap/>
              <w:topLinePunct w:val="0"/>
              <w:bidi w:val="0"/>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lang w:val="en-US" w:eastAsia="zh-CN"/>
              </w:rPr>
              <w:t>+</w:t>
            </w:r>
            <w:r>
              <w:rPr>
                <w:rFonts w:hint="default" w:ascii="Times New Roman" w:hAnsi="Times New Roman" w:cs="Times New Roman"/>
                <w:color w:val="000000"/>
                <w:sz w:val="21"/>
                <w:szCs w:val="21"/>
                <w:highlight w:val="none"/>
                <w:lang w:val="en-US" w:eastAsia="zh-CN"/>
              </w:rPr>
              <w:t>1</w:t>
            </w:r>
            <w:r>
              <w:rPr>
                <w:rFonts w:hint="default" w:ascii="Times New Roman" w:hAnsi="Times New Roman" w:cs="Times New Roman"/>
                <w:color w:val="000000" w:themeColor="text1"/>
                <w:sz w:val="24"/>
                <w:szCs w:val="24"/>
                <w:lang w:val="en-US" w:eastAsia="zh-CN"/>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/a</w:t>
            </w:r>
          </w:p>
        </w:tc>
      </w:tr>
    </w:tbl>
    <w:p w14:paraId="172499A3">
      <w:pPr>
        <w:pStyle w:val="43"/>
        <w:spacing w:beforeLines="0" w:line="240" w:lineRule="auto"/>
        <w:jc w:val="left"/>
        <w:rPr>
          <w:rFonts w:ascii="Times New Roman" w:hAnsi="Times New Roman" w:cs="Times New Roman"/>
          <w:snapToGrid w:val="0"/>
          <w:color w:val="000000"/>
          <w:spacing w:val="-6"/>
          <w:kern w:val="21"/>
          <w:szCs w:val="21"/>
          <w:highlight w:val="none"/>
        </w:rPr>
      </w:pPr>
      <w:r>
        <w:rPr>
          <w:rFonts w:ascii="Times New Roman" w:hAnsi="Times New Roman" w:cs="Times New Roman"/>
          <w:snapToGrid w:val="0"/>
          <w:color w:val="000000"/>
          <w:kern w:val="21"/>
          <w:szCs w:val="21"/>
          <w:highlight w:val="none"/>
        </w:rPr>
        <w:t>注：</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3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③</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4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④</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5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⑤</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7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⑦</w:t>
      </w:r>
      <w:r>
        <w:rPr>
          <w:rFonts w:ascii="Times New Roman" w:hAnsi="Times New Roman" w:cs="Times New Roman"/>
          <w:snapToGrid w:val="0"/>
          <w:color w:val="000000"/>
          <w:spacing w:val="-6"/>
          <w:kern w:val="21"/>
          <w:szCs w:val="21"/>
          <w:highlight w:val="none"/>
        </w:rPr>
        <w:fldChar w:fldCharType="end"/>
      </w:r>
      <w:r>
        <w:rPr>
          <w:rFonts w:ascii="Times New Roman" w:hAnsi="Times New Roman" w:cs="Times New Roman"/>
          <w:snapToGrid w:val="0"/>
          <w:color w:val="000000"/>
          <w:spacing w:val="-6"/>
          <w:kern w:val="21"/>
          <w:szCs w:val="21"/>
          <w:highlight w:val="none"/>
        </w:rPr>
        <w:t>=</w:t>
      </w:r>
      <w:r>
        <w:rPr>
          <w:rFonts w:ascii="Times New Roman" w:hAnsi="Times New Roman" w:cs="Times New Roman"/>
          <w:snapToGrid w:val="0"/>
          <w:color w:val="000000"/>
          <w:spacing w:val="-16"/>
          <w:kern w:val="21"/>
          <w:szCs w:val="21"/>
          <w:highlight w:val="none"/>
        </w:rPr>
        <w:fldChar w:fldCharType="begin"/>
      </w:r>
      <w:r>
        <w:rPr>
          <w:rFonts w:ascii="Times New Roman" w:hAnsi="Times New Roman" w:cs="Times New Roman"/>
          <w:snapToGrid w:val="0"/>
          <w:color w:val="000000"/>
          <w:spacing w:val="-16"/>
          <w:kern w:val="21"/>
          <w:szCs w:val="21"/>
          <w:highlight w:val="none"/>
        </w:rPr>
        <w:instrText xml:space="preserve"> = 6 \* GB3 \* MERGEFORMAT </w:instrText>
      </w:r>
      <w:r>
        <w:rPr>
          <w:rFonts w:ascii="Times New Roman" w:hAnsi="Times New Roman" w:cs="Times New Roman"/>
          <w:snapToGrid w:val="0"/>
          <w:color w:val="000000"/>
          <w:spacing w:val="-16"/>
          <w:kern w:val="21"/>
          <w:szCs w:val="21"/>
          <w:highlight w:val="none"/>
        </w:rPr>
        <w:fldChar w:fldCharType="separate"/>
      </w:r>
      <w:r>
        <w:rPr>
          <w:rFonts w:hint="eastAsia" w:cs="宋体"/>
          <w:szCs w:val="21"/>
          <w:highlight w:val="none"/>
        </w:rPr>
        <w:t>⑥</w:t>
      </w:r>
      <w:r>
        <w:rPr>
          <w:rFonts w:ascii="Times New Roman" w:hAnsi="Times New Roman" w:cs="Times New Roman"/>
          <w:snapToGrid w:val="0"/>
          <w:color w:val="000000"/>
          <w:spacing w:val="-16"/>
          <w:kern w:val="21"/>
          <w:szCs w:val="21"/>
          <w:highlight w:val="none"/>
        </w:rPr>
        <w:fldChar w:fldCharType="end"/>
      </w:r>
      <w:r>
        <w:rPr>
          <w:rFonts w:ascii="Times New Roman" w:hAnsi="Times New Roman" w:cs="Times New Roman"/>
          <w:snapToGrid w:val="0"/>
          <w:color w:val="000000"/>
          <w:spacing w:val="-16"/>
          <w:kern w:val="21"/>
          <w:szCs w:val="21"/>
          <w:highlight w:val="none"/>
        </w:rPr>
        <w:t>-</w:t>
      </w:r>
      <w:r>
        <w:rPr>
          <w:rFonts w:ascii="Times New Roman" w:hAnsi="Times New Roman" w:cs="Times New Roman"/>
          <w:snapToGrid w:val="0"/>
          <w:color w:val="000000"/>
          <w:spacing w:val="-6"/>
          <w:kern w:val="21"/>
          <w:szCs w:val="21"/>
          <w:highlight w:val="none"/>
        </w:rPr>
        <w:fldChar w:fldCharType="begin"/>
      </w:r>
      <w:r>
        <w:rPr>
          <w:rFonts w:ascii="Times New Roman" w:hAnsi="Times New Roman" w:cs="Times New Roman"/>
          <w:snapToGrid w:val="0"/>
          <w:color w:val="000000"/>
          <w:spacing w:val="-6"/>
          <w:kern w:val="21"/>
          <w:szCs w:val="21"/>
          <w:highlight w:val="none"/>
        </w:rPr>
        <w:instrText xml:space="preserve"> = 1 \* GB3 \* MERGEFORMAT </w:instrText>
      </w:r>
      <w:r>
        <w:rPr>
          <w:rFonts w:ascii="Times New Roman" w:hAnsi="Times New Roman" w:cs="Times New Roman"/>
          <w:snapToGrid w:val="0"/>
          <w:color w:val="000000"/>
          <w:spacing w:val="-6"/>
          <w:kern w:val="21"/>
          <w:szCs w:val="21"/>
          <w:highlight w:val="none"/>
        </w:rPr>
        <w:fldChar w:fldCharType="separate"/>
      </w:r>
      <w:r>
        <w:rPr>
          <w:rFonts w:hint="eastAsia" w:cs="宋体"/>
          <w:szCs w:val="21"/>
          <w:highlight w:val="none"/>
        </w:rPr>
        <w:t>①</w:t>
      </w:r>
      <w:r>
        <w:rPr>
          <w:rFonts w:ascii="Times New Roman" w:hAnsi="Times New Roman" w:cs="Times New Roman"/>
          <w:snapToGrid w:val="0"/>
          <w:color w:val="000000"/>
          <w:spacing w:val="-6"/>
          <w:kern w:val="21"/>
          <w:szCs w:val="21"/>
          <w:highlight w:val="none"/>
        </w:rPr>
        <w:fldChar w:fldCharType="end"/>
      </w:r>
    </w:p>
    <w:p w14:paraId="16B6D77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b/>
          <w:bCs/>
          <w:snapToGrid w:val="0"/>
          <w:sz w:val="30"/>
          <w:szCs w:val="30"/>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18030">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7999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0326D">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81FDC">
                          <w:pPr>
                            <w:pStyle w:val="1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881FDC">
                    <w:pPr>
                      <w:pStyle w:val="1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07227"/>
      <w:showingPlcHdr/>
      <w:docPartObj>
        <w:docPartGallery w:val="autotext"/>
      </w:docPartObj>
    </w:sdtPr>
    <w:sdtContent>
      <w:p w14:paraId="49894E4D">
        <w:pPr>
          <w:pStyle w:val="20"/>
          <w:pBdr>
            <w:bottom w:val="none" w:color="auto" w:sz="0" w:space="1"/>
          </w:pBd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44188"/>
    <w:multiLevelType w:val="singleLevel"/>
    <w:tmpl w:val="2DB44188"/>
    <w:lvl w:ilvl="0" w:tentative="0">
      <w:start w:val="2"/>
      <w:numFmt w:val="decimal"/>
      <w:suff w:val="nothing"/>
      <w:lvlText w:val="%1、"/>
      <w:lvlJc w:val="left"/>
    </w:lvl>
  </w:abstractNum>
  <w:abstractNum w:abstractNumId="1">
    <w:nsid w:val="3D65846A"/>
    <w:multiLevelType w:val="singleLevel"/>
    <w:tmpl w:val="3D65846A"/>
    <w:lvl w:ilvl="0" w:tentative="0">
      <w:start w:val="1"/>
      <w:numFmt w:val="decimal"/>
      <w:suff w:val="nothing"/>
      <w:lvlText w:val="（%1）"/>
      <w:lvlJc w:val="left"/>
    </w:lvl>
  </w:abstractNum>
  <w:abstractNum w:abstractNumId="2">
    <w:nsid w:val="789D3D9C"/>
    <w:multiLevelType w:val="singleLevel"/>
    <w:tmpl w:val="789D3D9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NjFjNmQwNzhlMzA5NzZlMzM0MWU5MzdiMTM1YjIifQ=="/>
  </w:docVars>
  <w:rsids>
    <w:rsidRoot w:val="00000000"/>
    <w:rsid w:val="00586FEC"/>
    <w:rsid w:val="0123584C"/>
    <w:rsid w:val="01DD3C4D"/>
    <w:rsid w:val="02B01361"/>
    <w:rsid w:val="036F4D79"/>
    <w:rsid w:val="03973790"/>
    <w:rsid w:val="04755238"/>
    <w:rsid w:val="04A67C62"/>
    <w:rsid w:val="09F72C37"/>
    <w:rsid w:val="0B63444E"/>
    <w:rsid w:val="0BF00A21"/>
    <w:rsid w:val="0BF40A86"/>
    <w:rsid w:val="0E6D45AA"/>
    <w:rsid w:val="10352221"/>
    <w:rsid w:val="12E558C9"/>
    <w:rsid w:val="12FC3B08"/>
    <w:rsid w:val="13AA1A4C"/>
    <w:rsid w:val="148443FC"/>
    <w:rsid w:val="16280E22"/>
    <w:rsid w:val="17CA5C4B"/>
    <w:rsid w:val="17D24E14"/>
    <w:rsid w:val="186662F2"/>
    <w:rsid w:val="1AB47DB0"/>
    <w:rsid w:val="1BD95084"/>
    <w:rsid w:val="1C701ABE"/>
    <w:rsid w:val="1C953870"/>
    <w:rsid w:val="1CE92B66"/>
    <w:rsid w:val="1CFF041D"/>
    <w:rsid w:val="1E9B0CC0"/>
    <w:rsid w:val="20126D60"/>
    <w:rsid w:val="21353F88"/>
    <w:rsid w:val="22121299"/>
    <w:rsid w:val="25714529"/>
    <w:rsid w:val="25BA58A0"/>
    <w:rsid w:val="265D06FC"/>
    <w:rsid w:val="26F86A98"/>
    <w:rsid w:val="27C37150"/>
    <w:rsid w:val="28CD3C8B"/>
    <w:rsid w:val="29E815B5"/>
    <w:rsid w:val="2BFB709E"/>
    <w:rsid w:val="2CDD14B1"/>
    <w:rsid w:val="2CFF241A"/>
    <w:rsid w:val="2D95404A"/>
    <w:rsid w:val="2F1228D8"/>
    <w:rsid w:val="301461DC"/>
    <w:rsid w:val="301C671D"/>
    <w:rsid w:val="320D752F"/>
    <w:rsid w:val="3252231D"/>
    <w:rsid w:val="37FA383B"/>
    <w:rsid w:val="388F0F18"/>
    <w:rsid w:val="38D0174E"/>
    <w:rsid w:val="39D30EB6"/>
    <w:rsid w:val="3C6840EB"/>
    <w:rsid w:val="3E85473B"/>
    <w:rsid w:val="40F31858"/>
    <w:rsid w:val="411267E7"/>
    <w:rsid w:val="41393CF5"/>
    <w:rsid w:val="430D42D3"/>
    <w:rsid w:val="4383047F"/>
    <w:rsid w:val="43CF32C3"/>
    <w:rsid w:val="44E126BB"/>
    <w:rsid w:val="451231DA"/>
    <w:rsid w:val="453A139F"/>
    <w:rsid w:val="456B6447"/>
    <w:rsid w:val="45D84635"/>
    <w:rsid w:val="45DD5596"/>
    <w:rsid w:val="47391DDE"/>
    <w:rsid w:val="48A04659"/>
    <w:rsid w:val="49B04D70"/>
    <w:rsid w:val="4AC37380"/>
    <w:rsid w:val="4C431ECB"/>
    <w:rsid w:val="4C475409"/>
    <w:rsid w:val="4C4818E0"/>
    <w:rsid w:val="4FB8497E"/>
    <w:rsid w:val="50B136A5"/>
    <w:rsid w:val="51E45A78"/>
    <w:rsid w:val="54AF644E"/>
    <w:rsid w:val="555A5A83"/>
    <w:rsid w:val="559434D3"/>
    <w:rsid w:val="57AA7EE7"/>
    <w:rsid w:val="57E11907"/>
    <w:rsid w:val="5911265F"/>
    <w:rsid w:val="596232D6"/>
    <w:rsid w:val="59D17194"/>
    <w:rsid w:val="5D5C06BD"/>
    <w:rsid w:val="5DA27AF7"/>
    <w:rsid w:val="5E891DBE"/>
    <w:rsid w:val="5F904F32"/>
    <w:rsid w:val="62032B4C"/>
    <w:rsid w:val="634C56B2"/>
    <w:rsid w:val="64803865"/>
    <w:rsid w:val="64876128"/>
    <w:rsid w:val="65E971E8"/>
    <w:rsid w:val="66F85CBE"/>
    <w:rsid w:val="67521CAD"/>
    <w:rsid w:val="6856682C"/>
    <w:rsid w:val="697E68A6"/>
    <w:rsid w:val="6A874E10"/>
    <w:rsid w:val="6BBF5C0F"/>
    <w:rsid w:val="6D3A657B"/>
    <w:rsid w:val="6D880A34"/>
    <w:rsid w:val="6DAF6F69"/>
    <w:rsid w:val="6F563B40"/>
    <w:rsid w:val="6F991C7F"/>
    <w:rsid w:val="733F48EB"/>
    <w:rsid w:val="73B37222"/>
    <w:rsid w:val="76623577"/>
    <w:rsid w:val="76AA29C3"/>
    <w:rsid w:val="774413BF"/>
    <w:rsid w:val="776112D4"/>
    <w:rsid w:val="79312312"/>
    <w:rsid w:val="797F1EE5"/>
    <w:rsid w:val="7A6C06BC"/>
    <w:rsid w:val="7AC758F2"/>
    <w:rsid w:val="7C3067AE"/>
    <w:rsid w:val="7C6F6241"/>
    <w:rsid w:val="7FD8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jc w:val="center"/>
      <w:outlineLvl w:val="0"/>
    </w:pPr>
    <w:rPr>
      <w:b/>
      <w:bCs/>
      <w:color w:val="000000"/>
      <w:kern w:val="44"/>
      <w:sz w:val="30"/>
      <w:szCs w:val="30"/>
    </w:rPr>
  </w:style>
  <w:style w:type="paragraph" w:styleId="4">
    <w:name w:val="heading 2"/>
    <w:basedOn w:val="1"/>
    <w:next w:val="1"/>
    <w:qFormat/>
    <w:uiPriority w:val="0"/>
    <w:pPr>
      <w:keepNext/>
      <w:spacing w:line="420" w:lineRule="exact"/>
      <w:jc w:val="center"/>
      <w:outlineLvl w:val="1"/>
    </w:pPr>
    <w:rPr>
      <w:sz w:val="24"/>
    </w:rPr>
  </w:style>
  <w:style w:type="paragraph" w:styleId="5">
    <w:name w:val="heading 3"/>
    <w:basedOn w:val="1"/>
    <w:next w:val="1"/>
    <w:qFormat/>
    <w:uiPriority w:val="0"/>
    <w:pPr>
      <w:spacing w:line="560" w:lineRule="exact"/>
      <w:ind w:firstLine="482" w:firstLineChars="200"/>
      <w:outlineLvl w:val="2"/>
    </w:pPr>
    <w:rPr>
      <w:b/>
      <w:bCs/>
      <w:color w:val="000000"/>
      <w:sz w:val="24"/>
    </w:rPr>
  </w:style>
  <w:style w:type="paragraph" w:styleId="6">
    <w:name w:val="heading 4"/>
    <w:basedOn w:val="1"/>
    <w:next w:val="1"/>
    <w:qFormat/>
    <w:uiPriority w:val="0"/>
    <w:pPr>
      <w:keepNext/>
      <w:keepLines/>
      <w:spacing w:beforeLines="0" w:beforeAutospacing="0" w:afterLines="0" w:afterAutospacing="0" w:line="360" w:lineRule="auto"/>
      <w:outlineLvl w:val="3"/>
    </w:pPr>
    <w:rPr>
      <w:rFonts w:ascii="Arial" w:hAnsi="Arial" w:eastAsia="宋体"/>
      <w:b/>
      <w:sz w:val="24"/>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99"/>
    <w:pPr>
      <w:jc w:val="center"/>
    </w:pPr>
    <w:rPr>
      <w:rFonts w:eastAsia="黑体"/>
      <w:szCs w:val="21"/>
    </w:rPr>
  </w:style>
  <w:style w:type="paragraph" w:styleId="7">
    <w:name w:val="caption"/>
    <w:basedOn w:val="1"/>
    <w:next w:val="8"/>
    <w:qFormat/>
    <w:uiPriority w:val="0"/>
    <w:rPr>
      <w:rFonts w:ascii="Arial" w:hAnsi="Arial" w:eastAsia="黑体" w:cs="Arial"/>
      <w:sz w:val="20"/>
      <w:szCs w:val="20"/>
    </w:rPr>
  </w:style>
  <w:style w:type="paragraph" w:customStyle="1" w:styleId="8">
    <w:name w:val="表格内格式"/>
    <w:basedOn w:val="9"/>
    <w:next w:val="12"/>
    <w:qFormat/>
    <w:uiPriority w:val="0"/>
    <w:pPr>
      <w:spacing w:line="360" w:lineRule="exact"/>
    </w:pPr>
  </w:style>
  <w:style w:type="paragraph" w:customStyle="1" w:styleId="9">
    <w:name w:val="表格内容"/>
    <w:basedOn w:val="10"/>
    <w:next w:val="1"/>
    <w:autoRedefine/>
    <w:qFormat/>
    <w:uiPriority w:val="0"/>
    <w:pPr>
      <w:jc w:val="center"/>
    </w:pPr>
  </w:style>
  <w:style w:type="paragraph" w:customStyle="1" w:styleId="10">
    <w:name w:val="表 图 内容"/>
    <w:basedOn w:val="11"/>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11">
    <w:name w:val="正  文"/>
    <w:basedOn w:val="1"/>
    <w:autoRedefine/>
    <w:qFormat/>
    <w:uiPriority w:val="0"/>
    <w:pPr>
      <w:spacing w:line="360" w:lineRule="auto"/>
      <w:ind w:firstLine="560" w:firstLineChars="200"/>
    </w:pPr>
    <w:rPr>
      <w:rFonts w:eastAsia="仿宋_GB2312"/>
      <w:sz w:val="28"/>
      <w:szCs w:val="28"/>
    </w:rPr>
  </w:style>
  <w:style w:type="paragraph" w:customStyle="1" w:styleId="12">
    <w:name w:val="（正文）"/>
    <w:basedOn w:val="13"/>
    <w:qFormat/>
    <w:uiPriority w:val="0"/>
    <w:pPr>
      <w:adjustRightInd w:val="0"/>
      <w:snapToGrid w:val="0"/>
      <w:spacing w:line="360" w:lineRule="auto"/>
      <w:ind w:firstLine="200" w:firstLineChars="200"/>
    </w:pPr>
    <w:rPr>
      <w:rFonts w:ascii="Times New Roman" w:hAnsi="Times New Roman"/>
      <w:kern w:val="0"/>
      <w:sz w:val="24"/>
    </w:rPr>
  </w:style>
  <w:style w:type="paragraph" w:styleId="13">
    <w:name w:val="Plain Text"/>
    <w:basedOn w:val="1"/>
    <w:autoRedefine/>
    <w:qFormat/>
    <w:uiPriority w:val="0"/>
    <w:rPr>
      <w:rFonts w:ascii="宋体" w:hAnsi="Courier New"/>
    </w:rPr>
  </w:style>
  <w:style w:type="paragraph" w:styleId="14">
    <w:name w:val="annotation text"/>
    <w:basedOn w:val="1"/>
    <w:autoRedefine/>
    <w:qFormat/>
    <w:uiPriority w:val="0"/>
    <w:pPr>
      <w:jc w:val="left"/>
    </w:pPr>
  </w:style>
  <w:style w:type="paragraph" w:styleId="15">
    <w:name w:val="Body Text"/>
    <w:basedOn w:val="1"/>
    <w:autoRedefine/>
    <w:unhideWhenUsed/>
    <w:qFormat/>
    <w:uiPriority w:val="0"/>
    <w:pPr>
      <w:spacing w:after="120"/>
    </w:pPr>
  </w:style>
  <w:style w:type="paragraph" w:styleId="16">
    <w:name w:val="Body Text Indent"/>
    <w:basedOn w:val="1"/>
    <w:next w:val="17"/>
    <w:autoRedefine/>
    <w:unhideWhenUsed/>
    <w:qFormat/>
    <w:uiPriority w:val="0"/>
    <w:pPr>
      <w:spacing w:after="120"/>
      <w:ind w:left="420" w:leftChars="200"/>
    </w:pPr>
  </w:style>
  <w:style w:type="paragraph" w:styleId="17">
    <w:name w:val="Body Text First Indent 2"/>
    <w:basedOn w:val="16"/>
    <w:next w:val="1"/>
    <w:autoRedefine/>
    <w:unhideWhenUsed/>
    <w:qFormat/>
    <w:uiPriority w:val="0"/>
    <w:pPr>
      <w:ind w:firstLine="420" w:firstLineChars="200"/>
    </w:pPr>
  </w:style>
  <w:style w:type="paragraph" w:styleId="18">
    <w:name w:val="Body Text Indent 2"/>
    <w:basedOn w:val="1"/>
    <w:next w:val="13"/>
    <w:autoRedefine/>
    <w:qFormat/>
    <w:uiPriority w:val="0"/>
    <w:pPr>
      <w:spacing w:after="120" w:line="480" w:lineRule="auto"/>
      <w:ind w:left="420" w:leftChars="200"/>
    </w:pPr>
  </w:style>
  <w:style w:type="paragraph" w:styleId="19">
    <w:name w:val="footer"/>
    <w:basedOn w:val="1"/>
    <w:autoRedefine/>
    <w:qFormat/>
    <w:uiPriority w:val="99"/>
    <w:pPr>
      <w:tabs>
        <w:tab w:val="center" w:pos="4153"/>
        <w:tab w:val="right" w:pos="8306"/>
      </w:tabs>
      <w:snapToGrid w:val="0"/>
      <w:jc w:val="left"/>
    </w:pPr>
    <w:rPr>
      <w:kern w:val="0"/>
      <w:sz w:val="18"/>
      <w:szCs w:val="20"/>
    </w:rPr>
  </w:style>
  <w:style w:type="paragraph" w:styleId="20">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next w:val="1"/>
    <w:autoRedefine/>
    <w:qFormat/>
    <w:uiPriority w:val="0"/>
    <w:pPr>
      <w:ind w:left="200" w:hanging="200" w:hangingChars="200"/>
    </w:p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3">
    <w:name w:val="Body Text First Indent"/>
    <w:basedOn w:val="15"/>
    <w:autoRedefine/>
    <w:qFormat/>
    <w:uiPriority w:val="0"/>
    <w:pPr>
      <w:widowControl/>
      <w:adjustRightInd w:val="0"/>
      <w:snapToGrid w:val="0"/>
      <w:spacing w:before="60" w:beforeLines="50" w:after="0" w:line="360" w:lineRule="auto"/>
      <w:ind w:right="113" w:firstLine="200" w:firstLineChars="200"/>
    </w:pPr>
    <w:rPr>
      <w:kern w:val="0"/>
      <w:sz w:val="24"/>
      <w:szCs w:val="20"/>
    </w:rPr>
  </w:style>
  <w:style w:type="table" w:styleId="25">
    <w:name w:val="Table Grid"/>
    <w:basedOn w:val="2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autoRedefine/>
    <w:qFormat/>
    <w:uiPriority w:val="0"/>
    <w:rPr>
      <w:color w:val="0000FF"/>
      <w:u w:val="single"/>
    </w:rPr>
  </w:style>
  <w:style w:type="character" w:styleId="28">
    <w:name w:val="annotation reference"/>
    <w:autoRedefine/>
    <w:semiHidden/>
    <w:qFormat/>
    <w:uiPriority w:val="0"/>
    <w:rPr>
      <w:sz w:val="21"/>
    </w:rPr>
  </w:style>
  <w:style w:type="paragraph" w:customStyle="1" w:styleId="29">
    <w:name w:val="Default"/>
    <w:basedOn w:val="30"/>
    <w:next w:val="2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纯文本1"/>
    <w:basedOn w:val="1"/>
    <w:autoRedefine/>
    <w:qFormat/>
    <w:uiPriority w:val="0"/>
    <w:pPr>
      <w:adjustRightInd w:val="0"/>
    </w:pPr>
    <w:rPr>
      <w:rFonts w:ascii="宋体" w:hAnsi="Courier New"/>
    </w:rPr>
  </w:style>
  <w:style w:type="paragraph" w:customStyle="1" w:styleId="31">
    <w:name w:val="！正文 Alt+0"/>
    <w:basedOn w:val="1"/>
    <w:qFormat/>
    <w:uiPriority w:val="0"/>
    <w:pPr>
      <w:spacing w:line="360" w:lineRule="auto"/>
      <w:ind w:firstLine="200" w:firstLineChars="200"/>
    </w:pPr>
    <w:rPr>
      <w:rFonts w:ascii="Times New Roman" w:hAnsi="Times New Roman"/>
      <w:sz w:val="28"/>
      <w:szCs w:val="28"/>
    </w:rPr>
  </w:style>
  <w:style w:type="paragraph" w:customStyle="1" w:styleId="32">
    <w:name w:val="xl27"/>
    <w:basedOn w:val="1"/>
    <w:next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sz w:val="24"/>
      <w:szCs w:val="24"/>
    </w:rPr>
  </w:style>
  <w:style w:type="paragraph" w:customStyle="1" w:styleId="33">
    <w:name w:val="Table Paragraph"/>
    <w:basedOn w:val="1"/>
    <w:autoRedefine/>
    <w:qFormat/>
    <w:uiPriority w:val="1"/>
    <w:pPr>
      <w:jc w:val="center"/>
    </w:pPr>
    <w:rPr>
      <w:rFonts w:ascii="宋体" w:hAnsi="宋体" w:cs="宋体"/>
      <w:lang w:val="zh-CN" w:bidi="zh-CN"/>
    </w:rPr>
  </w:style>
  <w:style w:type="paragraph" w:customStyle="1" w:styleId="34">
    <w:name w:val="Table Text"/>
    <w:basedOn w:val="1"/>
    <w:autoRedefine/>
    <w:semiHidden/>
    <w:qFormat/>
    <w:uiPriority w:val="0"/>
    <w:rPr>
      <w:rFonts w:ascii="宋体" w:hAnsi="宋体" w:eastAsia="宋体" w:cs="宋体"/>
      <w:sz w:val="20"/>
      <w:szCs w:val="20"/>
      <w:lang w:val="en-US" w:eastAsia="en-US" w:bidi="ar-SA"/>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永环图标标题格式"/>
    <w:basedOn w:val="1"/>
    <w:autoRedefine/>
    <w:qFormat/>
    <w:uiPriority w:val="0"/>
    <w:pPr>
      <w:spacing w:beforeLines="20" w:afterLines="20" w:line="560" w:lineRule="exact"/>
      <w:jc w:val="center"/>
    </w:pPr>
    <w:rPr>
      <w:rFonts w:eastAsia="黑体"/>
      <w:bCs/>
      <w:szCs w:val="20"/>
    </w:rPr>
  </w:style>
  <w:style w:type="paragraph" w:styleId="37">
    <w:name w:val="List Paragraph"/>
    <w:basedOn w:val="1"/>
    <w:autoRedefine/>
    <w:qFormat/>
    <w:uiPriority w:val="1"/>
    <w:pPr>
      <w:ind w:firstLine="420" w:firstLineChars="200"/>
    </w:pPr>
  </w:style>
  <w:style w:type="paragraph" w:customStyle="1" w:styleId="38">
    <w:name w:val="表文字"/>
    <w:basedOn w:val="1"/>
    <w:autoRedefine/>
    <w:qFormat/>
    <w:uiPriority w:val="0"/>
    <w:pPr>
      <w:overflowPunct w:val="0"/>
      <w:autoSpaceDE w:val="0"/>
      <w:autoSpaceDN w:val="0"/>
      <w:adjustRightInd w:val="0"/>
      <w:spacing w:line="240" w:lineRule="atLeast"/>
      <w:textAlignment w:val="baseline"/>
    </w:pPr>
    <w:rPr>
      <w:rFonts w:eastAsia="宋体"/>
      <w:sz w:val="24"/>
      <w:szCs w:val="21"/>
    </w:rPr>
  </w:style>
  <w:style w:type="paragraph" w:customStyle="1" w:styleId="39">
    <w:name w:val="表题"/>
    <w:basedOn w:val="40"/>
    <w:autoRedefine/>
    <w:qFormat/>
    <w:uiPriority w:val="0"/>
    <w:pPr>
      <w:spacing w:before="62" w:beforeLines="20" w:after="62" w:afterLines="20" w:line="240" w:lineRule="auto"/>
      <w:ind w:firstLine="0" w:firstLineChars="0"/>
      <w:jc w:val="center"/>
    </w:pPr>
    <w:rPr>
      <w:b/>
      <w:sz w:val="21"/>
      <w:szCs w:val="21"/>
    </w:rPr>
  </w:style>
  <w:style w:type="paragraph" w:customStyle="1" w:styleId="40">
    <w:name w:val="报告正文"/>
    <w:basedOn w:val="1"/>
    <w:autoRedefine/>
    <w:qFormat/>
    <w:uiPriority w:val="0"/>
    <w:pPr>
      <w:adjustRightInd w:val="0"/>
      <w:spacing w:line="288" w:lineRule="auto"/>
      <w:ind w:firstLine="472" w:firstLineChars="200"/>
    </w:pPr>
    <w:rPr>
      <w:rFonts w:ascii="仿宋_GB2312" w:eastAsia="仿宋_GB2312"/>
      <w:kern w:val="144"/>
      <w:sz w:val="24"/>
      <w:szCs w:val="20"/>
    </w:rPr>
  </w:style>
  <w:style w:type="paragraph" w:customStyle="1" w:styleId="41">
    <w:name w:val="鑫裕表文字"/>
    <w:basedOn w:val="1"/>
    <w:autoRedefine/>
    <w:qFormat/>
    <w:uiPriority w:val="0"/>
    <w:pPr>
      <w:overflowPunct w:val="0"/>
      <w:autoSpaceDE w:val="0"/>
      <w:autoSpaceDN w:val="0"/>
      <w:adjustRightInd w:val="0"/>
      <w:spacing w:line="240" w:lineRule="atLeast"/>
      <w:jc w:val="center"/>
    </w:pPr>
    <w:rPr>
      <w:kern w:val="0"/>
      <w:szCs w:val="20"/>
    </w:rPr>
  </w:style>
  <w:style w:type="paragraph" w:customStyle="1" w:styleId="42">
    <w:name w:val="表格文字"/>
    <w:basedOn w:val="23"/>
    <w:autoRedefine/>
    <w:qFormat/>
    <w:uiPriority w:val="0"/>
    <w:pPr>
      <w:adjustRightInd w:val="0"/>
      <w:snapToGrid w:val="0"/>
      <w:jc w:val="center"/>
      <w:textAlignment w:val="center"/>
    </w:pPr>
  </w:style>
  <w:style w:type="paragraph" w:customStyle="1" w:styleId="43">
    <w:name w:val="表格"/>
    <w:basedOn w:val="21"/>
    <w:next w:val="1"/>
    <w:autoRedefine/>
    <w:qFormat/>
    <w:uiPriority w:val="0"/>
    <w:pPr>
      <w:adjustRightInd w:val="0"/>
      <w:snapToGrid w:val="0"/>
      <w:spacing w:beforeLines="10" w:line="256" w:lineRule="auto"/>
      <w:jc w:val="center"/>
    </w:pPr>
    <w:rPr>
      <w:rFonts w:ascii="宋体" w:hAnsi="宋体" w:eastAsia="宋体"/>
    </w:rPr>
  </w:style>
  <w:style w:type="character" w:customStyle="1" w:styleId="44">
    <w:name w:val="标题 2 字符"/>
    <w:autoRedefine/>
    <w:qFormat/>
    <w:uiPriority w:val="99"/>
    <w:rPr>
      <w:rFonts w:ascii="Times New Roman" w:hAnsi="Times New Roman" w:eastAsia="黑体"/>
      <w:b/>
      <w:sz w:val="32"/>
    </w:rPr>
  </w:style>
  <w:style w:type="paragraph" w:customStyle="1" w:styleId="45">
    <w:name w:val="WPSOffice手动目录 1"/>
    <w:autoRedefine/>
    <w:qFormat/>
    <w:uiPriority w:val="0"/>
    <w:pPr>
      <w:ind w:leftChars="0"/>
    </w:pPr>
    <w:rPr>
      <w:rFonts w:ascii="Times New Roman" w:hAnsi="Times New Roman" w:eastAsia="宋体" w:cs="Times New Roman"/>
      <w:sz w:val="20"/>
      <w:szCs w:val="20"/>
    </w:rPr>
  </w:style>
  <w:style w:type="paragraph" w:customStyle="1" w:styleId="46">
    <w:name w:val="正文1"/>
    <w:basedOn w:val="1"/>
    <w:qFormat/>
    <w:uiPriority w:val="0"/>
    <w:pPr>
      <w:spacing w:line="560" w:lineRule="exact"/>
      <w:ind w:firstLine="200" w:firstLineChars="200"/>
    </w:pPr>
    <w:rPr>
      <w:rFonts w:cs="宋体"/>
      <w:color w:val="000000"/>
      <w:sz w:val="24"/>
      <w:szCs w:val="20"/>
    </w:rPr>
  </w:style>
  <w:style w:type="paragraph" w:customStyle="1" w:styleId="47">
    <w:name w:val="ctrl+~  正文"/>
    <w:basedOn w:val="1"/>
    <w:qFormat/>
    <w:uiPriority w:val="0"/>
    <w:pPr>
      <w:spacing w:line="480" w:lineRule="exact"/>
      <w:ind w:firstLine="480" w:firstLineChars="200"/>
    </w:pPr>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9040</Words>
  <Characters>10078</Characters>
  <Lines>0</Lines>
  <Paragraphs>0</Paragraphs>
  <TotalTime>4</TotalTime>
  <ScaleCrop>false</ScaleCrop>
  <LinksUpToDate>false</LinksUpToDate>
  <CharactersWithSpaces>10148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2024-04-11T06:36:00Z</dcterms:created>
  <dc:creator>Administrator</dc:creator>
  <cp:lastModifiedBy>梦幻易碎</cp:lastModifiedBy>
  <cp:lastPrinted>2024-12-20T06:39:00Z</cp:lastPrinted>
  <dcterms:modified xsi:type="dcterms:W3CDTF">2025-04-11T02:04:15Z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D1A5780424F44E75BEE9FEE563A8E0FB_13</vt:lpwstr>
  </property>
  <property fmtid="{D5CDD505-2E9C-101B-9397-08002B2CF9AE}" pid="4" name="KSOTemplateDocerSaveRecord">
    <vt:lpwstr>eyJoZGlkIjoiNDZjZTc3OWJiMGNlN2Y1MzkzYjNjNmQ1NDA1OTJmZTIiLCJ1c2VySWQiOiIyMDAwNDg0NzAifQ==</vt:lpwstr>
  </property>
</Properties>
</file>