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90F48">
      <w:pPr>
        <w:keepNext w:val="0"/>
        <w:keepLines w:val="0"/>
        <w:pageBreakBefore w:val="0"/>
        <w:widowControl w:val="0"/>
        <w:kinsoku/>
        <w:wordWrap/>
        <w:overflowPunct w:val="0"/>
        <w:topLinePunct w:val="0"/>
        <w:autoSpaceDE w:val="0"/>
        <w:autoSpaceDN w:val="0"/>
        <w:bidi w:val="0"/>
        <w:adjustRightInd w:val="0"/>
        <w:snapToGrid w:val="0"/>
        <w:spacing w:before="312" w:line="360" w:lineRule="auto"/>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p>
    <w:p w14:paraId="6C055307">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14:paraId="67558CC4">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生态影响类</w:t>
      </w:r>
      <w:r>
        <w:rPr>
          <w:rFonts w:hint="default" w:ascii="Times New Roman" w:hAnsi="Times New Roman" w:eastAsia="宋体" w:cs="Times New Roman"/>
          <w:b/>
          <w:bCs/>
          <w:color w:val="000000"/>
          <w:sz w:val="40"/>
          <w:szCs w:val="28"/>
          <w:highlight w:val="none"/>
          <w:u w:val="none" w:color="auto"/>
        </w:rPr>
        <w:t>）</w:t>
      </w:r>
    </w:p>
    <w:p w14:paraId="02C273EF">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14:paraId="795C58DC">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4EB968AD">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6F7F50BC">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0E09C157">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14:paraId="0FE2B8BE">
      <w:pPr>
        <w:pageBreakBefore w:val="0"/>
        <w:widowControl w:val="0"/>
        <w:kinsoku/>
        <w:wordWrap/>
        <w:overflowPunct/>
        <w:topLinePunct w:val="0"/>
        <w:bidi w:val="0"/>
        <w:adjustRightInd w:val="0"/>
        <w:snapToGrid w:val="0"/>
        <w:spacing w:line="360" w:lineRule="auto"/>
        <w:ind w:left="0" w:firstLine="0" w:firstLineChars="0"/>
        <w:textAlignment w:val="auto"/>
        <w:rPr>
          <w:rFonts w:hint="default" w:ascii="Times New Roman" w:hAnsi="Times New Roman" w:cs="Times New Roman"/>
          <w:sz w:val="24"/>
          <w:szCs w:val="21"/>
          <w:highlight w:val="none"/>
          <w:u w:val="none" w:color="auto"/>
          <w:lang w:val="en-US" w:eastAsia="zh-CN"/>
        </w:rPr>
      </w:pPr>
    </w:p>
    <w:p w14:paraId="21BFEF4C">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14:paraId="50B42935">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14:paraId="7CD92A82">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4490BC1D">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14:paraId="45C2C44D">
      <w:pPr>
        <w:adjustRightInd/>
        <w:snapToGrid/>
        <w:spacing w:after="120" w:line="360" w:lineRule="auto"/>
        <w:ind w:firstLine="0" w:firstLineChars="0"/>
        <w:rPr>
          <w:rFonts w:ascii="Times New Roman" w:hAnsi="Times New Roman" w:cs="Times New Roman"/>
          <w:color w:val="000000"/>
          <w:sz w:val="28"/>
          <w:szCs w:val="28"/>
          <w:highlight w:val="none"/>
          <w:u w:val="single"/>
        </w:rPr>
      </w:pPr>
      <w:r>
        <w:rPr>
          <w:rFonts w:ascii="Times New Roman" w:hAnsi="Times New Roman" w:cs="Times New Roman"/>
          <w:color w:val="000000"/>
          <w:sz w:val="28"/>
          <w:szCs w:val="28"/>
          <w:highlight w:val="none"/>
        </w:rPr>
        <w:t>项目名称：</w:t>
      </w:r>
      <w:r>
        <w:rPr>
          <w:rFonts w:hint="eastAsia" w:ascii="Times New Roman" w:hAnsi="Times New Roman" w:cs="Times New Roman"/>
          <w:color w:val="000000"/>
          <w:sz w:val="28"/>
          <w:szCs w:val="28"/>
          <w:highlight w:val="none"/>
          <w:u w:val="single"/>
          <w:lang w:val="en-US" w:eastAsia="zh-CN"/>
        </w:rPr>
        <w:t>新田县振新建材有限公司石灰石开采、建筑材料开采项目</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p>
    <w:p w14:paraId="4A3C8646">
      <w:pPr>
        <w:adjustRightInd/>
        <w:snapToGrid/>
        <w:spacing w:after="120" w:line="360" w:lineRule="auto"/>
        <w:ind w:firstLine="0" w:firstLineChars="0"/>
        <w:rPr>
          <w:rFonts w:hint="eastAsia" w:ascii="Times New Roman" w:hAnsi="Times New Roman" w:cs="Times New Roman"/>
          <w:color w:val="000000"/>
          <w:sz w:val="28"/>
          <w:szCs w:val="28"/>
          <w:highlight w:val="none"/>
          <w:u w:val="single"/>
          <w:lang w:val="en-US" w:eastAsia="zh-CN"/>
        </w:rPr>
      </w:pPr>
      <w:r>
        <w:rPr>
          <w:rFonts w:ascii="Times New Roman" w:hAnsi="Times New Roman" w:cs="Times New Roman"/>
          <w:color w:val="000000"/>
          <w:sz w:val="28"/>
          <w:szCs w:val="28"/>
          <w:highlight w:val="none"/>
        </w:rPr>
        <w:t>建设单位（盖章）：</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lang w:eastAsia="zh-CN"/>
        </w:rPr>
        <w:t>新田县振新建材有限公司</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p>
    <w:p w14:paraId="3C13EDD5">
      <w:pPr>
        <w:adjustRightInd w:val="0"/>
        <w:snapToGrid w:val="0"/>
        <w:spacing w:line="360" w:lineRule="auto"/>
        <w:ind w:left="0" w:leftChars="0" w:firstLine="0" w:firstLineChars="0"/>
        <w:jc w:val="left"/>
        <w:rPr>
          <w:rFonts w:hint="default" w:ascii="Times New Roman" w:hAnsi="Times New Roman" w:eastAsia="宋体" w:cs="Times New Roman"/>
          <w:color w:val="000000"/>
          <w:sz w:val="24"/>
          <w:szCs w:val="21"/>
          <w:highlight w:val="none"/>
          <w:u w:val="none" w:color="auto"/>
        </w:rPr>
      </w:pPr>
      <w:r>
        <w:rPr>
          <w:rFonts w:ascii="Times New Roman" w:hAnsi="Times New Roman" w:cs="Times New Roman"/>
          <w:color w:val="000000"/>
          <w:sz w:val="28"/>
          <w:szCs w:val="28"/>
          <w:highlight w:val="none"/>
        </w:rPr>
        <w:t>编制日期：</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202</w:t>
      </w:r>
      <w:r>
        <w:rPr>
          <w:rFonts w:hint="eastAsia" w:ascii="Times New Roman" w:hAnsi="Times New Roman" w:cs="Times New Roman"/>
          <w:color w:val="000000"/>
          <w:sz w:val="28"/>
          <w:szCs w:val="28"/>
          <w:highlight w:val="none"/>
          <w:u w:val="single"/>
          <w:lang w:val="en-US" w:eastAsia="zh-CN"/>
        </w:rPr>
        <w:t>5</w:t>
      </w:r>
      <w:r>
        <w:rPr>
          <w:rFonts w:ascii="Times New Roman" w:hAnsi="Times New Roman" w:cs="Times New Roman"/>
          <w:color w:val="000000"/>
          <w:sz w:val="28"/>
          <w:szCs w:val="28"/>
          <w:highlight w:val="none"/>
          <w:u w:val="single"/>
        </w:rPr>
        <w:t>年</w:t>
      </w:r>
      <w:r>
        <w:rPr>
          <w:rFonts w:hint="eastAsia" w:ascii="Times New Roman" w:hAnsi="Times New Roman" w:cs="Times New Roman"/>
          <w:color w:val="000000"/>
          <w:sz w:val="28"/>
          <w:szCs w:val="28"/>
          <w:highlight w:val="none"/>
          <w:u w:val="single"/>
          <w:lang w:val="en-US" w:eastAsia="zh-CN"/>
        </w:rPr>
        <w:t>4</w:t>
      </w:r>
      <w:r>
        <w:rPr>
          <w:rFonts w:ascii="Times New Roman" w:hAnsi="Times New Roman" w:cs="Times New Roman"/>
          <w:color w:val="000000"/>
          <w:sz w:val="28"/>
          <w:szCs w:val="28"/>
          <w:highlight w:val="none"/>
          <w:u w:val="single"/>
        </w:rPr>
        <w:t xml:space="preserve">月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14:paraId="51AECC2D">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71F35B9E">
      <w:pPr>
        <w:adjustRightInd w:val="0"/>
        <w:snapToGrid w:val="0"/>
        <w:spacing w:line="360" w:lineRule="auto"/>
        <w:ind w:firstLine="480" w:firstLineChars="200"/>
        <w:rPr>
          <w:rFonts w:hint="default" w:ascii="Times New Roman" w:hAnsi="Times New Roman" w:eastAsia="宋体" w:cs="Times New Roman"/>
          <w:color w:val="000000"/>
          <w:sz w:val="24"/>
          <w:szCs w:val="21"/>
          <w:highlight w:val="none"/>
          <w:u w:val="none" w:color="auto"/>
        </w:rPr>
      </w:pPr>
    </w:p>
    <w:p w14:paraId="402C835D">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0EF3F027">
      <w:pPr>
        <w:adjustRightInd w:val="0"/>
        <w:snapToGrid w:val="0"/>
        <w:spacing w:line="360" w:lineRule="auto"/>
        <w:ind w:left="0" w:leftChars="0" w:firstLine="0" w:firstLineChars="0"/>
        <w:jc w:val="center"/>
        <w:rPr>
          <w:rFonts w:ascii="Times New Roman" w:hAnsi="Times New Roman" w:cs="Times New Roman"/>
          <w:sz w:val="24"/>
          <w:szCs w:val="21"/>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14:paraId="493FFF09">
      <w:pPr>
        <w:keepNext w:val="0"/>
        <w:keepLines w:val="0"/>
        <w:pageBreakBefore w:val="0"/>
        <w:kinsoku/>
        <w:wordWrap/>
        <w:overflowPunct/>
        <w:topLinePunct w:val="0"/>
        <w:autoSpaceDE/>
        <w:autoSpaceDN/>
        <w:bidi w:val="0"/>
        <w:adjustRightInd w:val="0"/>
        <w:snapToGrid w:val="0"/>
        <w:spacing w:line="480" w:lineRule="auto"/>
        <w:jc w:val="center"/>
        <w:textAlignment w:val="auto"/>
        <w:rPr>
          <w:b/>
          <w:bCs/>
          <w:color w:val="auto"/>
          <w:spacing w:val="11"/>
          <w:position w:val="0"/>
          <w:sz w:val="30"/>
          <w:szCs w:val="30"/>
        </w:rPr>
      </w:pPr>
      <w:bookmarkStart w:id="23" w:name="_GoBack"/>
      <w:bookmarkEnd w:id="23"/>
      <w:r>
        <w:rPr>
          <w:rFonts w:ascii="宋体" w:hAnsi="宋体" w:eastAsia="宋体"/>
          <w:b/>
          <w:bCs/>
          <w:color w:val="auto"/>
          <w:spacing w:val="11"/>
          <w:position w:val="0"/>
          <w:sz w:val="32"/>
          <w:szCs w:val="32"/>
        </w:rPr>
        <w:t>目</w:t>
      </w:r>
      <w:r>
        <w:rPr>
          <w:rFonts w:hint="eastAsia" w:ascii="宋体" w:hAnsi="宋体"/>
          <w:b/>
          <w:bCs/>
          <w:color w:val="auto"/>
          <w:spacing w:val="11"/>
          <w:position w:val="0"/>
          <w:sz w:val="32"/>
          <w:szCs w:val="32"/>
          <w:lang w:val="en-US" w:eastAsia="zh-CN"/>
        </w:rPr>
        <w:t xml:space="preserve">  </w:t>
      </w:r>
      <w:r>
        <w:rPr>
          <w:rFonts w:ascii="宋体" w:hAnsi="宋体" w:eastAsia="宋体"/>
          <w:b/>
          <w:bCs/>
          <w:color w:val="auto"/>
          <w:spacing w:val="11"/>
          <w:position w:val="0"/>
          <w:sz w:val="32"/>
          <w:szCs w:val="32"/>
        </w:rPr>
        <w:t>录</w:t>
      </w:r>
    </w:p>
    <w:p w14:paraId="776AF415">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TOC \o "1-1" \h \u </w:instrText>
      </w:r>
      <w:r>
        <w:rPr>
          <w:rFonts w:hint="default"/>
          <w:color w:val="auto"/>
          <w:spacing w:val="11"/>
          <w:position w:val="0"/>
          <w:sz w:val="28"/>
          <w:szCs w:val="28"/>
        </w:rPr>
        <w:fldChar w:fldCharType="separate"/>
      </w: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_Toc24654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一、建设项目基本情况</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_Toc24654 \h </w:instrText>
      </w:r>
      <w:r>
        <w:rPr>
          <w:color w:val="auto"/>
          <w:spacing w:val="11"/>
          <w:position w:val="0"/>
          <w:sz w:val="28"/>
          <w:szCs w:val="28"/>
        </w:rPr>
        <w:fldChar w:fldCharType="separate"/>
      </w:r>
      <w:r>
        <w:rPr>
          <w:color w:val="auto"/>
          <w:spacing w:val="11"/>
          <w:position w:val="0"/>
          <w:sz w:val="28"/>
          <w:szCs w:val="28"/>
        </w:rPr>
        <w:t>1</w:t>
      </w:r>
      <w:r>
        <w:rPr>
          <w:color w:val="auto"/>
          <w:spacing w:val="11"/>
          <w:position w:val="0"/>
          <w:sz w:val="28"/>
          <w:szCs w:val="28"/>
        </w:rPr>
        <w:fldChar w:fldCharType="end"/>
      </w:r>
      <w:r>
        <w:rPr>
          <w:rFonts w:hint="default"/>
          <w:color w:val="auto"/>
          <w:spacing w:val="11"/>
          <w:position w:val="0"/>
          <w:sz w:val="28"/>
          <w:szCs w:val="28"/>
        </w:rPr>
        <w:fldChar w:fldCharType="end"/>
      </w:r>
    </w:p>
    <w:p w14:paraId="3ADAF59D">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_Toc21551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二、建设内容</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_Toc21551 \h </w:instrText>
      </w:r>
      <w:r>
        <w:rPr>
          <w:color w:val="auto"/>
          <w:spacing w:val="11"/>
          <w:position w:val="0"/>
          <w:sz w:val="28"/>
          <w:szCs w:val="28"/>
        </w:rPr>
        <w:fldChar w:fldCharType="separate"/>
      </w:r>
      <w:r>
        <w:rPr>
          <w:color w:val="auto"/>
          <w:spacing w:val="11"/>
          <w:position w:val="0"/>
          <w:sz w:val="28"/>
          <w:szCs w:val="28"/>
        </w:rPr>
        <w:t>21</w:t>
      </w:r>
      <w:r>
        <w:rPr>
          <w:color w:val="auto"/>
          <w:spacing w:val="11"/>
          <w:position w:val="0"/>
          <w:sz w:val="28"/>
          <w:szCs w:val="28"/>
        </w:rPr>
        <w:fldChar w:fldCharType="end"/>
      </w:r>
      <w:r>
        <w:rPr>
          <w:rFonts w:hint="default"/>
          <w:color w:val="auto"/>
          <w:spacing w:val="11"/>
          <w:position w:val="0"/>
          <w:sz w:val="28"/>
          <w:szCs w:val="28"/>
        </w:rPr>
        <w:fldChar w:fldCharType="end"/>
      </w:r>
    </w:p>
    <w:p w14:paraId="2D48E935">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_Toc28992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三、生态环境现状、保护目标及评价标准</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_Toc28992 \h </w:instrText>
      </w:r>
      <w:r>
        <w:rPr>
          <w:color w:val="auto"/>
          <w:spacing w:val="11"/>
          <w:position w:val="0"/>
          <w:sz w:val="28"/>
          <w:szCs w:val="28"/>
        </w:rPr>
        <w:fldChar w:fldCharType="separate"/>
      </w:r>
      <w:r>
        <w:rPr>
          <w:color w:val="auto"/>
          <w:spacing w:val="11"/>
          <w:position w:val="0"/>
          <w:sz w:val="28"/>
          <w:szCs w:val="28"/>
        </w:rPr>
        <w:t>41</w:t>
      </w:r>
      <w:r>
        <w:rPr>
          <w:color w:val="auto"/>
          <w:spacing w:val="11"/>
          <w:position w:val="0"/>
          <w:sz w:val="28"/>
          <w:szCs w:val="28"/>
        </w:rPr>
        <w:fldChar w:fldCharType="end"/>
      </w:r>
      <w:r>
        <w:rPr>
          <w:rFonts w:hint="default"/>
          <w:color w:val="auto"/>
          <w:spacing w:val="11"/>
          <w:position w:val="0"/>
          <w:sz w:val="28"/>
          <w:szCs w:val="28"/>
        </w:rPr>
        <w:fldChar w:fldCharType="end"/>
      </w:r>
    </w:p>
    <w:p w14:paraId="06E75690">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_Toc8673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四、生态环境影响分析</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_Toc8673 \h </w:instrText>
      </w:r>
      <w:r>
        <w:rPr>
          <w:color w:val="auto"/>
          <w:spacing w:val="11"/>
          <w:position w:val="0"/>
          <w:sz w:val="28"/>
          <w:szCs w:val="28"/>
        </w:rPr>
        <w:fldChar w:fldCharType="separate"/>
      </w:r>
      <w:r>
        <w:rPr>
          <w:color w:val="auto"/>
          <w:spacing w:val="11"/>
          <w:position w:val="0"/>
          <w:sz w:val="28"/>
          <w:szCs w:val="28"/>
        </w:rPr>
        <w:t>55</w:t>
      </w:r>
      <w:r>
        <w:rPr>
          <w:color w:val="auto"/>
          <w:spacing w:val="11"/>
          <w:position w:val="0"/>
          <w:sz w:val="28"/>
          <w:szCs w:val="28"/>
        </w:rPr>
        <w:fldChar w:fldCharType="end"/>
      </w:r>
      <w:r>
        <w:rPr>
          <w:rFonts w:hint="default"/>
          <w:color w:val="auto"/>
          <w:spacing w:val="11"/>
          <w:position w:val="0"/>
          <w:sz w:val="28"/>
          <w:szCs w:val="28"/>
        </w:rPr>
        <w:fldChar w:fldCharType="end"/>
      </w:r>
    </w:p>
    <w:p w14:paraId="35ED9B25">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_Toc25265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五、主要生态环境保护措施</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_Toc25265 \h </w:instrText>
      </w:r>
      <w:r>
        <w:rPr>
          <w:color w:val="auto"/>
          <w:spacing w:val="11"/>
          <w:position w:val="0"/>
          <w:sz w:val="28"/>
          <w:szCs w:val="28"/>
        </w:rPr>
        <w:fldChar w:fldCharType="separate"/>
      </w:r>
      <w:r>
        <w:rPr>
          <w:color w:val="auto"/>
          <w:spacing w:val="11"/>
          <w:position w:val="0"/>
          <w:sz w:val="28"/>
          <w:szCs w:val="28"/>
        </w:rPr>
        <w:t>94</w:t>
      </w:r>
      <w:r>
        <w:rPr>
          <w:color w:val="auto"/>
          <w:spacing w:val="11"/>
          <w:position w:val="0"/>
          <w:sz w:val="28"/>
          <w:szCs w:val="28"/>
        </w:rPr>
        <w:fldChar w:fldCharType="end"/>
      </w:r>
      <w:r>
        <w:rPr>
          <w:rFonts w:hint="default"/>
          <w:color w:val="auto"/>
          <w:spacing w:val="11"/>
          <w:position w:val="0"/>
          <w:sz w:val="28"/>
          <w:szCs w:val="28"/>
        </w:rPr>
        <w:fldChar w:fldCharType="end"/>
      </w:r>
    </w:p>
    <w:p w14:paraId="5FB0607C">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_Toc10651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六、生态环境保护措施监督检查清单</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_Toc10651 \h </w:instrText>
      </w:r>
      <w:r>
        <w:rPr>
          <w:color w:val="auto"/>
          <w:spacing w:val="11"/>
          <w:position w:val="0"/>
          <w:sz w:val="28"/>
          <w:szCs w:val="28"/>
        </w:rPr>
        <w:fldChar w:fldCharType="separate"/>
      </w:r>
      <w:r>
        <w:rPr>
          <w:color w:val="auto"/>
          <w:spacing w:val="11"/>
          <w:position w:val="0"/>
          <w:sz w:val="28"/>
          <w:szCs w:val="28"/>
        </w:rPr>
        <w:t>112</w:t>
      </w:r>
      <w:r>
        <w:rPr>
          <w:color w:val="auto"/>
          <w:spacing w:val="11"/>
          <w:position w:val="0"/>
          <w:sz w:val="28"/>
          <w:szCs w:val="28"/>
        </w:rPr>
        <w:fldChar w:fldCharType="end"/>
      </w:r>
      <w:r>
        <w:rPr>
          <w:rFonts w:hint="default"/>
          <w:color w:val="auto"/>
          <w:spacing w:val="11"/>
          <w:position w:val="0"/>
          <w:sz w:val="28"/>
          <w:szCs w:val="28"/>
        </w:rPr>
        <w:fldChar w:fldCharType="end"/>
      </w:r>
    </w:p>
    <w:p w14:paraId="364182B1">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_Toc30086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七、结论</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_Toc30086 \h </w:instrText>
      </w:r>
      <w:r>
        <w:rPr>
          <w:color w:val="auto"/>
          <w:spacing w:val="11"/>
          <w:position w:val="0"/>
          <w:sz w:val="28"/>
          <w:szCs w:val="28"/>
        </w:rPr>
        <w:fldChar w:fldCharType="separate"/>
      </w:r>
      <w:r>
        <w:rPr>
          <w:color w:val="auto"/>
          <w:spacing w:val="11"/>
          <w:position w:val="0"/>
          <w:sz w:val="28"/>
          <w:szCs w:val="28"/>
        </w:rPr>
        <w:t>116</w:t>
      </w:r>
      <w:r>
        <w:rPr>
          <w:color w:val="auto"/>
          <w:spacing w:val="11"/>
          <w:position w:val="0"/>
          <w:sz w:val="28"/>
          <w:szCs w:val="28"/>
        </w:rPr>
        <w:fldChar w:fldCharType="end"/>
      </w:r>
      <w:r>
        <w:rPr>
          <w:rFonts w:hint="default"/>
          <w:color w:val="auto"/>
          <w:spacing w:val="11"/>
          <w:position w:val="0"/>
          <w:sz w:val="28"/>
          <w:szCs w:val="28"/>
        </w:rPr>
        <w:fldChar w:fldCharType="end"/>
      </w:r>
    </w:p>
    <w:p w14:paraId="6FDE01E9">
      <w:pPr>
        <w:keepNext w:val="0"/>
        <w:keepLines w:val="0"/>
        <w:pageBreakBefore w:val="0"/>
        <w:widowControl w:val="0"/>
        <w:kinsoku/>
        <w:wordWrap/>
        <w:overflowPunct/>
        <w:topLinePunct w:val="0"/>
        <w:autoSpaceDE/>
        <w:autoSpaceDN/>
        <w:bidi w:val="0"/>
        <w:adjustRightInd w:val="0"/>
        <w:snapToGrid w:val="0"/>
        <w:spacing w:line="480" w:lineRule="auto"/>
        <w:ind w:left="0" w:leftChars="0" w:right="0" w:firstLine="604" w:firstLineChars="200"/>
        <w:jc w:val="left"/>
        <w:textAlignment w:val="auto"/>
        <w:rPr>
          <w:rFonts w:hint="default"/>
          <w:color w:val="auto"/>
          <w:spacing w:val="11"/>
          <w:position w:val="0"/>
          <w:u w:val="none"/>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default"/>
          <w:color w:val="auto"/>
          <w:spacing w:val="11"/>
          <w:position w:val="0"/>
          <w:sz w:val="28"/>
          <w:szCs w:val="28"/>
        </w:rPr>
        <w:fldChar w:fldCharType="end"/>
      </w:r>
    </w:p>
    <w:p w14:paraId="6F265C64">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0" w:name="_Toc24654"/>
      <w:r>
        <w:rPr>
          <w:rFonts w:hint="default" w:ascii="Times New Roman" w:hAnsi="Times New Roman" w:eastAsia="宋体" w:cs="Times New Roman"/>
          <w:b/>
          <w:bCs/>
          <w:snapToGrid w:val="0"/>
          <w:color w:val="auto"/>
          <w:spacing w:val="11"/>
          <w:position w:val="0"/>
          <w:sz w:val="30"/>
          <w:szCs w:val="30"/>
        </w:rPr>
        <w:t>一、建设项目基本情况</w:t>
      </w:r>
      <w:bookmarkEnd w:id="0"/>
    </w:p>
    <w:tbl>
      <w:tblPr>
        <w:tblStyle w:val="33"/>
        <w:tblW w:w="9039"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26"/>
        <w:gridCol w:w="2043"/>
        <w:gridCol w:w="1941"/>
        <w:gridCol w:w="2829"/>
      </w:tblGrid>
      <w:tr w14:paraId="099EC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79F3D552">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建设项目名称</w:t>
            </w:r>
          </w:p>
        </w:tc>
        <w:tc>
          <w:tcPr>
            <w:tcW w:w="6813" w:type="dxa"/>
            <w:gridSpan w:val="3"/>
            <w:tcBorders>
              <w:tl2br w:val="nil"/>
              <w:tr2bl w:val="nil"/>
            </w:tcBorders>
            <w:noWrap w:val="0"/>
            <w:vAlign w:val="center"/>
          </w:tcPr>
          <w:p w14:paraId="4C9D6FC4">
            <w:pPr>
              <w:adjustRightInd w:val="0"/>
              <w:snapToGrid w:val="0"/>
              <w:jc w:val="center"/>
              <w:rPr>
                <w:rFonts w:hint="default" w:ascii="Times New Roman" w:hAnsi="Times New Roman" w:eastAsia="宋体" w:cs="Times New Roman"/>
                <w:color w:val="auto"/>
                <w:spacing w:val="11"/>
                <w:position w:val="0"/>
                <w:sz w:val="24"/>
                <w:szCs w:val="24"/>
              </w:rPr>
            </w:pPr>
            <w:r>
              <w:rPr>
                <w:rFonts w:hint="eastAsia" w:cs="Times New Roman"/>
                <w:color w:val="auto"/>
                <w:spacing w:val="11"/>
                <w:position w:val="0"/>
                <w:sz w:val="24"/>
                <w:szCs w:val="24"/>
                <w:lang w:val="en-US" w:eastAsia="zh-CN"/>
              </w:rPr>
              <w:t>新田县振新建材有限公司石灰石开采、建筑材料开采项目</w:t>
            </w:r>
          </w:p>
        </w:tc>
      </w:tr>
      <w:tr w14:paraId="29245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672D9C44">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项目代码</w:t>
            </w:r>
          </w:p>
        </w:tc>
        <w:tc>
          <w:tcPr>
            <w:tcW w:w="6813" w:type="dxa"/>
            <w:gridSpan w:val="3"/>
            <w:tcBorders>
              <w:tl2br w:val="nil"/>
              <w:tr2bl w:val="nil"/>
            </w:tcBorders>
            <w:noWrap w:val="0"/>
            <w:vAlign w:val="center"/>
          </w:tcPr>
          <w:p w14:paraId="2C1233F9">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2502-431128-04-05-112732</w:t>
            </w:r>
          </w:p>
        </w:tc>
      </w:tr>
      <w:tr w14:paraId="2BB23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381DE976">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建设单位联系人</w:t>
            </w:r>
          </w:p>
        </w:tc>
        <w:tc>
          <w:tcPr>
            <w:tcW w:w="2043" w:type="dxa"/>
            <w:tcBorders>
              <w:tl2br w:val="nil"/>
              <w:tr2bl w:val="nil"/>
            </w:tcBorders>
            <w:noWrap w:val="0"/>
            <w:vAlign w:val="center"/>
          </w:tcPr>
          <w:p w14:paraId="41A0A7EA">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eastAsia" w:cs="Times New Roman"/>
                <w:color w:val="auto"/>
                <w:spacing w:val="11"/>
                <w:position w:val="0"/>
                <w:sz w:val="24"/>
                <w:szCs w:val="24"/>
                <w:lang w:val="en-US" w:eastAsia="zh-CN"/>
              </w:rPr>
              <w:t>周加付</w:t>
            </w:r>
          </w:p>
        </w:tc>
        <w:tc>
          <w:tcPr>
            <w:tcW w:w="1941" w:type="dxa"/>
            <w:tcBorders>
              <w:tl2br w:val="nil"/>
              <w:tr2bl w:val="nil"/>
            </w:tcBorders>
            <w:noWrap w:val="0"/>
            <w:vAlign w:val="center"/>
          </w:tcPr>
          <w:p w14:paraId="6419A731">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联系方式</w:t>
            </w:r>
          </w:p>
        </w:tc>
        <w:tc>
          <w:tcPr>
            <w:tcW w:w="2829" w:type="dxa"/>
            <w:tcBorders>
              <w:tl2br w:val="nil"/>
              <w:tr2bl w:val="nil"/>
            </w:tcBorders>
            <w:noWrap w:val="0"/>
            <w:vAlign w:val="center"/>
          </w:tcPr>
          <w:p w14:paraId="56FE66F4">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eastAsia" w:cs="Times New Roman"/>
                <w:color w:val="auto"/>
                <w:spacing w:val="11"/>
                <w:position w:val="0"/>
                <w:sz w:val="24"/>
                <w:szCs w:val="24"/>
                <w:lang w:val="en-US" w:eastAsia="zh-CN"/>
              </w:rPr>
              <w:t>15607402598</w:t>
            </w:r>
          </w:p>
        </w:tc>
      </w:tr>
      <w:tr w14:paraId="43A39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tcBorders>
              <w:tl2br w:val="nil"/>
              <w:tr2bl w:val="nil"/>
            </w:tcBorders>
            <w:noWrap w:val="0"/>
            <w:tcMar>
              <w:top w:w="16" w:type="dxa"/>
              <w:left w:w="16" w:type="dxa"/>
              <w:right w:w="16" w:type="dxa"/>
            </w:tcMar>
            <w:vAlign w:val="center"/>
          </w:tcPr>
          <w:p w14:paraId="4E4ABAF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建设地点</w:t>
            </w:r>
          </w:p>
        </w:tc>
        <w:tc>
          <w:tcPr>
            <w:tcW w:w="6813" w:type="dxa"/>
            <w:gridSpan w:val="3"/>
            <w:tcBorders>
              <w:tl2br w:val="nil"/>
              <w:tr2bl w:val="nil"/>
            </w:tcBorders>
            <w:noWrap w:val="0"/>
            <w:vAlign w:val="center"/>
          </w:tcPr>
          <w:p w14:paraId="7915D37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湖南</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省（自治区）</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永州</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市</w:t>
            </w:r>
            <w:r>
              <w:rPr>
                <w:rFonts w:hint="default" w:ascii="Times New Roman" w:hAnsi="Times New Roman" w:eastAsia="宋体" w:cs="Times New Roman"/>
                <w:color w:val="auto"/>
                <w:spacing w:val="11"/>
                <w:position w:val="0"/>
                <w:sz w:val="24"/>
                <w:szCs w:val="24"/>
                <w:u w:val="single"/>
              </w:rPr>
              <w:t xml:space="preserve"> </w:t>
            </w:r>
            <w:r>
              <w:rPr>
                <w:rFonts w:hint="eastAsia" w:cs="Times New Roman"/>
                <w:color w:val="auto"/>
                <w:spacing w:val="11"/>
                <w:position w:val="0"/>
                <w:sz w:val="24"/>
                <w:szCs w:val="24"/>
                <w:u w:val="single"/>
                <w:lang w:val="en-US" w:eastAsia="zh-CN"/>
              </w:rPr>
              <w:t>新田</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县（区）</w:t>
            </w:r>
            <w:r>
              <w:rPr>
                <w:rFonts w:hint="default" w:ascii="Times New Roman" w:hAnsi="Times New Roman" w:eastAsia="宋体" w:cs="Times New Roman"/>
                <w:color w:val="auto"/>
                <w:spacing w:val="11"/>
                <w:position w:val="0"/>
                <w:sz w:val="24"/>
                <w:szCs w:val="24"/>
                <w:u w:val="single"/>
              </w:rPr>
              <w:t xml:space="preserve"> </w:t>
            </w:r>
            <w:r>
              <w:rPr>
                <w:rFonts w:hint="eastAsia" w:cs="Times New Roman"/>
                <w:color w:val="auto"/>
                <w:spacing w:val="11"/>
                <w:position w:val="0"/>
                <w:sz w:val="24"/>
                <w:szCs w:val="24"/>
                <w:u w:val="single"/>
                <w:lang w:val="en-US" w:eastAsia="zh-CN"/>
              </w:rPr>
              <w:t>龙泉街道</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乡（街道）</w:t>
            </w:r>
            <w:r>
              <w:rPr>
                <w:rFonts w:hint="eastAsia" w:ascii="Times New Roman" w:hAnsi="Times New Roman" w:eastAsia="宋体" w:cs="Times New Roman"/>
                <w:color w:val="auto"/>
                <w:spacing w:val="11"/>
                <w:position w:val="0"/>
                <w:sz w:val="24"/>
                <w:szCs w:val="24"/>
                <w:u w:val="single"/>
                <w:lang w:val="en-US" w:eastAsia="zh-CN"/>
              </w:rPr>
              <w:t xml:space="preserve"> </w:t>
            </w:r>
            <w:r>
              <w:rPr>
                <w:rFonts w:hint="default" w:ascii="Times New Roman" w:hAnsi="Times New Roman" w:eastAsia="宋体" w:cs="Times New Roman"/>
                <w:color w:val="auto"/>
                <w:spacing w:val="11"/>
                <w:position w:val="0"/>
                <w:sz w:val="24"/>
                <w:szCs w:val="24"/>
                <w:u w:val="single"/>
                <w:lang w:val="en-US" w:eastAsia="zh-CN"/>
              </w:rPr>
              <w:t>周家洞村</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（具体地址）</w:t>
            </w:r>
          </w:p>
        </w:tc>
      </w:tr>
      <w:tr w14:paraId="065EF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41F57396">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地理坐标</w:t>
            </w:r>
          </w:p>
        </w:tc>
        <w:tc>
          <w:tcPr>
            <w:tcW w:w="6813" w:type="dxa"/>
            <w:gridSpan w:val="3"/>
            <w:tcBorders>
              <w:tl2br w:val="nil"/>
              <w:tr2bl w:val="nil"/>
            </w:tcBorders>
            <w:noWrap w:val="0"/>
            <w:vAlign w:val="center"/>
          </w:tcPr>
          <w:p w14:paraId="56D7E82E">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r>
              <w:rPr>
                <w:rFonts w:hint="default" w:ascii="Times New Roman" w:hAnsi="Times New Roman" w:eastAsia="宋体" w:cs="Times New Roman"/>
                <w:color w:val="auto"/>
                <w:spacing w:val="11"/>
                <w:position w:val="0"/>
                <w:sz w:val="24"/>
                <w:szCs w:val="24"/>
                <w:highlight w:val="none"/>
                <w:u w:val="single"/>
                <w:lang w:val="en-US" w:eastAsia="zh-CN"/>
              </w:rPr>
              <w:t xml:space="preserve"> 112 </w:t>
            </w:r>
            <w:r>
              <w:rPr>
                <w:rFonts w:hint="default" w:ascii="Times New Roman" w:hAnsi="Times New Roman" w:eastAsia="宋体" w:cs="Times New Roman"/>
                <w:color w:val="auto"/>
                <w:spacing w:val="11"/>
                <w:position w:val="0"/>
                <w:sz w:val="24"/>
                <w:szCs w:val="24"/>
                <w:highlight w:val="none"/>
                <w:lang w:val="en-US" w:eastAsia="zh-CN"/>
              </w:rPr>
              <w:t>度</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eastAsia" w:ascii="Times New Roman" w:hAnsi="Times New Roman" w:eastAsia="宋体" w:cs="Times New Roman"/>
                <w:color w:val="auto"/>
                <w:spacing w:val="11"/>
                <w:position w:val="0"/>
                <w:sz w:val="24"/>
                <w:szCs w:val="24"/>
                <w:highlight w:val="none"/>
                <w:u w:val="single"/>
                <w:lang w:val="en-US" w:eastAsia="zh-CN"/>
              </w:rPr>
              <w:t>8</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lang w:val="en-US" w:eastAsia="zh-CN"/>
              </w:rPr>
              <w:t>分</w:t>
            </w:r>
            <w:r>
              <w:rPr>
                <w:rFonts w:hint="default" w:ascii="Times New Roman" w:hAnsi="Times New Roman" w:eastAsia="宋体" w:cs="Times New Roman"/>
                <w:color w:val="auto"/>
                <w:spacing w:val="11"/>
                <w:position w:val="0"/>
                <w:sz w:val="24"/>
                <w:szCs w:val="24"/>
                <w:highlight w:val="none"/>
                <w:u w:val="single"/>
                <w:lang w:val="en-US" w:eastAsia="zh-CN"/>
              </w:rPr>
              <w:t xml:space="preserve"> 35.625 </w:t>
            </w:r>
            <w:r>
              <w:rPr>
                <w:rFonts w:hint="default" w:ascii="Times New Roman" w:hAnsi="Times New Roman" w:eastAsia="宋体" w:cs="Times New Roman"/>
                <w:color w:val="auto"/>
                <w:spacing w:val="11"/>
                <w:position w:val="0"/>
                <w:sz w:val="24"/>
                <w:szCs w:val="24"/>
                <w:highlight w:val="none"/>
                <w:lang w:val="en-US" w:eastAsia="zh-CN"/>
              </w:rPr>
              <w:t>秒，</w:t>
            </w:r>
            <w:r>
              <w:rPr>
                <w:rFonts w:hint="default" w:ascii="Times New Roman" w:hAnsi="Times New Roman" w:eastAsia="宋体" w:cs="Times New Roman"/>
                <w:color w:val="auto"/>
                <w:spacing w:val="11"/>
                <w:position w:val="0"/>
                <w:sz w:val="24"/>
                <w:szCs w:val="24"/>
                <w:highlight w:val="none"/>
                <w:u w:val="single"/>
                <w:lang w:val="en-US" w:eastAsia="zh-CN"/>
              </w:rPr>
              <w:t xml:space="preserve"> 25 </w:t>
            </w:r>
            <w:r>
              <w:rPr>
                <w:rFonts w:hint="default" w:ascii="Times New Roman" w:hAnsi="Times New Roman" w:eastAsia="宋体" w:cs="Times New Roman"/>
                <w:color w:val="auto"/>
                <w:spacing w:val="11"/>
                <w:position w:val="0"/>
                <w:sz w:val="24"/>
                <w:szCs w:val="24"/>
                <w:highlight w:val="none"/>
                <w:u w:val="none"/>
                <w:lang w:val="en-US" w:eastAsia="zh-CN"/>
              </w:rPr>
              <w:t>度</w:t>
            </w:r>
            <w:r>
              <w:rPr>
                <w:rFonts w:hint="eastAsia" w:ascii="Times New Roman" w:hAnsi="Times New Roman" w:eastAsia="宋体" w:cs="Times New Roman"/>
                <w:color w:val="auto"/>
                <w:spacing w:val="11"/>
                <w:position w:val="0"/>
                <w:sz w:val="24"/>
                <w:szCs w:val="24"/>
                <w:highlight w:val="none"/>
                <w:u w:val="single"/>
                <w:lang w:val="en-US" w:eastAsia="zh-CN"/>
              </w:rPr>
              <w:t xml:space="preserve"> </w:t>
            </w:r>
            <w:r>
              <w:rPr>
                <w:rFonts w:hint="eastAsia" w:cs="Times New Roman"/>
                <w:color w:val="auto"/>
                <w:spacing w:val="11"/>
                <w:position w:val="0"/>
                <w:sz w:val="24"/>
                <w:szCs w:val="24"/>
                <w:highlight w:val="none"/>
                <w:u w:val="single"/>
                <w:lang w:val="en-US" w:eastAsia="zh-CN"/>
              </w:rPr>
              <w:t>55</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u w:val="none"/>
                <w:lang w:val="en-US" w:eastAsia="zh-CN"/>
              </w:rPr>
              <w:t>分</w:t>
            </w:r>
            <w:r>
              <w:rPr>
                <w:rFonts w:hint="eastAsia" w:ascii="Times New Roman" w:hAnsi="Times New Roman" w:eastAsia="宋体" w:cs="Times New Roman"/>
                <w:color w:val="auto"/>
                <w:spacing w:val="11"/>
                <w:position w:val="0"/>
                <w:sz w:val="24"/>
                <w:szCs w:val="24"/>
                <w:highlight w:val="none"/>
                <w:u w:val="single"/>
                <w:lang w:val="en-US" w:eastAsia="zh-CN"/>
              </w:rPr>
              <w:t xml:space="preserve"> 37.782</w:t>
            </w:r>
            <w:r>
              <w:rPr>
                <w:rFonts w:hint="default" w:ascii="Times New Roman" w:hAnsi="Times New Roman" w:eastAsia="宋体" w:cs="Times New Roman"/>
                <w:color w:val="auto"/>
                <w:spacing w:val="11"/>
                <w:position w:val="0"/>
                <w:sz w:val="24"/>
                <w:szCs w:val="24"/>
                <w:highlight w:val="none"/>
                <w:u w:val="single"/>
                <w:lang w:val="en-US" w:eastAsia="zh-CN"/>
              </w:rPr>
              <w:t xml:space="preserve"> 秒）</w:t>
            </w:r>
          </w:p>
        </w:tc>
      </w:tr>
      <w:tr w14:paraId="08746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tcBorders>
              <w:tl2br w:val="nil"/>
              <w:tr2bl w:val="nil"/>
            </w:tcBorders>
            <w:noWrap w:val="0"/>
            <w:tcMar>
              <w:top w:w="16" w:type="dxa"/>
              <w:left w:w="16" w:type="dxa"/>
              <w:right w:w="16" w:type="dxa"/>
            </w:tcMar>
            <w:vAlign w:val="center"/>
          </w:tcPr>
          <w:p w14:paraId="284FB2A1">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14:paraId="0E96155B">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行业类别</w:t>
            </w:r>
          </w:p>
        </w:tc>
        <w:tc>
          <w:tcPr>
            <w:tcW w:w="2043" w:type="dxa"/>
            <w:tcBorders>
              <w:tl2br w:val="nil"/>
              <w:tr2bl w:val="nil"/>
            </w:tcBorders>
            <w:noWrap w:val="0"/>
            <w:vAlign w:val="center"/>
          </w:tcPr>
          <w:p w14:paraId="0EC71BEC">
            <w:pPr>
              <w:adjustRightInd w:val="0"/>
              <w:snapToGrid w:val="0"/>
              <w:jc w:val="center"/>
              <w:rPr>
                <w:rFonts w:hint="default" w:eastAsia="宋体"/>
                <w:color w:val="auto"/>
                <w:spacing w:val="11"/>
                <w:position w:val="0"/>
                <w:lang w:val="en-US" w:eastAsia="zh-CN"/>
              </w:rPr>
            </w:pPr>
            <w:r>
              <w:rPr>
                <w:rFonts w:hint="default" w:ascii="Times New Roman" w:hAnsi="Times New Roman" w:eastAsia="宋体" w:cs="Times New Roman"/>
                <w:color w:val="auto"/>
                <w:spacing w:val="11"/>
                <w:position w:val="0"/>
                <w:sz w:val="24"/>
                <w:szCs w:val="24"/>
                <w:u w:val="single"/>
                <w:lang w:val="en-US" w:eastAsia="zh-CN"/>
              </w:rPr>
              <w:t>八、非金属矿采选业 10</w:t>
            </w:r>
            <w:r>
              <w:rPr>
                <w:rFonts w:hint="eastAsia" w:cs="Times New Roman"/>
                <w:color w:val="auto"/>
                <w:spacing w:val="11"/>
                <w:position w:val="0"/>
                <w:sz w:val="24"/>
                <w:szCs w:val="24"/>
                <w:u w:val="single"/>
                <w:lang w:val="en-US" w:eastAsia="zh-CN"/>
              </w:rPr>
              <w:t>--</w:t>
            </w:r>
            <w:r>
              <w:rPr>
                <w:rFonts w:hint="default" w:ascii="Times New Roman" w:hAnsi="Times New Roman" w:eastAsia="宋体" w:cs="Times New Roman"/>
                <w:color w:val="auto"/>
                <w:spacing w:val="11"/>
                <w:position w:val="0"/>
                <w:sz w:val="24"/>
                <w:szCs w:val="24"/>
                <w:u w:val="single"/>
                <w:lang w:val="en-US" w:eastAsia="zh-CN"/>
              </w:rPr>
              <w:t>1</w:t>
            </w:r>
            <w:r>
              <w:rPr>
                <w:rFonts w:hint="eastAsia" w:ascii="Times New Roman" w:hAnsi="Times New Roman" w:eastAsia="宋体" w:cs="Times New Roman"/>
                <w:color w:val="auto"/>
                <w:spacing w:val="11"/>
                <w:position w:val="0"/>
                <w:sz w:val="24"/>
                <w:szCs w:val="24"/>
                <w:u w:val="single"/>
                <w:lang w:val="en-US" w:eastAsia="zh-CN"/>
              </w:rPr>
              <w:t>1</w:t>
            </w:r>
            <w:r>
              <w:rPr>
                <w:rFonts w:hint="default" w:ascii="Times New Roman" w:hAnsi="Times New Roman" w:eastAsia="宋体" w:cs="Times New Roman"/>
                <w:color w:val="auto"/>
                <w:spacing w:val="11"/>
                <w:position w:val="0"/>
                <w:sz w:val="24"/>
                <w:szCs w:val="24"/>
                <w:u w:val="single"/>
                <w:lang w:val="en-US" w:eastAsia="zh-CN"/>
              </w:rPr>
              <w:t>.土砂石开采 101（不含河道采砂项目）</w:t>
            </w:r>
            <w:r>
              <w:rPr>
                <w:rFonts w:hint="eastAsia" w:cs="Times New Roman"/>
                <w:color w:val="auto"/>
                <w:spacing w:val="11"/>
                <w:position w:val="0"/>
                <w:sz w:val="24"/>
                <w:szCs w:val="24"/>
                <w:u w:val="single"/>
                <w:lang w:val="en-US" w:eastAsia="zh-CN"/>
              </w:rPr>
              <w:t>--其他</w:t>
            </w:r>
          </w:p>
        </w:tc>
        <w:tc>
          <w:tcPr>
            <w:tcW w:w="1941" w:type="dxa"/>
            <w:tcBorders>
              <w:tl2br w:val="nil"/>
              <w:tr2bl w:val="nil"/>
            </w:tcBorders>
            <w:noWrap w:val="0"/>
            <w:vAlign w:val="center"/>
          </w:tcPr>
          <w:p w14:paraId="7473AA96">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用地（用海）面积（m</w:t>
            </w:r>
            <w:r>
              <w:rPr>
                <w:rFonts w:hint="default" w:ascii="Times New Roman" w:hAnsi="Times New Roman" w:eastAsia="宋体" w:cs="Times New Roman"/>
                <w:color w:val="auto"/>
                <w:spacing w:val="11"/>
                <w:position w:val="0"/>
                <w:sz w:val="24"/>
                <w:szCs w:val="24"/>
                <w:highlight w:val="none"/>
                <w:vertAlign w:val="superscript"/>
              </w:rPr>
              <w:t>2</w:t>
            </w:r>
            <w:r>
              <w:rPr>
                <w:rFonts w:hint="default" w:ascii="Times New Roman" w:hAnsi="Times New Roman" w:eastAsia="宋体" w:cs="Times New Roman"/>
                <w:color w:val="auto"/>
                <w:spacing w:val="11"/>
                <w:position w:val="0"/>
                <w:sz w:val="24"/>
                <w:szCs w:val="24"/>
                <w:highlight w:val="none"/>
              </w:rPr>
              <w:t>）/长度（km）</w:t>
            </w:r>
          </w:p>
        </w:tc>
        <w:tc>
          <w:tcPr>
            <w:tcW w:w="2829" w:type="dxa"/>
            <w:tcBorders>
              <w:tl2br w:val="nil"/>
              <w:tr2bl w:val="nil"/>
            </w:tcBorders>
            <w:noWrap w:val="0"/>
            <w:vAlign w:val="center"/>
          </w:tcPr>
          <w:p w14:paraId="3C873393">
            <w:pPr>
              <w:adjustRightInd w:val="0"/>
              <w:snapToGrid w:val="0"/>
              <w:jc w:val="center"/>
              <w:rPr>
                <w:rFonts w:hint="default" w:ascii="Times New Roman" w:hAnsi="Times New Roman" w:eastAsia="宋体" w:cs="Times New Roman"/>
                <w:color w:val="auto"/>
                <w:spacing w:val="11"/>
                <w:position w:val="0"/>
                <w:sz w:val="24"/>
                <w:szCs w:val="24"/>
                <w:highlight w:val="none"/>
                <w:vertAlign w:val="superscript"/>
              </w:rPr>
            </w:pPr>
            <w:r>
              <w:rPr>
                <w:rFonts w:hint="eastAsia" w:cs="Times New Roman"/>
                <w:color w:val="auto"/>
                <w:spacing w:val="11"/>
                <w:position w:val="0"/>
                <w:sz w:val="24"/>
                <w:szCs w:val="24"/>
                <w:highlight w:val="none"/>
                <w:lang w:val="en-US" w:eastAsia="zh-CN"/>
              </w:rPr>
              <w:t>101800</w:t>
            </w:r>
            <w:r>
              <w:rPr>
                <w:rFonts w:hint="default" w:ascii="Times New Roman" w:hAnsi="Times New Roman" w:eastAsia="宋体" w:cs="Times New Roman"/>
                <w:color w:val="auto"/>
                <w:spacing w:val="11"/>
                <w:position w:val="0"/>
                <w:sz w:val="24"/>
                <w:szCs w:val="24"/>
                <w:highlight w:val="none"/>
              </w:rPr>
              <w:t>m</w:t>
            </w:r>
            <w:r>
              <w:rPr>
                <w:rFonts w:hint="default" w:ascii="Times New Roman" w:hAnsi="Times New Roman" w:eastAsia="宋体" w:cs="Times New Roman"/>
                <w:color w:val="auto"/>
                <w:spacing w:val="11"/>
                <w:position w:val="0"/>
                <w:sz w:val="24"/>
                <w:szCs w:val="24"/>
                <w:highlight w:val="none"/>
                <w:vertAlign w:val="superscript"/>
              </w:rPr>
              <w:t>2</w:t>
            </w:r>
          </w:p>
          <w:p w14:paraId="2439410E">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eastAsia" w:cs="Times New Roman"/>
                <w:color w:val="auto"/>
                <w:spacing w:val="11"/>
                <w:position w:val="0"/>
                <w:sz w:val="24"/>
                <w:szCs w:val="24"/>
                <w:highlight w:val="none"/>
                <w:lang w:val="en-US" w:eastAsia="zh-CN"/>
              </w:rPr>
              <w:t>（开采区面积）</w:t>
            </w:r>
          </w:p>
        </w:tc>
      </w:tr>
      <w:tr w14:paraId="76C74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tcBorders>
              <w:tl2br w:val="nil"/>
              <w:tr2bl w:val="nil"/>
            </w:tcBorders>
            <w:noWrap w:val="0"/>
            <w:tcMar>
              <w:top w:w="16" w:type="dxa"/>
              <w:left w:w="16" w:type="dxa"/>
              <w:right w:w="16" w:type="dxa"/>
            </w:tcMar>
            <w:vAlign w:val="center"/>
          </w:tcPr>
          <w:p w14:paraId="69AEDAFE">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建设性质</w:t>
            </w:r>
          </w:p>
        </w:tc>
        <w:tc>
          <w:tcPr>
            <w:tcW w:w="2043" w:type="dxa"/>
            <w:tcBorders>
              <w:tl2br w:val="nil"/>
              <w:tr2bl w:val="nil"/>
            </w:tcBorders>
            <w:noWrap w:val="0"/>
            <w:vAlign w:val="center"/>
          </w:tcPr>
          <w:p w14:paraId="39285796">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新建（迁建）</w:t>
            </w:r>
          </w:p>
          <w:p w14:paraId="1FFDAA8E">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改建</w:t>
            </w:r>
          </w:p>
          <w:p w14:paraId="286F1D3C">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扩建</w:t>
            </w:r>
          </w:p>
          <w:p w14:paraId="19041B1B">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技术改造</w:t>
            </w:r>
          </w:p>
        </w:tc>
        <w:tc>
          <w:tcPr>
            <w:tcW w:w="1941" w:type="dxa"/>
            <w:tcBorders>
              <w:tl2br w:val="nil"/>
              <w:tr2bl w:val="nil"/>
            </w:tcBorders>
            <w:noWrap w:val="0"/>
            <w:vAlign w:val="center"/>
          </w:tcPr>
          <w:p w14:paraId="589AA59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14:paraId="66DA7BB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申报情形</w:t>
            </w:r>
          </w:p>
        </w:tc>
        <w:tc>
          <w:tcPr>
            <w:tcW w:w="2829" w:type="dxa"/>
            <w:tcBorders>
              <w:tl2br w:val="nil"/>
              <w:tr2bl w:val="nil"/>
            </w:tcBorders>
            <w:noWrap w:val="0"/>
            <w:vAlign w:val="center"/>
          </w:tcPr>
          <w:p w14:paraId="2C1210D5">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首次申报项目</w:t>
            </w:r>
          </w:p>
          <w:p w14:paraId="785038A9">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不予批准后再次申报项目</w:t>
            </w:r>
          </w:p>
          <w:p w14:paraId="291BFE8E">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超五年重新审核项目</w:t>
            </w:r>
          </w:p>
          <w:p w14:paraId="6E7D37BA">
            <w:pPr>
              <w:keepNext w:val="0"/>
              <w:keepLines w:val="0"/>
              <w:pageBreakBefore w:val="0"/>
              <w:widowControl w:val="0"/>
              <w:kinsoku/>
              <w:wordWrap/>
              <w:overflowPunct/>
              <w:topLinePunct w:val="0"/>
              <w:autoSpaceDE/>
              <w:autoSpaceDN/>
              <w:bidi w:val="0"/>
              <w:adjustRightInd w:val="0"/>
              <w:snapToGrid w:val="0"/>
              <w:ind w:left="21" w:leftChars="10"/>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重大变动重新报批项目</w:t>
            </w:r>
          </w:p>
        </w:tc>
      </w:tr>
      <w:tr w14:paraId="36D4A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26" w:type="dxa"/>
            <w:tcBorders>
              <w:tl2br w:val="nil"/>
              <w:tr2bl w:val="nil"/>
            </w:tcBorders>
            <w:noWrap w:val="0"/>
            <w:tcMar>
              <w:top w:w="16" w:type="dxa"/>
              <w:left w:w="16" w:type="dxa"/>
              <w:right w:w="16" w:type="dxa"/>
            </w:tcMar>
            <w:vAlign w:val="center"/>
          </w:tcPr>
          <w:p w14:paraId="6811A8B5">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14:paraId="29976E5F">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备案）部门（选填）</w:t>
            </w:r>
          </w:p>
        </w:tc>
        <w:tc>
          <w:tcPr>
            <w:tcW w:w="2043" w:type="dxa"/>
            <w:tcBorders>
              <w:tl2br w:val="nil"/>
              <w:tr2bl w:val="nil"/>
            </w:tcBorders>
            <w:noWrap w:val="0"/>
            <w:vAlign w:val="center"/>
          </w:tcPr>
          <w:p w14:paraId="64418813">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新田县发展和改革局</w:t>
            </w:r>
          </w:p>
        </w:tc>
        <w:tc>
          <w:tcPr>
            <w:tcW w:w="1941" w:type="dxa"/>
            <w:tcBorders>
              <w:tl2br w:val="nil"/>
              <w:tr2bl w:val="nil"/>
            </w:tcBorders>
            <w:noWrap w:val="0"/>
            <w:vAlign w:val="center"/>
          </w:tcPr>
          <w:p w14:paraId="7A160A7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14:paraId="05288DD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备案）文号</w:t>
            </w:r>
          </w:p>
          <w:p w14:paraId="3D908A60">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（选填）</w:t>
            </w:r>
          </w:p>
        </w:tc>
        <w:tc>
          <w:tcPr>
            <w:tcW w:w="2829" w:type="dxa"/>
            <w:tcBorders>
              <w:tl2br w:val="nil"/>
              <w:tr2bl w:val="nil"/>
            </w:tcBorders>
            <w:noWrap w:val="0"/>
            <w:vAlign w:val="center"/>
          </w:tcPr>
          <w:p w14:paraId="5E96C5AC">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新发改备案</w:t>
            </w:r>
            <w:r>
              <w:rPr>
                <w:rFonts w:hint="eastAsia" w:cs="Times New Roman"/>
                <w:color w:val="auto"/>
                <w:spacing w:val="11"/>
                <w:position w:val="0"/>
                <w:sz w:val="24"/>
                <w:szCs w:val="24"/>
                <w:lang w:val="en-US" w:eastAsia="zh-CN"/>
              </w:rPr>
              <w:t>[</w:t>
            </w:r>
            <w:r>
              <w:rPr>
                <w:rFonts w:hint="eastAsia" w:ascii="Times New Roman" w:hAnsi="Times New Roman" w:eastAsia="宋体" w:cs="Times New Roman"/>
                <w:color w:val="auto"/>
                <w:spacing w:val="11"/>
                <w:position w:val="0"/>
                <w:sz w:val="24"/>
                <w:szCs w:val="24"/>
                <w:lang w:val="en-US" w:eastAsia="zh-CN"/>
              </w:rPr>
              <w:t>2025]9号</w:t>
            </w:r>
          </w:p>
        </w:tc>
      </w:tr>
      <w:tr w14:paraId="5DCFA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136358C2">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总投资（万元）</w:t>
            </w:r>
          </w:p>
        </w:tc>
        <w:tc>
          <w:tcPr>
            <w:tcW w:w="2043" w:type="dxa"/>
            <w:tcBorders>
              <w:tl2br w:val="nil"/>
              <w:tr2bl w:val="nil"/>
            </w:tcBorders>
            <w:noWrap w:val="0"/>
            <w:vAlign w:val="center"/>
          </w:tcPr>
          <w:p w14:paraId="3AD2DAF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eastAsia" w:cs="Times New Roman"/>
                <w:color w:val="auto"/>
                <w:spacing w:val="11"/>
                <w:position w:val="0"/>
                <w:sz w:val="24"/>
                <w:szCs w:val="24"/>
                <w:highlight w:val="none"/>
                <w:lang w:val="en-US" w:eastAsia="zh-CN"/>
              </w:rPr>
              <w:t>6</w:t>
            </w:r>
            <w:r>
              <w:rPr>
                <w:rFonts w:hint="default" w:ascii="Times New Roman" w:hAnsi="Times New Roman" w:eastAsia="宋体" w:cs="Times New Roman"/>
                <w:color w:val="auto"/>
                <w:spacing w:val="11"/>
                <w:position w:val="0"/>
                <w:sz w:val="24"/>
                <w:szCs w:val="24"/>
                <w:highlight w:val="none"/>
                <w:lang w:val="en-US" w:eastAsia="zh-CN"/>
              </w:rPr>
              <w:t>000</w:t>
            </w:r>
          </w:p>
        </w:tc>
        <w:tc>
          <w:tcPr>
            <w:tcW w:w="1941" w:type="dxa"/>
            <w:tcBorders>
              <w:tl2br w:val="nil"/>
              <w:tr2bl w:val="nil"/>
            </w:tcBorders>
            <w:noWrap w:val="0"/>
            <w:tcMar>
              <w:top w:w="16" w:type="dxa"/>
              <w:left w:w="16" w:type="dxa"/>
              <w:right w:w="16" w:type="dxa"/>
            </w:tcMar>
            <w:vAlign w:val="center"/>
          </w:tcPr>
          <w:p w14:paraId="5CD0AED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环保投资（万元）</w:t>
            </w:r>
          </w:p>
        </w:tc>
        <w:tc>
          <w:tcPr>
            <w:tcW w:w="2829" w:type="dxa"/>
            <w:tcBorders>
              <w:tl2br w:val="nil"/>
              <w:tr2bl w:val="nil"/>
            </w:tcBorders>
            <w:noWrap w:val="0"/>
            <w:vAlign w:val="center"/>
          </w:tcPr>
          <w:p w14:paraId="317F8304">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370</w:t>
            </w:r>
          </w:p>
        </w:tc>
      </w:tr>
      <w:tr w14:paraId="53D91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4BB618FA">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环保投资占比（%）</w:t>
            </w:r>
          </w:p>
        </w:tc>
        <w:tc>
          <w:tcPr>
            <w:tcW w:w="2043" w:type="dxa"/>
            <w:tcBorders>
              <w:tl2br w:val="nil"/>
              <w:tr2bl w:val="nil"/>
            </w:tcBorders>
            <w:noWrap w:val="0"/>
            <w:vAlign w:val="center"/>
          </w:tcPr>
          <w:p w14:paraId="3FE0E58F">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6.17</w:t>
            </w:r>
          </w:p>
        </w:tc>
        <w:tc>
          <w:tcPr>
            <w:tcW w:w="1941" w:type="dxa"/>
            <w:tcBorders>
              <w:tl2br w:val="nil"/>
              <w:tr2bl w:val="nil"/>
            </w:tcBorders>
            <w:noWrap w:val="0"/>
            <w:tcMar>
              <w:top w:w="16" w:type="dxa"/>
              <w:left w:w="16" w:type="dxa"/>
              <w:right w:w="16" w:type="dxa"/>
            </w:tcMar>
            <w:vAlign w:val="center"/>
          </w:tcPr>
          <w:p w14:paraId="1F22AD0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施工工期</w:t>
            </w:r>
          </w:p>
        </w:tc>
        <w:tc>
          <w:tcPr>
            <w:tcW w:w="2829" w:type="dxa"/>
            <w:tcBorders>
              <w:tl2br w:val="nil"/>
              <w:tr2bl w:val="nil"/>
            </w:tcBorders>
            <w:noWrap w:val="0"/>
            <w:vAlign w:val="center"/>
          </w:tcPr>
          <w:p w14:paraId="0A6A4BBA">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eastAsia" w:cs="Times New Roman"/>
                <w:color w:val="auto"/>
                <w:spacing w:val="11"/>
                <w:position w:val="0"/>
                <w:sz w:val="24"/>
                <w:szCs w:val="24"/>
                <w:highlight w:val="none"/>
                <w:lang w:val="en-US" w:eastAsia="zh-CN"/>
              </w:rPr>
              <w:t>2025年4月~2025年5月</w:t>
            </w:r>
          </w:p>
        </w:tc>
      </w:tr>
      <w:tr w14:paraId="04831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Borders>
              <w:tl2br w:val="nil"/>
              <w:tr2bl w:val="nil"/>
            </w:tcBorders>
            <w:noWrap w:val="0"/>
            <w:tcMar>
              <w:top w:w="16" w:type="dxa"/>
              <w:left w:w="16" w:type="dxa"/>
              <w:right w:w="16" w:type="dxa"/>
            </w:tcMar>
            <w:vAlign w:val="center"/>
          </w:tcPr>
          <w:p w14:paraId="0E7BC24F">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是否开工建设</w:t>
            </w:r>
          </w:p>
        </w:tc>
        <w:tc>
          <w:tcPr>
            <w:tcW w:w="6813" w:type="dxa"/>
            <w:gridSpan w:val="3"/>
            <w:tcBorders>
              <w:tl2br w:val="nil"/>
              <w:tr2bl w:val="nil"/>
            </w:tcBorders>
            <w:noWrap w:val="0"/>
            <w:vAlign w:val="center"/>
          </w:tcPr>
          <w:p w14:paraId="5F9D0C2F">
            <w:pPr>
              <w:adjustRightInd w:val="0"/>
              <w:snapToGrid w:val="0"/>
              <w:ind w:firstLine="105"/>
              <w:jc w:val="left"/>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否</w:t>
            </w:r>
          </w:p>
          <w:p w14:paraId="78E775CD">
            <w:pPr>
              <w:adjustRightInd w:val="0"/>
              <w:snapToGrid w:val="0"/>
              <w:ind w:firstLine="92"/>
              <w:jc w:val="left"/>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是：</w:t>
            </w:r>
            <w:r>
              <w:rPr>
                <w:rFonts w:hint="default" w:ascii="Times New Roman" w:hAnsi="Times New Roman" w:eastAsia="宋体" w:cs="Times New Roman"/>
                <w:color w:val="auto"/>
                <w:spacing w:val="11"/>
                <w:position w:val="0"/>
                <w:sz w:val="24"/>
                <w:szCs w:val="24"/>
                <w:u w:val="single"/>
              </w:rPr>
              <w:t xml:space="preserve">                             </w:t>
            </w:r>
          </w:p>
        </w:tc>
      </w:tr>
      <w:tr w14:paraId="3853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2383EB30">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专项评价设置情况</w:t>
            </w:r>
          </w:p>
        </w:tc>
        <w:tc>
          <w:tcPr>
            <w:tcW w:w="6813" w:type="dxa"/>
            <w:gridSpan w:val="3"/>
            <w:tcBorders>
              <w:tl2br w:val="nil"/>
              <w:tr2bl w:val="nil"/>
            </w:tcBorders>
            <w:noWrap w:val="0"/>
            <w:tcMar>
              <w:top w:w="16" w:type="dxa"/>
              <w:left w:w="16" w:type="dxa"/>
              <w:right w:w="16" w:type="dxa"/>
            </w:tcMar>
            <w:vAlign w:val="center"/>
          </w:tcPr>
          <w:p w14:paraId="4FDDAE2A">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无</w:t>
            </w:r>
          </w:p>
        </w:tc>
      </w:tr>
      <w:tr w14:paraId="12EC3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2DD72028">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规划情况</w:t>
            </w:r>
          </w:p>
        </w:tc>
        <w:tc>
          <w:tcPr>
            <w:tcW w:w="6813" w:type="dxa"/>
            <w:gridSpan w:val="3"/>
            <w:tcBorders>
              <w:tl2br w:val="nil"/>
              <w:tr2bl w:val="nil"/>
            </w:tcBorders>
            <w:noWrap w:val="0"/>
            <w:tcMar>
              <w:top w:w="16" w:type="dxa"/>
              <w:left w:w="16" w:type="dxa"/>
              <w:right w:w="16" w:type="dxa"/>
            </w:tcMar>
            <w:vAlign w:val="center"/>
          </w:tcPr>
          <w:p w14:paraId="38560A33">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1、《湖南省矿产资源总体规划（2021~2025年）》；</w:t>
            </w:r>
          </w:p>
          <w:p w14:paraId="2000CD7A">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2、《湖南省普通建筑材料用砂石土矿专项规划（2021~2025年）》；</w:t>
            </w:r>
          </w:p>
          <w:p w14:paraId="518ABFFF">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3、《永州市矿产资源总体规划（2021-2025年）》；</w:t>
            </w:r>
          </w:p>
          <w:p w14:paraId="36929685">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lang w:val="en-US" w:eastAsia="zh-CN"/>
              </w:rPr>
              <w:t>4、《新田县普通建筑材料用砂石土矿开采专项规划（2021-2025年）》</w:t>
            </w:r>
            <w:r>
              <w:rPr>
                <w:rFonts w:hint="eastAsia" w:cs="Times New Roman"/>
                <w:color w:val="auto"/>
                <w:spacing w:val="11"/>
                <w:kern w:val="0"/>
                <w:position w:val="0"/>
                <w:sz w:val="24"/>
                <w:szCs w:val="24"/>
                <w:lang w:val="en-US" w:eastAsia="zh-CN"/>
              </w:rPr>
              <w:t>。</w:t>
            </w:r>
          </w:p>
        </w:tc>
      </w:tr>
      <w:tr w14:paraId="69F87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14:paraId="29C94DF0">
            <w:pPr>
              <w:autoSpaceDE w:val="0"/>
              <w:autoSpaceDN w:val="0"/>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规划环境影响</w:t>
            </w:r>
          </w:p>
          <w:p w14:paraId="3E36E35A">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评价情况</w:t>
            </w:r>
          </w:p>
        </w:tc>
        <w:tc>
          <w:tcPr>
            <w:tcW w:w="6813" w:type="dxa"/>
            <w:gridSpan w:val="3"/>
            <w:tcBorders>
              <w:tl2br w:val="nil"/>
              <w:tr2bl w:val="nil"/>
            </w:tcBorders>
            <w:noWrap w:val="0"/>
            <w:tcMar>
              <w:top w:w="16" w:type="dxa"/>
              <w:left w:w="16" w:type="dxa"/>
              <w:right w:w="16" w:type="dxa"/>
            </w:tcMar>
            <w:vAlign w:val="center"/>
          </w:tcPr>
          <w:p w14:paraId="18F08F8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《湖南省普通建筑材料用砂石土矿专项规划（2021~2025年）环境影响报告书》，湘环评函[2021]23号</w:t>
            </w:r>
            <w:r>
              <w:rPr>
                <w:rFonts w:hint="eastAsia" w:cs="Times New Roman"/>
                <w:color w:val="auto"/>
                <w:spacing w:val="11"/>
                <w:kern w:val="0"/>
                <w:position w:val="0"/>
                <w:sz w:val="24"/>
                <w:szCs w:val="24"/>
                <w:lang w:val="en-US" w:eastAsia="zh-CN"/>
              </w:rPr>
              <w:t>。</w:t>
            </w:r>
          </w:p>
        </w:tc>
      </w:tr>
      <w:tr w14:paraId="51DA3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226" w:type="dxa"/>
            <w:tcBorders>
              <w:tl2br w:val="nil"/>
              <w:tr2bl w:val="nil"/>
            </w:tcBorders>
            <w:noWrap w:val="0"/>
            <w:tcMar>
              <w:top w:w="16" w:type="dxa"/>
              <w:left w:w="16" w:type="dxa"/>
              <w:right w:w="16" w:type="dxa"/>
            </w:tcMar>
            <w:vAlign w:val="center"/>
          </w:tcPr>
          <w:p w14:paraId="7C2604D1">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规划及</w:t>
            </w:r>
            <w:r>
              <w:rPr>
                <w:rFonts w:hint="default" w:ascii="Times New Roman" w:hAnsi="Times New Roman" w:eastAsia="宋体" w:cs="Times New Roman"/>
                <w:color w:val="auto"/>
                <w:spacing w:val="11"/>
                <w:position w:val="0"/>
                <w:sz w:val="24"/>
                <w:szCs w:val="24"/>
              </w:rPr>
              <w:t>规划环境影响评价</w:t>
            </w:r>
            <w:r>
              <w:rPr>
                <w:rFonts w:hint="default" w:ascii="Times New Roman" w:hAnsi="Times New Roman" w:eastAsia="宋体" w:cs="Times New Roman"/>
                <w:color w:val="auto"/>
                <w:spacing w:val="11"/>
                <w:kern w:val="0"/>
                <w:position w:val="0"/>
                <w:sz w:val="24"/>
                <w:szCs w:val="24"/>
              </w:rPr>
              <w:t>符合性分析</w:t>
            </w:r>
          </w:p>
        </w:tc>
        <w:tc>
          <w:tcPr>
            <w:tcW w:w="6813" w:type="dxa"/>
            <w:gridSpan w:val="3"/>
            <w:tcBorders>
              <w:tl2br w:val="nil"/>
              <w:tr2bl w:val="nil"/>
            </w:tcBorders>
            <w:noWrap w:val="0"/>
            <w:tcMar>
              <w:top w:w="16" w:type="dxa"/>
              <w:left w:w="16" w:type="dxa"/>
              <w:right w:w="16" w:type="dxa"/>
            </w:tcMar>
            <w:vAlign w:val="center"/>
          </w:tcPr>
          <w:p w14:paraId="78CDA1B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lang w:val="en-US" w:eastAsia="zh-CN"/>
              </w:rPr>
              <w:t>1、与《湖南省普通建筑材料用砂石土矿专项规划（2021~2025年）环境影响报告书》相符性分析</w:t>
            </w:r>
          </w:p>
          <w:p w14:paraId="62D2624F">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依据《湖南省普通建筑材料用砂石土矿专项规划（2021~2025年）环境影响报告书》，相符性分析如下表所示。</w:t>
            </w:r>
          </w:p>
          <w:p w14:paraId="2B8618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21"/>
                <w:u w:val="none"/>
                <w:lang w:val="en-US" w:eastAsia="zh-CN"/>
              </w:rPr>
            </w:pPr>
            <w:r>
              <w:rPr>
                <w:rFonts w:hint="default" w:ascii="Times New Roman" w:hAnsi="Times New Roman" w:eastAsia="宋体" w:cs="Times New Roman"/>
                <w:b/>
                <w:color w:val="auto"/>
                <w:spacing w:val="11"/>
                <w:position w:val="0"/>
                <w:sz w:val="21"/>
                <w:szCs w:val="21"/>
                <w:u w:val="none"/>
                <w:lang w:val="en-US" w:eastAsia="zh-CN"/>
              </w:rPr>
              <w:t>表1-1 与《湖南省普通建筑材料用砂石土矿专项规划（2021~2025年）环境影响报告书》的相符性分析一览表</w:t>
            </w:r>
          </w:p>
          <w:tbl>
            <w:tblPr>
              <w:tblStyle w:val="33"/>
              <w:tblW w:w="492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2618"/>
              <w:gridCol w:w="796"/>
            </w:tblGrid>
            <w:tr w14:paraId="39DC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35AFF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《湖南省普通建筑材料用砂石土矿专项规划（2021~2025年）环境影响报告书》相关内容</w:t>
                  </w:r>
                </w:p>
              </w:tc>
              <w:tc>
                <w:tcPr>
                  <w:tcW w:w="1958" w:type="pct"/>
                  <w:tcBorders>
                    <w:tl2br w:val="nil"/>
                    <w:tr2bl w:val="nil"/>
                  </w:tcBorders>
                  <w:noWrap w:val="0"/>
                  <w:vAlign w:val="center"/>
                </w:tcPr>
                <w:p w14:paraId="790AB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595" w:type="pct"/>
                  <w:tcBorders>
                    <w:tl2br w:val="nil"/>
                    <w:tr2bl w:val="nil"/>
                  </w:tcBorders>
                  <w:noWrap w:val="0"/>
                  <w:vAlign w:val="center"/>
                </w:tcPr>
                <w:p w14:paraId="0012D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是否相符</w:t>
                  </w:r>
                </w:p>
              </w:tc>
            </w:tr>
            <w:tr w14:paraId="74029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4360D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空间布局约束：</w:t>
                  </w:r>
                </w:p>
                <w:p w14:paraId="7BE93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设置禁止开采区，包括全省生态保护红线、永久基本农田、集中式饮用水源一级、二级保护区、自然保护地、风景名胜区、I级保护林地、一级国家级公益林、国有国家级公益林、军事禁区、湘江流域禁采区、国道省道向外100m、乡道向外50m范围、重点生态功能区负面清单要求的法定禁止范围。 </w:t>
                  </w:r>
                </w:p>
                <w:p w14:paraId="351A5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禁止开采区要求：不再新设砂石土矿采矿权，已设采矿权应一矿一策，制定方案，调整范围后纳入开采规划区块设置的，合理调整采矿权范围，无法调整范围或调整范围后也不满足规划区块设置要求的，原则上2021年10月底前必须退出到位，矿业活动造成的生态环境和土地植被破坏应及时治理恢复。 </w:t>
                  </w:r>
                </w:p>
                <w:p w14:paraId="4A6CD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设置限制开采区，包括三类：一是湘江流域限制开采区（从湘江流域禁止开采区边界开始，外推至距河流两岸不超过1000m以内的区域，但外推区域内存在山脊线的，限采区为禁采区边界至第一层山脊线之间的区域；重要饮用水源地禁采区外边界至周边1000m以内的区域）。二是铁路、高速公路、国省干道、输电线路、输气管道、居民点等各类基础设施周边或两侧一定范围，依相关法律法规、条例遵其规定；三是重点生态功能区负面清单要求的限制开采区域。</w:t>
                  </w:r>
                </w:p>
                <w:p w14:paraId="4BD1E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4.限制开采区要求：原则上不新设砂石土矿采矿权，已有矿山原则上不予扩界，但为减少终了边坡、消除安全生产隐患和地质灾害隐患的除外。为保障重大项目建设和民生需求确需新设（含以扩充资源为目的的扩界情形）的，应由具有采矿权审批权限的审批机关同级人民政府组织相关部门严格论证，确保符合环境保护、水土保持和安全生产要求。 </w:t>
                  </w:r>
                </w:p>
                <w:p w14:paraId="3D98C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5.砂石土矿开采生态准入要求： </w:t>
                  </w:r>
                </w:p>
                <w:p w14:paraId="148F6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①采矿权必须位于本规划的允许开采区内； </w:t>
                  </w:r>
                </w:p>
                <w:p w14:paraId="14FD6F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②资源储量：新设、整合和以扩充资源为目的的扩界矿山不低于300万吨，保留矿山不低于100万吨； </w:t>
                  </w:r>
                </w:p>
                <w:p w14:paraId="6A054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③生产规模：原则上不低于30万吨/年，长株潭城市圈、各市州中心城区周边和交通区位较好地区，新设矿山（砖瓦用砂石矿除外）应不低于100万吨/年；建筑用辉绿岩、建筑用玄武岩等优质砂石资源可适当降低标准； </w:t>
                  </w:r>
                </w:p>
                <w:p w14:paraId="2E431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④开采方式：根据资源禀赋条件，优选矿山开采方式，原则上以露天开采为主；露天开采时，矿山自上而下“边采边治”台阶式分层开采，严禁开采造成高陡边坡，原则上不允许负地形开采，新设矿山原则上实现移平式开发； </w:t>
                  </w:r>
                </w:p>
                <w:p w14:paraId="1A7AF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⑤绿色矿山建设：新设矿山必须达到湖南省绿色矿山建设标准并经验收合格后方可生产。现有生产矿山2025年底全部达到绿色矿山建设标准并经验收合格。 </w:t>
                  </w:r>
                </w:p>
                <w:p w14:paraId="60BFE2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⑥环境敏感区核实：进一步核实项目涉自然保护地、生态保护红线、分散式饮用水水源地、千人以上饮用水水源地、文物保护单位等情况。</w:t>
                  </w:r>
                </w:p>
              </w:tc>
              <w:tc>
                <w:tcPr>
                  <w:tcW w:w="1958" w:type="pct"/>
                  <w:tcBorders>
                    <w:tl2br w:val="nil"/>
                    <w:tr2bl w:val="nil"/>
                  </w:tcBorders>
                  <w:noWrap w:val="0"/>
                  <w:vAlign w:val="center"/>
                </w:tcPr>
                <w:p w14:paraId="4E917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 xml:space="preserve">1、本项目矿界不涉及生态红线，不涉及禁止开采区、限制开采区。 </w:t>
                  </w:r>
                </w:p>
                <w:p w14:paraId="111E0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2、本项目属于允许开采区内，资源储量为</w:t>
                  </w:r>
                  <w:r>
                    <w:rPr>
                      <w:rFonts w:hint="eastAsia" w:cs="Times New Roman"/>
                      <w:color w:val="auto"/>
                      <w:spacing w:val="11"/>
                      <w:position w:val="0"/>
                      <w:sz w:val="21"/>
                      <w:szCs w:val="21"/>
                      <w:highlight w:val="none"/>
                      <w:u w:val="none"/>
                      <w:lang w:val="en-US" w:eastAsia="zh-CN"/>
                    </w:rPr>
                    <w:t>370.4</w:t>
                  </w:r>
                  <w:r>
                    <w:rPr>
                      <w:rFonts w:hint="default" w:ascii="Times New Roman" w:hAnsi="Times New Roman" w:eastAsia="宋体" w:cs="Times New Roman"/>
                      <w:color w:val="auto"/>
                      <w:spacing w:val="11"/>
                      <w:position w:val="0"/>
                      <w:sz w:val="21"/>
                      <w:szCs w:val="21"/>
                      <w:highlight w:val="none"/>
                      <w:u w:val="none"/>
                      <w:lang w:val="en-US" w:eastAsia="zh-CN"/>
                    </w:rPr>
                    <w:t>万t；按年生产规模</w:t>
                  </w:r>
                  <w:r>
                    <w:rPr>
                      <w:rFonts w:hint="eastAsia" w:cs="Times New Roman"/>
                      <w:color w:val="auto"/>
                      <w:spacing w:val="11"/>
                      <w:position w:val="0"/>
                      <w:sz w:val="21"/>
                      <w:szCs w:val="21"/>
                      <w:highlight w:val="none"/>
                      <w:u w:val="none"/>
                      <w:lang w:val="en-US" w:eastAsia="zh-CN"/>
                    </w:rPr>
                    <w:t>60</w:t>
                  </w:r>
                  <w:r>
                    <w:rPr>
                      <w:rFonts w:hint="default" w:ascii="Times New Roman" w:hAnsi="Times New Roman" w:eastAsia="宋体" w:cs="Times New Roman"/>
                      <w:color w:val="auto"/>
                      <w:spacing w:val="11"/>
                      <w:position w:val="0"/>
                      <w:sz w:val="21"/>
                      <w:szCs w:val="21"/>
                      <w:highlight w:val="none"/>
                      <w:u w:val="none"/>
                      <w:lang w:val="en-US" w:eastAsia="zh-CN"/>
                    </w:rPr>
                    <w:t>万吨/年，矿山服务年限约</w:t>
                  </w:r>
                  <w:r>
                    <w:rPr>
                      <w:rFonts w:hint="eastAsia" w:cs="Times New Roman"/>
                      <w:color w:val="auto"/>
                      <w:spacing w:val="11"/>
                      <w:position w:val="0"/>
                      <w:sz w:val="21"/>
                      <w:szCs w:val="21"/>
                      <w:highlight w:val="none"/>
                      <w:u w:val="none"/>
                      <w:lang w:val="en-US" w:eastAsia="zh-CN"/>
                    </w:rPr>
                    <w:t>6.1</w:t>
                  </w:r>
                  <w:r>
                    <w:rPr>
                      <w:rFonts w:hint="default" w:ascii="Times New Roman" w:hAnsi="Times New Roman" w:eastAsia="宋体" w:cs="Times New Roman"/>
                      <w:color w:val="auto"/>
                      <w:spacing w:val="11"/>
                      <w:position w:val="0"/>
                      <w:sz w:val="21"/>
                      <w:szCs w:val="21"/>
                      <w:highlight w:val="none"/>
                      <w:u w:val="none"/>
                      <w:lang w:val="en-US" w:eastAsia="zh-CN"/>
                    </w:rPr>
                    <w:t xml:space="preserve">年。矿山为露天开采，自上而下“边采边治”台阶式分层开采；建设单位拟在达到湖南省绿色矿山建设标准并经验收合格后再生产。 </w:t>
                  </w:r>
                </w:p>
                <w:p w14:paraId="0F26A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3、本项目位于</w:t>
                  </w:r>
                  <w:r>
                    <w:rPr>
                      <w:rFonts w:hint="eastAsia" w:cs="Times New Roman"/>
                      <w:color w:val="auto"/>
                      <w:spacing w:val="11"/>
                      <w:position w:val="0"/>
                      <w:sz w:val="21"/>
                      <w:szCs w:val="21"/>
                      <w:highlight w:val="none"/>
                      <w:u w:val="none"/>
                      <w:lang w:val="en-US" w:eastAsia="zh-CN"/>
                    </w:rPr>
                    <w:t>永州市新田县龙泉街道周家洞村</w:t>
                  </w:r>
                  <w:r>
                    <w:rPr>
                      <w:rFonts w:hint="default" w:ascii="Times New Roman" w:hAnsi="Times New Roman" w:eastAsia="宋体" w:cs="Times New Roman"/>
                      <w:color w:val="auto"/>
                      <w:spacing w:val="11"/>
                      <w:position w:val="0"/>
                      <w:sz w:val="21"/>
                      <w:szCs w:val="21"/>
                      <w:highlight w:val="none"/>
                      <w:u w:val="none"/>
                      <w:lang w:val="en-US" w:eastAsia="zh-CN"/>
                    </w:rPr>
                    <w:t>，不属于市州中心城区周边和交通区位较好地区，选址不涉及自然保护地、生态保护红线、分散式饮用水水源地、千人以上饮用水水源地、文物保护单位等。</w:t>
                  </w:r>
                </w:p>
              </w:tc>
              <w:tc>
                <w:tcPr>
                  <w:tcW w:w="595" w:type="pct"/>
                  <w:tcBorders>
                    <w:tl2br w:val="nil"/>
                    <w:tr2bl w:val="nil"/>
                  </w:tcBorders>
                  <w:noWrap w:val="0"/>
                  <w:vAlign w:val="center"/>
                </w:tcPr>
                <w:p w14:paraId="578D1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lang w:val="en-US" w:eastAsia="zh-CN"/>
                    </w:rPr>
                  </w:pPr>
                  <w:r>
                    <w:rPr>
                      <w:rFonts w:hint="eastAsia" w:cs="Times New Roman"/>
                      <w:color w:val="auto"/>
                      <w:spacing w:val="11"/>
                      <w:position w:val="0"/>
                      <w:sz w:val="21"/>
                      <w:szCs w:val="21"/>
                      <w:highlight w:val="none"/>
                      <w:u w:val="none"/>
                      <w:lang w:val="en-US" w:eastAsia="zh-CN"/>
                    </w:rPr>
                    <w:t>符合</w:t>
                  </w:r>
                </w:p>
              </w:tc>
            </w:tr>
            <w:tr w14:paraId="6B819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1EBA5B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污染物排放管控： </w:t>
                  </w:r>
                </w:p>
                <w:p w14:paraId="36672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污染防治：矿石开采过程中岩石采剥、钻孔、爆破、锯切、装卸等作业场所应采取喷雾、洒水等措施，产生的废水经收集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污水处理达标率达到100%；固体废物妥善处置率达到100%。 </w:t>
                  </w:r>
                </w:p>
                <w:p w14:paraId="40AAE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生态保护与恢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新建和生产矿山损毁土地复垦率应达到100%（全面复垦），地质环境治理恢复率应达到100%（全面治理）。 </w:t>
                  </w:r>
                </w:p>
                <w:p w14:paraId="0EF14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3.建立常态化生态、噪声、大气、水环境等监测体系，根据区域生态环境质量变化情况，及时优化矿山建设和运营管理方案，完善相应生态环境保护措施。</w:t>
                  </w:r>
                </w:p>
              </w:tc>
              <w:tc>
                <w:tcPr>
                  <w:tcW w:w="1958" w:type="pct"/>
                  <w:tcBorders>
                    <w:tl2br w:val="nil"/>
                    <w:tr2bl w:val="nil"/>
                  </w:tcBorders>
                  <w:noWrap w:val="0"/>
                  <w:vAlign w:val="center"/>
                </w:tcPr>
                <w:p w14:paraId="11167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1、项目矿石开采过程中岩石采剥、爆破、装卸等拟采取喷雾、洒水等措施；项目无废水外排，</w:t>
                  </w:r>
                  <w:r>
                    <w:rPr>
                      <w:rFonts w:hint="eastAsia" w:cs="Times New Roman"/>
                      <w:color w:val="auto"/>
                      <w:spacing w:val="11"/>
                      <w:position w:val="0"/>
                      <w:sz w:val="21"/>
                      <w:szCs w:val="21"/>
                      <w:highlight w:val="none"/>
                      <w:u w:val="none"/>
                      <w:lang w:val="en-US" w:eastAsia="zh-CN"/>
                    </w:rPr>
                    <w:t>碎石加工过程中采取喷淋、洒水抑尘</w:t>
                  </w:r>
                  <w:r>
                    <w:rPr>
                      <w:rFonts w:hint="default" w:ascii="Times New Roman" w:hAnsi="Times New Roman" w:eastAsia="宋体" w:cs="Times New Roman"/>
                      <w:color w:val="auto"/>
                      <w:spacing w:val="11"/>
                      <w:position w:val="0"/>
                      <w:sz w:val="21"/>
                      <w:szCs w:val="21"/>
                      <w:highlight w:val="none"/>
                      <w:u w:val="none"/>
                      <w:lang w:val="en-US" w:eastAsia="zh-CN"/>
                    </w:rPr>
                    <w:t>或</w:t>
                  </w:r>
                  <w:r>
                    <w:rPr>
                      <w:rFonts w:hint="eastAsia" w:cs="Times New Roman"/>
                      <w:color w:val="auto"/>
                      <w:spacing w:val="11"/>
                      <w:position w:val="0"/>
                      <w:sz w:val="21"/>
                      <w:szCs w:val="21"/>
                      <w:highlight w:val="none"/>
                      <w:u w:val="none"/>
                      <w:lang w:val="en-US" w:eastAsia="zh-CN"/>
                    </w:rPr>
                    <w:t>布袋除尘等措施</w:t>
                  </w:r>
                  <w:r>
                    <w:rPr>
                      <w:rFonts w:hint="default" w:ascii="Times New Roman" w:hAnsi="Times New Roman" w:eastAsia="宋体" w:cs="Times New Roman"/>
                      <w:color w:val="auto"/>
                      <w:spacing w:val="11"/>
                      <w:position w:val="0"/>
                      <w:sz w:val="21"/>
                      <w:szCs w:val="21"/>
                      <w:highlight w:val="none"/>
                      <w:u w:val="none"/>
                      <w:lang w:val="en-US" w:eastAsia="zh-CN"/>
                    </w:rPr>
                    <w:t xml:space="preserve">降低粉尘无组织排放。采用先进的中深孔爆破，选用低噪设备，通过减震、隔声、消声、吸声等措施。项目设计开采回采率98%，固体废物均能妥善处置。 </w:t>
                  </w:r>
                </w:p>
                <w:p w14:paraId="33C9C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2、生态保护与恢复：开采过程严格限制作业范围，尽可能减少对原有地表植被和土壤的破坏；矿区周边设置截排水措施，减少水土流失；规范设置</w:t>
                  </w:r>
                  <w:r>
                    <w:rPr>
                      <w:rFonts w:hint="eastAsia" w:cs="Times New Roman"/>
                      <w:color w:val="auto"/>
                      <w:spacing w:val="11"/>
                      <w:position w:val="0"/>
                      <w:sz w:val="21"/>
                      <w:szCs w:val="21"/>
                      <w:highlight w:val="none"/>
                      <w:u w:val="none"/>
                      <w:lang w:val="en-US" w:eastAsia="zh-CN"/>
                    </w:rPr>
                    <w:t>临时堆土场</w:t>
                  </w:r>
                  <w:r>
                    <w:rPr>
                      <w:rFonts w:hint="default" w:ascii="Times New Roman" w:hAnsi="Times New Roman" w:eastAsia="宋体" w:cs="Times New Roman"/>
                      <w:color w:val="auto"/>
                      <w:spacing w:val="11"/>
                      <w:position w:val="0"/>
                      <w:sz w:val="21"/>
                      <w:szCs w:val="21"/>
                      <w:highlight w:val="none"/>
                      <w:u w:val="none"/>
                      <w:lang w:val="en-US" w:eastAsia="zh-CN"/>
                    </w:rPr>
                    <w:t xml:space="preserve">，生产过程中产生的剥离物在场内及时进行回填，回填后剩余的余方拖运至新田县龙兴环保建材有限公司用于生产及建筑利用使用，制定矿山生态修复方案并严格落实，对已完成开采或形成终了边坡的开采区域实施边开采边修复，恢复土地原有功能，对矿山损毁土地进行全面复垦，地质环境治理恢复率拟达到100%。 </w:t>
                  </w:r>
                </w:p>
                <w:p w14:paraId="3C3A1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3、建立常态化生态、噪声、大气、水环境等监测体系，根据区域生态环境质量变化情况，及时优化矿山建设和运营管理方案，完善相应生态环境保护措施。</w:t>
                  </w:r>
                </w:p>
              </w:tc>
              <w:tc>
                <w:tcPr>
                  <w:tcW w:w="595" w:type="pct"/>
                  <w:tcBorders>
                    <w:tl2br w:val="nil"/>
                    <w:tr2bl w:val="nil"/>
                  </w:tcBorders>
                  <w:noWrap w:val="0"/>
                  <w:vAlign w:val="center"/>
                </w:tcPr>
                <w:p w14:paraId="10E40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14:paraId="0CD67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2A03E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风险防控：落实环境风险防范的主体责任，强化环境风险防范体系建设；制定突发环境事件应急预案，严格执行应急报告制度；采场和堆场应设置完善的排洪和排水设施，做好削坡卸荷、压脚护坡，预防滑坡、坍塌、泥石流地质环境灾害引发的次生生态环境风险。</w:t>
                  </w:r>
                </w:p>
              </w:tc>
              <w:tc>
                <w:tcPr>
                  <w:tcW w:w="1958" w:type="pct"/>
                  <w:tcBorders>
                    <w:tl2br w:val="nil"/>
                    <w:tr2bl w:val="nil"/>
                  </w:tcBorders>
                  <w:noWrap w:val="0"/>
                  <w:vAlign w:val="center"/>
                </w:tcPr>
                <w:p w14:paraId="347C8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建设单位将强化环境风险防范体系建设，拟突发环境事件应急预案，严格执行应急报告制度；采场设置了完善的排洪和排水设施，做好削坡卸荷、压脚护坡，预防滑坡、坍塌、泥石流地质环境灾害引发的次生生态环境风险。</w:t>
                  </w:r>
                </w:p>
              </w:tc>
              <w:tc>
                <w:tcPr>
                  <w:tcW w:w="595" w:type="pct"/>
                  <w:tcBorders>
                    <w:tl2br w:val="nil"/>
                    <w:tr2bl w:val="nil"/>
                  </w:tcBorders>
                  <w:noWrap w:val="0"/>
                  <w:vAlign w:val="center"/>
                </w:tcPr>
                <w:p w14:paraId="71D67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14:paraId="23C36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0F443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资源开发利用要求：严格按照开采规模要求、开采范围进行开采，不得超量开采、不得越界开采。矿山开采回采率不低于92%，表土利用率不低于95%。</w:t>
                  </w:r>
                </w:p>
              </w:tc>
              <w:tc>
                <w:tcPr>
                  <w:tcW w:w="1958" w:type="pct"/>
                  <w:tcBorders>
                    <w:tl2br w:val="nil"/>
                    <w:tr2bl w:val="nil"/>
                  </w:tcBorders>
                  <w:noWrap w:val="0"/>
                  <w:vAlign w:val="center"/>
                </w:tcPr>
                <w:p w14:paraId="35874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项目将严格按照开采规模要求、开采范围进行开采，不超量开采、越界开采。设计开采回采率98%，表土利用率不低于95%。</w:t>
                  </w:r>
                </w:p>
              </w:tc>
              <w:tc>
                <w:tcPr>
                  <w:tcW w:w="595" w:type="pct"/>
                  <w:tcBorders>
                    <w:tl2br w:val="nil"/>
                    <w:tr2bl w:val="nil"/>
                  </w:tcBorders>
                  <w:noWrap w:val="0"/>
                  <w:vAlign w:val="center"/>
                </w:tcPr>
                <w:p w14:paraId="6EE4C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bl>
          <w:p w14:paraId="2BC8E38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Ansi="宋体" w:eastAsia="宋体"/>
                <w:b/>
                <w:bCs/>
                <w:color w:val="000000"/>
                <w:spacing w:val="11"/>
                <w:position w:val="0"/>
                <w:sz w:val="24"/>
                <w:u w:val="none"/>
              </w:rPr>
            </w:pPr>
            <w:r>
              <w:rPr>
                <w:rFonts w:ascii="Times New Roman" w:hAnsi="宋体" w:eastAsia="宋体" w:cs="Times New Roman"/>
                <w:b/>
                <w:bCs/>
                <w:color w:val="000000"/>
                <w:spacing w:val="11"/>
                <w:kern w:val="2"/>
                <w:position w:val="0"/>
                <w:sz w:val="24"/>
                <w:szCs w:val="24"/>
                <w:lang w:val="en-US" w:eastAsia="zh-CN" w:bidi="ar-SA"/>
              </w:rPr>
              <w:t>2、</w:t>
            </w:r>
            <w:r>
              <w:rPr>
                <w:rFonts w:hint="eastAsia" w:eastAsia="宋体"/>
                <w:b/>
                <w:bCs/>
                <w:color w:val="000000"/>
                <w:spacing w:val="11"/>
                <w:kern w:val="0"/>
                <w:position w:val="0"/>
                <w:sz w:val="24"/>
                <w:u w:val="none"/>
              </w:rPr>
              <w:t>与</w:t>
            </w:r>
            <w:r>
              <w:rPr>
                <w:rFonts w:hAnsi="宋体" w:eastAsia="宋体"/>
                <w:b/>
                <w:bCs/>
                <w:color w:val="000000"/>
                <w:spacing w:val="11"/>
                <w:position w:val="0"/>
                <w:sz w:val="24"/>
                <w:u w:val="none"/>
              </w:rPr>
              <w:t>《湖南省普通建筑材料用砂石土矿专项规划（</w:t>
            </w:r>
            <w:r>
              <w:rPr>
                <w:rFonts w:eastAsia="宋体"/>
                <w:b/>
                <w:bCs/>
                <w:color w:val="000000"/>
                <w:spacing w:val="11"/>
                <w:position w:val="0"/>
                <w:sz w:val="24"/>
                <w:u w:val="none"/>
              </w:rPr>
              <w:t>2021~2025</w:t>
            </w:r>
            <w:r>
              <w:rPr>
                <w:rFonts w:hAnsi="宋体" w:eastAsia="宋体"/>
                <w:b/>
                <w:bCs/>
                <w:color w:val="000000"/>
                <w:spacing w:val="11"/>
                <w:position w:val="0"/>
                <w:sz w:val="24"/>
                <w:u w:val="none"/>
              </w:rPr>
              <w:t>年）》符合性分析</w:t>
            </w:r>
          </w:p>
          <w:p w14:paraId="7F019E5A">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lang w:val="en-US" w:eastAsia="zh-CN"/>
              </w:rPr>
            </w:pPr>
            <w:r>
              <w:rPr>
                <w:rFonts w:hint="eastAsia" w:ascii="宋体" w:hAnsi="宋体" w:eastAsia="宋体" w:cs="Arial"/>
                <w:color w:val="000000"/>
                <w:spacing w:val="11"/>
                <w:position w:val="0"/>
                <w:sz w:val="24"/>
                <w:u w:val="none"/>
                <w:lang w:val="en-US" w:eastAsia="zh-CN"/>
              </w:rPr>
              <w:t>依据《湖南省普通建筑材料用砂石土矿专项规划（2021-2025年）》，相符性分析如下表所示。</w:t>
            </w:r>
          </w:p>
          <w:p w14:paraId="6BD22680">
            <w:pPr>
              <w:widowControl/>
              <w:jc w:val="center"/>
              <w:rPr>
                <w:rFonts w:ascii="宋体" w:hAnsi="宋体" w:eastAsia="宋体" w:cs="宋体"/>
                <w:b/>
                <w:bCs/>
                <w:color w:val="000000"/>
                <w:spacing w:val="11"/>
                <w:kern w:val="0"/>
                <w:position w:val="0"/>
                <w:szCs w:val="21"/>
                <w:u w:val="none"/>
              </w:rPr>
            </w:pPr>
            <w:r>
              <w:rPr>
                <w:rFonts w:hint="eastAsia" w:ascii="宋体" w:hAnsi="宋体" w:eastAsia="宋体" w:cs="宋体"/>
                <w:b/>
                <w:bCs/>
                <w:color w:val="000000"/>
                <w:spacing w:val="11"/>
                <w:kern w:val="0"/>
                <w:position w:val="0"/>
                <w:szCs w:val="21"/>
                <w:u w:val="none"/>
              </w:rPr>
              <w:t>表</w:t>
            </w:r>
            <w:r>
              <w:rPr>
                <w:rFonts w:hint="eastAsia" w:eastAsia="宋体"/>
                <w:b/>
                <w:bCs/>
                <w:color w:val="000000"/>
                <w:spacing w:val="11"/>
                <w:kern w:val="0"/>
                <w:position w:val="0"/>
                <w:szCs w:val="21"/>
                <w:u w:val="none"/>
              </w:rPr>
              <w:t>1</w:t>
            </w:r>
            <w:r>
              <w:rPr>
                <w:rFonts w:eastAsia="宋体"/>
                <w:b/>
                <w:bCs/>
                <w:color w:val="000000"/>
                <w:spacing w:val="11"/>
                <w:kern w:val="0"/>
                <w:position w:val="0"/>
                <w:szCs w:val="21"/>
                <w:u w:val="none"/>
              </w:rPr>
              <w:t>-</w:t>
            </w:r>
            <w:r>
              <w:rPr>
                <w:rFonts w:hint="eastAsia" w:eastAsia="宋体"/>
                <w:b/>
                <w:bCs/>
                <w:color w:val="000000"/>
                <w:spacing w:val="11"/>
                <w:kern w:val="0"/>
                <w:position w:val="0"/>
                <w:szCs w:val="21"/>
                <w:u w:val="none"/>
              </w:rPr>
              <w:t>2</w:t>
            </w:r>
            <w:r>
              <w:rPr>
                <w:rFonts w:eastAsia="宋体"/>
                <w:b/>
                <w:bCs/>
                <w:color w:val="000000"/>
                <w:spacing w:val="11"/>
                <w:kern w:val="0"/>
                <w:position w:val="0"/>
                <w:szCs w:val="21"/>
                <w:u w:val="none"/>
              </w:rPr>
              <w:t xml:space="preserve"> </w:t>
            </w:r>
            <w:r>
              <w:rPr>
                <w:rFonts w:hint="eastAsia" w:ascii="宋体" w:hAnsi="宋体" w:eastAsia="宋体" w:cs="宋体"/>
                <w:b/>
                <w:bCs/>
                <w:color w:val="000000"/>
                <w:spacing w:val="11"/>
                <w:kern w:val="0"/>
                <w:position w:val="0"/>
                <w:szCs w:val="21"/>
                <w:u w:val="none"/>
                <w:lang w:val="en-US" w:eastAsia="zh-CN"/>
              </w:rPr>
              <w:t>与《湖南省普通建筑材料用砂石土矿专项规划（2021</w:t>
            </w:r>
            <w:r>
              <w:rPr>
                <w:rFonts w:hint="eastAsia" w:ascii="宋体" w:hAnsi="宋体" w:cs="宋体"/>
                <w:b/>
                <w:bCs/>
                <w:color w:val="000000"/>
                <w:spacing w:val="11"/>
                <w:kern w:val="0"/>
                <w:position w:val="0"/>
                <w:szCs w:val="21"/>
                <w:u w:val="none"/>
                <w:lang w:val="en-US" w:eastAsia="zh-CN"/>
              </w:rPr>
              <w:t>~</w:t>
            </w:r>
            <w:r>
              <w:rPr>
                <w:rFonts w:hint="eastAsia" w:ascii="宋体" w:hAnsi="宋体" w:eastAsia="宋体" w:cs="宋体"/>
                <w:b/>
                <w:bCs/>
                <w:color w:val="000000"/>
                <w:spacing w:val="11"/>
                <w:kern w:val="0"/>
                <w:position w:val="0"/>
                <w:szCs w:val="21"/>
                <w:u w:val="none"/>
                <w:lang w:val="en-US" w:eastAsia="zh-CN"/>
              </w:rPr>
              <w:t>2025年）》的相符性分析一览表</w:t>
            </w:r>
          </w:p>
          <w:tbl>
            <w:tblPr>
              <w:tblStyle w:val="33"/>
              <w:tblW w:w="65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2457"/>
              <w:gridCol w:w="813"/>
            </w:tblGrid>
            <w:tr w14:paraId="65060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192341D0">
                  <w:pPr>
                    <w:widowControl/>
                    <w:adjustRightInd w:val="0"/>
                    <w:snapToGrid w:val="0"/>
                    <w:jc w:val="center"/>
                    <w:rPr>
                      <w:rFonts w:eastAsia="宋体"/>
                      <w:b/>
                      <w:bCs/>
                      <w:color w:val="000000"/>
                      <w:spacing w:val="11"/>
                      <w:kern w:val="0"/>
                      <w:position w:val="0"/>
                      <w:szCs w:val="21"/>
                      <w:u w:val="none"/>
                    </w:rPr>
                  </w:pPr>
                  <w:r>
                    <w:rPr>
                      <w:rFonts w:eastAsia="宋体"/>
                      <w:color w:val="000000"/>
                      <w:spacing w:val="11"/>
                      <w:position w:val="0"/>
                      <w:szCs w:val="21"/>
                      <w:u w:val="none"/>
                    </w:rPr>
                    <w:t>《</w:t>
                  </w:r>
                  <w:r>
                    <w:rPr>
                      <w:rFonts w:eastAsia="宋体"/>
                      <w:bCs/>
                      <w:color w:val="000000"/>
                      <w:spacing w:val="11"/>
                      <w:position w:val="0"/>
                      <w:szCs w:val="21"/>
                      <w:u w:val="none"/>
                    </w:rPr>
                    <w:t>湖南省普通建筑材料用砂石土矿专项规划（2021~2025年）</w:t>
                  </w:r>
                  <w:r>
                    <w:rPr>
                      <w:rFonts w:eastAsia="宋体"/>
                      <w:color w:val="000000"/>
                      <w:spacing w:val="11"/>
                      <w:position w:val="0"/>
                      <w:szCs w:val="21"/>
                      <w:u w:val="none"/>
                    </w:rPr>
                    <w:t>》相关内容</w:t>
                  </w:r>
                </w:p>
              </w:tc>
              <w:tc>
                <w:tcPr>
                  <w:tcW w:w="2457" w:type="dxa"/>
                  <w:tcBorders>
                    <w:tl2br w:val="nil"/>
                    <w:tr2bl w:val="nil"/>
                  </w:tcBorders>
                  <w:noWrap w:val="0"/>
                  <w:vAlign w:val="center"/>
                </w:tcPr>
                <w:p w14:paraId="76D43A42">
                  <w:pPr>
                    <w:widowControl/>
                    <w:adjustRightInd w:val="0"/>
                    <w:snapToGrid w:val="0"/>
                    <w:jc w:val="center"/>
                    <w:rPr>
                      <w:rFonts w:eastAsia="宋体"/>
                      <w:color w:val="000000"/>
                      <w:spacing w:val="11"/>
                      <w:kern w:val="0"/>
                      <w:position w:val="0"/>
                      <w:szCs w:val="21"/>
                      <w:u w:val="none"/>
                    </w:rPr>
                  </w:pPr>
                  <w:r>
                    <w:rPr>
                      <w:rFonts w:hint="default" w:eastAsia="宋体"/>
                      <w:color w:val="000000"/>
                      <w:spacing w:val="11"/>
                      <w:kern w:val="0"/>
                      <w:position w:val="0"/>
                      <w:szCs w:val="21"/>
                      <w:u w:val="none"/>
                      <w:lang w:val="en-US" w:eastAsia="zh-CN"/>
                    </w:rPr>
                    <w:t>项目情况</w:t>
                  </w:r>
                </w:p>
              </w:tc>
              <w:tc>
                <w:tcPr>
                  <w:tcW w:w="813" w:type="dxa"/>
                  <w:tcBorders>
                    <w:tl2br w:val="nil"/>
                    <w:tr2bl w:val="nil"/>
                  </w:tcBorders>
                  <w:noWrap w:val="0"/>
                  <w:vAlign w:val="center"/>
                </w:tcPr>
                <w:p w14:paraId="24D5B863">
                  <w:pPr>
                    <w:widowControl/>
                    <w:adjustRightInd w:val="0"/>
                    <w:snapToGrid w:val="0"/>
                    <w:jc w:val="center"/>
                    <w:rPr>
                      <w:rFonts w:eastAsia="宋体"/>
                      <w:color w:val="000000"/>
                      <w:spacing w:val="11"/>
                      <w:kern w:val="0"/>
                      <w:position w:val="0"/>
                      <w:szCs w:val="21"/>
                      <w:u w:val="none"/>
                    </w:rPr>
                  </w:pPr>
                  <w:r>
                    <w:rPr>
                      <w:rFonts w:hint="default" w:eastAsia="宋体"/>
                      <w:color w:val="000000"/>
                      <w:spacing w:val="11"/>
                      <w:kern w:val="0"/>
                      <w:position w:val="0"/>
                      <w:szCs w:val="21"/>
                      <w:u w:val="none"/>
                      <w:lang w:val="en-US" w:eastAsia="zh-CN"/>
                    </w:rPr>
                    <w:t>是否相符</w:t>
                  </w:r>
                </w:p>
              </w:tc>
            </w:tr>
            <w:tr w14:paraId="18544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6E37ED7E">
                  <w:pPr>
                    <w:adjustRightInd w:val="0"/>
                    <w:snapToGrid w:val="0"/>
                    <w:rPr>
                      <w:rFonts w:eastAsia="宋体"/>
                      <w:color w:val="000000"/>
                      <w:spacing w:val="11"/>
                      <w:kern w:val="0"/>
                      <w:position w:val="0"/>
                      <w:szCs w:val="21"/>
                      <w:u w:val="none"/>
                    </w:rPr>
                  </w:pPr>
                  <w:r>
                    <w:rPr>
                      <w:rFonts w:eastAsia="宋体"/>
                      <w:color w:val="000000"/>
                      <w:spacing w:val="11"/>
                      <w:position w:val="0"/>
                      <w:szCs w:val="21"/>
                      <w:u w:val="none"/>
                    </w:rPr>
                    <w:t>规划期内全省大中型矿山（生产规模≥100万吨/年）比例达到30%以上，生产矿山全部达到湖南省绿色矿山标准，完成历史遗留2000公顷矿山的生态环境修复治理。规划设定单个矿山原则上不低于30万吨/年的开采规模。</w:t>
                  </w:r>
                </w:p>
              </w:tc>
              <w:tc>
                <w:tcPr>
                  <w:tcW w:w="2457" w:type="dxa"/>
                  <w:tcBorders>
                    <w:tl2br w:val="nil"/>
                    <w:tr2bl w:val="nil"/>
                  </w:tcBorders>
                  <w:noWrap w:val="0"/>
                  <w:vAlign w:val="center"/>
                </w:tcPr>
                <w:p w14:paraId="4A4BE40D">
                  <w:pPr>
                    <w:widowControl/>
                    <w:adjustRightInd w:val="0"/>
                    <w:snapToGrid w:val="0"/>
                    <w:rPr>
                      <w:rFonts w:hint="eastAsia" w:eastAsia="宋体"/>
                      <w:spacing w:val="11"/>
                      <w:kern w:val="0"/>
                      <w:position w:val="0"/>
                      <w:szCs w:val="21"/>
                      <w:u w:val="none"/>
                    </w:rPr>
                  </w:pPr>
                  <w:r>
                    <w:rPr>
                      <w:rFonts w:hint="eastAsia" w:eastAsia="宋体"/>
                      <w:spacing w:val="11"/>
                      <w:position w:val="0"/>
                      <w:szCs w:val="21"/>
                      <w:u w:val="none"/>
                    </w:rPr>
                    <w:t>项目已于202</w:t>
                  </w:r>
                  <w:r>
                    <w:rPr>
                      <w:rFonts w:hint="eastAsia" w:eastAsia="宋体"/>
                      <w:spacing w:val="11"/>
                      <w:position w:val="0"/>
                      <w:szCs w:val="21"/>
                      <w:u w:val="none"/>
                      <w:lang w:val="en-US" w:eastAsia="zh-CN"/>
                    </w:rPr>
                    <w:t>5</w:t>
                  </w:r>
                  <w:r>
                    <w:rPr>
                      <w:rFonts w:hint="eastAsia" w:eastAsia="宋体"/>
                      <w:spacing w:val="11"/>
                      <w:position w:val="0"/>
                      <w:szCs w:val="21"/>
                      <w:u w:val="none"/>
                    </w:rPr>
                    <w:t>年</w:t>
                  </w:r>
                  <w:r>
                    <w:rPr>
                      <w:rFonts w:hint="eastAsia" w:eastAsia="宋体"/>
                      <w:spacing w:val="11"/>
                      <w:position w:val="0"/>
                      <w:szCs w:val="21"/>
                      <w:u w:val="none"/>
                      <w:lang w:val="en-US" w:eastAsia="zh-CN"/>
                    </w:rPr>
                    <w:t>1</w:t>
                  </w:r>
                  <w:r>
                    <w:rPr>
                      <w:rFonts w:hint="eastAsia" w:eastAsia="宋体"/>
                      <w:spacing w:val="11"/>
                      <w:position w:val="0"/>
                      <w:szCs w:val="21"/>
                      <w:u w:val="none"/>
                    </w:rPr>
                    <w:t>月1</w:t>
                  </w:r>
                  <w:r>
                    <w:rPr>
                      <w:rFonts w:hint="eastAsia" w:eastAsia="宋体"/>
                      <w:spacing w:val="11"/>
                      <w:position w:val="0"/>
                      <w:szCs w:val="21"/>
                      <w:u w:val="none"/>
                      <w:lang w:val="en-US" w:eastAsia="zh-CN"/>
                    </w:rPr>
                    <w:t>3</w:t>
                  </w:r>
                  <w:r>
                    <w:rPr>
                      <w:rFonts w:hint="eastAsia" w:eastAsia="宋体"/>
                      <w:spacing w:val="11"/>
                      <w:position w:val="0"/>
                      <w:szCs w:val="21"/>
                      <w:u w:val="none"/>
                    </w:rPr>
                    <w:t>日取得永州市自然资源和规划局发放的采矿许可证。</w:t>
                  </w:r>
                  <w:r>
                    <w:rPr>
                      <w:rFonts w:eastAsia="宋体"/>
                      <w:spacing w:val="11"/>
                      <w:kern w:val="0"/>
                      <w:position w:val="0"/>
                      <w:szCs w:val="21"/>
                      <w:u w:val="none"/>
                    </w:rPr>
                    <w:t>本项目</w:t>
                  </w:r>
                  <w:r>
                    <w:rPr>
                      <w:rFonts w:hint="eastAsia" w:eastAsia="宋体"/>
                      <w:spacing w:val="11"/>
                      <w:kern w:val="0"/>
                      <w:position w:val="0"/>
                      <w:szCs w:val="21"/>
                      <w:u w:val="none"/>
                    </w:rPr>
                    <w:t>采矿许可证中许可的</w:t>
                  </w:r>
                  <w:r>
                    <w:rPr>
                      <w:rFonts w:eastAsia="宋体"/>
                      <w:spacing w:val="11"/>
                      <w:kern w:val="0"/>
                      <w:position w:val="0"/>
                      <w:szCs w:val="21"/>
                      <w:u w:val="none"/>
                    </w:rPr>
                    <w:t>开采规模为</w:t>
                  </w:r>
                  <w:r>
                    <w:rPr>
                      <w:rFonts w:hint="eastAsia" w:eastAsia="宋体"/>
                      <w:spacing w:val="11"/>
                      <w:kern w:val="0"/>
                      <w:position w:val="0"/>
                      <w:szCs w:val="21"/>
                      <w:u w:val="none"/>
                      <w:lang w:val="en-US" w:eastAsia="zh-CN"/>
                    </w:rPr>
                    <w:t>6</w:t>
                  </w:r>
                  <w:r>
                    <w:rPr>
                      <w:rFonts w:hint="eastAsia" w:eastAsia="宋体"/>
                      <w:spacing w:val="11"/>
                      <w:kern w:val="0"/>
                      <w:position w:val="0"/>
                      <w:szCs w:val="21"/>
                      <w:u w:val="none"/>
                    </w:rPr>
                    <w:t>0万吨/年，满足</w:t>
                  </w:r>
                  <w:r>
                    <w:rPr>
                      <w:rFonts w:eastAsia="宋体"/>
                      <w:spacing w:val="11"/>
                      <w:position w:val="0"/>
                      <w:szCs w:val="21"/>
                      <w:u w:val="none"/>
                    </w:rPr>
                    <w:t>《</w:t>
                  </w:r>
                  <w:r>
                    <w:rPr>
                      <w:rFonts w:eastAsia="宋体"/>
                      <w:bCs/>
                      <w:spacing w:val="11"/>
                      <w:position w:val="0"/>
                      <w:szCs w:val="21"/>
                      <w:u w:val="none"/>
                    </w:rPr>
                    <w:t>湖南省普通建筑材料用砂石土矿专项规划（2021~2025年）</w:t>
                  </w:r>
                  <w:r>
                    <w:rPr>
                      <w:rFonts w:eastAsia="宋体"/>
                      <w:spacing w:val="11"/>
                      <w:position w:val="0"/>
                      <w:szCs w:val="21"/>
                      <w:u w:val="none"/>
                    </w:rPr>
                    <w:t>》</w:t>
                  </w:r>
                  <w:r>
                    <w:rPr>
                      <w:rFonts w:hint="eastAsia" w:eastAsia="宋体"/>
                      <w:spacing w:val="11"/>
                      <w:position w:val="0"/>
                      <w:szCs w:val="21"/>
                      <w:u w:val="none"/>
                    </w:rPr>
                    <w:t>中单个矿山不低于30万吨/年的要求；</w:t>
                  </w:r>
                  <w:r>
                    <w:rPr>
                      <w:rFonts w:hint="eastAsia" w:eastAsia="宋体"/>
                      <w:spacing w:val="11"/>
                      <w:kern w:val="0"/>
                      <w:position w:val="0"/>
                      <w:szCs w:val="21"/>
                      <w:u w:val="none"/>
                    </w:rPr>
                    <w:t>开采方案按照湖南省绿色矿山标准设计。</w:t>
                  </w:r>
                </w:p>
              </w:tc>
              <w:tc>
                <w:tcPr>
                  <w:tcW w:w="813" w:type="dxa"/>
                  <w:tcBorders>
                    <w:tl2br w:val="nil"/>
                    <w:tr2bl w:val="nil"/>
                  </w:tcBorders>
                  <w:noWrap w:val="0"/>
                  <w:vAlign w:val="center"/>
                </w:tcPr>
                <w:p w14:paraId="4CF69315">
                  <w:pPr>
                    <w:widowControl/>
                    <w:adjustRightInd w:val="0"/>
                    <w:snapToGrid w:val="0"/>
                    <w:jc w:val="center"/>
                    <w:rPr>
                      <w:rFonts w:eastAsia="宋体"/>
                      <w:spacing w:val="11"/>
                      <w:kern w:val="0"/>
                      <w:position w:val="0"/>
                      <w:szCs w:val="21"/>
                      <w:u w:val="none"/>
                    </w:rPr>
                  </w:pPr>
                  <w:r>
                    <w:rPr>
                      <w:rFonts w:eastAsia="宋体"/>
                      <w:spacing w:val="11"/>
                      <w:kern w:val="0"/>
                      <w:position w:val="0"/>
                      <w:szCs w:val="21"/>
                      <w:u w:val="none"/>
                    </w:rPr>
                    <w:t>符合</w:t>
                  </w:r>
                </w:p>
              </w:tc>
            </w:tr>
            <w:tr w14:paraId="6E41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75A5D13C">
                  <w:pPr>
                    <w:adjustRightInd w:val="0"/>
                    <w:snapToGrid w:val="0"/>
                    <w:rPr>
                      <w:rFonts w:eastAsia="宋体"/>
                      <w:color w:val="000000"/>
                      <w:spacing w:val="11"/>
                      <w:position w:val="0"/>
                      <w:szCs w:val="21"/>
                      <w:u w:val="none"/>
                    </w:rPr>
                  </w:pPr>
                  <w:r>
                    <w:rPr>
                      <w:rFonts w:eastAsia="宋体"/>
                      <w:color w:val="000000"/>
                      <w:spacing w:val="11"/>
                      <w:position w:val="0"/>
                      <w:szCs w:val="21"/>
                      <w:u w:val="none"/>
                    </w:rPr>
                    <w:t>坚持生态优先、绿色发展，以生态环境质量改善为目标，统筹协调生态环境保护和矿山资源开发的关系。严格控制矿山开发规模与强度，节约集约利用土地等资源，合理安排矿山开发建设时序，根据区域资源禀赋和地方经济发展需求，在规划提出的单个矿山开采规模原则上不低于</w:t>
                  </w:r>
                  <w:r>
                    <w:rPr>
                      <w:rFonts w:hint="eastAsia" w:eastAsia="宋体"/>
                      <w:color w:val="000000"/>
                      <w:spacing w:val="11"/>
                      <w:position w:val="0"/>
                      <w:szCs w:val="21"/>
                      <w:u w:val="none"/>
                    </w:rPr>
                    <w:t>30万吨/年基础上，长沙市、湘潭市全域，株洲市市辖区、岳阳市（汨罗市、湘阴县、岳阳县）及其他市州市级中心城区开发边界毗邻的乡镇（含街道）新设矿山开采规模应不低于100万吨/年。规划实施阶段，株洲市、衡阳市适当提高大中型矿山比例。到2025年，生产矿山全部达到湖南省绿色矿山标准。</w:t>
                  </w:r>
                </w:p>
              </w:tc>
              <w:tc>
                <w:tcPr>
                  <w:tcW w:w="2457" w:type="dxa"/>
                  <w:tcBorders>
                    <w:tl2br w:val="nil"/>
                    <w:tr2bl w:val="nil"/>
                  </w:tcBorders>
                  <w:noWrap w:val="0"/>
                  <w:vAlign w:val="center"/>
                </w:tcPr>
                <w:p w14:paraId="749A2F3D">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本项目开采规模为</w:t>
                  </w:r>
                  <w:r>
                    <w:rPr>
                      <w:rFonts w:hint="eastAsia" w:eastAsia="宋体"/>
                      <w:color w:val="000000"/>
                      <w:spacing w:val="11"/>
                      <w:kern w:val="0"/>
                      <w:position w:val="0"/>
                      <w:szCs w:val="21"/>
                      <w:u w:val="none"/>
                      <w:lang w:val="en-US" w:eastAsia="zh-CN"/>
                    </w:rPr>
                    <w:t>6</w:t>
                  </w:r>
                  <w:r>
                    <w:rPr>
                      <w:rFonts w:hint="eastAsia" w:eastAsia="宋体"/>
                      <w:color w:val="000000"/>
                      <w:spacing w:val="11"/>
                      <w:kern w:val="0"/>
                      <w:position w:val="0"/>
                      <w:szCs w:val="21"/>
                      <w:u w:val="none"/>
                    </w:rPr>
                    <w:t>0万吨/年，按照湖南省绿色矿山标准实施开采作业。</w:t>
                  </w:r>
                </w:p>
              </w:tc>
              <w:tc>
                <w:tcPr>
                  <w:tcW w:w="813" w:type="dxa"/>
                  <w:tcBorders>
                    <w:tl2br w:val="nil"/>
                    <w:tr2bl w:val="nil"/>
                  </w:tcBorders>
                  <w:noWrap w:val="0"/>
                  <w:vAlign w:val="center"/>
                </w:tcPr>
                <w:p w14:paraId="66653BF9">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14:paraId="673B9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36F6C279">
                  <w:pPr>
                    <w:adjustRightInd w:val="0"/>
                    <w:snapToGrid w:val="0"/>
                    <w:rPr>
                      <w:rFonts w:eastAsia="宋体"/>
                      <w:color w:val="000000"/>
                      <w:spacing w:val="11"/>
                      <w:position w:val="0"/>
                      <w:szCs w:val="21"/>
                      <w:u w:val="none"/>
                    </w:rPr>
                  </w:pPr>
                  <w:r>
                    <w:rPr>
                      <w:rFonts w:eastAsia="宋体"/>
                      <w:color w:val="000000"/>
                      <w:spacing w:val="11"/>
                      <w:position w:val="0"/>
                      <w:szCs w:val="21"/>
                      <w:u w:val="none"/>
                    </w:rPr>
                    <w:t>严守生态保护红线，优化规划布局。将生态保护红线、环境敏感区作为保护和维护全省生态安全的底线，依法依规实施强制性保护。《报告书》根据</w:t>
                  </w:r>
                  <w:r>
                    <w:rPr>
                      <w:rFonts w:hint="eastAsia" w:eastAsia="宋体"/>
                      <w:color w:val="000000"/>
                      <w:spacing w:val="11"/>
                      <w:position w:val="0"/>
                      <w:szCs w:val="21"/>
                      <w:u w:val="none"/>
                    </w:rPr>
                    <w:t>1272个开采规划区块所涉及生态环境敏感程度和可调整条件，调出区块47个，规划开采区块调整为1225个，其中有条件开采区块733个，符合条件开采区块492个。规划实施过程中应严格落实报告书提出的调整要求，调出区块不得投放矿权，有条件开采区块应满足条件后方可投放矿权。《规划》中各区块在设置矿权时，应与自然保护地、风景名胜区、生态保护红线等环境敏感区边界预留不小于50米的缓冲距离。</w:t>
                  </w:r>
                </w:p>
              </w:tc>
              <w:tc>
                <w:tcPr>
                  <w:tcW w:w="2457" w:type="dxa"/>
                  <w:tcBorders>
                    <w:tl2br w:val="nil"/>
                    <w:tr2bl w:val="nil"/>
                  </w:tcBorders>
                  <w:noWrap w:val="0"/>
                  <w:vAlign w:val="center"/>
                </w:tcPr>
                <w:p w14:paraId="5E762B82">
                  <w:pPr>
                    <w:widowControl/>
                    <w:adjustRightInd w:val="0"/>
                    <w:snapToGrid w:val="0"/>
                    <w:rPr>
                      <w:rFonts w:hint="eastAsia" w:eastAsia="宋体"/>
                      <w:color w:val="000000"/>
                      <w:spacing w:val="11"/>
                      <w:kern w:val="0"/>
                      <w:position w:val="0"/>
                      <w:szCs w:val="21"/>
                      <w:u w:val="none"/>
                    </w:rPr>
                  </w:pPr>
                  <w:r>
                    <w:rPr>
                      <w:rFonts w:eastAsia="宋体"/>
                      <w:color w:val="000000"/>
                      <w:spacing w:val="11"/>
                      <w:kern w:val="0"/>
                      <w:position w:val="0"/>
                      <w:szCs w:val="21"/>
                      <w:u w:val="none"/>
                    </w:rPr>
                    <w:t>本项目不涉及生态保护红线、环境敏感区，</w:t>
                  </w:r>
                  <w:r>
                    <w:rPr>
                      <w:rFonts w:hint="eastAsia" w:eastAsia="宋体"/>
                      <w:color w:val="000000"/>
                      <w:spacing w:val="11"/>
                      <w:kern w:val="0"/>
                      <w:position w:val="0"/>
                      <w:szCs w:val="21"/>
                      <w:u w:val="none"/>
                    </w:rPr>
                    <w:t>属于</w:t>
                  </w:r>
                  <w:r>
                    <w:rPr>
                      <w:rFonts w:eastAsia="宋体"/>
                      <w:color w:val="000000"/>
                      <w:spacing w:val="11"/>
                      <w:position w:val="0"/>
                      <w:szCs w:val="21"/>
                      <w:u w:val="none"/>
                    </w:rPr>
                    <w:t>《</w:t>
                  </w:r>
                  <w:r>
                    <w:rPr>
                      <w:rFonts w:eastAsia="宋体"/>
                      <w:bCs/>
                      <w:color w:val="000000"/>
                      <w:spacing w:val="11"/>
                      <w:position w:val="0"/>
                      <w:szCs w:val="21"/>
                      <w:u w:val="none"/>
                    </w:rPr>
                    <w:t>湖南省普通建筑材料用砂石土矿专项规划（2021~2025年）</w:t>
                  </w:r>
                  <w:r>
                    <w:rPr>
                      <w:rFonts w:eastAsia="宋体"/>
                      <w:color w:val="000000"/>
                      <w:spacing w:val="11"/>
                      <w:position w:val="0"/>
                      <w:szCs w:val="21"/>
                      <w:u w:val="none"/>
                    </w:rPr>
                    <w:t>》所述的</w:t>
                  </w:r>
                  <w:r>
                    <w:rPr>
                      <w:rFonts w:hint="eastAsia" w:eastAsia="宋体"/>
                      <w:color w:val="000000"/>
                      <w:spacing w:val="11"/>
                      <w:position w:val="0"/>
                      <w:szCs w:val="21"/>
                      <w:u w:val="none"/>
                    </w:rPr>
                    <w:t>1272个开采规划区块内，</w:t>
                  </w:r>
                  <w:r>
                    <w:rPr>
                      <w:rFonts w:hint="eastAsia" w:eastAsia="宋体"/>
                      <w:color w:val="000000"/>
                      <w:spacing w:val="11"/>
                      <w:position w:val="0"/>
                      <w:szCs w:val="21"/>
                      <w:u w:val="none"/>
                      <w:lang w:eastAsia="zh-CN"/>
                    </w:rPr>
                    <w:t>并</w:t>
                  </w:r>
                  <w:r>
                    <w:rPr>
                      <w:rFonts w:hint="eastAsia" w:eastAsia="宋体"/>
                      <w:spacing w:val="11"/>
                      <w:position w:val="0"/>
                      <w:szCs w:val="21"/>
                      <w:u w:val="none"/>
                    </w:rPr>
                    <w:t>已取得采矿许可证。</w:t>
                  </w:r>
                </w:p>
              </w:tc>
              <w:tc>
                <w:tcPr>
                  <w:tcW w:w="813" w:type="dxa"/>
                  <w:tcBorders>
                    <w:tl2br w:val="nil"/>
                    <w:tr2bl w:val="nil"/>
                  </w:tcBorders>
                  <w:noWrap w:val="0"/>
                  <w:vAlign w:val="center"/>
                </w:tcPr>
                <w:p w14:paraId="262B2DD9">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14:paraId="3DFE0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7BB7D89C">
                  <w:pPr>
                    <w:adjustRightInd w:val="0"/>
                    <w:snapToGrid w:val="0"/>
                    <w:rPr>
                      <w:rFonts w:eastAsia="宋体"/>
                      <w:color w:val="000000"/>
                      <w:spacing w:val="11"/>
                      <w:position w:val="0"/>
                      <w:szCs w:val="21"/>
                      <w:u w:val="none"/>
                    </w:rPr>
                  </w:pPr>
                  <w:r>
                    <w:rPr>
                      <w:rFonts w:eastAsia="宋体"/>
                      <w:color w:val="000000"/>
                      <w:spacing w:val="11"/>
                      <w:position w:val="0"/>
                      <w:szCs w:val="21"/>
                      <w:u w:val="none"/>
                    </w:rPr>
                    <w:t>强化并落实污染防治措施。矿石开采过程中岩石采剥、钻孔、爆破、锯切、装卸等作业场所应采取喷雾、洒水等措施，产生的废水经收集沉淀后回用或达标排放。粗碎等工艺采取密闭或湿法工艺降低粉尘无组织排放。采用先进的爆破方式，选取低噪声设备，通过减震、隔声、消声、吸声等措施，减缓噪声对周边居民带来的不利影响。加强固废综合利用，矿山资源综合利用率不低于</w:t>
                  </w:r>
                  <w:r>
                    <w:rPr>
                      <w:rFonts w:hint="eastAsia" w:eastAsia="宋体"/>
                      <w:color w:val="000000"/>
                      <w:spacing w:val="11"/>
                      <w:position w:val="0"/>
                      <w:szCs w:val="21"/>
                      <w:u w:val="none"/>
                    </w:rPr>
                    <w:t>95%。</w:t>
                  </w:r>
                </w:p>
              </w:tc>
              <w:tc>
                <w:tcPr>
                  <w:tcW w:w="2457" w:type="dxa"/>
                  <w:tcBorders>
                    <w:tl2br w:val="nil"/>
                    <w:tr2bl w:val="nil"/>
                  </w:tcBorders>
                  <w:noWrap w:val="0"/>
                  <w:vAlign w:val="center"/>
                </w:tcPr>
                <w:p w14:paraId="43082C07">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本项目岩石剥离、钻孔、爆破、液压破碎锤打破、装卸等采取洒水降尘措施；</w:t>
                  </w:r>
                  <w:r>
                    <w:rPr>
                      <w:rFonts w:hint="eastAsia" w:eastAsia="宋体"/>
                      <w:color w:val="000000"/>
                      <w:spacing w:val="11"/>
                      <w:position w:val="0"/>
                      <w:szCs w:val="21"/>
                      <w:u w:val="none"/>
                    </w:rPr>
                    <w:t>洗车废水沉淀后循环使用，不外排；初期雨水经导流沟收集再沉淀处理后回用于生产或降尘；岩溶水、径流雨水经截流沟收集沉淀后回用于生产或降尘。</w:t>
                  </w:r>
                  <w:r>
                    <w:rPr>
                      <w:rFonts w:eastAsia="宋体"/>
                      <w:color w:val="000000"/>
                      <w:spacing w:val="11"/>
                      <w:kern w:val="0"/>
                      <w:position w:val="0"/>
                      <w:szCs w:val="21"/>
                      <w:u w:val="none"/>
                    </w:rPr>
                    <w:t>爆破</w:t>
                  </w:r>
                  <w:r>
                    <w:rPr>
                      <w:rFonts w:hint="eastAsia" w:eastAsia="宋体"/>
                      <w:color w:val="000000"/>
                      <w:spacing w:val="11"/>
                      <w:position w:val="0"/>
                      <w:szCs w:val="21"/>
                      <w:u w:val="none"/>
                    </w:rPr>
                    <w:t>实施</w:t>
                  </w:r>
                  <w:r>
                    <w:rPr>
                      <w:rFonts w:hint="eastAsia" w:eastAsia="宋体"/>
                      <w:spacing w:val="11"/>
                      <w:position w:val="0"/>
                      <w:szCs w:val="21"/>
                      <w:u w:val="none"/>
                    </w:rPr>
                    <w:t>深孔</w:t>
                  </w:r>
                  <w:r>
                    <w:rPr>
                      <w:rFonts w:hint="eastAsia" w:eastAsia="宋体"/>
                      <w:color w:val="000000"/>
                      <w:spacing w:val="11"/>
                      <w:position w:val="0"/>
                      <w:szCs w:val="21"/>
                      <w:u w:val="none"/>
                    </w:rPr>
                    <w:t>微差爆破</w:t>
                  </w:r>
                  <w:r>
                    <w:rPr>
                      <w:rFonts w:hint="eastAsia" w:eastAsia="宋体"/>
                      <w:color w:val="000000"/>
                      <w:spacing w:val="11"/>
                      <w:kern w:val="0"/>
                      <w:position w:val="0"/>
                      <w:szCs w:val="21"/>
                      <w:u w:val="none"/>
                    </w:rPr>
                    <w:t>；选用低噪声设备，通过消声、距离衰减降噪；</w:t>
                  </w:r>
                  <w:r>
                    <w:rPr>
                      <w:rFonts w:hint="eastAsia" w:hAnsi="宋体" w:eastAsia="宋体"/>
                      <w:color w:val="000000"/>
                      <w:spacing w:val="11"/>
                      <w:position w:val="0"/>
                      <w:szCs w:val="21"/>
                      <w:u w:val="none"/>
                    </w:rPr>
                    <w:t>固废妥善处置；</w:t>
                  </w:r>
                  <w:r>
                    <w:rPr>
                      <w:rFonts w:hint="eastAsia" w:eastAsia="宋体"/>
                      <w:color w:val="000000"/>
                      <w:spacing w:val="11"/>
                      <w:position w:val="0"/>
                      <w:szCs w:val="21"/>
                      <w:u w:val="none"/>
                    </w:rPr>
                    <w:t>采矿回采</w:t>
                  </w:r>
                  <w:r>
                    <w:rPr>
                      <w:rFonts w:eastAsia="宋体"/>
                      <w:color w:val="000000"/>
                      <w:spacing w:val="11"/>
                      <w:position w:val="0"/>
                      <w:szCs w:val="21"/>
                      <w:u w:val="none"/>
                    </w:rPr>
                    <w:t>率为</w:t>
                  </w:r>
                  <w:r>
                    <w:rPr>
                      <w:rFonts w:hint="eastAsia" w:eastAsia="宋体"/>
                      <w:color w:val="000000"/>
                      <w:spacing w:val="11"/>
                      <w:position w:val="0"/>
                      <w:szCs w:val="21"/>
                      <w:u w:val="none"/>
                    </w:rPr>
                    <w:t>98%。</w:t>
                  </w:r>
                </w:p>
              </w:tc>
              <w:tc>
                <w:tcPr>
                  <w:tcW w:w="813" w:type="dxa"/>
                  <w:tcBorders>
                    <w:tl2br w:val="nil"/>
                    <w:tr2bl w:val="nil"/>
                  </w:tcBorders>
                  <w:noWrap w:val="0"/>
                  <w:vAlign w:val="center"/>
                </w:tcPr>
                <w:p w14:paraId="327FC19A">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14:paraId="06C2F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14263E4D">
                  <w:pPr>
                    <w:adjustRightInd w:val="0"/>
                    <w:snapToGrid w:val="0"/>
                    <w:rPr>
                      <w:rFonts w:eastAsia="宋体"/>
                      <w:color w:val="000000"/>
                      <w:spacing w:val="11"/>
                      <w:position w:val="0"/>
                      <w:szCs w:val="21"/>
                      <w:u w:val="none"/>
                    </w:rPr>
                  </w:pPr>
                  <w:r>
                    <w:rPr>
                      <w:rFonts w:eastAsia="宋体"/>
                      <w:color w:val="000000"/>
                      <w:spacing w:val="11"/>
                      <w:position w:val="0"/>
                      <w:szCs w:val="21"/>
                      <w:u w:val="none"/>
                    </w:rPr>
                    <w:t>加强生态保护和修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w:t>
                  </w:r>
                </w:p>
              </w:tc>
              <w:tc>
                <w:tcPr>
                  <w:tcW w:w="2457" w:type="dxa"/>
                  <w:tcBorders>
                    <w:tl2br w:val="nil"/>
                    <w:tr2bl w:val="nil"/>
                  </w:tcBorders>
                  <w:noWrap w:val="0"/>
                  <w:vAlign w:val="center"/>
                </w:tcPr>
                <w:p w14:paraId="3320073F">
                  <w:pPr>
                    <w:widowControl/>
                    <w:adjustRightInd w:val="0"/>
                    <w:snapToGrid w:val="0"/>
                    <w:rPr>
                      <w:rFonts w:hint="eastAsia" w:eastAsia="宋体"/>
                      <w:color w:val="000000"/>
                      <w:spacing w:val="11"/>
                      <w:kern w:val="0"/>
                      <w:position w:val="0"/>
                      <w:szCs w:val="21"/>
                      <w:u w:val="none"/>
                      <w:lang w:eastAsia="zh-CN"/>
                    </w:rPr>
                  </w:pPr>
                  <w:r>
                    <w:rPr>
                      <w:rFonts w:eastAsia="宋体"/>
                      <w:color w:val="000000"/>
                      <w:spacing w:val="11"/>
                      <w:kern w:val="0"/>
                      <w:position w:val="0"/>
                      <w:szCs w:val="21"/>
                      <w:u w:val="none"/>
                    </w:rPr>
                    <w:t>本项目分</w:t>
                  </w:r>
                  <w:r>
                    <w:rPr>
                      <w:rFonts w:hint="eastAsia" w:eastAsia="宋体"/>
                      <w:color w:val="000000"/>
                      <w:spacing w:val="11"/>
                      <w:kern w:val="0"/>
                      <w:position w:val="0"/>
                      <w:szCs w:val="21"/>
                      <w:u w:val="none"/>
                      <w:lang w:eastAsia="zh-CN"/>
                    </w:rPr>
                    <w:t>层</w:t>
                  </w:r>
                  <w:r>
                    <w:rPr>
                      <w:rFonts w:eastAsia="宋体"/>
                      <w:color w:val="000000"/>
                      <w:spacing w:val="11"/>
                      <w:kern w:val="0"/>
                      <w:position w:val="0"/>
                      <w:szCs w:val="21"/>
                      <w:u w:val="none"/>
                    </w:rPr>
                    <w:t>台阶开采，边开采</w:t>
                  </w:r>
                  <w:r>
                    <w:rPr>
                      <w:rFonts w:eastAsia="宋体"/>
                      <w:color w:val="000000"/>
                      <w:spacing w:val="11"/>
                      <w:kern w:val="0"/>
                      <w:position w:val="0"/>
                      <w:szCs w:val="21"/>
                      <w:highlight w:val="none"/>
                      <w:u w:val="none"/>
                    </w:rPr>
                    <w:t>边恢复，剥离</w:t>
                  </w:r>
                  <w:r>
                    <w:rPr>
                      <w:rFonts w:hint="eastAsia"/>
                      <w:color w:val="000000"/>
                      <w:spacing w:val="11"/>
                      <w:kern w:val="0"/>
                      <w:position w:val="0"/>
                      <w:szCs w:val="21"/>
                      <w:highlight w:val="none"/>
                      <w:u w:val="none"/>
                      <w:lang w:val="en-US" w:eastAsia="zh-CN"/>
                    </w:rPr>
                    <w:t>物堆放至临时堆土场后</w:t>
                  </w:r>
                  <w:r>
                    <w:rPr>
                      <w:rFonts w:hint="eastAsia" w:eastAsia="宋体"/>
                      <w:color w:val="000000"/>
                      <w:spacing w:val="11"/>
                      <w:kern w:val="0"/>
                      <w:position w:val="0"/>
                      <w:szCs w:val="21"/>
                      <w:highlight w:val="none"/>
                      <w:u w:val="none"/>
                      <w:lang w:val="en-US" w:eastAsia="zh-CN"/>
                    </w:rPr>
                    <w:t>在场内进行回填，用于矿区环境治理、土地复垦和复绿，回填后产生的余方拖运至新田县龙兴环保建材有限公司用于生产及建筑利用使用</w:t>
                  </w:r>
                  <w:r>
                    <w:rPr>
                      <w:rFonts w:eastAsia="宋体"/>
                      <w:color w:val="000000"/>
                      <w:spacing w:val="11"/>
                      <w:kern w:val="0"/>
                      <w:position w:val="0"/>
                      <w:szCs w:val="21"/>
                      <w:highlight w:val="none"/>
                      <w:u w:val="none"/>
                    </w:rPr>
                    <w:t>，矿区周</w:t>
                  </w:r>
                  <w:r>
                    <w:rPr>
                      <w:rFonts w:eastAsia="宋体"/>
                      <w:color w:val="000000"/>
                      <w:spacing w:val="11"/>
                      <w:kern w:val="0"/>
                      <w:position w:val="0"/>
                      <w:szCs w:val="21"/>
                      <w:u w:val="none"/>
                    </w:rPr>
                    <w:t>边设截洪沟、沉淀池；制定了生态恢复方案，</w:t>
                  </w:r>
                  <w:r>
                    <w:rPr>
                      <w:rFonts w:eastAsia="宋体"/>
                      <w:color w:val="000000"/>
                      <w:spacing w:val="11"/>
                      <w:kern w:val="0"/>
                      <w:position w:val="0"/>
                      <w:szCs w:val="21"/>
                      <w:highlight w:val="none"/>
                      <w:u w:val="none"/>
                    </w:rPr>
                    <w:t>矿区复垦为林地、灌木地；</w:t>
                  </w:r>
                  <w:r>
                    <w:rPr>
                      <w:rFonts w:hint="default" w:ascii="Times New Roman" w:hAnsi="Times New Roman" w:eastAsia="宋体" w:cs="Times New Roman"/>
                      <w:spacing w:val="11"/>
                      <w:position w:val="0"/>
                      <w:sz w:val="21"/>
                      <w:szCs w:val="21"/>
                      <w:highlight w:val="none"/>
                      <w:u w:val="none"/>
                    </w:rPr>
                    <w:t>本项目目前于202</w:t>
                  </w:r>
                  <w:r>
                    <w:rPr>
                      <w:rFonts w:hint="eastAsia" w:cs="Times New Roman"/>
                      <w:spacing w:val="11"/>
                      <w:position w:val="0"/>
                      <w:sz w:val="21"/>
                      <w:szCs w:val="21"/>
                      <w:highlight w:val="none"/>
                      <w:u w:val="none"/>
                      <w:lang w:val="en-US" w:eastAsia="zh-CN"/>
                    </w:rPr>
                    <w:t>3</w:t>
                  </w:r>
                  <w:r>
                    <w:rPr>
                      <w:rFonts w:hint="default" w:ascii="Times New Roman" w:hAnsi="Times New Roman" w:eastAsia="宋体" w:cs="Times New Roman"/>
                      <w:spacing w:val="11"/>
                      <w:position w:val="0"/>
                      <w:sz w:val="21"/>
                      <w:szCs w:val="21"/>
                      <w:highlight w:val="none"/>
                      <w:u w:val="none"/>
                    </w:rPr>
                    <w:t>年12年完成了生态修复方案编制工作，本次环评要求矿山在后续的开采过程中严格按照生态修复方案中的要求进行，确保减少对生态环</w:t>
                  </w:r>
                  <w:r>
                    <w:rPr>
                      <w:rFonts w:hint="default" w:ascii="Times New Roman" w:hAnsi="Times New Roman" w:eastAsia="宋体" w:cs="Times New Roman"/>
                      <w:spacing w:val="11"/>
                      <w:position w:val="0"/>
                      <w:sz w:val="21"/>
                      <w:szCs w:val="21"/>
                      <w:u w:val="none"/>
                    </w:rPr>
                    <w:t>境造成的影响</w:t>
                  </w:r>
                  <w:r>
                    <w:rPr>
                      <w:rFonts w:hint="eastAsia" w:cs="Times New Roman"/>
                      <w:spacing w:val="11"/>
                      <w:position w:val="0"/>
                      <w:sz w:val="21"/>
                      <w:szCs w:val="21"/>
                      <w:u w:val="none"/>
                      <w:lang w:eastAsia="zh-CN"/>
                    </w:rPr>
                    <w:t>。</w:t>
                  </w:r>
                </w:p>
              </w:tc>
              <w:tc>
                <w:tcPr>
                  <w:tcW w:w="813" w:type="dxa"/>
                  <w:tcBorders>
                    <w:tl2br w:val="nil"/>
                    <w:tr2bl w:val="nil"/>
                  </w:tcBorders>
                  <w:noWrap w:val="0"/>
                  <w:vAlign w:val="center"/>
                </w:tcPr>
                <w:p w14:paraId="24B6A46F">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14:paraId="3DCB1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110E56E9">
                  <w:pPr>
                    <w:adjustRightInd w:val="0"/>
                    <w:snapToGrid w:val="0"/>
                    <w:rPr>
                      <w:rFonts w:eastAsia="宋体"/>
                      <w:color w:val="000000"/>
                      <w:spacing w:val="11"/>
                      <w:position w:val="0"/>
                      <w:szCs w:val="21"/>
                      <w:u w:val="none"/>
                    </w:rPr>
                  </w:pPr>
                  <w:r>
                    <w:rPr>
                      <w:rFonts w:eastAsia="宋体"/>
                      <w:color w:val="000000"/>
                      <w:spacing w:val="11"/>
                      <w:position w:val="0"/>
                      <w:szCs w:val="21"/>
                      <w:u w:val="none"/>
                    </w:rPr>
                    <w:t>加强环境风险防范。落实矿山开采环境风险防范的主体责任，强化环境风险防范体系建设；制定突发环境风险事件应急预案，严格执行应急报告制度；采场和堆场应设置完善的排洪和排水设施，做好削坡卸荷、压脚护坡，预防滑坡、坍塌、泥石流等地质环境灾害引发的次生生态环境风险。</w:t>
                  </w:r>
                </w:p>
              </w:tc>
              <w:tc>
                <w:tcPr>
                  <w:tcW w:w="2457" w:type="dxa"/>
                  <w:tcBorders>
                    <w:tl2br w:val="nil"/>
                    <w:tr2bl w:val="nil"/>
                  </w:tcBorders>
                  <w:noWrap w:val="0"/>
                  <w:vAlign w:val="center"/>
                </w:tcPr>
                <w:p w14:paraId="74A0F5B0">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本项目运营后制定</w:t>
                  </w:r>
                  <w:r>
                    <w:rPr>
                      <w:rFonts w:eastAsia="宋体"/>
                      <w:color w:val="000000"/>
                      <w:spacing w:val="11"/>
                      <w:position w:val="0"/>
                      <w:szCs w:val="21"/>
                      <w:u w:val="none"/>
                    </w:rPr>
                    <w:t>突发环境风险事件应急预案，严格执行应急报告制度；</w:t>
                  </w:r>
                  <w:r>
                    <w:rPr>
                      <w:rFonts w:eastAsia="宋体"/>
                      <w:color w:val="000000"/>
                      <w:spacing w:val="11"/>
                      <w:position w:val="0"/>
                      <w:u w:val="none"/>
                    </w:rPr>
                    <w:t>按照相关规范矿山安全平台宽度不小于4m、清扫平台不小于8m。因此本方案取安全平台宽度</w:t>
                  </w:r>
                  <w:r>
                    <w:rPr>
                      <w:rFonts w:hint="eastAsia" w:eastAsia="宋体"/>
                      <w:color w:val="000000"/>
                      <w:spacing w:val="11"/>
                      <w:position w:val="0"/>
                      <w:u w:val="none"/>
                    </w:rPr>
                    <w:t>4</w:t>
                  </w:r>
                  <w:r>
                    <w:rPr>
                      <w:rFonts w:eastAsia="宋体"/>
                      <w:color w:val="000000"/>
                      <w:spacing w:val="11"/>
                      <w:position w:val="0"/>
                      <w:u w:val="none"/>
                    </w:rPr>
                    <w:t>m，清扫平台宽度</w:t>
                  </w:r>
                  <w:r>
                    <w:rPr>
                      <w:rFonts w:hint="eastAsia" w:eastAsia="宋体"/>
                      <w:color w:val="000000"/>
                      <w:spacing w:val="11"/>
                      <w:position w:val="0"/>
                      <w:u w:val="none"/>
                    </w:rPr>
                    <w:t>8</w:t>
                  </w:r>
                  <w:r>
                    <w:rPr>
                      <w:rFonts w:eastAsia="宋体"/>
                      <w:color w:val="000000"/>
                      <w:spacing w:val="11"/>
                      <w:position w:val="0"/>
                      <w:u w:val="none"/>
                    </w:rPr>
                    <w:t>m；</w:t>
                  </w:r>
                  <w:r>
                    <w:rPr>
                      <w:rFonts w:eastAsia="宋体"/>
                      <w:color w:val="000000"/>
                      <w:spacing w:val="11"/>
                      <w:position w:val="0"/>
                      <w:szCs w:val="21"/>
                      <w:u w:val="none"/>
                    </w:rPr>
                    <w:t>采场周边设置完善的截洪沟，预防滑坡、坍塌、泥石流等地质环境灾害引发的次生生态环境风险。</w:t>
                  </w:r>
                </w:p>
              </w:tc>
              <w:tc>
                <w:tcPr>
                  <w:tcW w:w="813" w:type="dxa"/>
                  <w:tcBorders>
                    <w:tl2br w:val="nil"/>
                    <w:tr2bl w:val="nil"/>
                  </w:tcBorders>
                  <w:noWrap w:val="0"/>
                  <w:vAlign w:val="center"/>
                </w:tcPr>
                <w:p w14:paraId="7906F5D2">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14:paraId="16E47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1954B218">
                  <w:pPr>
                    <w:adjustRightInd w:val="0"/>
                    <w:snapToGrid w:val="0"/>
                    <w:rPr>
                      <w:rFonts w:eastAsia="宋体"/>
                      <w:color w:val="000000"/>
                      <w:spacing w:val="11"/>
                      <w:position w:val="0"/>
                      <w:szCs w:val="21"/>
                      <w:u w:val="none"/>
                    </w:rPr>
                  </w:pPr>
                  <w:r>
                    <w:rPr>
                      <w:rFonts w:eastAsia="宋体"/>
                      <w:color w:val="000000"/>
                      <w:spacing w:val="11"/>
                      <w:position w:val="0"/>
                      <w:szCs w:val="21"/>
                      <w:u w:val="none"/>
                    </w:rPr>
                    <w:t>建立健全生态环境长期监测体系。建立常态化生态、噪声、大气、水环境等监测体系，根据区域生态环境质量变化情况，及时优化矿山建设和运营管理方案，完善相应生态环境保护措施。</w:t>
                  </w:r>
                </w:p>
              </w:tc>
              <w:tc>
                <w:tcPr>
                  <w:tcW w:w="2457" w:type="dxa"/>
                  <w:tcBorders>
                    <w:tl2br w:val="nil"/>
                    <w:tr2bl w:val="nil"/>
                  </w:tcBorders>
                  <w:noWrap w:val="0"/>
                  <w:vAlign w:val="center"/>
                </w:tcPr>
                <w:p w14:paraId="0603F4CB">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本项目采取生态环境保护措施，损毁植被在矿区退役后复垦为林地、灌木地，恢复其原有功能，并开展生态监测。</w:t>
                  </w:r>
                </w:p>
              </w:tc>
              <w:tc>
                <w:tcPr>
                  <w:tcW w:w="813" w:type="dxa"/>
                  <w:tcBorders>
                    <w:tl2br w:val="nil"/>
                    <w:tr2bl w:val="nil"/>
                  </w:tcBorders>
                  <w:noWrap w:val="0"/>
                  <w:vAlign w:val="center"/>
                </w:tcPr>
                <w:p w14:paraId="0747B71D">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bl>
          <w:p w14:paraId="3F9B6D8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left"/>
              <w:textAlignment w:val="auto"/>
              <w:outlineLvl w:val="1"/>
              <w:rPr>
                <w:rFonts w:hint="eastAsia" w:ascii="宋体" w:hAnsi="宋体" w:eastAsia="宋体" w:cs="Arial"/>
                <w:b/>
                <w:bCs/>
                <w:color w:val="000000"/>
                <w:spacing w:val="11"/>
                <w:position w:val="0"/>
                <w:sz w:val="24"/>
                <w:u w:val="none"/>
              </w:rPr>
            </w:pPr>
            <w:r>
              <w:rPr>
                <w:rFonts w:hint="eastAsia" w:ascii="宋体" w:hAnsi="宋体" w:eastAsia="宋体" w:cs="Arial"/>
                <w:b/>
                <w:bCs/>
                <w:color w:val="000000"/>
                <w:spacing w:val="11"/>
                <w:position w:val="0"/>
                <w:sz w:val="24"/>
                <w:u w:val="none"/>
                <w:lang w:val="en-US" w:eastAsia="zh-CN"/>
              </w:rPr>
              <w:t>3、</w:t>
            </w:r>
            <w:r>
              <w:rPr>
                <w:rFonts w:hint="eastAsia" w:ascii="宋体" w:hAnsi="宋体" w:eastAsia="宋体" w:cs="Arial"/>
                <w:b/>
                <w:bCs/>
                <w:color w:val="000000"/>
                <w:spacing w:val="11"/>
                <w:position w:val="0"/>
                <w:sz w:val="24"/>
                <w:u w:val="none"/>
              </w:rPr>
              <w:t>与《</w:t>
            </w:r>
            <w:r>
              <w:rPr>
                <w:rFonts w:hint="eastAsia" w:ascii="Arial" w:hAnsi="Arial" w:eastAsia="宋体" w:cs="Arial"/>
                <w:b/>
                <w:bCs/>
                <w:color w:val="000000"/>
                <w:spacing w:val="11"/>
                <w:position w:val="0"/>
                <w:sz w:val="24"/>
                <w:u w:val="none"/>
                <w:shd w:val="clear" w:color="auto" w:fill="FFFFFF"/>
              </w:rPr>
              <w:t>湖南省矿产资源总体规划（</w:t>
            </w:r>
            <w:r>
              <w:rPr>
                <w:rFonts w:eastAsia="宋体"/>
                <w:b/>
                <w:bCs/>
                <w:color w:val="000000"/>
                <w:spacing w:val="11"/>
                <w:position w:val="0"/>
                <w:sz w:val="24"/>
                <w:u w:val="none"/>
                <w:shd w:val="clear" w:color="auto" w:fill="FFFFFF"/>
              </w:rPr>
              <w:t>2021~2025</w:t>
            </w:r>
            <w:r>
              <w:rPr>
                <w:rFonts w:hint="eastAsia" w:ascii="Arial" w:hAnsi="Arial" w:eastAsia="宋体" w:cs="Arial"/>
                <w:b/>
                <w:bCs/>
                <w:color w:val="000000"/>
                <w:spacing w:val="11"/>
                <w:position w:val="0"/>
                <w:sz w:val="24"/>
                <w:u w:val="none"/>
                <w:shd w:val="clear" w:color="auto" w:fill="FFFFFF"/>
              </w:rPr>
              <w:t>年）</w:t>
            </w:r>
            <w:r>
              <w:rPr>
                <w:rFonts w:hint="eastAsia" w:ascii="宋体" w:hAnsi="宋体" w:eastAsia="宋体" w:cs="Arial"/>
                <w:b/>
                <w:bCs/>
                <w:color w:val="000000"/>
                <w:spacing w:val="11"/>
                <w:position w:val="0"/>
                <w:sz w:val="24"/>
                <w:u w:val="none"/>
              </w:rPr>
              <w:t>》</w:t>
            </w:r>
            <w:r>
              <w:rPr>
                <w:rFonts w:hint="default" w:ascii="Arial" w:hAnsi="Arial" w:eastAsia="宋体" w:cs="Arial"/>
                <w:b/>
                <w:bCs/>
                <w:color w:val="000000"/>
                <w:spacing w:val="11"/>
                <w:position w:val="0"/>
                <w:sz w:val="24"/>
                <w:u w:val="none"/>
                <w:shd w:val="clear" w:color="auto" w:fill="FFFFFF"/>
                <w:lang w:val="en-US" w:eastAsia="zh-CN"/>
              </w:rPr>
              <w:t>相符性分析</w:t>
            </w:r>
          </w:p>
          <w:p w14:paraId="67E8DE80">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通过《湖南省矿产资源总体规划（</w:t>
            </w:r>
            <w:r>
              <w:rPr>
                <w:rFonts w:eastAsia="宋体"/>
                <w:color w:val="000000"/>
                <w:spacing w:val="11"/>
                <w:position w:val="0"/>
                <w:sz w:val="24"/>
                <w:u w:val="none"/>
                <w:shd w:val="clear" w:color="auto" w:fill="FFFFFF"/>
              </w:rPr>
              <w:t>2021~2025</w:t>
            </w:r>
            <w:r>
              <w:rPr>
                <w:rFonts w:hint="eastAsia" w:ascii="Arial" w:hAnsi="Arial" w:eastAsia="宋体" w:cs="Arial"/>
                <w:color w:val="000000"/>
                <w:spacing w:val="11"/>
                <w:position w:val="0"/>
                <w:sz w:val="24"/>
                <w:u w:val="none"/>
                <w:shd w:val="clear" w:color="auto" w:fill="FFFFFF"/>
              </w:rPr>
              <w:t>年</w:t>
            </w:r>
            <w:r>
              <w:rPr>
                <w:rFonts w:hint="eastAsia" w:ascii="宋体" w:hAnsi="宋体" w:eastAsia="宋体" w:cs="Arial"/>
                <w:color w:val="000000"/>
                <w:spacing w:val="11"/>
                <w:position w:val="0"/>
                <w:sz w:val="24"/>
                <w:u w:val="none"/>
              </w:rPr>
              <w:t>）》规划目标可知，到</w:t>
            </w:r>
            <w:r>
              <w:rPr>
                <w:rFonts w:eastAsia="宋体"/>
                <w:color w:val="000000"/>
                <w:spacing w:val="11"/>
                <w:position w:val="0"/>
                <w:sz w:val="24"/>
                <w:u w:val="none"/>
              </w:rPr>
              <w:t>2025</w:t>
            </w:r>
            <w:r>
              <w:rPr>
                <w:rFonts w:hint="eastAsia" w:ascii="宋体" w:hAnsi="宋体" w:eastAsia="宋体" w:cs="Arial"/>
                <w:color w:val="000000"/>
                <w:spacing w:val="11"/>
                <w:position w:val="0"/>
                <w:sz w:val="24"/>
                <w:u w:val="none"/>
              </w:rPr>
              <w:t>年，全省资源优势更加突显，矿产资源产业发展迈上新台阶，全省矿产资源安全保障更加自主可控，矿产资源开发利用更加规范集约，资源开发与生态保护更加协调适应，矿产资源治理体系和治理能力更加完善有效，矿业转型绿色发展新格局全面形成，全力保障全省“三高四新”战略顺利实施。</w:t>
            </w:r>
          </w:p>
          <w:p w14:paraId="35D3C012">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----资源安全保障更加自主可控。</w:t>
            </w:r>
          </w:p>
          <w:p w14:paraId="650D1B0C">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----矿产开发利用更加规范集约。</w:t>
            </w:r>
          </w:p>
          <w:p w14:paraId="575D42BA">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----资源开发与生态保护更加协调适应。</w:t>
            </w:r>
          </w:p>
          <w:p w14:paraId="4089A091">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----矿产资源治理体系和治理能力更加完善有效。</w:t>
            </w:r>
          </w:p>
          <w:p w14:paraId="31188944">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展望</w:t>
            </w:r>
            <w:r>
              <w:rPr>
                <w:rFonts w:eastAsia="宋体"/>
                <w:color w:val="000000"/>
                <w:spacing w:val="11"/>
                <w:position w:val="0"/>
                <w:sz w:val="24"/>
                <w:u w:val="none"/>
              </w:rPr>
              <w:t>2035</w:t>
            </w:r>
            <w:r>
              <w:rPr>
                <w:rFonts w:hint="eastAsia" w:ascii="宋体" w:hAnsi="宋体" w:eastAsia="宋体" w:cs="Arial"/>
                <w:color w:val="000000"/>
                <w:spacing w:val="11"/>
                <w:position w:val="0"/>
                <w:sz w:val="24"/>
                <w:u w:val="none"/>
              </w:rPr>
              <w:t>年，全省矿产资源安全保障体制机制健全，矿产资源产业可持续发展，矿产资源开发利用结构布局优化，矿产资源利用规模化、集约化、绿色化发展全面实现，矿山生态环境实现根本好转，全面实现矿产资源治理体系和治理能力现代化，矿业绿色转型全面完成，全省矿业高质量发展新格局全面形成。</w:t>
            </w:r>
          </w:p>
          <w:p w14:paraId="310327B9">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湖南省矿产资源开发利用为：</w:t>
            </w:r>
          </w:p>
          <w:p w14:paraId="1A011ECE">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（一）优化开发利用分区布局科学划定重点开采区域。合理设置砂石土集中开采区。</w:t>
            </w:r>
          </w:p>
          <w:p w14:paraId="4E6CACBA">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（二）科学设置开采规划区块</w:t>
            </w:r>
          </w:p>
          <w:p w14:paraId="7A5FEE04">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明确开采规划区块设置原则。分级分类确定开采规划区块。</w:t>
            </w:r>
          </w:p>
          <w:p w14:paraId="23758355">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（三）节约集约利用矿产资源</w:t>
            </w:r>
          </w:p>
          <w:p w14:paraId="4AA448B6">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鼓励科技创新节约利用资源。</w:t>
            </w:r>
          </w:p>
          <w:p w14:paraId="3233BFD2">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提高矿产资源集约利用水平。</w:t>
            </w:r>
          </w:p>
          <w:p w14:paraId="1616F84C">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健全矿产资源节约集约长效机制。</w:t>
            </w:r>
          </w:p>
          <w:p w14:paraId="3A225891">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（四）完善开发准入退出机制</w:t>
            </w:r>
          </w:p>
          <w:p w14:paraId="2136532D">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严格矿产资源开发准入。</w:t>
            </w:r>
          </w:p>
          <w:p w14:paraId="6A294566">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逐步完善采矿权退出机制。</w:t>
            </w:r>
          </w:p>
          <w:p w14:paraId="44D8613B">
            <w:pPr>
              <w:autoSpaceDE w:val="0"/>
              <w:autoSpaceDN w:val="0"/>
              <w:adjustRightInd w:val="0"/>
              <w:snapToGrid w:val="0"/>
              <w:spacing w:line="360" w:lineRule="auto"/>
              <w:ind w:firstLine="524" w:firstLineChars="200"/>
              <w:rPr>
                <w:rFonts w:hint="eastAsia" w:ascii="宋体" w:hAnsi="宋体" w:eastAsia="宋体" w:cs="Arial"/>
                <w:color w:val="000000"/>
                <w:spacing w:val="11"/>
                <w:position w:val="0"/>
                <w:sz w:val="24"/>
                <w:u w:val="none"/>
                <w:lang w:eastAsia="zh-CN"/>
              </w:rPr>
            </w:pPr>
            <w:r>
              <w:rPr>
                <w:rFonts w:eastAsia="宋体"/>
                <w:color w:val="000000"/>
                <w:spacing w:val="11"/>
                <w:position w:val="0"/>
                <w:sz w:val="24"/>
                <w:u w:val="none"/>
              </w:rPr>
              <w:t>本项目为建筑石料用灰岩矿开采项目，边开采边绿化，打造砂石行业绿色矿山，使资源开发与生态保护更加协调适应</w:t>
            </w:r>
            <w:r>
              <w:rPr>
                <w:rFonts w:hint="eastAsia" w:eastAsia="宋体"/>
                <w:color w:val="000000"/>
                <w:spacing w:val="11"/>
                <w:position w:val="0"/>
                <w:sz w:val="24"/>
                <w:u w:val="none"/>
                <w:lang w:eastAsia="zh-CN"/>
              </w:rPr>
              <w:t>。</w:t>
            </w:r>
            <w:r>
              <w:rPr>
                <w:rFonts w:eastAsia="宋体"/>
                <w:color w:val="000000"/>
                <w:spacing w:val="11"/>
                <w:position w:val="0"/>
                <w:sz w:val="24"/>
                <w:u w:val="none"/>
              </w:rPr>
              <w:t>项目于202</w:t>
            </w:r>
            <w:r>
              <w:rPr>
                <w:rFonts w:hint="eastAsia" w:eastAsia="宋体"/>
                <w:color w:val="000000"/>
                <w:spacing w:val="11"/>
                <w:position w:val="0"/>
                <w:sz w:val="24"/>
                <w:u w:val="none"/>
                <w:lang w:val="en-US" w:eastAsia="zh-CN"/>
              </w:rPr>
              <w:t>4</w:t>
            </w:r>
            <w:r>
              <w:rPr>
                <w:rFonts w:eastAsia="宋体"/>
                <w:color w:val="000000"/>
                <w:spacing w:val="11"/>
                <w:position w:val="0"/>
                <w:sz w:val="24"/>
                <w:u w:val="none"/>
              </w:rPr>
              <w:t>年</w:t>
            </w:r>
            <w:r>
              <w:rPr>
                <w:rFonts w:hint="eastAsia" w:eastAsia="宋体"/>
                <w:color w:val="000000"/>
                <w:spacing w:val="11"/>
                <w:position w:val="0"/>
                <w:sz w:val="24"/>
                <w:u w:val="none"/>
                <w:lang w:val="en-US" w:eastAsia="zh-CN"/>
              </w:rPr>
              <w:t>9</w:t>
            </w:r>
            <w:r>
              <w:rPr>
                <w:rFonts w:eastAsia="宋体"/>
                <w:color w:val="000000"/>
                <w:spacing w:val="11"/>
                <w:position w:val="0"/>
                <w:sz w:val="24"/>
                <w:u w:val="none"/>
              </w:rPr>
              <w:t>月</w:t>
            </w:r>
            <w:r>
              <w:rPr>
                <w:rFonts w:hint="eastAsia" w:eastAsia="宋体"/>
                <w:color w:val="000000"/>
                <w:spacing w:val="11"/>
                <w:position w:val="0"/>
                <w:sz w:val="24"/>
                <w:u w:val="none"/>
                <w:lang w:val="en-US" w:eastAsia="zh-CN"/>
              </w:rPr>
              <w:t>11</w:t>
            </w:r>
            <w:r>
              <w:rPr>
                <w:rFonts w:eastAsia="宋体"/>
                <w:color w:val="000000"/>
                <w:spacing w:val="11"/>
                <w:position w:val="0"/>
                <w:sz w:val="24"/>
                <w:u w:val="none"/>
              </w:rPr>
              <w:t>日</w:t>
            </w:r>
            <w:r>
              <w:rPr>
                <w:rFonts w:hint="eastAsia" w:eastAsia="宋体"/>
                <w:color w:val="000000"/>
                <w:spacing w:val="11"/>
                <w:position w:val="0"/>
                <w:sz w:val="24"/>
                <w:u w:val="none"/>
                <w:lang w:eastAsia="zh-CN"/>
              </w:rPr>
              <w:t>竟</w:t>
            </w:r>
            <w:r>
              <w:rPr>
                <w:rFonts w:eastAsia="宋体"/>
                <w:color w:val="000000"/>
                <w:spacing w:val="11"/>
                <w:position w:val="0"/>
                <w:sz w:val="24"/>
                <w:u w:val="none"/>
              </w:rPr>
              <w:t>得</w:t>
            </w:r>
            <w:r>
              <w:rPr>
                <w:rFonts w:hint="eastAsia" w:eastAsia="宋体"/>
                <w:color w:val="000000"/>
                <w:spacing w:val="11"/>
                <w:position w:val="0"/>
                <w:sz w:val="24"/>
                <w:u w:val="none"/>
                <w:lang w:eastAsia="zh-CN"/>
              </w:rPr>
              <w:t>永州市公共资源交易中心挂牌</w:t>
            </w:r>
            <w:r>
              <w:rPr>
                <w:rFonts w:hint="eastAsia" w:eastAsia="宋体"/>
                <w:color w:val="000000"/>
                <w:spacing w:val="11"/>
                <w:position w:val="0"/>
                <w:sz w:val="24"/>
                <w:u w:val="none"/>
                <w:lang w:val="en-US" w:eastAsia="zh-CN"/>
              </w:rPr>
              <w:t>出让编号为永资矿网挂〔</w:t>
            </w:r>
            <w:r>
              <w:rPr>
                <w:rFonts w:hint="eastAsia" w:eastAsia="宋体"/>
                <w:color w:val="000000"/>
                <w:spacing w:val="11"/>
                <w:position w:val="0"/>
                <w:sz w:val="24"/>
                <w:highlight w:val="none"/>
                <w:u w:val="none"/>
                <w:lang w:val="en-US" w:eastAsia="zh-CN"/>
              </w:rPr>
              <w:t>2024〕003号的湖南省新田县周家洞矿区建筑石料用灰岩矿开采（具体详见附件5）</w:t>
            </w:r>
            <w:r>
              <w:rPr>
                <w:rFonts w:hint="eastAsia" w:eastAsia="宋体"/>
                <w:color w:val="000000"/>
                <w:spacing w:val="11"/>
                <w:position w:val="0"/>
                <w:sz w:val="24"/>
                <w:highlight w:val="none"/>
                <w:u w:val="none"/>
              </w:rPr>
              <w:t>。</w:t>
            </w:r>
            <w:r>
              <w:rPr>
                <w:rFonts w:hint="eastAsia" w:eastAsia="宋体"/>
                <w:spacing w:val="11"/>
                <w:position w:val="0"/>
                <w:sz w:val="24"/>
                <w:highlight w:val="none"/>
                <w:u w:val="none"/>
              </w:rPr>
              <w:t>项目已于202</w:t>
            </w:r>
            <w:r>
              <w:rPr>
                <w:rFonts w:hint="eastAsia" w:eastAsia="宋体"/>
                <w:spacing w:val="11"/>
                <w:position w:val="0"/>
                <w:sz w:val="24"/>
                <w:highlight w:val="none"/>
                <w:u w:val="none"/>
                <w:lang w:val="en-US" w:eastAsia="zh-CN"/>
              </w:rPr>
              <w:t>5</w:t>
            </w:r>
            <w:r>
              <w:rPr>
                <w:rFonts w:hint="eastAsia" w:eastAsia="宋体"/>
                <w:spacing w:val="11"/>
                <w:position w:val="0"/>
                <w:sz w:val="24"/>
                <w:highlight w:val="none"/>
                <w:u w:val="none"/>
              </w:rPr>
              <w:t>年</w:t>
            </w:r>
            <w:r>
              <w:rPr>
                <w:rFonts w:hint="eastAsia" w:eastAsia="宋体"/>
                <w:spacing w:val="11"/>
                <w:position w:val="0"/>
                <w:sz w:val="24"/>
                <w:highlight w:val="none"/>
                <w:u w:val="none"/>
                <w:lang w:val="en-US" w:eastAsia="zh-CN"/>
              </w:rPr>
              <w:t>1</w:t>
            </w:r>
            <w:r>
              <w:rPr>
                <w:rFonts w:hint="eastAsia" w:eastAsia="宋体"/>
                <w:spacing w:val="11"/>
                <w:position w:val="0"/>
                <w:sz w:val="24"/>
                <w:highlight w:val="none"/>
                <w:u w:val="none"/>
              </w:rPr>
              <w:t>月</w:t>
            </w:r>
            <w:r>
              <w:rPr>
                <w:rFonts w:hint="eastAsia" w:eastAsia="宋体"/>
                <w:spacing w:val="11"/>
                <w:position w:val="0"/>
                <w:sz w:val="24"/>
                <w:highlight w:val="none"/>
                <w:u w:val="none"/>
                <w:lang w:val="en-US" w:eastAsia="zh-CN"/>
              </w:rPr>
              <w:t>13</w:t>
            </w:r>
            <w:r>
              <w:rPr>
                <w:rFonts w:hint="eastAsia" w:eastAsia="宋体"/>
                <w:spacing w:val="11"/>
                <w:position w:val="0"/>
                <w:sz w:val="24"/>
                <w:highlight w:val="none"/>
                <w:u w:val="none"/>
              </w:rPr>
              <w:t>日取得</w:t>
            </w:r>
            <w:r>
              <w:rPr>
                <w:rFonts w:hint="eastAsia" w:eastAsia="宋体"/>
                <w:spacing w:val="11"/>
                <w:position w:val="0"/>
                <w:sz w:val="24"/>
                <w:highlight w:val="none"/>
                <w:u w:val="none"/>
                <w:lang w:eastAsia="zh-CN"/>
              </w:rPr>
              <w:t>永州市自然资源和规划局</w:t>
            </w:r>
            <w:r>
              <w:rPr>
                <w:rFonts w:hint="eastAsia" w:eastAsia="宋体"/>
                <w:spacing w:val="11"/>
                <w:position w:val="0"/>
                <w:sz w:val="24"/>
                <w:highlight w:val="none"/>
                <w:u w:val="none"/>
              </w:rPr>
              <w:t>发放的采矿许可证</w:t>
            </w:r>
            <w:r>
              <w:rPr>
                <w:rFonts w:hint="eastAsia" w:eastAsia="宋体"/>
                <w:spacing w:val="11"/>
                <w:position w:val="0"/>
                <w:sz w:val="24"/>
                <w:highlight w:val="none"/>
                <w:u w:val="none"/>
                <w:lang w:eastAsia="zh-CN"/>
              </w:rPr>
              <w:t>（具体详见附件</w:t>
            </w:r>
            <w:r>
              <w:rPr>
                <w:rFonts w:hint="eastAsia"/>
                <w:spacing w:val="11"/>
                <w:position w:val="0"/>
                <w:sz w:val="24"/>
                <w:highlight w:val="none"/>
                <w:u w:val="none"/>
                <w:lang w:val="en-US" w:eastAsia="zh-CN"/>
              </w:rPr>
              <w:t>3</w:t>
            </w:r>
            <w:r>
              <w:rPr>
                <w:rFonts w:hint="eastAsia" w:eastAsia="宋体"/>
                <w:spacing w:val="11"/>
                <w:position w:val="0"/>
                <w:sz w:val="24"/>
                <w:highlight w:val="none"/>
                <w:u w:val="none"/>
                <w:lang w:eastAsia="zh-CN"/>
              </w:rPr>
              <w:t>）</w:t>
            </w:r>
            <w:r>
              <w:rPr>
                <w:rFonts w:hint="eastAsia" w:eastAsia="宋体"/>
                <w:spacing w:val="11"/>
                <w:position w:val="0"/>
                <w:sz w:val="24"/>
                <w:highlight w:val="none"/>
                <w:u w:val="none"/>
              </w:rPr>
              <w:t>。</w:t>
            </w:r>
            <w:r>
              <w:rPr>
                <w:rFonts w:eastAsia="宋体"/>
                <w:spacing w:val="11"/>
                <w:position w:val="0"/>
                <w:sz w:val="24"/>
                <w:highlight w:val="none"/>
                <w:u w:val="none"/>
              </w:rPr>
              <w:t>根据</w:t>
            </w:r>
            <w:r>
              <w:rPr>
                <w:rFonts w:eastAsia="宋体"/>
                <w:color w:val="000000"/>
                <w:spacing w:val="11"/>
                <w:position w:val="0"/>
                <w:sz w:val="24"/>
                <w:highlight w:val="none"/>
                <w:u w:val="none"/>
              </w:rPr>
              <w:t>《</w:t>
            </w:r>
            <w:r>
              <w:rPr>
                <w:rFonts w:eastAsia="宋体"/>
                <w:color w:val="000000"/>
                <w:spacing w:val="11"/>
                <w:position w:val="0"/>
                <w:sz w:val="24"/>
                <w:highlight w:val="none"/>
                <w:u w:val="none"/>
                <w:shd w:val="clear" w:color="auto" w:fill="FFFFFF"/>
              </w:rPr>
              <w:t>湖南省矿产资源总体</w:t>
            </w:r>
            <w:r>
              <w:rPr>
                <w:rFonts w:eastAsia="宋体"/>
                <w:color w:val="000000"/>
                <w:spacing w:val="11"/>
                <w:position w:val="0"/>
                <w:sz w:val="24"/>
                <w:u w:val="none"/>
                <w:shd w:val="clear" w:color="auto" w:fill="FFFFFF"/>
              </w:rPr>
              <w:t>规划（2021~2025年</w:t>
            </w:r>
            <w:r>
              <w:rPr>
                <w:rFonts w:hint="eastAsia" w:eastAsia="宋体"/>
                <w:color w:val="000000"/>
                <w:spacing w:val="11"/>
                <w:position w:val="0"/>
                <w:sz w:val="24"/>
                <w:u w:val="none"/>
                <w:shd w:val="clear" w:color="auto" w:fill="FFFFFF"/>
              </w:rPr>
              <w:t>）》</w:t>
            </w:r>
            <w:r>
              <w:rPr>
                <w:rFonts w:eastAsia="宋体"/>
                <w:color w:val="000000"/>
                <w:spacing w:val="11"/>
                <w:position w:val="0"/>
                <w:sz w:val="24"/>
                <w:u w:val="none"/>
              </w:rPr>
              <w:t>中的重点矿区（周边无重点矿区）、禁止开采区（符合</w:t>
            </w:r>
            <w:r>
              <w:rPr>
                <w:rFonts w:hint="eastAsia" w:ascii="宋体" w:hAnsi="宋体" w:eastAsia="宋体" w:cs="宋体"/>
                <w:color w:val="000000"/>
                <w:spacing w:val="11"/>
                <w:position w:val="0"/>
                <w:sz w:val="24"/>
                <w:u w:val="none"/>
              </w:rPr>
              <w:t>“三线一单”空</w:t>
            </w:r>
            <w:r>
              <w:rPr>
                <w:rFonts w:eastAsia="宋体"/>
                <w:color w:val="000000"/>
                <w:spacing w:val="11"/>
                <w:position w:val="0"/>
                <w:sz w:val="24"/>
                <w:u w:val="none"/>
              </w:rPr>
              <w:t>间约束管控要求，不在湘江流域露天开采非金属矿禁采区内）、禁止开采矿种（禁止开采可耕地的砖瓦用粘土矿；落实汞公约公告，不再新建汞矿山，禁止开采新的原生汞矿，逐步关停现有汞矿山；全面退出单一利用的石煤矿开采）、限制开采矿种（限制开采高硫高灰煤炭、钒、</w:t>
            </w:r>
            <w:r>
              <w:rPr>
                <w:rFonts w:hint="eastAsia" w:ascii="宋体" w:hAnsi="宋体" w:eastAsia="宋体" w:cs="Arial"/>
                <w:color w:val="000000"/>
                <w:spacing w:val="11"/>
                <w:position w:val="0"/>
                <w:sz w:val="24"/>
                <w:u w:val="none"/>
              </w:rPr>
              <w:t>低品位赤铁矿、砂金、难选铍铷铯矿、硫铁矿、低品位磷矿、石膏），项目不涉及重点矿区，不属于禁止开采区、禁止开采矿种、限制开采矿种</w:t>
            </w:r>
            <w:r>
              <w:rPr>
                <w:rFonts w:hint="eastAsia" w:ascii="宋体" w:hAnsi="宋体" w:eastAsia="宋体" w:cs="Arial"/>
                <w:color w:val="000000"/>
                <w:spacing w:val="11"/>
                <w:position w:val="0"/>
                <w:sz w:val="24"/>
                <w:u w:val="none"/>
                <w:lang w:eastAsia="zh-CN"/>
              </w:rPr>
              <w:t>。</w:t>
            </w:r>
          </w:p>
          <w:p w14:paraId="5FF80155">
            <w:pPr>
              <w:keepNext w:val="0"/>
              <w:keepLines w:val="0"/>
              <w:pageBreakBefore w:val="0"/>
              <w:widowControl w:val="0"/>
              <w:kinsoku/>
              <w:wordWrap w:val="0"/>
              <w:overflowPunct w:val="0"/>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none"/>
                <w:lang w:val="en-US" w:eastAsia="zh-CN"/>
              </w:rPr>
            </w:pPr>
            <w:r>
              <w:rPr>
                <w:rFonts w:hint="eastAsia" w:ascii="宋体" w:hAnsi="宋体" w:eastAsia="宋体" w:cs="Arial"/>
                <w:color w:val="000000"/>
                <w:spacing w:val="11"/>
                <w:position w:val="0"/>
                <w:sz w:val="24"/>
                <w:u w:val="none"/>
                <w:lang w:eastAsia="zh-CN"/>
              </w:rPr>
              <w:t>因此，本项目</w:t>
            </w:r>
            <w:r>
              <w:rPr>
                <w:rFonts w:hint="eastAsia" w:ascii="宋体" w:hAnsi="宋体" w:eastAsia="宋体" w:cs="Arial"/>
                <w:color w:val="000000"/>
                <w:spacing w:val="11"/>
                <w:position w:val="0"/>
                <w:sz w:val="24"/>
                <w:u w:val="none"/>
              </w:rPr>
              <w:t>与</w:t>
            </w:r>
            <w:r>
              <w:rPr>
                <w:rFonts w:hint="eastAsia" w:ascii="宋体" w:hAnsi="宋体" w:eastAsia="宋体" w:cs="Arial"/>
                <w:color w:val="000000"/>
                <w:spacing w:val="11"/>
                <w:position w:val="0"/>
                <w:sz w:val="24"/>
                <w:u w:val="none"/>
                <w:lang w:eastAsia="zh-CN"/>
              </w:rPr>
              <w:t>《</w:t>
            </w:r>
            <w:r>
              <w:rPr>
                <w:rFonts w:hint="eastAsia" w:ascii="Arial" w:hAnsi="Arial" w:eastAsia="宋体" w:cs="Arial"/>
                <w:color w:val="000000"/>
                <w:spacing w:val="11"/>
                <w:position w:val="0"/>
                <w:sz w:val="24"/>
                <w:u w:val="none"/>
                <w:shd w:val="clear" w:color="auto" w:fill="FFFFFF"/>
              </w:rPr>
              <w:t>湖南省矿产资源总体规划（</w:t>
            </w:r>
            <w:r>
              <w:rPr>
                <w:rFonts w:eastAsia="宋体"/>
                <w:color w:val="000000"/>
                <w:spacing w:val="11"/>
                <w:position w:val="0"/>
                <w:sz w:val="24"/>
                <w:u w:val="none"/>
                <w:shd w:val="clear" w:color="auto" w:fill="FFFFFF"/>
              </w:rPr>
              <w:t>2021~2025</w:t>
            </w:r>
            <w:r>
              <w:rPr>
                <w:rFonts w:hint="eastAsia" w:ascii="Arial" w:hAnsi="Arial" w:eastAsia="宋体" w:cs="Arial"/>
                <w:color w:val="000000"/>
                <w:spacing w:val="11"/>
                <w:position w:val="0"/>
                <w:sz w:val="24"/>
                <w:u w:val="none"/>
                <w:shd w:val="clear" w:color="auto" w:fill="FFFFFF"/>
              </w:rPr>
              <w:t>年）</w:t>
            </w:r>
            <w:r>
              <w:rPr>
                <w:rFonts w:hint="eastAsia" w:ascii="宋体" w:hAnsi="宋体" w:eastAsia="宋体" w:cs="Arial"/>
                <w:color w:val="000000"/>
                <w:spacing w:val="11"/>
                <w:position w:val="0"/>
                <w:sz w:val="24"/>
                <w:u w:val="none"/>
                <w:lang w:eastAsia="zh-CN"/>
              </w:rPr>
              <w:t>》</w:t>
            </w:r>
            <w:r>
              <w:rPr>
                <w:rFonts w:hint="eastAsia" w:ascii="宋体" w:hAnsi="宋体" w:eastAsia="宋体" w:cs="Arial"/>
                <w:color w:val="000000"/>
                <w:spacing w:val="11"/>
                <w:position w:val="0"/>
                <w:sz w:val="24"/>
                <w:u w:val="none"/>
              </w:rPr>
              <w:t>相关内容不冲突。</w:t>
            </w:r>
          </w:p>
          <w:p w14:paraId="48BC5A5B">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4</w:t>
            </w:r>
            <w:r>
              <w:rPr>
                <w:rFonts w:hint="default" w:ascii="Times New Roman" w:hAnsi="Times New Roman" w:eastAsia="宋体" w:cs="Times New Roman"/>
                <w:b/>
                <w:bCs/>
                <w:color w:val="000000"/>
                <w:spacing w:val="11"/>
                <w:position w:val="0"/>
                <w:sz w:val="24"/>
                <w:szCs w:val="24"/>
                <w:u w:val="single" w:color="auto"/>
                <w:lang w:val="en-US" w:eastAsia="zh-CN"/>
              </w:rPr>
              <w:t>、与《永州市矿产资源总体规划</w:t>
            </w:r>
            <w:r>
              <w:rPr>
                <w:rFonts w:hint="eastAsia" w:ascii="Times New Roman" w:hAnsi="Times New Roman" w:eastAsia="宋体" w:cs="Times New Roman"/>
                <w:b/>
                <w:bCs/>
                <w:color w:val="000000"/>
                <w:spacing w:val="11"/>
                <w:position w:val="0"/>
                <w:sz w:val="24"/>
                <w:szCs w:val="24"/>
                <w:u w:val="single" w:color="auto"/>
                <w:lang w:val="en-US" w:eastAsia="zh-CN"/>
              </w:rPr>
              <w:t>（</w:t>
            </w:r>
            <w:r>
              <w:rPr>
                <w:rFonts w:hint="default" w:ascii="Times New Roman" w:hAnsi="Times New Roman" w:eastAsia="宋体" w:cs="Times New Roman"/>
                <w:b/>
                <w:bCs/>
                <w:color w:val="000000"/>
                <w:spacing w:val="11"/>
                <w:position w:val="0"/>
                <w:sz w:val="24"/>
                <w:szCs w:val="24"/>
                <w:u w:val="single" w:color="auto"/>
                <w:lang w:val="en-US" w:eastAsia="zh-CN"/>
              </w:rPr>
              <w:t>2021-2025年</w:t>
            </w:r>
            <w:r>
              <w:rPr>
                <w:rFonts w:hint="eastAsia" w:ascii="Times New Roman" w:hAnsi="Times New Roman" w:eastAsia="宋体" w:cs="Times New Roman"/>
                <w:b/>
                <w:bCs/>
                <w:color w:val="000000"/>
                <w:spacing w:val="11"/>
                <w:position w:val="0"/>
                <w:sz w:val="24"/>
                <w:szCs w:val="24"/>
                <w:u w:val="single" w:color="auto"/>
                <w:lang w:val="en-US" w:eastAsia="zh-CN"/>
              </w:rPr>
              <w:t>）</w:t>
            </w:r>
            <w:r>
              <w:rPr>
                <w:rFonts w:hint="default" w:ascii="Times New Roman" w:hAnsi="Times New Roman" w:eastAsia="宋体" w:cs="Times New Roman"/>
                <w:b/>
                <w:bCs/>
                <w:color w:val="000000"/>
                <w:spacing w:val="11"/>
                <w:position w:val="0"/>
                <w:sz w:val="24"/>
                <w:szCs w:val="24"/>
                <w:u w:val="single" w:color="auto"/>
                <w:lang w:val="en-US" w:eastAsia="zh-CN"/>
              </w:rPr>
              <w:t>》符合性分析</w:t>
            </w:r>
          </w:p>
          <w:p w14:paraId="75B8DE8E">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矿区位于经湖南省人民政府批准的《永州市矿产资源总体规划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2021~2025年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》的限制开采区、禁止开采区以外区域。与《永州市矿产资源总体规划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2021~2025年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》相符。</w:t>
            </w:r>
          </w:p>
          <w:p w14:paraId="24D2F1C2">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拟设采矿权范围未涉及《新田县矿产资源总体规划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2016-2020年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》所设置的限制勘查区/开采区。</w:t>
            </w:r>
            <w:r>
              <w:rPr>
                <w:rFonts w:hint="eastAsia" w:cs="Times New Roman"/>
                <w:color w:val="000000"/>
                <w:spacing w:val="11"/>
                <w:position w:val="0"/>
                <w:sz w:val="24"/>
                <w:szCs w:val="24"/>
                <w:u w:val="none" w:color="auto"/>
                <w:lang w:val="en-US" w:eastAsia="zh-CN"/>
              </w:rPr>
              <w:t xml:space="preserve"> </w:t>
            </w:r>
          </w:p>
          <w:p w14:paraId="25126C04">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5</w:t>
            </w:r>
            <w:r>
              <w:rPr>
                <w:rFonts w:hint="default" w:ascii="Times New Roman" w:hAnsi="Times New Roman" w:eastAsia="宋体" w:cs="Times New Roman"/>
                <w:b/>
                <w:bCs/>
                <w:color w:val="000000"/>
                <w:spacing w:val="11"/>
                <w:position w:val="0"/>
                <w:sz w:val="24"/>
                <w:szCs w:val="24"/>
                <w:u w:val="single" w:color="auto"/>
                <w:lang w:val="en-US" w:eastAsia="zh-CN"/>
              </w:rPr>
              <w:t>、与《新田县普通建筑材料用砂石土矿开采专项规划》符合性分析</w:t>
            </w:r>
          </w:p>
          <w:p w14:paraId="63D264AB">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该区块位于《新田县普通建筑材料用砂石土矿开采专项规划》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2019-2025年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所设置</w:t>
            </w:r>
            <w:r>
              <w:rPr>
                <w:rFonts w:hint="eastAsia" w:ascii="宋体" w:hAnsi="宋体" w:eastAsia="宋体" w:cs="宋体"/>
                <w:color w:val="000000"/>
                <w:spacing w:val="11"/>
                <w:position w:val="0"/>
                <w:sz w:val="24"/>
                <w:szCs w:val="24"/>
                <w:u w:val="single" w:color="auto"/>
                <w:lang w:val="en-US" w:eastAsia="zh-CN"/>
              </w:rPr>
              <w:t>的“新田县龙泉街道周家洞建筑石料用灰岩矿”规</w:t>
            </w:r>
            <w:r>
              <w:rPr>
                <w:rFonts w:hint="default" w:ascii="Times New Roman" w:hAnsi="Times New Roman" w:eastAsia="宋体" w:cs="Times New Roman"/>
                <w:color w:val="000000"/>
                <w:spacing w:val="11"/>
                <w:position w:val="0"/>
                <w:sz w:val="24"/>
                <w:szCs w:val="24"/>
                <w:u w:val="single" w:color="auto"/>
                <w:lang w:val="en-US" w:eastAsia="zh-CN"/>
              </w:rPr>
              <w:t>划开采区块内</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设置类型为已设采矿权调整，规划开采区块编号：CQ00</w:t>
            </w:r>
            <w:r>
              <w:rPr>
                <w:rFonts w:hint="eastAsia" w:eastAsia="宋体" w:cs="Times New Roman"/>
                <w:color w:val="000000"/>
                <w:spacing w:val="11"/>
                <w:position w:val="0"/>
                <w:sz w:val="24"/>
                <w:szCs w:val="24"/>
                <w:u w:val="single" w:color="auto"/>
                <w:lang w:val="en-US" w:eastAsia="zh-CN"/>
              </w:rPr>
              <w:t>1</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w:t>
            </w:r>
            <w:r>
              <w:rPr>
                <w:rFonts w:hint="eastAsia" w:ascii="Times New Roman" w:hAnsi="Times New Roman" w:eastAsia="宋体" w:cs="Times New Roman"/>
                <w:color w:val="000000"/>
                <w:spacing w:val="11"/>
                <w:position w:val="0"/>
                <w:sz w:val="24"/>
                <w:szCs w:val="24"/>
                <w:u w:val="single" w:color="auto"/>
                <w:lang w:val="en-US" w:eastAsia="zh-CN"/>
              </w:rPr>
              <w:t>具体</w:t>
            </w:r>
            <w:r>
              <w:rPr>
                <w:rFonts w:hint="default" w:ascii="Times New Roman" w:hAnsi="Times New Roman" w:eastAsia="宋体" w:cs="Times New Roman"/>
                <w:color w:val="000000"/>
                <w:spacing w:val="11"/>
                <w:position w:val="0"/>
                <w:sz w:val="24"/>
                <w:szCs w:val="24"/>
                <w:u w:val="single" w:color="auto"/>
                <w:lang w:val="en-US" w:eastAsia="zh-CN"/>
              </w:rPr>
              <w:t>与《新田县普通建筑材料用砂石土矿开采专项规划》符合性分析</w:t>
            </w:r>
            <w:r>
              <w:rPr>
                <w:rFonts w:hint="eastAsia" w:ascii="Times New Roman" w:hAnsi="Times New Roman" w:eastAsia="宋体" w:cs="Times New Roman"/>
                <w:color w:val="000000"/>
                <w:spacing w:val="11"/>
                <w:position w:val="0"/>
                <w:sz w:val="24"/>
                <w:szCs w:val="24"/>
                <w:u w:val="single" w:color="auto"/>
                <w:lang w:val="en-US" w:eastAsia="zh-CN"/>
              </w:rPr>
              <w:t>详见下表。</w:t>
            </w:r>
          </w:p>
          <w:p w14:paraId="08BF0640">
            <w:pPr>
              <w:widowControl/>
              <w:jc w:val="center"/>
              <w:rPr>
                <w:rFonts w:hint="eastAsia" w:eastAsia="宋体"/>
                <w:spacing w:val="11"/>
                <w:position w:val="0"/>
                <w:u w:val="single" w:color="auto"/>
              </w:rPr>
            </w:pPr>
            <w:r>
              <w:rPr>
                <w:rFonts w:hint="eastAsia" w:ascii="宋体" w:hAnsi="宋体" w:eastAsia="宋体" w:cs="宋体"/>
                <w:b/>
                <w:bCs/>
                <w:spacing w:val="11"/>
                <w:kern w:val="0"/>
                <w:position w:val="0"/>
                <w:szCs w:val="21"/>
                <w:u w:val="single" w:color="auto"/>
              </w:rPr>
              <w:t>表</w:t>
            </w:r>
            <w:r>
              <w:rPr>
                <w:rFonts w:hint="eastAsia" w:eastAsia="宋体"/>
                <w:b/>
                <w:bCs/>
                <w:spacing w:val="11"/>
                <w:kern w:val="0"/>
                <w:position w:val="0"/>
                <w:szCs w:val="21"/>
                <w:u w:val="single" w:color="auto"/>
              </w:rPr>
              <w:t>1</w:t>
            </w:r>
            <w:r>
              <w:rPr>
                <w:rFonts w:eastAsia="宋体"/>
                <w:b/>
                <w:bCs/>
                <w:spacing w:val="11"/>
                <w:kern w:val="0"/>
                <w:position w:val="0"/>
                <w:szCs w:val="21"/>
                <w:u w:val="single" w:color="auto"/>
              </w:rPr>
              <w:t>-</w:t>
            </w:r>
            <w:r>
              <w:rPr>
                <w:rFonts w:hint="eastAsia" w:eastAsia="宋体"/>
                <w:b/>
                <w:bCs/>
                <w:spacing w:val="11"/>
                <w:kern w:val="0"/>
                <w:position w:val="0"/>
                <w:szCs w:val="21"/>
                <w:u w:val="single" w:color="auto"/>
              </w:rPr>
              <w:t>3</w:t>
            </w:r>
            <w:r>
              <w:rPr>
                <w:rFonts w:eastAsia="宋体"/>
                <w:b/>
                <w:bCs/>
                <w:spacing w:val="11"/>
                <w:kern w:val="0"/>
                <w:position w:val="0"/>
                <w:szCs w:val="21"/>
                <w:u w:val="single" w:color="auto"/>
              </w:rPr>
              <w:t xml:space="preserve"> </w:t>
            </w:r>
            <w:r>
              <w:rPr>
                <w:rFonts w:hint="eastAsia" w:ascii="宋体" w:hAnsi="宋体" w:eastAsia="宋体" w:cs="宋体"/>
                <w:b/>
                <w:bCs/>
                <w:spacing w:val="11"/>
                <w:kern w:val="0"/>
                <w:position w:val="0"/>
                <w:szCs w:val="21"/>
                <w:u w:val="single" w:color="auto"/>
                <w:lang w:val="en-US" w:eastAsia="zh-CN"/>
              </w:rPr>
              <w:t>与《新田县普通建筑材料用砂石土矿开采专项规划》（2019-2025年）的相符性分析一览表</w:t>
            </w:r>
          </w:p>
          <w:tbl>
            <w:tblPr>
              <w:tblStyle w:val="33"/>
              <w:tblW w:w="65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2427"/>
              <w:gridCol w:w="843"/>
            </w:tblGrid>
            <w:tr w14:paraId="118D2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1" w:type="dxa"/>
                  <w:tcBorders>
                    <w:tl2br w:val="nil"/>
                    <w:tr2bl w:val="nil"/>
                  </w:tcBorders>
                  <w:noWrap w:val="0"/>
                  <w:vAlign w:val="center"/>
                </w:tcPr>
                <w:p w14:paraId="5E6B5D9C">
                  <w:pPr>
                    <w:widowControl/>
                    <w:adjustRightInd w:val="0"/>
                    <w:snapToGrid w:val="0"/>
                    <w:jc w:val="center"/>
                    <w:rPr>
                      <w:b/>
                      <w:bCs/>
                      <w:spacing w:val="11"/>
                      <w:kern w:val="0"/>
                      <w:position w:val="0"/>
                      <w:szCs w:val="21"/>
                      <w:u w:val="single" w:color="auto"/>
                    </w:rPr>
                  </w:pPr>
                  <w:r>
                    <w:rPr>
                      <w:spacing w:val="11"/>
                      <w:position w:val="0"/>
                      <w:szCs w:val="21"/>
                      <w:u w:val="single" w:color="auto"/>
                    </w:rPr>
                    <w:t>《</w:t>
                  </w:r>
                  <w:r>
                    <w:rPr>
                      <w:rFonts w:hint="eastAsia"/>
                      <w:spacing w:val="11"/>
                      <w:position w:val="0"/>
                      <w:szCs w:val="21"/>
                      <w:u w:val="single" w:color="auto"/>
                      <w:lang w:eastAsia="zh-CN"/>
                    </w:rPr>
                    <w:t>新田县</w:t>
                  </w:r>
                  <w:r>
                    <w:rPr>
                      <w:rFonts w:hAnsi="宋体"/>
                      <w:bCs/>
                      <w:spacing w:val="11"/>
                      <w:position w:val="0"/>
                      <w:szCs w:val="21"/>
                      <w:u w:val="single" w:color="auto"/>
                    </w:rPr>
                    <w:t>普通建筑材料用砂石土矿专项规划（</w:t>
                  </w:r>
                  <w:r>
                    <w:rPr>
                      <w:bCs/>
                      <w:spacing w:val="11"/>
                      <w:position w:val="0"/>
                      <w:szCs w:val="21"/>
                      <w:u w:val="single" w:color="auto"/>
                    </w:rPr>
                    <w:t>2021~2025</w:t>
                  </w:r>
                  <w:r>
                    <w:rPr>
                      <w:rFonts w:hAnsi="宋体"/>
                      <w:bCs/>
                      <w:spacing w:val="11"/>
                      <w:position w:val="0"/>
                      <w:szCs w:val="21"/>
                      <w:u w:val="single" w:color="auto"/>
                    </w:rPr>
                    <w:t>年）</w:t>
                  </w:r>
                  <w:r>
                    <w:rPr>
                      <w:spacing w:val="11"/>
                      <w:position w:val="0"/>
                      <w:szCs w:val="21"/>
                      <w:u w:val="single" w:color="auto"/>
                    </w:rPr>
                    <w:t>》相关内容</w:t>
                  </w:r>
                </w:p>
              </w:tc>
              <w:tc>
                <w:tcPr>
                  <w:tcW w:w="2427" w:type="dxa"/>
                  <w:tcBorders>
                    <w:tl2br w:val="nil"/>
                    <w:tr2bl w:val="nil"/>
                  </w:tcBorders>
                  <w:shd w:val="clear" w:color="auto" w:fill="auto"/>
                  <w:noWrap w:val="0"/>
                  <w:vAlign w:val="center"/>
                </w:tcPr>
                <w:p w14:paraId="3FD809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项目情况</w:t>
                  </w:r>
                </w:p>
              </w:tc>
              <w:tc>
                <w:tcPr>
                  <w:tcW w:w="843" w:type="dxa"/>
                  <w:tcBorders>
                    <w:tl2br w:val="nil"/>
                    <w:tr2bl w:val="nil"/>
                  </w:tcBorders>
                  <w:shd w:val="clear" w:color="auto" w:fill="auto"/>
                  <w:noWrap w:val="0"/>
                  <w:vAlign w:val="center"/>
                </w:tcPr>
                <w:p w14:paraId="05CF4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是否相符</w:t>
                  </w:r>
                </w:p>
              </w:tc>
            </w:tr>
            <w:tr w14:paraId="25D98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08AF7A5C">
                  <w:pPr>
                    <w:adjustRightInd w:val="0"/>
                    <w:snapToGrid w:val="0"/>
                    <w:rPr>
                      <w:color w:val="0000FF"/>
                      <w:spacing w:val="11"/>
                      <w:kern w:val="0"/>
                      <w:position w:val="0"/>
                      <w:szCs w:val="21"/>
                      <w:u w:val="single" w:color="auto"/>
                    </w:rPr>
                  </w:pPr>
                  <w:r>
                    <w:rPr>
                      <w:spacing w:val="11"/>
                      <w:position w:val="0"/>
                      <w:u w:val="single" w:color="auto"/>
                    </w:rPr>
                    <w:t>将</w:t>
                  </w:r>
                  <w:r>
                    <w:rPr>
                      <w:rFonts w:hint="eastAsia"/>
                      <w:spacing w:val="11"/>
                      <w:position w:val="0"/>
                      <w:u w:val="single" w:color="auto"/>
                      <w:lang w:eastAsia="zh-CN"/>
                    </w:rPr>
                    <w:t>新田</w:t>
                  </w:r>
                  <w:r>
                    <w:rPr>
                      <w:spacing w:val="11"/>
                      <w:position w:val="0"/>
                      <w:u w:val="single" w:color="auto"/>
                    </w:rPr>
                    <w:t>县风景名胜区、国家森林公园、湿地公园、水利风景区、重要水产种质保护区、饮用水源地保护区、城镇建成区及规划区、高铁线路两侧1000m范围等划定为普通建筑材料用砂石土矿禁止开采区</w:t>
                  </w:r>
                  <w:r>
                    <w:rPr>
                      <w:color w:val="0000FF"/>
                      <w:spacing w:val="11"/>
                      <w:position w:val="0"/>
                      <w:szCs w:val="21"/>
                      <w:u w:val="single" w:color="auto"/>
                    </w:rPr>
                    <w:t>。</w:t>
                  </w:r>
                </w:p>
              </w:tc>
              <w:tc>
                <w:tcPr>
                  <w:tcW w:w="2427" w:type="dxa"/>
                  <w:tcBorders>
                    <w:tl2br w:val="nil"/>
                    <w:tr2bl w:val="nil"/>
                  </w:tcBorders>
                  <w:noWrap w:val="0"/>
                  <w:vAlign w:val="center"/>
                </w:tcPr>
                <w:p w14:paraId="73C8C07B">
                  <w:pPr>
                    <w:widowControl/>
                    <w:adjustRightInd w:val="0"/>
                    <w:snapToGrid w:val="0"/>
                    <w:rPr>
                      <w:rFonts w:hint="eastAsia"/>
                      <w:spacing w:val="11"/>
                      <w:kern w:val="0"/>
                      <w:position w:val="0"/>
                      <w:szCs w:val="21"/>
                      <w:u w:val="single" w:color="auto"/>
                    </w:rPr>
                  </w:pPr>
                  <w:r>
                    <w:rPr>
                      <w:spacing w:val="11"/>
                      <w:kern w:val="0"/>
                      <w:position w:val="0"/>
                      <w:szCs w:val="21"/>
                      <w:u w:val="single" w:color="auto"/>
                    </w:rPr>
                    <w:t>本项目</w:t>
                  </w:r>
                  <w:r>
                    <w:rPr>
                      <w:rFonts w:hint="eastAsia"/>
                      <w:spacing w:val="11"/>
                      <w:kern w:val="0"/>
                      <w:position w:val="0"/>
                      <w:szCs w:val="21"/>
                      <w:u w:val="single" w:color="auto"/>
                    </w:rPr>
                    <w:t>位于湖南省永州市新田县龙泉街道</w:t>
                  </w:r>
                  <w:r>
                    <w:rPr>
                      <w:rFonts w:hint="eastAsia"/>
                      <w:spacing w:val="11"/>
                      <w:kern w:val="0"/>
                      <w:position w:val="0"/>
                      <w:szCs w:val="21"/>
                      <w:u w:val="single" w:color="auto"/>
                      <w:lang w:val="en-US" w:eastAsia="zh-CN"/>
                    </w:rPr>
                    <w:t>周家洞村</w:t>
                  </w:r>
                  <w:r>
                    <w:rPr>
                      <w:rFonts w:hint="eastAsia"/>
                      <w:spacing w:val="11"/>
                      <w:position w:val="0"/>
                      <w:szCs w:val="21"/>
                      <w:u w:val="single" w:color="auto"/>
                    </w:rPr>
                    <w:t>，</w:t>
                  </w:r>
                  <w:r>
                    <w:rPr>
                      <w:spacing w:val="11"/>
                      <w:position w:val="0"/>
                      <w:u w:val="single" w:color="auto"/>
                    </w:rPr>
                    <w:t>范围不涉及风景名胜区、国家森林公园、湿地公园、水利风景区、重要水产种质保护区、饮用水源地保护区、城镇建成区及规划区、</w:t>
                  </w:r>
                  <w:r>
                    <w:rPr>
                      <w:rFonts w:hint="eastAsia"/>
                      <w:spacing w:val="11"/>
                      <w:position w:val="0"/>
                      <w:u w:val="single" w:color="auto"/>
                    </w:rPr>
                    <w:t>周边</w:t>
                  </w:r>
                  <w:r>
                    <w:rPr>
                      <w:spacing w:val="11"/>
                      <w:position w:val="0"/>
                      <w:u w:val="single" w:color="auto"/>
                    </w:rPr>
                    <w:t>1000m</w:t>
                  </w:r>
                  <w:r>
                    <w:rPr>
                      <w:rFonts w:hint="eastAsia"/>
                      <w:spacing w:val="11"/>
                      <w:position w:val="0"/>
                      <w:u w:val="single" w:color="auto"/>
                    </w:rPr>
                    <w:t>内无</w:t>
                  </w:r>
                  <w:r>
                    <w:rPr>
                      <w:spacing w:val="11"/>
                      <w:position w:val="0"/>
                      <w:u w:val="single" w:color="auto"/>
                    </w:rPr>
                    <w:t>高铁线路</w:t>
                  </w:r>
                  <w:r>
                    <w:rPr>
                      <w:spacing w:val="11"/>
                      <w:kern w:val="0"/>
                      <w:position w:val="0"/>
                      <w:szCs w:val="21"/>
                      <w:u w:val="single" w:color="auto"/>
                    </w:rPr>
                    <w:t>。</w:t>
                  </w:r>
                </w:p>
              </w:tc>
              <w:tc>
                <w:tcPr>
                  <w:tcW w:w="843" w:type="dxa"/>
                  <w:tcBorders>
                    <w:tl2br w:val="nil"/>
                    <w:tr2bl w:val="nil"/>
                  </w:tcBorders>
                  <w:noWrap w:val="0"/>
                  <w:vAlign w:val="center"/>
                </w:tcPr>
                <w:p w14:paraId="43A5872A">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0A98B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2F43A678">
                  <w:pPr>
                    <w:adjustRightInd w:val="0"/>
                    <w:snapToGrid w:val="0"/>
                    <w:rPr>
                      <w:color w:val="0000FF"/>
                      <w:spacing w:val="11"/>
                      <w:position w:val="0"/>
                      <w:szCs w:val="21"/>
                      <w:u w:val="single" w:color="auto"/>
                    </w:rPr>
                  </w:pPr>
                  <w:r>
                    <w:rPr>
                      <w:spacing w:val="11"/>
                      <w:position w:val="0"/>
                      <w:u w:val="single" w:color="auto"/>
                    </w:rPr>
                    <w:t>本规划未设置县域砂石土矿限制开采区</w:t>
                  </w:r>
                  <w:r>
                    <w:rPr>
                      <w:rFonts w:hint="eastAsia"/>
                      <w:spacing w:val="11"/>
                      <w:position w:val="0"/>
                      <w:szCs w:val="21"/>
                      <w:u w:val="single" w:color="auto"/>
                    </w:rPr>
                    <w:t>。</w:t>
                  </w:r>
                </w:p>
              </w:tc>
              <w:tc>
                <w:tcPr>
                  <w:tcW w:w="2427" w:type="dxa"/>
                  <w:tcBorders>
                    <w:tl2br w:val="nil"/>
                    <w:tr2bl w:val="nil"/>
                  </w:tcBorders>
                  <w:noWrap w:val="0"/>
                  <w:vAlign w:val="center"/>
                </w:tcPr>
                <w:p w14:paraId="76DD598F">
                  <w:pPr>
                    <w:widowControl/>
                    <w:adjustRightInd w:val="0"/>
                    <w:snapToGrid w:val="0"/>
                    <w:rPr>
                      <w:spacing w:val="11"/>
                      <w:kern w:val="0"/>
                      <w:position w:val="0"/>
                      <w:szCs w:val="21"/>
                      <w:u w:val="single" w:color="auto"/>
                    </w:rPr>
                  </w:pPr>
                  <w:r>
                    <w:rPr>
                      <w:spacing w:val="11"/>
                      <w:kern w:val="0"/>
                      <w:position w:val="0"/>
                      <w:szCs w:val="21"/>
                      <w:u w:val="single" w:color="auto"/>
                    </w:rPr>
                    <w:t>项目不</w:t>
                  </w:r>
                  <w:r>
                    <w:rPr>
                      <w:rFonts w:hint="eastAsia"/>
                      <w:spacing w:val="11"/>
                      <w:position w:val="0"/>
                      <w:szCs w:val="21"/>
                      <w:u w:val="single" w:color="auto"/>
                    </w:rPr>
                    <w:t>涉及限制开采区</w:t>
                  </w:r>
                  <w:r>
                    <w:rPr>
                      <w:rFonts w:hint="eastAsia"/>
                      <w:spacing w:val="11"/>
                      <w:kern w:val="0"/>
                      <w:position w:val="0"/>
                      <w:szCs w:val="21"/>
                      <w:u w:val="single" w:color="auto"/>
                    </w:rPr>
                    <w:t>。</w:t>
                  </w:r>
                </w:p>
              </w:tc>
              <w:tc>
                <w:tcPr>
                  <w:tcW w:w="843" w:type="dxa"/>
                  <w:tcBorders>
                    <w:tl2br w:val="nil"/>
                    <w:tr2bl w:val="nil"/>
                  </w:tcBorders>
                  <w:noWrap w:val="0"/>
                  <w:vAlign w:val="center"/>
                </w:tcPr>
                <w:p w14:paraId="63B4886C">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1D728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4898833B">
                  <w:pPr>
                    <w:adjustRightInd w:val="0"/>
                    <w:snapToGrid w:val="0"/>
                    <w:rPr>
                      <w:color w:val="0000FF"/>
                      <w:spacing w:val="11"/>
                      <w:position w:val="0"/>
                      <w:szCs w:val="21"/>
                      <w:u w:val="single" w:color="auto"/>
                    </w:rPr>
                  </w:pPr>
                  <w:r>
                    <w:rPr>
                      <w:spacing w:val="11"/>
                      <w:position w:val="0"/>
                      <w:u w:val="single" w:color="auto"/>
                    </w:rPr>
                    <w:t>综合考虑资源分布、产业布局、新型城镇化发展、基础设施建设规划、环保、林业等因素，在资源条件允许、环境影响小、区位较隐蔽的地段设置砂石土矿允许开采区18个，其中15个允许开采区内设置了16个采矿权，有3个允许开采区作为规划预留未设置采矿权</w:t>
                  </w:r>
                  <w:r>
                    <w:rPr>
                      <w:rFonts w:hint="eastAsia"/>
                      <w:spacing w:val="11"/>
                      <w:position w:val="0"/>
                      <w:szCs w:val="21"/>
                      <w:u w:val="single" w:color="auto"/>
                    </w:rPr>
                    <w:t>。</w:t>
                  </w:r>
                </w:p>
              </w:tc>
              <w:tc>
                <w:tcPr>
                  <w:tcW w:w="2427" w:type="dxa"/>
                  <w:tcBorders>
                    <w:tl2br w:val="nil"/>
                    <w:tr2bl w:val="nil"/>
                  </w:tcBorders>
                  <w:noWrap w:val="0"/>
                  <w:vAlign w:val="center"/>
                </w:tcPr>
                <w:p w14:paraId="1FE7B947">
                  <w:pPr>
                    <w:pStyle w:val="12"/>
                    <w:jc w:val="both"/>
                    <w:rPr>
                      <w:rFonts w:hint="eastAsia"/>
                      <w:spacing w:val="11"/>
                      <w:position w:val="0"/>
                      <w:szCs w:val="21"/>
                      <w:u w:val="single" w:color="auto"/>
                    </w:rPr>
                  </w:pPr>
                  <w:r>
                    <w:rPr>
                      <w:spacing w:val="11"/>
                      <w:position w:val="0"/>
                      <w:sz w:val="21"/>
                      <w:szCs w:val="21"/>
                      <w:u w:val="single" w:color="auto"/>
                    </w:rPr>
                    <w:t>本项目在《</w:t>
                  </w:r>
                  <w:r>
                    <w:rPr>
                      <w:rFonts w:hint="eastAsia" w:hAnsi="宋体"/>
                      <w:bCs/>
                      <w:spacing w:val="11"/>
                      <w:position w:val="0"/>
                      <w:sz w:val="21"/>
                      <w:szCs w:val="21"/>
                      <w:u w:val="single" w:color="auto"/>
                      <w:lang w:eastAsia="zh-CN"/>
                    </w:rPr>
                    <w:t>新田</w:t>
                  </w:r>
                  <w:r>
                    <w:rPr>
                      <w:rFonts w:hAnsi="宋体"/>
                      <w:bCs/>
                      <w:spacing w:val="11"/>
                      <w:position w:val="0"/>
                      <w:sz w:val="21"/>
                      <w:szCs w:val="21"/>
                      <w:u w:val="single" w:color="auto"/>
                    </w:rPr>
                    <w:t>县普通建筑材料用砂石土矿专项规划（</w:t>
                  </w:r>
                  <w:r>
                    <w:rPr>
                      <w:bCs/>
                      <w:spacing w:val="11"/>
                      <w:position w:val="0"/>
                      <w:sz w:val="21"/>
                      <w:szCs w:val="21"/>
                      <w:u w:val="single" w:color="auto"/>
                    </w:rPr>
                    <w:t>2021~2025</w:t>
                  </w:r>
                  <w:r>
                    <w:rPr>
                      <w:rFonts w:hAnsi="宋体"/>
                      <w:bCs/>
                      <w:spacing w:val="11"/>
                      <w:position w:val="0"/>
                      <w:sz w:val="21"/>
                      <w:szCs w:val="21"/>
                      <w:u w:val="single" w:color="auto"/>
                    </w:rPr>
                    <w:t>年）</w:t>
                  </w:r>
                  <w:r>
                    <w:rPr>
                      <w:spacing w:val="11"/>
                      <w:position w:val="0"/>
                      <w:sz w:val="21"/>
                      <w:szCs w:val="21"/>
                      <w:u w:val="single" w:color="auto"/>
                    </w:rPr>
                    <w:t>》所述的砂石土矿允许开采区</w:t>
                  </w:r>
                  <w:r>
                    <w:rPr>
                      <w:rFonts w:hint="eastAsia"/>
                      <w:spacing w:val="11"/>
                      <w:position w:val="0"/>
                      <w:sz w:val="21"/>
                      <w:szCs w:val="21"/>
                      <w:u w:val="single" w:color="auto"/>
                    </w:rPr>
                    <w:t>内</w:t>
                  </w:r>
                  <w:r>
                    <w:rPr>
                      <w:rFonts w:hint="eastAsia"/>
                      <w:spacing w:val="11"/>
                      <w:position w:val="0"/>
                      <w:u w:val="single" w:color="auto"/>
                    </w:rPr>
                    <w:t>，</w:t>
                  </w:r>
                  <w:r>
                    <w:rPr>
                      <w:rFonts w:hint="eastAsia"/>
                      <w:spacing w:val="11"/>
                      <w:position w:val="0"/>
                      <w:sz w:val="21"/>
                      <w:szCs w:val="21"/>
                      <w:u w:val="single" w:color="auto"/>
                    </w:rPr>
                    <w:t>已取得永州市自然资源和规划局颁发的采矿许可证。</w:t>
                  </w:r>
                </w:p>
              </w:tc>
              <w:tc>
                <w:tcPr>
                  <w:tcW w:w="843" w:type="dxa"/>
                  <w:tcBorders>
                    <w:tl2br w:val="nil"/>
                    <w:tr2bl w:val="nil"/>
                  </w:tcBorders>
                  <w:noWrap w:val="0"/>
                  <w:vAlign w:val="center"/>
                </w:tcPr>
                <w:p w14:paraId="6558A94C">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39AF4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62BC4F15">
                  <w:pPr>
                    <w:adjustRightInd w:val="0"/>
                    <w:snapToGrid w:val="0"/>
                    <w:rPr>
                      <w:spacing w:val="11"/>
                      <w:position w:val="0"/>
                      <w:u w:val="single" w:color="auto"/>
                    </w:rPr>
                  </w:pPr>
                  <w:r>
                    <w:rPr>
                      <w:spacing w:val="11"/>
                      <w:position w:val="0"/>
                      <w:u w:val="single" w:color="auto"/>
                    </w:rPr>
                    <w:t>主体资格要求：</w:t>
                  </w:r>
                  <w:r>
                    <w:rPr>
                      <w:rFonts w:hint="eastAsia" w:ascii="宋体" w:hAnsi="宋体" w:cs="宋体"/>
                      <w:spacing w:val="11"/>
                      <w:position w:val="0"/>
                      <w:u w:val="single" w:color="auto"/>
                    </w:rPr>
                    <w:t>①</w:t>
                  </w:r>
                  <w:r>
                    <w:rPr>
                      <w:spacing w:val="11"/>
                      <w:position w:val="0"/>
                      <w:u w:val="single" w:color="auto"/>
                    </w:rPr>
                    <w:t>应当具有企业法人资格，与主管部门签订招拍挂公开出让合同；</w:t>
                  </w:r>
                  <w:r>
                    <w:rPr>
                      <w:rFonts w:hint="eastAsia" w:ascii="宋体" w:hAnsi="宋体" w:cs="宋体"/>
                      <w:spacing w:val="11"/>
                      <w:position w:val="0"/>
                      <w:u w:val="single" w:color="auto"/>
                    </w:rPr>
                    <w:t>②</w:t>
                  </w:r>
                  <w:r>
                    <w:rPr>
                      <w:spacing w:val="11"/>
                      <w:position w:val="0"/>
                      <w:u w:val="single" w:color="auto"/>
                    </w:rPr>
                    <w:t>矿区范围应符合矿产资源总体规划，矿区面积不低于0.1km</w:t>
                  </w:r>
                  <w:r>
                    <w:rPr>
                      <w:spacing w:val="11"/>
                      <w:position w:val="0"/>
                      <w:u w:val="single" w:color="auto"/>
                      <w:vertAlign w:val="superscript"/>
                    </w:rPr>
                    <w:t>2</w:t>
                  </w:r>
                  <w:r>
                    <w:rPr>
                      <w:spacing w:val="11"/>
                      <w:position w:val="0"/>
                      <w:u w:val="single" w:color="auto"/>
                    </w:rPr>
                    <w:t>；</w:t>
                  </w:r>
                  <w:r>
                    <w:rPr>
                      <w:rFonts w:hint="eastAsia" w:ascii="宋体" w:hAnsi="宋体" w:cs="宋体"/>
                      <w:spacing w:val="11"/>
                      <w:position w:val="0"/>
                      <w:u w:val="single" w:color="auto"/>
                    </w:rPr>
                    <w:t>③</w:t>
                  </w:r>
                  <w:r>
                    <w:rPr>
                      <w:spacing w:val="11"/>
                      <w:position w:val="0"/>
                      <w:u w:val="single" w:color="auto"/>
                    </w:rPr>
                    <w:t>矿山规模不得低于最低生产建设规模，资金应满足矿山生产建设、采矿权价款及使用费、矿山地质环境治理基金及相关税费要求；</w:t>
                  </w:r>
                  <w:r>
                    <w:rPr>
                      <w:rFonts w:hint="eastAsia" w:ascii="宋体" w:hAnsi="宋体" w:cs="宋体"/>
                      <w:spacing w:val="11"/>
                      <w:position w:val="0"/>
                      <w:u w:val="single" w:color="auto"/>
                    </w:rPr>
                    <w:t>④</w:t>
                  </w:r>
                  <w:r>
                    <w:rPr>
                      <w:spacing w:val="11"/>
                      <w:position w:val="0"/>
                      <w:u w:val="single" w:color="auto"/>
                    </w:rPr>
                    <w:t>取得省级（大中型矿）或市级（小型）发证部门评审通过的矿山资源储量报告、资源开发利用方案、矿山地质环境综合防治方案、水土保持方案、环境影响评价报告、安全预评价报告，以及采矿许可证、环保排污许可证、安全生产许可证等相关审批文件或证照；</w:t>
                  </w:r>
                  <w:r>
                    <w:rPr>
                      <w:rFonts w:hint="eastAsia" w:ascii="宋体" w:hAnsi="宋体" w:cs="宋体"/>
                      <w:spacing w:val="11"/>
                      <w:position w:val="0"/>
                      <w:u w:val="single" w:color="auto"/>
                    </w:rPr>
                    <w:t>⑤</w:t>
                  </w:r>
                  <w:r>
                    <w:rPr>
                      <w:spacing w:val="11"/>
                      <w:position w:val="0"/>
                      <w:u w:val="single" w:color="auto"/>
                    </w:rPr>
                    <w:t>矿山企业应按规定配有地质、采矿、测量等高中级专业技术职称人员及经职业技能培训的从业人员。</w:t>
                  </w:r>
                </w:p>
              </w:tc>
              <w:tc>
                <w:tcPr>
                  <w:tcW w:w="2427" w:type="dxa"/>
                  <w:tcBorders>
                    <w:tl2br w:val="nil"/>
                    <w:tr2bl w:val="nil"/>
                  </w:tcBorders>
                  <w:noWrap w:val="0"/>
                  <w:vAlign w:val="center"/>
                </w:tcPr>
                <w:p w14:paraId="0C7FAB6D">
                  <w:pPr>
                    <w:widowControl/>
                    <w:adjustRightInd w:val="0"/>
                    <w:snapToGrid w:val="0"/>
                    <w:rPr>
                      <w:spacing w:val="11"/>
                      <w:kern w:val="0"/>
                      <w:position w:val="0"/>
                      <w:szCs w:val="21"/>
                      <w:u w:val="single" w:color="auto"/>
                    </w:rPr>
                  </w:pPr>
                  <w:r>
                    <w:rPr>
                      <w:rFonts w:hint="eastAsia"/>
                      <w:spacing w:val="11"/>
                      <w:position w:val="0"/>
                      <w:u w:val="single" w:color="auto"/>
                    </w:rPr>
                    <w:t>项目已于202</w:t>
                  </w:r>
                  <w:r>
                    <w:rPr>
                      <w:rFonts w:hint="eastAsia"/>
                      <w:spacing w:val="11"/>
                      <w:position w:val="0"/>
                      <w:u w:val="single" w:color="auto"/>
                      <w:lang w:val="en-US" w:eastAsia="zh-CN"/>
                    </w:rPr>
                    <w:t>5</w:t>
                  </w:r>
                  <w:r>
                    <w:rPr>
                      <w:rFonts w:hint="eastAsia"/>
                      <w:spacing w:val="11"/>
                      <w:position w:val="0"/>
                      <w:u w:val="single" w:color="auto"/>
                    </w:rPr>
                    <w:t>年</w:t>
                  </w:r>
                  <w:r>
                    <w:rPr>
                      <w:rFonts w:hint="eastAsia"/>
                      <w:spacing w:val="11"/>
                      <w:position w:val="0"/>
                      <w:u w:val="single" w:color="auto"/>
                      <w:lang w:val="en-US" w:eastAsia="zh-CN"/>
                    </w:rPr>
                    <w:t>1</w:t>
                  </w:r>
                  <w:r>
                    <w:rPr>
                      <w:rFonts w:hint="eastAsia"/>
                      <w:spacing w:val="11"/>
                      <w:position w:val="0"/>
                      <w:u w:val="single" w:color="auto"/>
                    </w:rPr>
                    <w:t>月1</w:t>
                  </w:r>
                  <w:r>
                    <w:rPr>
                      <w:rFonts w:hint="eastAsia"/>
                      <w:spacing w:val="11"/>
                      <w:position w:val="0"/>
                      <w:u w:val="single" w:color="auto"/>
                      <w:lang w:val="en-US" w:eastAsia="zh-CN"/>
                    </w:rPr>
                    <w:t>3</w:t>
                  </w:r>
                  <w:r>
                    <w:rPr>
                      <w:rFonts w:hint="eastAsia"/>
                      <w:spacing w:val="11"/>
                      <w:position w:val="0"/>
                      <w:u w:val="single" w:color="auto"/>
                    </w:rPr>
                    <w:t>日取得永州市自然资源和规划局发放的采矿许可证。本项目采矿许可证中许可的开采规模为60万吨/年，满足《湖南省普通建筑材料用砂石土矿专项规划（2021~2025年）》中单个矿山不低于30万吨/年的要求；开采方案按照湖南省绿色矿山标准设计</w:t>
                  </w:r>
                  <w:r>
                    <w:rPr>
                      <w:spacing w:val="11"/>
                      <w:position w:val="0"/>
                      <w:u w:val="single" w:color="auto"/>
                    </w:rPr>
                    <w:t>；</w:t>
                  </w:r>
                  <w:r>
                    <w:rPr>
                      <w:rFonts w:hint="eastAsia"/>
                      <w:spacing w:val="11"/>
                      <w:position w:val="0"/>
                      <w:u w:val="single" w:color="auto"/>
                    </w:rPr>
                    <w:t>建设单位编制了资源开发利用、生态修复方案，并配备专业技术人员进行安全开采。</w:t>
                  </w:r>
                </w:p>
              </w:tc>
              <w:tc>
                <w:tcPr>
                  <w:tcW w:w="843" w:type="dxa"/>
                  <w:tcBorders>
                    <w:tl2br w:val="nil"/>
                    <w:tr2bl w:val="nil"/>
                  </w:tcBorders>
                  <w:noWrap w:val="0"/>
                  <w:vAlign w:val="center"/>
                </w:tcPr>
                <w:p w14:paraId="42590DC7">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72D93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5A72826B">
                  <w:pPr>
                    <w:adjustRightInd w:val="0"/>
                    <w:snapToGrid w:val="0"/>
                    <w:rPr>
                      <w:color w:val="0000FF"/>
                      <w:spacing w:val="11"/>
                      <w:position w:val="0"/>
                      <w:szCs w:val="21"/>
                      <w:u w:val="single" w:color="auto"/>
                    </w:rPr>
                  </w:pPr>
                  <w:r>
                    <w:rPr>
                      <w:rFonts w:hint="eastAsia" w:ascii="宋体" w:hAnsi="宋体" w:cs="宋体"/>
                      <w:spacing w:val="11"/>
                      <w:position w:val="0"/>
                      <w:u w:val="single" w:color="auto"/>
                    </w:rPr>
                    <w:t>资源储量要求：①</w:t>
                  </w:r>
                  <w:r>
                    <w:rPr>
                      <w:spacing w:val="11"/>
                      <w:position w:val="0"/>
                      <w:u w:val="single" w:color="auto"/>
                    </w:rPr>
                    <w:t>新设矿山保有资源储量不得低于300万吨，最低生产规模不得低于30万吨/年；</w:t>
                  </w:r>
                  <w:r>
                    <w:rPr>
                      <w:rFonts w:hint="eastAsia" w:ascii="宋体" w:hAnsi="宋体" w:cs="宋体"/>
                      <w:spacing w:val="11"/>
                      <w:position w:val="0"/>
                      <w:u w:val="single" w:color="auto"/>
                    </w:rPr>
                    <w:t>②</w:t>
                  </w:r>
                  <w:r>
                    <w:rPr>
                      <w:spacing w:val="11"/>
                      <w:position w:val="0"/>
                      <w:u w:val="single" w:color="auto"/>
                    </w:rPr>
                    <w:t>保留矿山保有资源储量100万吨以上，最低生产规模不低于10万吨/年，并限期整改达到30万吨/年以上。</w:t>
                  </w:r>
                </w:p>
              </w:tc>
              <w:tc>
                <w:tcPr>
                  <w:tcW w:w="2427" w:type="dxa"/>
                  <w:tcBorders>
                    <w:tl2br w:val="nil"/>
                    <w:tr2bl w:val="nil"/>
                  </w:tcBorders>
                  <w:noWrap w:val="0"/>
                  <w:vAlign w:val="center"/>
                </w:tcPr>
                <w:p w14:paraId="12640A5E">
                  <w:pPr>
                    <w:widowControl/>
                    <w:adjustRightInd w:val="0"/>
                    <w:snapToGrid w:val="0"/>
                    <w:rPr>
                      <w:spacing w:val="11"/>
                      <w:kern w:val="0"/>
                      <w:position w:val="0"/>
                      <w:szCs w:val="21"/>
                      <w:u w:val="single" w:color="auto"/>
                    </w:rPr>
                  </w:pPr>
                  <w:r>
                    <w:rPr>
                      <w:spacing w:val="11"/>
                      <w:kern w:val="0"/>
                      <w:position w:val="0"/>
                      <w:szCs w:val="21"/>
                      <w:u w:val="single" w:color="auto"/>
                    </w:rPr>
                    <w:t>本项目为新设矿山，</w:t>
                  </w:r>
                  <w:r>
                    <w:rPr>
                      <w:rFonts w:hint="eastAsia"/>
                      <w:spacing w:val="11"/>
                      <w:kern w:val="0"/>
                      <w:position w:val="0"/>
                      <w:szCs w:val="21"/>
                      <w:u w:val="single" w:color="auto"/>
                    </w:rPr>
                    <w:t>2022年</w:t>
                  </w:r>
                  <w:r>
                    <w:rPr>
                      <w:rFonts w:hint="eastAsia"/>
                      <w:spacing w:val="11"/>
                      <w:kern w:val="0"/>
                      <w:position w:val="0"/>
                      <w:szCs w:val="21"/>
                      <w:u w:val="single" w:color="auto"/>
                      <w:lang w:val="en-US" w:eastAsia="zh-CN"/>
                    </w:rPr>
                    <w:t>11</w:t>
                  </w:r>
                  <w:r>
                    <w:rPr>
                      <w:rFonts w:hint="eastAsia"/>
                      <w:spacing w:val="11"/>
                      <w:kern w:val="0"/>
                      <w:position w:val="0"/>
                      <w:szCs w:val="21"/>
                      <w:u w:val="single" w:color="auto"/>
                    </w:rPr>
                    <w:t>月2</w:t>
                  </w:r>
                  <w:r>
                    <w:rPr>
                      <w:rFonts w:hint="eastAsia"/>
                      <w:spacing w:val="11"/>
                      <w:kern w:val="0"/>
                      <w:position w:val="0"/>
                      <w:szCs w:val="21"/>
                      <w:u w:val="single" w:color="auto"/>
                      <w:lang w:val="en-US" w:eastAsia="zh-CN"/>
                    </w:rPr>
                    <w:t>9</w:t>
                  </w:r>
                  <w:r>
                    <w:rPr>
                      <w:rFonts w:hint="eastAsia"/>
                      <w:spacing w:val="11"/>
                      <w:kern w:val="0"/>
                      <w:position w:val="0"/>
                      <w:szCs w:val="21"/>
                      <w:u w:val="single" w:color="auto"/>
                    </w:rPr>
                    <w:t>日经湖南省永州市自然资源和规划局评审通过了《</w:t>
                  </w:r>
                  <w:r>
                    <w:rPr>
                      <w:rFonts w:hint="eastAsia"/>
                      <w:spacing w:val="11"/>
                      <w:kern w:val="0"/>
                      <w:position w:val="0"/>
                      <w:szCs w:val="21"/>
                      <w:u w:val="single" w:color="auto"/>
                      <w:lang w:val="en-US" w:eastAsia="zh-CN"/>
                    </w:rPr>
                    <w:t>湖南省新田县周家洞矿区建筑石料用灰岩矿勘查报告</w:t>
                  </w:r>
                  <w:r>
                    <w:rPr>
                      <w:rFonts w:hint="eastAsia"/>
                      <w:spacing w:val="11"/>
                      <w:kern w:val="0"/>
                      <w:position w:val="0"/>
                      <w:szCs w:val="21"/>
                      <w:u w:val="single" w:color="auto"/>
                    </w:rPr>
                    <w:t>》，矿产资源储量评审备案证明（永自然资储备字[202</w:t>
                  </w:r>
                  <w:r>
                    <w:rPr>
                      <w:rFonts w:hint="eastAsia"/>
                      <w:spacing w:val="11"/>
                      <w:kern w:val="0"/>
                      <w:position w:val="0"/>
                      <w:szCs w:val="21"/>
                      <w:u w:val="single" w:color="auto"/>
                      <w:lang w:val="en-US" w:eastAsia="zh-CN"/>
                    </w:rPr>
                    <w:t>3</w:t>
                  </w:r>
                  <w:r>
                    <w:rPr>
                      <w:rFonts w:hint="eastAsia"/>
                      <w:spacing w:val="11"/>
                      <w:kern w:val="0"/>
                      <w:position w:val="0"/>
                      <w:szCs w:val="21"/>
                      <w:u w:val="single" w:color="auto"/>
                    </w:rPr>
                    <w:t>]00</w:t>
                  </w:r>
                  <w:r>
                    <w:rPr>
                      <w:rFonts w:hint="eastAsia"/>
                      <w:spacing w:val="11"/>
                      <w:kern w:val="0"/>
                      <w:position w:val="0"/>
                      <w:szCs w:val="21"/>
                      <w:u w:val="single" w:color="auto"/>
                      <w:lang w:val="en-US" w:eastAsia="zh-CN"/>
                    </w:rPr>
                    <w:t>3</w:t>
                  </w:r>
                  <w:r>
                    <w:rPr>
                      <w:rFonts w:hint="eastAsia"/>
                      <w:spacing w:val="11"/>
                      <w:kern w:val="0"/>
                      <w:position w:val="0"/>
                      <w:szCs w:val="21"/>
                      <w:u w:val="single" w:color="auto"/>
                    </w:rPr>
                    <w:t>号），矿山范围内建筑石料用灰岩矿控制资源量</w:t>
                  </w:r>
                  <w:r>
                    <w:rPr>
                      <w:rFonts w:hint="eastAsia"/>
                      <w:spacing w:val="11"/>
                      <w:kern w:val="0"/>
                      <w:position w:val="0"/>
                      <w:szCs w:val="21"/>
                      <w:u w:val="single" w:color="auto"/>
                      <w:lang w:val="en-US" w:eastAsia="zh-CN"/>
                    </w:rPr>
                    <w:t>370.4</w:t>
                  </w:r>
                  <w:r>
                    <w:rPr>
                      <w:rFonts w:hint="eastAsia"/>
                      <w:spacing w:val="11"/>
                      <w:kern w:val="0"/>
                      <w:position w:val="0"/>
                      <w:szCs w:val="21"/>
                      <w:u w:val="single" w:color="auto"/>
                    </w:rPr>
                    <w:t>万t（1</w:t>
                  </w:r>
                  <w:r>
                    <w:rPr>
                      <w:rFonts w:hint="eastAsia"/>
                      <w:spacing w:val="11"/>
                      <w:kern w:val="0"/>
                      <w:position w:val="0"/>
                      <w:szCs w:val="21"/>
                      <w:u w:val="single" w:color="auto"/>
                      <w:lang w:val="en-US" w:eastAsia="zh-CN"/>
                    </w:rPr>
                    <w:t>36.7</w:t>
                  </w:r>
                  <w:r>
                    <w:rPr>
                      <w:rFonts w:hint="eastAsia"/>
                      <w:spacing w:val="11"/>
                      <w:kern w:val="0"/>
                      <w:position w:val="0"/>
                      <w:szCs w:val="21"/>
                      <w:u w:val="single" w:color="auto"/>
                    </w:rPr>
                    <w:t>万m</w:t>
                  </w:r>
                  <w:r>
                    <w:rPr>
                      <w:rFonts w:hint="eastAsia"/>
                      <w:spacing w:val="11"/>
                      <w:kern w:val="0"/>
                      <w:position w:val="0"/>
                      <w:szCs w:val="21"/>
                      <w:u w:val="single" w:color="auto"/>
                      <w:vertAlign w:val="superscript"/>
                    </w:rPr>
                    <w:t>3</w:t>
                  </w:r>
                  <w:r>
                    <w:rPr>
                      <w:rFonts w:hint="eastAsia"/>
                      <w:spacing w:val="11"/>
                      <w:kern w:val="0"/>
                      <w:position w:val="0"/>
                      <w:szCs w:val="21"/>
                      <w:u w:val="single" w:color="auto"/>
                    </w:rPr>
                    <w:t>），矿区剥离量</w:t>
                  </w:r>
                  <w:r>
                    <w:rPr>
                      <w:rFonts w:hint="eastAsia"/>
                      <w:spacing w:val="11"/>
                      <w:kern w:val="0"/>
                      <w:position w:val="0"/>
                      <w:szCs w:val="21"/>
                      <w:u w:val="single" w:color="auto"/>
                      <w:lang w:val="en-US" w:eastAsia="zh-CN"/>
                    </w:rPr>
                    <w:t>13.2</w:t>
                  </w:r>
                  <w:r>
                    <w:rPr>
                      <w:rFonts w:hint="eastAsia"/>
                      <w:spacing w:val="11"/>
                      <w:kern w:val="0"/>
                      <w:position w:val="0"/>
                      <w:szCs w:val="21"/>
                      <w:u w:val="single" w:color="auto"/>
                    </w:rPr>
                    <w:t>万m</w:t>
                  </w:r>
                  <w:r>
                    <w:rPr>
                      <w:rFonts w:hint="eastAsia"/>
                      <w:spacing w:val="11"/>
                      <w:kern w:val="0"/>
                      <w:position w:val="0"/>
                      <w:szCs w:val="21"/>
                      <w:u w:val="single" w:color="auto"/>
                      <w:vertAlign w:val="superscript"/>
                    </w:rPr>
                    <w:t>3</w:t>
                  </w:r>
                  <w:r>
                    <w:rPr>
                      <w:rFonts w:hint="eastAsia"/>
                      <w:spacing w:val="11"/>
                      <w:kern w:val="0"/>
                      <w:position w:val="0"/>
                      <w:szCs w:val="21"/>
                      <w:u w:val="single" w:color="auto"/>
                    </w:rPr>
                    <w:t>，剥采比为</w:t>
                  </w:r>
                  <w:r>
                    <w:rPr>
                      <w:rFonts w:hint="default" w:ascii="Times New Roman" w:hAnsi="Times New Roman" w:eastAsia="宋体" w:cs="Times New Roman"/>
                      <w:bCs/>
                      <w:color w:val="000000"/>
                      <w:spacing w:val="11"/>
                      <w:position w:val="0"/>
                      <w:sz w:val="21"/>
                      <w:szCs w:val="21"/>
                      <w:highlight w:val="none"/>
                      <w:u w:val="single" w:color="auto"/>
                      <w:lang w:val="en-US" w:eastAsia="zh-CN"/>
                    </w:rPr>
                    <w:t>0.10:1（m</w:t>
                  </w:r>
                  <w:r>
                    <w:rPr>
                      <w:rFonts w:hint="default" w:ascii="Times New Roman" w:hAnsi="Times New Roman" w:eastAsia="宋体" w:cs="Times New Roman"/>
                      <w:bCs/>
                      <w:color w:val="000000"/>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1"/>
                      <w:szCs w:val="21"/>
                      <w:highlight w:val="none"/>
                      <w:u w:val="single" w:color="auto"/>
                      <w:lang w:val="en-US" w:eastAsia="zh-CN"/>
                    </w:rPr>
                    <w:t>/m</w:t>
                  </w:r>
                  <w:r>
                    <w:rPr>
                      <w:rFonts w:hint="default" w:ascii="Times New Roman" w:hAnsi="Times New Roman" w:eastAsia="宋体" w:cs="Times New Roman"/>
                      <w:bCs/>
                      <w:color w:val="000000"/>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1"/>
                      <w:szCs w:val="21"/>
                      <w:highlight w:val="none"/>
                      <w:u w:val="single" w:color="auto"/>
                      <w:lang w:val="en-US" w:eastAsia="zh-CN"/>
                    </w:rPr>
                    <w:t>）</w:t>
                  </w:r>
                  <w:r>
                    <w:rPr>
                      <w:rFonts w:hint="eastAsia"/>
                      <w:spacing w:val="11"/>
                      <w:kern w:val="0"/>
                      <w:position w:val="0"/>
                      <w:szCs w:val="21"/>
                      <w:u w:val="single" w:color="auto"/>
                    </w:rPr>
                    <w:t>。年开采规模为</w:t>
                  </w:r>
                  <w:r>
                    <w:rPr>
                      <w:rFonts w:hint="eastAsia"/>
                      <w:spacing w:val="11"/>
                      <w:kern w:val="0"/>
                      <w:position w:val="0"/>
                      <w:szCs w:val="21"/>
                      <w:u w:val="single" w:color="auto"/>
                      <w:lang w:val="en-US" w:eastAsia="zh-CN"/>
                    </w:rPr>
                    <w:t>6</w:t>
                  </w:r>
                  <w:r>
                    <w:rPr>
                      <w:rFonts w:hint="eastAsia"/>
                      <w:spacing w:val="11"/>
                      <w:kern w:val="0"/>
                      <w:position w:val="0"/>
                      <w:szCs w:val="21"/>
                      <w:u w:val="single" w:color="auto"/>
                    </w:rPr>
                    <w:t>0万吨。</w:t>
                  </w:r>
                </w:p>
              </w:tc>
              <w:tc>
                <w:tcPr>
                  <w:tcW w:w="843" w:type="dxa"/>
                  <w:tcBorders>
                    <w:tl2br w:val="nil"/>
                    <w:tr2bl w:val="nil"/>
                  </w:tcBorders>
                  <w:noWrap w:val="0"/>
                  <w:vAlign w:val="center"/>
                </w:tcPr>
                <w:p w14:paraId="7C1BFF33">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570AF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524E00F1">
                  <w:pPr>
                    <w:adjustRightInd w:val="0"/>
                    <w:snapToGrid w:val="0"/>
                    <w:rPr>
                      <w:rFonts w:hint="eastAsia" w:ascii="宋体" w:hAnsi="宋体" w:cs="宋体"/>
                      <w:spacing w:val="11"/>
                      <w:position w:val="0"/>
                      <w:u w:val="single" w:color="auto"/>
                    </w:rPr>
                  </w:pPr>
                  <w:r>
                    <w:rPr>
                      <w:spacing w:val="11"/>
                      <w:position w:val="0"/>
                      <w:u w:val="single" w:color="auto"/>
                    </w:rPr>
                    <w:t>采矿工艺：</w:t>
                  </w:r>
                  <w:r>
                    <w:rPr>
                      <w:rFonts w:hint="eastAsia" w:ascii="宋体" w:hAnsi="宋体" w:cs="宋体"/>
                      <w:spacing w:val="11"/>
                      <w:position w:val="0"/>
                      <w:u w:val="single" w:color="auto"/>
                    </w:rPr>
                    <w:t>①</w:t>
                  </w:r>
                  <w:r>
                    <w:rPr>
                      <w:spacing w:val="11"/>
                      <w:position w:val="0"/>
                      <w:u w:val="single" w:color="auto"/>
                    </w:rPr>
                    <w:t>采用的生产技术应当符合相关技术标准、规范、规程的要求，拟建设的矿山工业设施应避让地质环境脆弱区和地质灾害危险区；</w:t>
                  </w:r>
                  <w:r>
                    <w:rPr>
                      <w:rFonts w:hint="eastAsia" w:ascii="宋体" w:hAnsi="宋体" w:cs="宋体"/>
                      <w:spacing w:val="11"/>
                      <w:position w:val="0"/>
                      <w:u w:val="single" w:color="auto"/>
                    </w:rPr>
                    <w:t>②</w:t>
                  </w:r>
                  <w:r>
                    <w:rPr>
                      <w:spacing w:val="11"/>
                      <w:position w:val="0"/>
                      <w:u w:val="single" w:color="auto"/>
                    </w:rPr>
                    <w:t>露天开采，实行自上而下台阶式开采，开采台阶高度小于15m，最低可采标高不低于矿区附近的最低地面标高；</w:t>
                  </w:r>
                  <w:r>
                    <w:rPr>
                      <w:rFonts w:hint="eastAsia" w:ascii="宋体" w:hAnsi="宋体" w:cs="宋体"/>
                      <w:spacing w:val="11"/>
                      <w:position w:val="0"/>
                      <w:u w:val="single" w:color="auto"/>
                    </w:rPr>
                    <w:t>③</w:t>
                  </w:r>
                  <w:r>
                    <w:rPr>
                      <w:spacing w:val="11"/>
                      <w:position w:val="0"/>
                      <w:u w:val="single" w:color="auto"/>
                    </w:rPr>
                    <w:t>选择合理的开采顺序、开采方法和选矿工艺，提高矿产资源利用率，开采回采率应达到主管部门核定的指标。</w:t>
                  </w:r>
                </w:p>
              </w:tc>
              <w:tc>
                <w:tcPr>
                  <w:tcW w:w="2427" w:type="dxa"/>
                  <w:tcBorders>
                    <w:tl2br w:val="nil"/>
                    <w:tr2bl w:val="nil"/>
                  </w:tcBorders>
                  <w:noWrap w:val="0"/>
                  <w:vAlign w:val="center"/>
                </w:tcPr>
                <w:p w14:paraId="6DAFB504">
                  <w:pPr>
                    <w:widowControl/>
                    <w:adjustRightInd w:val="0"/>
                    <w:snapToGrid w:val="0"/>
                    <w:rPr>
                      <w:spacing w:val="11"/>
                      <w:kern w:val="0"/>
                      <w:position w:val="0"/>
                      <w:szCs w:val="21"/>
                      <w:u w:val="single" w:color="auto"/>
                    </w:rPr>
                  </w:pPr>
                  <w:r>
                    <w:rPr>
                      <w:rFonts w:hint="eastAsia"/>
                      <w:spacing w:val="11"/>
                      <w:position w:val="0"/>
                      <w:u w:val="single" w:color="auto"/>
                    </w:rPr>
                    <w:t>根据《湖南省地壳稳定性分区图》</w:t>
                  </w:r>
                  <w:r>
                    <w:rPr>
                      <w:rFonts w:ascii="宋体" w:hAnsi="Courier New"/>
                      <w:spacing w:val="11"/>
                      <w:position w:val="0"/>
                      <w:szCs w:val="21"/>
                      <w:u w:val="single" w:color="auto"/>
                    </w:rPr>
                    <w:t>本项目</w:t>
                  </w:r>
                  <w:r>
                    <w:rPr>
                      <w:rFonts w:hint="eastAsia"/>
                      <w:spacing w:val="11"/>
                      <w:position w:val="0"/>
                      <w:u w:val="single" w:color="auto"/>
                    </w:rPr>
                    <w:t>为湘西南较稳定－稳定区；</w:t>
                  </w:r>
                  <w:r>
                    <w:rPr>
                      <w:rFonts w:hint="eastAsia" w:ascii="新宋体" w:hAnsi="新宋体" w:eastAsia="新宋体"/>
                      <w:spacing w:val="11"/>
                      <w:position w:val="0"/>
                      <w:szCs w:val="21"/>
                      <w:u w:val="single" w:color="auto"/>
                      <w:shd w:val="clear" w:color="auto" w:fill="FFFFFF"/>
                    </w:rPr>
                    <w:t>矿山开采选用湿式凿岩工艺，</w:t>
                  </w:r>
                  <w:r>
                    <w:rPr>
                      <w:rFonts w:ascii="宋体" w:hAnsi="Courier New"/>
                      <w:spacing w:val="11"/>
                      <w:kern w:val="0"/>
                      <w:position w:val="0"/>
                      <w:szCs w:val="21"/>
                      <w:u w:val="single" w:color="auto"/>
                    </w:rPr>
                    <w:t>限制开采作业范围，</w:t>
                  </w:r>
                  <w:r>
                    <w:rPr>
                      <w:rFonts w:hAnsi="新宋体" w:eastAsia="新宋体"/>
                      <w:spacing w:val="11"/>
                      <w:position w:val="0"/>
                      <w:szCs w:val="21"/>
                      <w:u w:val="single" w:color="auto"/>
                      <w:shd w:val="clear" w:color="auto" w:fill="FFFFFF"/>
                    </w:rPr>
                    <w:t>实行自上而下分水平台阶式开采，</w:t>
                  </w:r>
                  <w:r>
                    <w:rPr>
                      <w:rFonts w:hint="eastAsia" w:hAnsi="新宋体" w:eastAsia="新宋体"/>
                      <w:spacing w:val="11"/>
                      <w:position w:val="0"/>
                      <w:szCs w:val="21"/>
                      <w:u w:val="single" w:color="auto"/>
                      <w:shd w:val="clear" w:color="auto" w:fill="FFFFFF"/>
                      <w:lang w:eastAsia="zh-CN"/>
                    </w:rPr>
                    <w:t>开采标高</w:t>
                  </w:r>
                  <w:r>
                    <w:rPr>
                      <w:rFonts w:hint="default" w:ascii="Times New Roman" w:hAnsi="Times New Roman" w:eastAsia="宋体" w:cs="Times New Roman"/>
                      <w:spacing w:val="11"/>
                      <w:position w:val="0"/>
                      <w:sz w:val="21"/>
                      <w:szCs w:val="21"/>
                      <w:u w:val="single" w:color="auto"/>
                    </w:rPr>
                    <w:t>+</w:t>
                  </w:r>
                  <w:r>
                    <w:rPr>
                      <w:rFonts w:hint="eastAsia" w:eastAsia="宋体" w:cs="Times New Roman"/>
                      <w:spacing w:val="11"/>
                      <w:position w:val="0"/>
                      <w:sz w:val="21"/>
                      <w:szCs w:val="21"/>
                      <w:u w:val="single" w:color="auto"/>
                      <w:lang w:val="en-US" w:eastAsia="zh-CN"/>
                    </w:rPr>
                    <w:t>343m~260m</w:t>
                  </w:r>
                  <w:r>
                    <w:rPr>
                      <w:rFonts w:hint="eastAsia" w:ascii="Times New Roman" w:hAnsi="Times New Roman" w:eastAsia="宋体" w:cs="Times New Roman"/>
                      <w:spacing w:val="11"/>
                      <w:position w:val="0"/>
                      <w:sz w:val="21"/>
                      <w:szCs w:val="21"/>
                      <w:u w:val="single" w:color="auto"/>
                      <w:lang w:eastAsia="zh-CN"/>
                    </w:rPr>
                    <w:t>，</w:t>
                  </w:r>
                  <w:r>
                    <w:rPr>
                      <w:spacing w:val="11"/>
                      <w:position w:val="0"/>
                      <w:u w:val="single" w:color="auto"/>
                    </w:rPr>
                    <w:t>与矿山最低标高一致；项目不涉及选矿，开采回采率</w:t>
                  </w:r>
                  <w:r>
                    <w:rPr>
                      <w:rFonts w:hint="eastAsia"/>
                      <w:spacing w:val="11"/>
                      <w:position w:val="0"/>
                      <w:u w:val="single" w:color="auto"/>
                    </w:rPr>
                    <w:t>98%。</w:t>
                  </w:r>
                </w:p>
              </w:tc>
              <w:tc>
                <w:tcPr>
                  <w:tcW w:w="843" w:type="dxa"/>
                  <w:tcBorders>
                    <w:tl2br w:val="nil"/>
                    <w:tr2bl w:val="nil"/>
                  </w:tcBorders>
                  <w:noWrap w:val="0"/>
                  <w:vAlign w:val="center"/>
                </w:tcPr>
                <w:p w14:paraId="2BCABB5D">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1211D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1C8491F4">
                  <w:pPr>
                    <w:adjustRightInd w:val="0"/>
                    <w:snapToGrid w:val="0"/>
                    <w:rPr>
                      <w:rFonts w:hint="eastAsia" w:eastAsia="宋体"/>
                      <w:spacing w:val="11"/>
                      <w:position w:val="0"/>
                      <w:u w:val="single" w:color="auto"/>
                      <w:lang w:eastAsia="zh-CN"/>
                    </w:rPr>
                  </w:pPr>
                  <w:r>
                    <w:rPr>
                      <w:spacing w:val="11"/>
                      <w:position w:val="0"/>
                      <w:u w:val="single" w:color="auto"/>
                    </w:rPr>
                    <w:t>环境保护要求：</w:t>
                  </w:r>
                  <w:r>
                    <w:rPr>
                      <w:rFonts w:hint="eastAsia" w:ascii="宋体" w:hAnsi="宋体" w:cs="宋体"/>
                      <w:spacing w:val="11"/>
                      <w:position w:val="0"/>
                      <w:u w:val="single" w:color="auto"/>
                    </w:rPr>
                    <w:t>①</w:t>
                  </w:r>
                  <w:r>
                    <w:rPr>
                      <w:spacing w:val="11"/>
                      <w:position w:val="0"/>
                      <w:u w:val="single" w:color="auto"/>
                    </w:rPr>
                    <w:t>建立矿山地质环境恢复基金，坚持边开采、边治理、边恢复；</w:t>
                  </w:r>
                  <w:r>
                    <w:rPr>
                      <w:rFonts w:hint="eastAsia" w:ascii="宋体" w:hAnsi="宋体" w:cs="宋体"/>
                      <w:spacing w:val="11"/>
                      <w:position w:val="0"/>
                      <w:u w:val="single" w:color="auto"/>
                    </w:rPr>
                    <w:t>②</w:t>
                  </w:r>
                  <w:r>
                    <w:rPr>
                      <w:spacing w:val="11"/>
                      <w:position w:val="0"/>
                      <w:u w:val="single" w:color="auto"/>
                    </w:rPr>
                    <w:t>对剥离表土或筛分后渣土，用于环境治理、土地复垦复绿</w:t>
                  </w:r>
                  <w:r>
                    <w:rPr>
                      <w:rFonts w:hint="eastAsia"/>
                      <w:spacing w:val="11"/>
                      <w:position w:val="0"/>
                      <w:u w:val="single" w:color="auto"/>
                      <w:lang w:eastAsia="zh-CN"/>
                    </w:rPr>
                    <w:t>。</w:t>
                  </w:r>
                </w:p>
              </w:tc>
              <w:tc>
                <w:tcPr>
                  <w:tcW w:w="2427" w:type="dxa"/>
                  <w:tcBorders>
                    <w:tl2br w:val="nil"/>
                    <w:tr2bl w:val="nil"/>
                  </w:tcBorders>
                  <w:noWrap w:val="0"/>
                  <w:vAlign w:val="center"/>
                </w:tcPr>
                <w:p w14:paraId="6F6380A2">
                  <w:pPr>
                    <w:widowControl/>
                    <w:adjustRightInd w:val="0"/>
                    <w:snapToGrid w:val="0"/>
                    <w:rPr>
                      <w:rFonts w:hint="eastAsia"/>
                      <w:spacing w:val="11"/>
                      <w:position w:val="0"/>
                      <w:u w:val="single" w:color="auto"/>
                    </w:rPr>
                  </w:pPr>
                  <w:r>
                    <w:rPr>
                      <w:rFonts w:hint="eastAsia"/>
                      <w:spacing w:val="11"/>
                      <w:position w:val="0"/>
                      <w:u w:val="single" w:color="auto"/>
                    </w:rPr>
                    <w:t>本项目按照</w:t>
                  </w:r>
                  <w:r>
                    <w:rPr>
                      <w:rFonts w:hint="eastAsia" w:ascii="宋体" w:hAnsi="宋体" w:cs="Arial"/>
                      <w:spacing w:val="11"/>
                      <w:position w:val="0"/>
                      <w:szCs w:val="21"/>
                      <w:u w:val="single" w:color="auto"/>
                    </w:rPr>
                    <w:t>《</w:t>
                  </w:r>
                  <w:r>
                    <w:rPr>
                      <w:rFonts w:ascii="Arial" w:hAnsi="Arial" w:cs="Arial"/>
                      <w:spacing w:val="11"/>
                      <w:position w:val="0"/>
                      <w:szCs w:val="21"/>
                      <w:u w:val="single" w:color="auto"/>
                      <w:shd w:val="clear" w:color="auto" w:fill="FFFFFF"/>
                    </w:rPr>
                    <w:t>湖南省水泥行业绿色矿山标准</w:t>
                  </w:r>
                  <w:r>
                    <w:rPr>
                      <w:rFonts w:hint="eastAsia" w:ascii="Arial" w:hAnsi="Arial" w:cs="Arial"/>
                      <w:spacing w:val="11"/>
                      <w:position w:val="0"/>
                      <w:szCs w:val="21"/>
                      <w:u w:val="single" w:color="auto"/>
                      <w:shd w:val="clear" w:color="auto" w:fill="FFFFFF"/>
                    </w:rPr>
                    <w:t>（</w:t>
                  </w:r>
                  <w:r>
                    <w:rPr>
                      <w:rFonts w:ascii="Arial" w:hAnsi="Arial" w:cs="Arial"/>
                      <w:spacing w:val="11"/>
                      <w:position w:val="0"/>
                      <w:szCs w:val="21"/>
                      <w:u w:val="single" w:color="auto"/>
                      <w:shd w:val="clear" w:color="auto" w:fill="FFFFFF"/>
                    </w:rPr>
                    <w:t>试行</w:t>
                  </w:r>
                  <w:r>
                    <w:rPr>
                      <w:rFonts w:hint="eastAsia" w:ascii="Arial" w:hAnsi="Arial" w:cs="Arial"/>
                      <w:spacing w:val="11"/>
                      <w:position w:val="0"/>
                      <w:szCs w:val="21"/>
                      <w:u w:val="single" w:color="auto"/>
                      <w:shd w:val="clear" w:color="auto" w:fill="FFFFFF"/>
                    </w:rPr>
                    <w:t>）</w:t>
                  </w:r>
                  <w:r>
                    <w:rPr>
                      <w:rFonts w:hint="eastAsia" w:ascii="宋体" w:hAnsi="宋体" w:cs="Arial"/>
                      <w:spacing w:val="11"/>
                      <w:position w:val="0"/>
                      <w:szCs w:val="21"/>
                      <w:u w:val="single" w:color="auto"/>
                    </w:rPr>
                    <w:t>》、</w:t>
                  </w:r>
                  <w:r>
                    <w:rPr>
                      <w:rFonts w:ascii="宋体" w:hAnsi="Courier New"/>
                      <w:spacing w:val="11"/>
                      <w:position w:val="0"/>
                      <w:szCs w:val="21"/>
                      <w:u w:val="single" w:color="auto"/>
                    </w:rPr>
                    <w:t>《矿山生态环境保护与污染防治技术政策》、</w:t>
                  </w:r>
                  <w:r>
                    <w:rPr>
                      <w:spacing w:val="11"/>
                      <w:kern w:val="0"/>
                      <w:position w:val="0"/>
                      <w:szCs w:val="21"/>
                      <w:u w:val="single" w:color="auto"/>
                    </w:rPr>
                    <w:t>《矿山生态环境保护与污染防治技术政策》、《矿山生态环境保护与恢复治理技术规范（试行）》相关要求进行开采，剥离表土用于后期土地复垦</w:t>
                  </w:r>
                  <w:r>
                    <w:rPr>
                      <w:rFonts w:hint="eastAsia"/>
                      <w:spacing w:val="11"/>
                      <w:kern w:val="0"/>
                      <w:position w:val="0"/>
                      <w:szCs w:val="21"/>
                      <w:u w:val="single" w:color="auto"/>
                    </w:rPr>
                    <w:t>。</w:t>
                  </w:r>
                </w:p>
              </w:tc>
              <w:tc>
                <w:tcPr>
                  <w:tcW w:w="843" w:type="dxa"/>
                  <w:tcBorders>
                    <w:tl2br w:val="nil"/>
                    <w:tr2bl w:val="nil"/>
                  </w:tcBorders>
                  <w:noWrap w:val="0"/>
                  <w:vAlign w:val="center"/>
                </w:tcPr>
                <w:p w14:paraId="5611CA4C">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14:paraId="5F85E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14:paraId="0FC3842F">
                  <w:pPr>
                    <w:adjustRightInd w:val="0"/>
                    <w:snapToGrid w:val="0"/>
                    <w:rPr>
                      <w:rFonts w:hint="eastAsia" w:ascii="宋体" w:hAnsi="宋体" w:eastAsia="宋体" w:cs="宋体"/>
                      <w:spacing w:val="11"/>
                      <w:position w:val="0"/>
                      <w:u w:val="single" w:color="auto"/>
                    </w:rPr>
                  </w:pPr>
                  <w:r>
                    <w:rPr>
                      <w:rFonts w:hint="eastAsia" w:ascii="宋体" w:hAnsi="宋体" w:eastAsia="宋体" w:cs="宋体"/>
                      <w:spacing w:val="11"/>
                      <w:position w:val="0"/>
                      <w:u w:val="single" w:color="auto"/>
                    </w:rPr>
                    <w:t>安全生产要求：①开采边界与公路（高速、国道、省道）、高压线、居民点、地面重要构筑物及其他采矿权的爆破安全距离不小于300m，铁路沿线两侧不少于1000m；②证照齐全有效，安全生产管理机构健全，配备有专职安全生产管理人员，安全生产责任制及安全管理到位；③对从业人员进行安全生产教育和培训，合格后方能上岗作业；④建立监测监控系统，实现生产、安全、环境、地质灾害等监测监控子系统的集中管控，保障安全生产。</w:t>
                  </w:r>
                </w:p>
              </w:tc>
              <w:tc>
                <w:tcPr>
                  <w:tcW w:w="2427" w:type="dxa"/>
                  <w:tcBorders>
                    <w:tl2br w:val="nil"/>
                    <w:tr2bl w:val="nil"/>
                  </w:tcBorders>
                  <w:noWrap w:val="0"/>
                  <w:vAlign w:val="center"/>
                </w:tcPr>
                <w:p w14:paraId="22690073">
                  <w:pPr>
                    <w:widowControl/>
                    <w:adjustRightInd w:val="0"/>
                    <w:snapToGrid w:val="0"/>
                    <w:rPr>
                      <w:rFonts w:hint="eastAsia" w:ascii="宋体" w:hAnsi="宋体" w:eastAsia="宋体" w:cs="宋体"/>
                      <w:spacing w:val="11"/>
                      <w:position w:val="0"/>
                      <w:u w:val="single" w:color="auto"/>
                    </w:rPr>
                  </w:pPr>
                  <w:r>
                    <w:rPr>
                      <w:rFonts w:hint="eastAsia" w:ascii="宋体" w:hAnsi="宋体" w:eastAsia="宋体" w:cs="宋体"/>
                      <w:spacing w:val="11"/>
                      <w:position w:val="0"/>
                      <w:u w:val="single" w:color="auto"/>
                    </w:rPr>
                    <w:t>矿区爆破区300m范围内无公路（高速、国道、省道）、高压线、居民点（拆迁后无居民）、地面重要构筑物及其他采矿权、铁路</w:t>
                  </w:r>
                  <w:r>
                    <w:rPr>
                      <w:rFonts w:hint="eastAsia" w:ascii="宋体" w:hAnsi="宋体" w:eastAsia="宋体" w:cs="宋体"/>
                      <w:color w:val="000000"/>
                      <w:spacing w:val="11"/>
                      <w:position w:val="0"/>
                      <w:u w:val="single" w:color="auto"/>
                    </w:rPr>
                    <w:t>；</w:t>
                  </w:r>
                  <w:r>
                    <w:rPr>
                      <w:rFonts w:hint="eastAsia" w:ascii="宋体" w:hAnsi="宋体" w:eastAsia="宋体" w:cs="宋体"/>
                      <w:spacing w:val="11"/>
                      <w:position w:val="0"/>
                      <w:u w:val="single" w:color="auto"/>
                    </w:rPr>
                    <w:t>公司配备安全生产管理人员，爆破委托专业有资质爆破公司进行爆破；从业人员进行安全生产教育和培训，合格后方能上岗作业；施工期、运营期、退役期安排安全生产管理人员进行全程监控。</w:t>
                  </w:r>
                </w:p>
              </w:tc>
              <w:tc>
                <w:tcPr>
                  <w:tcW w:w="843" w:type="dxa"/>
                  <w:tcBorders>
                    <w:tl2br w:val="nil"/>
                    <w:tr2bl w:val="nil"/>
                  </w:tcBorders>
                  <w:noWrap w:val="0"/>
                  <w:vAlign w:val="center"/>
                </w:tcPr>
                <w:p w14:paraId="470206CA">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bl>
          <w:p w14:paraId="63C5EB31">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color w:val="auto"/>
                <w:spacing w:val="11"/>
                <w:kern w:val="0"/>
                <w:position w:val="0"/>
                <w:sz w:val="24"/>
                <w:szCs w:val="24"/>
              </w:rPr>
            </w:pPr>
          </w:p>
        </w:tc>
      </w:tr>
      <w:tr w14:paraId="560E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226" w:type="dxa"/>
            <w:tcBorders>
              <w:tl2br w:val="nil"/>
              <w:tr2bl w:val="nil"/>
            </w:tcBorders>
            <w:shd w:val="clear" w:color="auto" w:fill="auto"/>
            <w:noWrap w:val="0"/>
            <w:tcMar>
              <w:top w:w="16" w:type="dxa"/>
              <w:left w:w="16" w:type="dxa"/>
              <w:right w:w="16" w:type="dxa"/>
            </w:tcMar>
            <w:vAlign w:val="center"/>
          </w:tcPr>
          <w:p w14:paraId="352AB65A">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center"/>
              <w:textAlignment w:val="auto"/>
              <w:rPr>
                <w:rFonts w:hint="default" w:ascii="Times New Roman" w:hAnsi="Times New Roman" w:eastAsia="宋体" w:cs="Times New Roman"/>
                <w:color w:val="000000"/>
                <w:spacing w:val="11"/>
                <w:kern w:val="0"/>
                <w:position w:val="0"/>
                <w:sz w:val="24"/>
                <w:szCs w:val="24"/>
                <w:u w:val="none" w:color="auto"/>
                <w:lang w:val="en-US" w:eastAsia="zh-CN" w:bidi="ar-SA"/>
              </w:rPr>
            </w:pPr>
            <w:r>
              <w:rPr>
                <w:rFonts w:hint="default" w:ascii="Times New Roman" w:hAnsi="Times New Roman" w:eastAsia="宋体" w:cs="Times New Roman"/>
                <w:color w:val="000000"/>
                <w:spacing w:val="11"/>
                <w:kern w:val="0"/>
                <w:position w:val="0"/>
                <w:sz w:val="24"/>
                <w:szCs w:val="24"/>
                <w:u w:val="none" w:color="auto"/>
              </w:rPr>
              <w:t>其他符合性分析</w:t>
            </w:r>
          </w:p>
        </w:tc>
        <w:tc>
          <w:tcPr>
            <w:tcW w:w="6813" w:type="dxa"/>
            <w:gridSpan w:val="3"/>
            <w:tcBorders>
              <w:tl2br w:val="nil"/>
              <w:tr2bl w:val="nil"/>
            </w:tcBorders>
            <w:shd w:val="clear" w:color="auto" w:fill="auto"/>
            <w:noWrap w:val="0"/>
            <w:tcMar>
              <w:top w:w="16" w:type="dxa"/>
              <w:left w:w="16" w:type="dxa"/>
              <w:right w:w="16" w:type="dxa"/>
            </w:tcMar>
            <w:vAlign w:val="center"/>
          </w:tcPr>
          <w:p w14:paraId="386DCE65">
            <w:pPr>
              <w:pStyle w:val="27"/>
              <w:keepNext w:val="0"/>
              <w:keepLines w:val="0"/>
              <w:pageBreakBefore w:val="0"/>
              <w:widowControl w:val="0"/>
              <w:tabs>
                <w:tab w:val="center" w:pos="3313"/>
              </w:tabs>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lang w:eastAsia="zh-CN"/>
              </w:rPr>
            </w:pPr>
            <w:r>
              <w:rPr>
                <w:rFonts w:hint="default" w:ascii="Times New Roman" w:hAnsi="Times New Roman" w:eastAsia="宋体" w:cs="Times New Roman"/>
                <w:color w:val="000000"/>
                <w:spacing w:val="11"/>
                <w:position w:val="0"/>
                <w:sz w:val="24"/>
                <w:szCs w:val="24"/>
                <w:u w:val="none" w:color="auto"/>
                <w:lang w:val="en-US" w:eastAsia="zh-CN"/>
              </w:rPr>
              <w:t>1、</w:t>
            </w:r>
            <w:r>
              <w:rPr>
                <w:rFonts w:hint="default" w:ascii="Times New Roman" w:hAnsi="Times New Roman" w:eastAsia="宋体" w:cs="Times New Roman"/>
                <w:color w:val="000000"/>
                <w:spacing w:val="11"/>
                <w:position w:val="0"/>
                <w:sz w:val="24"/>
                <w:szCs w:val="24"/>
                <w:u w:val="none" w:color="auto"/>
              </w:rPr>
              <w:t>与产业政策</w:t>
            </w:r>
            <w:r>
              <w:rPr>
                <w:rFonts w:hint="default" w:ascii="Times New Roman" w:hAnsi="Times New Roman" w:eastAsia="宋体" w:cs="Times New Roman"/>
                <w:color w:val="000000"/>
                <w:spacing w:val="11"/>
                <w:position w:val="0"/>
                <w:sz w:val="24"/>
                <w:szCs w:val="24"/>
                <w:u w:val="none" w:color="auto"/>
                <w:lang w:val="en-US" w:eastAsia="zh-CN"/>
              </w:rPr>
              <w:t>相符</w:t>
            </w:r>
            <w:r>
              <w:rPr>
                <w:rFonts w:hint="default" w:ascii="Times New Roman" w:hAnsi="Times New Roman" w:eastAsia="宋体" w:cs="Times New Roman"/>
                <w:color w:val="000000"/>
                <w:spacing w:val="11"/>
                <w:position w:val="0"/>
                <w:sz w:val="24"/>
                <w:szCs w:val="24"/>
                <w:u w:val="none" w:color="auto"/>
              </w:rPr>
              <w:t>性分析</w:t>
            </w:r>
            <w:r>
              <w:rPr>
                <w:rFonts w:hint="default" w:ascii="Times New Roman" w:hAnsi="Times New Roman" w:eastAsia="宋体" w:cs="Times New Roman"/>
                <w:color w:val="000000"/>
                <w:spacing w:val="11"/>
                <w:position w:val="0"/>
                <w:sz w:val="24"/>
                <w:szCs w:val="24"/>
                <w:u w:val="none" w:color="auto"/>
                <w:lang w:eastAsia="zh-CN"/>
              </w:rPr>
              <w:tab/>
            </w:r>
          </w:p>
          <w:p w14:paraId="2D35FE70">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本项目为建筑石料用灰岩开采项目，根据《产业结构调整指导目录》（2024年本）</w:t>
            </w:r>
            <w:r>
              <w:rPr>
                <w:rFonts w:hint="eastAsia" w:ascii="Times New Roman" w:hAnsi="Times New Roman" w:eastAsia="宋体" w:cs="Times New Roman"/>
                <w:color w:val="000000"/>
                <w:spacing w:val="11"/>
                <w:position w:val="0"/>
                <w:sz w:val="24"/>
                <w:szCs w:val="24"/>
                <w:u w:val="none" w:color="auto"/>
                <w:lang w:val="en-US" w:eastAsia="zh-CN"/>
              </w:rPr>
              <w:t>以及本</w:t>
            </w:r>
            <w:r>
              <w:rPr>
                <w:rFonts w:hint="default" w:ascii="Times New Roman" w:hAnsi="Times New Roman" w:eastAsia="宋体" w:cs="Times New Roman"/>
                <w:color w:val="000000"/>
                <w:spacing w:val="11"/>
                <w:position w:val="0"/>
                <w:sz w:val="24"/>
                <w:szCs w:val="24"/>
                <w:u w:val="none" w:color="auto"/>
                <w:lang w:val="en-US" w:eastAsia="zh-CN"/>
              </w:rPr>
              <w:t>项目工程设计资料可知</w:t>
            </w:r>
            <w:r>
              <w:rPr>
                <w:rFonts w:hint="default" w:ascii="Times New Roman" w:hAnsi="Times New Roman" w:eastAsia="宋体" w:cs="Times New Roman"/>
                <w:color w:val="000000"/>
                <w:spacing w:val="11"/>
                <w:position w:val="0"/>
                <w:sz w:val="24"/>
                <w:szCs w:val="24"/>
                <w:u w:val="none" w:color="auto"/>
              </w:rPr>
              <w:t>，</w:t>
            </w:r>
            <w:r>
              <w:rPr>
                <w:rFonts w:hint="eastAsia" w:ascii="Times New Roman" w:hAnsi="Times New Roman" w:eastAsia="宋体" w:cs="Times New Roman"/>
                <w:color w:val="000000"/>
                <w:spacing w:val="11"/>
                <w:position w:val="0"/>
                <w:sz w:val="24"/>
                <w:szCs w:val="24"/>
                <w:u w:val="none" w:color="auto"/>
                <w:lang w:eastAsia="zh-CN"/>
              </w:rPr>
              <w:t>该</w:t>
            </w:r>
            <w:r>
              <w:rPr>
                <w:rFonts w:hint="default" w:ascii="Times New Roman" w:hAnsi="Times New Roman" w:eastAsia="宋体" w:cs="Times New Roman"/>
                <w:color w:val="000000"/>
                <w:spacing w:val="11"/>
                <w:position w:val="0"/>
                <w:sz w:val="24"/>
                <w:szCs w:val="24"/>
                <w:u w:val="none" w:color="auto"/>
              </w:rPr>
              <w:t>项目采用露天开采，采用公路—汽车运输开拓方式，深孔微差爆破、台阶式开采工艺，不涉及落后、淘汰工艺；项目使用机械设备未列入《部分工业行业淘汰落后生产工艺装备和产品指导目录（2010年本）》（工产业（2010）第122号）中，无淘汰、落后设备。矿山开采使用潜孔钻机、液压挖掘机和液压锤，爆破作业委托有资质的爆破公司承担</w:t>
            </w:r>
            <w:r>
              <w:rPr>
                <w:rFonts w:hint="eastAsia" w:cs="Times New Roman"/>
                <w:color w:val="000000"/>
                <w:spacing w:val="11"/>
                <w:position w:val="0"/>
                <w:sz w:val="24"/>
                <w:szCs w:val="24"/>
                <w:u w:val="none" w:color="auto"/>
                <w:lang w:eastAsia="zh-CN"/>
              </w:rPr>
              <w:t>。</w:t>
            </w:r>
            <w:r>
              <w:rPr>
                <w:rFonts w:hint="eastAsia" w:eastAsia="宋体" w:cs="Times New Roman"/>
                <w:color w:val="000000"/>
                <w:spacing w:val="11"/>
                <w:position w:val="0"/>
                <w:sz w:val="24"/>
                <w:szCs w:val="24"/>
                <w:u w:val="none" w:color="auto"/>
                <w:lang w:val="en-US" w:eastAsia="zh-CN"/>
              </w:rPr>
              <w:t>且</w:t>
            </w:r>
            <w:r>
              <w:rPr>
                <w:rFonts w:hint="default" w:ascii="Times New Roman" w:hAnsi="Times New Roman" w:eastAsia="宋体" w:cs="Times New Roman"/>
                <w:color w:val="000000"/>
                <w:spacing w:val="11"/>
                <w:position w:val="0"/>
                <w:sz w:val="24"/>
                <w:szCs w:val="24"/>
                <w:u w:val="none" w:color="auto"/>
                <w:lang w:val="en-US" w:eastAsia="zh-CN"/>
              </w:rPr>
              <w:t>本项目已在新田县发展和改革局备案（新发改备案[2025]9号），备案证明详见附件</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故项目建设</w:t>
            </w:r>
            <w:r>
              <w:rPr>
                <w:rFonts w:hint="default" w:ascii="Times New Roman" w:hAnsi="Times New Roman" w:eastAsia="宋体" w:cs="Times New Roman"/>
                <w:color w:val="000000"/>
                <w:spacing w:val="11"/>
                <w:position w:val="0"/>
                <w:sz w:val="24"/>
                <w:szCs w:val="24"/>
                <w:u w:val="none" w:color="auto"/>
              </w:rPr>
              <w:t>符合国家及地方产业政策要求。</w:t>
            </w:r>
          </w:p>
          <w:p w14:paraId="4C3A2923">
            <w:pPr>
              <w:keepNext w:val="0"/>
              <w:keepLines w:val="0"/>
              <w:pageBreakBefore w:val="0"/>
              <w:widowControl w:val="0"/>
              <w:kinsoku/>
              <w:wordWrap/>
              <w:overflowPunct/>
              <w:topLinePunct w:val="0"/>
              <w:bidi w:val="0"/>
              <w:adjustRightInd w:val="0"/>
              <w:snapToGrid w:val="0"/>
              <w:spacing w:line="360" w:lineRule="auto"/>
              <w:ind w:firstLine="526" w:firstLineChars="200"/>
              <w:textAlignment w:val="auto"/>
              <w:rPr>
                <w:b/>
                <w:bCs/>
                <w:color w:val="000000"/>
                <w:spacing w:val="11"/>
                <w:kern w:val="0"/>
                <w:position w:val="0"/>
                <w:sz w:val="24"/>
                <w:u w:val="none" w:color="auto"/>
              </w:rPr>
            </w:pPr>
            <w:r>
              <w:rPr>
                <w:rFonts w:hint="default" w:ascii="Times New Roman" w:hAnsi="Times New Roman" w:eastAsia="宋体" w:cs="Times New Roman"/>
                <w:b/>
                <w:bCs/>
                <w:color w:val="000000"/>
                <w:spacing w:val="11"/>
                <w:position w:val="0"/>
                <w:sz w:val="24"/>
                <w:szCs w:val="24"/>
                <w:u w:val="none" w:color="auto"/>
                <w:lang w:val="en-US" w:eastAsia="zh-CN"/>
              </w:rPr>
              <w:t>2、</w:t>
            </w:r>
            <w:r>
              <w:rPr>
                <w:b/>
                <w:bCs/>
                <w:color w:val="000000"/>
                <w:spacing w:val="11"/>
                <w:kern w:val="0"/>
                <w:position w:val="0"/>
                <w:sz w:val="24"/>
                <w:u w:val="none" w:color="auto"/>
              </w:rPr>
              <w:t>《湖南省砂石行业绿色矿山标准》相符性分析</w:t>
            </w:r>
          </w:p>
          <w:p w14:paraId="3290BA8F">
            <w:pPr>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color w:val="000000"/>
                <w:spacing w:val="11"/>
                <w:kern w:val="0"/>
                <w:position w:val="0"/>
                <w:sz w:val="24"/>
                <w:u w:val="none" w:color="auto"/>
              </w:rPr>
            </w:pPr>
            <w:r>
              <w:rPr>
                <w:color w:val="000000"/>
                <w:spacing w:val="11"/>
                <w:kern w:val="0"/>
                <w:position w:val="0"/>
                <w:sz w:val="24"/>
                <w:u w:val="none" w:color="auto"/>
              </w:rPr>
              <w:t>根据</w:t>
            </w:r>
            <w:r>
              <w:rPr>
                <w:bCs/>
                <w:color w:val="000000"/>
                <w:spacing w:val="11"/>
                <w:position w:val="0"/>
                <w:sz w:val="24"/>
                <w:u w:val="none" w:color="auto"/>
              </w:rPr>
              <w:t>《</w:t>
            </w:r>
            <w:r>
              <w:rPr>
                <w:color w:val="000000"/>
                <w:spacing w:val="11"/>
                <w:kern w:val="0"/>
                <w:position w:val="0"/>
                <w:sz w:val="24"/>
                <w:u w:val="none" w:color="auto"/>
              </w:rPr>
              <w:t>湖南省普通建筑材料用砂石土矿专项规划（2021~2025年）》及其规划环评和审查意见的要求新设矿山必须达到湖南省绿色矿山建设标准并经验收合格后方可生产。本项目与《湖南省砂石行业绿色矿山标准》的相符性见下表。</w:t>
            </w:r>
          </w:p>
          <w:p w14:paraId="56D7152A">
            <w:pPr>
              <w:keepNext w:val="0"/>
              <w:keepLines w:val="0"/>
              <w:pageBreakBefore w:val="0"/>
              <w:widowControl w:val="0"/>
              <w:kinsoku/>
              <w:wordWrap/>
              <w:overflowPunct/>
              <w:topLinePunct w:val="0"/>
              <w:bidi w:val="0"/>
              <w:adjustRightInd w:val="0"/>
              <w:snapToGrid w:val="0"/>
              <w:spacing w:line="240" w:lineRule="auto"/>
              <w:ind w:firstLine="466" w:firstLineChars="200"/>
              <w:jc w:val="center"/>
              <w:textAlignment w:val="auto"/>
              <w:rPr>
                <w:b/>
                <w:bCs/>
                <w:color w:val="000000"/>
                <w:spacing w:val="11"/>
                <w:kern w:val="0"/>
                <w:position w:val="0"/>
                <w:szCs w:val="21"/>
                <w:u w:val="none" w:color="auto"/>
              </w:rPr>
            </w:pPr>
            <w:r>
              <w:rPr>
                <w:b/>
                <w:bCs/>
                <w:color w:val="000000"/>
                <w:spacing w:val="11"/>
                <w:kern w:val="0"/>
                <w:position w:val="0"/>
                <w:szCs w:val="21"/>
                <w:u w:val="none" w:color="auto"/>
              </w:rPr>
              <w:t>表1-</w:t>
            </w:r>
            <w:r>
              <w:rPr>
                <w:rFonts w:hint="eastAsia"/>
                <w:b/>
                <w:bCs/>
                <w:color w:val="000000"/>
                <w:spacing w:val="11"/>
                <w:kern w:val="0"/>
                <w:position w:val="0"/>
                <w:szCs w:val="21"/>
                <w:u w:val="none" w:color="auto"/>
                <w:lang w:val="en-US" w:eastAsia="zh-CN"/>
              </w:rPr>
              <w:t>4</w:t>
            </w:r>
            <w:r>
              <w:rPr>
                <w:b/>
                <w:bCs/>
                <w:color w:val="000000"/>
                <w:spacing w:val="11"/>
                <w:kern w:val="0"/>
                <w:position w:val="0"/>
                <w:szCs w:val="21"/>
                <w:u w:val="none" w:color="auto"/>
              </w:rPr>
              <w:t xml:space="preserve">  本项目与《湖南省砂石行业绿色矿山标准》对照表</w:t>
            </w:r>
          </w:p>
          <w:tbl>
            <w:tblPr>
              <w:tblStyle w:val="33"/>
              <w:tblW w:w="48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2851"/>
              <w:gridCol w:w="659"/>
            </w:tblGrid>
            <w:tr w14:paraId="6532B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0FA95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rFonts w:hint="eastAsia"/>
                      <w:bCs/>
                      <w:color w:val="000000"/>
                      <w:spacing w:val="11"/>
                      <w:kern w:val="0"/>
                      <w:position w:val="0"/>
                      <w:szCs w:val="21"/>
                      <w:u w:val="none" w:color="auto"/>
                    </w:rPr>
                    <w:t>绿色</w:t>
                  </w:r>
                  <w:r>
                    <w:rPr>
                      <w:bCs/>
                      <w:color w:val="000000"/>
                      <w:spacing w:val="11"/>
                      <w:kern w:val="0"/>
                      <w:position w:val="0"/>
                      <w:szCs w:val="21"/>
                      <w:u w:val="none" w:color="auto"/>
                    </w:rPr>
                    <w:t>矿山建设要求</w:t>
                  </w:r>
                </w:p>
              </w:tc>
              <w:tc>
                <w:tcPr>
                  <w:tcW w:w="2177" w:type="pct"/>
                  <w:tcBorders>
                    <w:tl2br w:val="nil"/>
                    <w:tr2bl w:val="nil"/>
                  </w:tcBorders>
                  <w:noWrap w:val="0"/>
                  <w:vAlign w:val="center"/>
                </w:tcPr>
                <w:p w14:paraId="18804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bCs/>
                      <w:color w:val="000000"/>
                      <w:spacing w:val="11"/>
                      <w:kern w:val="0"/>
                      <w:position w:val="0"/>
                      <w:szCs w:val="21"/>
                      <w:u w:val="none" w:color="auto"/>
                    </w:rPr>
                    <w:t>本项目的实际情况</w:t>
                  </w:r>
                </w:p>
              </w:tc>
              <w:tc>
                <w:tcPr>
                  <w:tcW w:w="503" w:type="pct"/>
                  <w:tcBorders>
                    <w:tl2br w:val="nil"/>
                    <w:tr2bl w:val="nil"/>
                  </w:tcBorders>
                  <w:noWrap w:val="0"/>
                  <w:vAlign w:val="center"/>
                </w:tcPr>
                <w:p w14:paraId="7B90C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bCs/>
                      <w:color w:val="000000"/>
                      <w:spacing w:val="11"/>
                      <w:kern w:val="0"/>
                      <w:position w:val="0"/>
                      <w:szCs w:val="21"/>
                      <w:u w:val="none" w:color="auto"/>
                    </w:rPr>
                    <w:t>是否符合</w:t>
                  </w:r>
                </w:p>
              </w:tc>
            </w:tr>
            <w:tr w14:paraId="1883A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4C96C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bCs/>
                      <w:color w:val="000000"/>
                      <w:spacing w:val="11"/>
                      <w:kern w:val="0"/>
                      <w:position w:val="0"/>
                      <w:szCs w:val="21"/>
                      <w:u w:val="none" w:color="auto"/>
                    </w:rPr>
                  </w:pPr>
                  <w:r>
                    <w:rPr>
                      <w:color w:val="000000"/>
                      <w:spacing w:val="11"/>
                      <w:kern w:val="0"/>
                      <w:position w:val="0"/>
                      <w:szCs w:val="21"/>
                      <w:u w:val="none" w:color="auto"/>
                    </w:rPr>
                    <w:t>一、</w:t>
                  </w:r>
                  <w:r>
                    <w:rPr>
                      <w:rFonts w:hint="eastAsia"/>
                      <w:bCs/>
                      <w:color w:val="000000"/>
                      <w:spacing w:val="11"/>
                      <w:kern w:val="0"/>
                      <w:position w:val="0"/>
                      <w:szCs w:val="21"/>
                      <w:u w:val="none" w:color="auto"/>
                    </w:rPr>
                    <w:t>矿区</w:t>
                  </w:r>
                  <w:r>
                    <w:rPr>
                      <w:bCs/>
                      <w:color w:val="000000"/>
                      <w:spacing w:val="11"/>
                      <w:kern w:val="0"/>
                      <w:position w:val="0"/>
                      <w:szCs w:val="21"/>
                      <w:u w:val="none" w:color="auto"/>
                    </w:rPr>
                    <w:t>环境与生态修复相关要求</w:t>
                  </w:r>
                </w:p>
                <w:p w14:paraId="1A887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1、</w:t>
                  </w:r>
                  <w:r>
                    <w:rPr>
                      <w:rFonts w:hint="eastAsia"/>
                      <w:color w:val="000000"/>
                      <w:spacing w:val="11"/>
                      <w:kern w:val="0"/>
                      <w:position w:val="0"/>
                      <w:szCs w:val="21"/>
                      <w:u w:val="none" w:color="auto"/>
                    </w:rPr>
                    <w:t>矿区功能分区布局合理，矿区按开采区、生产区、管理区、生活区和生态区等功能分区。</w:t>
                  </w:r>
                </w:p>
                <w:p w14:paraId="121DC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2、矿区地面道路、给排水、供电、卫生、环保等配套设施齐全；在生产区设置操作提示牌、说明牌、线路示意图牌等标牌，在需警示安全的区域应设置安全标志。</w:t>
                  </w:r>
                  <w:r>
                    <w:rPr>
                      <w:color w:val="000000"/>
                      <w:spacing w:val="11"/>
                      <w:kern w:val="0"/>
                      <w:position w:val="0"/>
                      <w:szCs w:val="21"/>
                      <w:u w:val="none" w:color="auto"/>
                    </w:rPr>
                    <w:t xml:space="preserve"> </w:t>
                  </w:r>
                </w:p>
                <w:p w14:paraId="59AE9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3、矿区绿化应与周边自然环境和景观相协调，绿化植物搭配合理。矿区工业场地、办公生活区、永久边坡及台段、排土场（含临时)进行复垦及绿化，矿区专用道路两侧因地制宜设置隔离绿化带。可绿化区绿化覆盖率达到100%。</w:t>
                  </w:r>
                </w:p>
              </w:tc>
              <w:tc>
                <w:tcPr>
                  <w:tcW w:w="2177" w:type="pct"/>
                  <w:tcBorders>
                    <w:tl2br w:val="nil"/>
                    <w:tr2bl w:val="nil"/>
                  </w:tcBorders>
                  <w:noWrap w:val="0"/>
                  <w:vAlign w:val="center"/>
                </w:tcPr>
                <w:p w14:paraId="12CBB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bCs/>
                      <w:color w:val="000000"/>
                      <w:spacing w:val="11"/>
                      <w:kern w:val="0"/>
                      <w:position w:val="0"/>
                      <w:szCs w:val="21"/>
                      <w:u w:val="none" w:color="auto"/>
                    </w:rPr>
                    <w:t>1、项目设置了开采区</w:t>
                  </w:r>
                  <w:r>
                    <w:rPr>
                      <w:rFonts w:hint="eastAsia"/>
                      <w:bCs/>
                      <w:color w:val="000000"/>
                      <w:spacing w:val="11"/>
                      <w:kern w:val="0"/>
                      <w:position w:val="0"/>
                      <w:szCs w:val="21"/>
                      <w:u w:val="none" w:color="auto"/>
                    </w:rPr>
                    <w:t>、生活区、办公区</w:t>
                  </w:r>
                  <w:r>
                    <w:rPr>
                      <w:rFonts w:hint="eastAsia"/>
                      <w:bCs/>
                      <w:color w:val="000000"/>
                      <w:spacing w:val="11"/>
                      <w:kern w:val="0"/>
                      <w:position w:val="0"/>
                      <w:szCs w:val="21"/>
                      <w:u w:val="none" w:color="auto"/>
                      <w:lang w:eastAsia="zh-CN"/>
                    </w:rPr>
                    <w:t>、</w:t>
                  </w:r>
                  <w:r>
                    <w:rPr>
                      <w:rFonts w:hint="eastAsia"/>
                      <w:bCs/>
                      <w:color w:val="000000"/>
                      <w:spacing w:val="11"/>
                      <w:kern w:val="0"/>
                      <w:position w:val="0"/>
                      <w:szCs w:val="21"/>
                      <w:u w:val="none" w:color="auto"/>
                      <w:lang w:val="en-US" w:eastAsia="zh-CN"/>
                    </w:rPr>
                    <w:t>临时堆土场</w:t>
                  </w:r>
                  <w:r>
                    <w:rPr>
                      <w:rFonts w:hint="eastAsia"/>
                      <w:bCs/>
                      <w:color w:val="000000"/>
                      <w:spacing w:val="11"/>
                      <w:kern w:val="0"/>
                      <w:position w:val="0"/>
                      <w:szCs w:val="21"/>
                      <w:u w:val="none" w:color="auto"/>
                    </w:rPr>
                    <w:t>，项目平面布局</w:t>
                  </w:r>
                  <w:r>
                    <w:rPr>
                      <w:bCs/>
                      <w:color w:val="000000"/>
                      <w:spacing w:val="11"/>
                      <w:kern w:val="0"/>
                      <w:position w:val="0"/>
                      <w:szCs w:val="21"/>
                      <w:u w:val="none" w:color="auto"/>
                    </w:rPr>
                    <w:t>统筹考虑了资源、环境、运输等因素合理布局。</w:t>
                  </w:r>
                </w:p>
                <w:p w14:paraId="7AC1D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000000"/>
                      <w:spacing w:val="11"/>
                      <w:kern w:val="0"/>
                      <w:position w:val="0"/>
                      <w:szCs w:val="21"/>
                      <w:u w:val="none" w:color="auto"/>
                    </w:rPr>
                  </w:pPr>
                  <w:r>
                    <w:rPr>
                      <w:color w:val="000000"/>
                      <w:spacing w:val="11"/>
                      <w:kern w:val="0"/>
                      <w:position w:val="0"/>
                      <w:szCs w:val="21"/>
                      <w:u w:val="none" w:color="auto"/>
                    </w:rPr>
                    <w:t>2、本项目</w:t>
                  </w:r>
                  <w:r>
                    <w:rPr>
                      <w:rFonts w:hint="eastAsia"/>
                      <w:color w:val="000000"/>
                      <w:spacing w:val="11"/>
                      <w:kern w:val="0"/>
                      <w:position w:val="0"/>
                      <w:szCs w:val="21"/>
                      <w:u w:val="none" w:color="auto"/>
                    </w:rPr>
                    <w:t>矿区地面道路、给排水、供电、卫生、环保等配套设施齐全；拟在生产区设置操作提示牌、说明牌、线路示意图牌等标牌，在需警示安全的区域应设置安全标志。</w:t>
                  </w:r>
                </w:p>
                <w:p w14:paraId="0D790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color w:val="000000"/>
                      <w:spacing w:val="11"/>
                      <w:kern w:val="0"/>
                      <w:position w:val="0"/>
                      <w:szCs w:val="21"/>
                      <w:u w:val="none" w:color="auto"/>
                    </w:rPr>
                    <w:t>3、</w:t>
                  </w:r>
                  <w:r>
                    <w:rPr>
                      <w:rFonts w:hint="eastAsia"/>
                      <w:color w:val="000000"/>
                      <w:spacing w:val="11"/>
                      <w:kern w:val="0"/>
                      <w:position w:val="0"/>
                      <w:szCs w:val="21"/>
                      <w:u w:val="none" w:color="auto"/>
                    </w:rPr>
                    <w:t>矿区复绿尽量采用本土植物种植绿化，做到与周边自然环境和景观相协调。采矿结束后对矿区进行复垦及绿化，道路两侧因地制宜设置隔离绿化带，可绿化区绿化覆盖率达到100%。</w:t>
                  </w:r>
                </w:p>
              </w:tc>
              <w:tc>
                <w:tcPr>
                  <w:tcW w:w="503" w:type="pct"/>
                  <w:tcBorders>
                    <w:tl2br w:val="nil"/>
                    <w:tr2bl w:val="nil"/>
                  </w:tcBorders>
                  <w:noWrap w:val="0"/>
                  <w:vAlign w:val="center"/>
                </w:tcPr>
                <w:p w14:paraId="4AD46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14:paraId="73670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115B6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u w:val="none" w:color="auto"/>
                    </w:rPr>
                    <w:t>二、</w:t>
                  </w:r>
                  <w:r>
                    <w:rPr>
                      <w:rFonts w:hint="eastAsia"/>
                      <w:color w:val="000000"/>
                      <w:spacing w:val="11"/>
                      <w:kern w:val="0"/>
                      <w:position w:val="0"/>
                      <w:szCs w:val="21"/>
                      <w:u w:val="none" w:color="auto"/>
                    </w:rPr>
                    <w:t>资源</w:t>
                  </w:r>
                  <w:r>
                    <w:rPr>
                      <w:color w:val="000000"/>
                      <w:spacing w:val="11"/>
                      <w:kern w:val="0"/>
                      <w:position w:val="0"/>
                      <w:szCs w:val="21"/>
                      <w:u w:val="none" w:color="auto"/>
                    </w:rPr>
                    <w:t>开采相关要求</w:t>
                  </w:r>
                </w:p>
                <w:p w14:paraId="5ACA0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1、</w:t>
                  </w:r>
                  <w:r>
                    <w:rPr>
                      <w:rFonts w:hint="eastAsia"/>
                      <w:color w:val="000000"/>
                      <w:spacing w:val="11"/>
                      <w:kern w:val="0"/>
                      <w:position w:val="0"/>
                      <w:szCs w:val="21"/>
                      <w:u w:val="none" w:color="auto"/>
                    </w:rPr>
                    <w:t>露天矿山应采用自上而下水平分层开采法，贯彻“采剥并举，剥离先行”的方针，矿石回采率应达到90%以上。</w:t>
                  </w:r>
                </w:p>
                <w:p w14:paraId="5207D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2、根据《爆破安全规程》</w:t>
                  </w:r>
                  <w:r>
                    <w:rPr>
                      <w:rFonts w:hint="eastAsia"/>
                      <w:color w:val="000000"/>
                      <w:spacing w:val="11"/>
                      <w:kern w:val="0"/>
                      <w:position w:val="0"/>
                      <w:szCs w:val="21"/>
                      <w:u w:val="none" w:color="auto"/>
                      <w:lang w:eastAsia="zh-CN"/>
                    </w:rPr>
                    <w:t>（</w:t>
                  </w:r>
                  <w:r>
                    <w:rPr>
                      <w:rFonts w:hint="eastAsia"/>
                      <w:color w:val="000000"/>
                      <w:spacing w:val="11"/>
                      <w:kern w:val="0"/>
                      <w:position w:val="0"/>
                      <w:szCs w:val="21"/>
                      <w:u w:val="none" w:color="auto"/>
                    </w:rPr>
                    <w:t>GB6722</w:t>
                  </w:r>
                  <w:r>
                    <w:rPr>
                      <w:rFonts w:hint="eastAsia"/>
                      <w:color w:val="000000"/>
                      <w:spacing w:val="11"/>
                      <w:kern w:val="0"/>
                      <w:position w:val="0"/>
                      <w:szCs w:val="21"/>
                      <w:u w:val="none" w:color="auto"/>
                      <w:lang w:eastAsia="zh-CN"/>
                    </w:rPr>
                    <w:t>）</w:t>
                  </w:r>
                  <w:r>
                    <w:rPr>
                      <w:rFonts w:hint="eastAsia"/>
                      <w:color w:val="000000"/>
                      <w:spacing w:val="11"/>
                      <w:kern w:val="0"/>
                      <w:position w:val="0"/>
                      <w:szCs w:val="21"/>
                      <w:u w:val="none" w:color="auto"/>
                    </w:rPr>
                    <w:t>编制爆破方案，应采用深孔微差爆破技术；终了边坡应采用预裂爆破、光面爆破等控制爆破技术手段，降低爆破危害，为后续边坡复绿创造条件。</w:t>
                  </w:r>
                </w:p>
              </w:tc>
              <w:tc>
                <w:tcPr>
                  <w:tcW w:w="2177" w:type="pct"/>
                  <w:tcBorders>
                    <w:tl2br w:val="nil"/>
                    <w:tr2bl w:val="nil"/>
                  </w:tcBorders>
                  <w:noWrap w:val="0"/>
                  <w:vAlign w:val="center"/>
                </w:tcPr>
                <w:p w14:paraId="07BA4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1</w:t>
                  </w:r>
                  <w:r>
                    <w:rPr>
                      <w:color w:val="000000"/>
                      <w:spacing w:val="11"/>
                      <w:kern w:val="0"/>
                      <w:position w:val="0"/>
                      <w:szCs w:val="21"/>
                      <w:u w:val="none" w:color="auto"/>
                    </w:rPr>
                    <w:t>、本项目矿区</w:t>
                  </w:r>
                  <w:r>
                    <w:rPr>
                      <w:rFonts w:hint="eastAsia"/>
                      <w:color w:val="000000"/>
                      <w:spacing w:val="11"/>
                      <w:kern w:val="0"/>
                      <w:position w:val="0"/>
                      <w:szCs w:val="21"/>
                      <w:u w:val="none" w:color="auto"/>
                    </w:rPr>
                    <w:t>露天矿山采用自上而下水平分层开采法，贯彻“采剥并举，剥离先行”的方针，矿石回采率达到98%。</w:t>
                  </w:r>
                </w:p>
                <w:p w14:paraId="7FA20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2、本</w:t>
                  </w:r>
                  <w:r>
                    <w:rPr>
                      <w:color w:val="000000"/>
                      <w:spacing w:val="11"/>
                      <w:kern w:val="0"/>
                      <w:position w:val="0"/>
                      <w:szCs w:val="21"/>
                      <w:u w:val="none" w:color="auto"/>
                    </w:rPr>
                    <w:t>矿山委托专业爆破公司编制爆破作业方案，</w:t>
                  </w:r>
                  <w:r>
                    <w:rPr>
                      <w:rFonts w:hint="eastAsia"/>
                      <w:color w:val="000000"/>
                      <w:spacing w:val="11"/>
                      <w:kern w:val="0"/>
                      <w:position w:val="0"/>
                      <w:szCs w:val="21"/>
                      <w:u w:val="none" w:color="auto"/>
                    </w:rPr>
                    <w:t>深孔微差爆破技术进行爆破作业</w:t>
                  </w:r>
                  <w:r>
                    <w:rPr>
                      <w:iCs/>
                      <w:color w:val="000000"/>
                      <w:spacing w:val="11"/>
                      <w:kern w:val="0"/>
                      <w:position w:val="0"/>
                      <w:szCs w:val="21"/>
                      <w:u w:val="none" w:color="auto"/>
                    </w:rPr>
                    <w:t>。</w:t>
                  </w:r>
                </w:p>
              </w:tc>
              <w:tc>
                <w:tcPr>
                  <w:tcW w:w="503" w:type="pct"/>
                  <w:tcBorders>
                    <w:tl2br w:val="nil"/>
                    <w:tr2bl w:val="nil"/>
                  </w:tcBorders>
                  <w:noWrap w:val="0"/>
                  <w:vAlign w:val="center"/>
                </w:tcPr>
                <w:p w14:paraId="14DCA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14:paraId="01CD9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top"/>
                </w:tcPr>
                <w:p w14:paraId="137F0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u w:val="none" w:color="auto"/>
                    </w:rPr>
                    <w:t>三、</w:t>
                  </w:r>
                  <w:r>
                    <w:rPr>
                      <w:rFonts w:hint="eastAsia"/>
                      <w:color w:val="000000"/>
                      <w:spacing w:val="11"/>
                      <w:kern w:val="0"/>
                      <w:position w:val="0"/>
                      <w:szCs w:val="21"/>
                      <w:u w:val="none" w:color="auto"/>
                    </w:rPr>
                    <w:t>绿色</w:t>
                  </w:r>
                  <w:r>
                    <w:rPr>
                      <w:color w:val="000000"/>
                      <w:spacing w:val="11"/>
                      <w:kern w:val="0"/>
                      <w:position w:val="0"/>
                      <w:szCs w:val="21"/>
                      <w:u w:val="none" w:color="auto"/>
                    </w:rPr>
                    <w:t>生产</w:t>
                  </w:r>
                </w:p>
                <w:p w14:paraId="514BE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1、根据自然资源主管部门颁发的采矿许可证规定的生产规模进行矿山开采，以及目标市场容量需求确定生产线规模、产品类型。正常生产时，人均功效不低于100t/d或2.5万t/a。</w:t>
                  </w:r>
                </w:p>
                <w:p w14:paraId="07E04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2、干法生产应配备高效除尘设备，并保持与生产设备同步运行。湿法生产应配置泥粉和水分离、废水处理和循环使用系统。</w:t>
                  </w:r>
                </w:p>
                <w:p w14:paraId="22790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3、砂石骨料成品堆场(库）应地面硬化和封闭，分类或分仓储存。</w:t>
                  </w:r>
                </w:p>
                <w:p w14:paraId="56C7A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4、矿山道路设计符合《厂矿道路设计规范》(GBJ 22)的有关规定，主要运矿道路应采用硬化路面。车辆驶离矿区前应冲洗，做到车辆不带泥上路、途中物料不撒落。</w:t>
                  </w:r>
                </w:p>
              </w:tc>
              <w:tc>
                <w:tcPr>
                  <w:tcW w:w="2177" w:type="pct"/>
                  <w:tcBorders>
                    <w:tl2br w:val="nil"/>
                    <w:tr2bl w:val="nil"/>
                  </w:tcBorders>
                  <w:noWrap w:val="0"/>
                  <w:vAlign w:val="center"/>
                </w:tcPr>
                <w:p w14:paraId="0091A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highlight w:val="none"/>
                      <w:u w:val="none" w:color="auto"/>
                    </w:rPr>
                  </w:pPr>
                  <w:r>
                    <w:rPr>
                      <w:rFonts w:hint="eastAsia"/>
                      <w:color w:val="000000"/>
                      <w:spacing w:val="11"/>
                      <w:kern w:val="0"/>
                      <w:position w:val="0"/>
                      <w:szCs w:val="21"/>
                      <w:u w:val="none" w:color="auto"/>
                    </w:rPr>
                    <w:t>1、本项目已取得采矿权证，采矿生产规模</w:t>
                  </w:r>
                  <w:r>
                    <w:rPr>
                      <w:rFonts w:hint="eastAsia"/>
                      <w:color w:val="000000"/>
                      <w:spacing w:val="11"/>
                      <w:kern w:val="0"/>
                      <w:position w:val="0"/>
                      <w:szCs w:val="21"/>
                      <w:u w:val="none" w:color="auto"/>
                      <w:lang w:val="en-US" w:eastAsia="zh-CN"/>
                    </w:rPr>
                    <w:t>6</w:t>
                  </w:r>
                  <w:r>
                    <w:rPr>
                      <w:rFonts w:hint="eastAsia"/>
                      <w:color w:val="000000"/>
                      <w:spacing w:val="11"/>
                      <w:kern w:val="0"/>
                      <w:position w:val="0"/>
                      <w:szCs w:val="21"/>
                      <w:u w:val="none" w:color="auto"/>
                    </w:rPr>
                    <w:t>0万吨/年，正常生产时，人均功效不低于100t/d或2.5</w:t>
                  </w:r>
                  <w:r>
                    <w:rPr>
                      <w:rFonts w:hint="eastAsia"/>
                      <w:color w:val="000000"/>
                      <w:spacing w:val="11"/>
                      <w:kern w:val="0"/>
                      <w:position w:val="0"/>
                      <w:szCs w:val="21"/>
                      <w:highlight w:val="none"/>
                      <w:u w:val="none" w:color="auto"/>
                    </w:rPr>
                    <w:t>万t/a。</w:t>
                  </w:r>
                </w:p>
                <w:p w14:paraId="4E595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highlight w:val="none"/>
                      <w:u w:val="none" w:color="auto"/>
                    </w:rPr>
                    <w:t>2、</w:t>
                  </w:r>
                  <w:r>
                    <w:rPr>
                      <w:rFonts w:hint="eastAsia"/>
                      <w:color w:val="000000"/>
                      <w:spacing w:val="11"/>
                      <w:kern w:val="0"/>
                      <w:position w:val="0"/>
                      <w:szCs w:val="21"/>
                      <w:highlight w:val="none"/>
                      <w:u w:val="none" w:color="auto"/>
                    </w:rPr>
                    <w:t>本项目矿山道路按照《厂矿道路设计规范》(GBJ 22)的有关规定的要求进行设计建设，道路均采用硬化路面。矿区设置洗车平台，车辆驶离矿区前进行冲洗，做到车辆不带泥上路、途中物料不撒落。</w:t>
                  </w:r>
                </w:p>
              </w:tc>
              <w:tc>
                <w:tcPr>
                  <w:tcW w:w="503" w:type="pct"/>
                  <w:tcBorders>
                    <w:tl2br w:val="nil"/>
                    <w:tr2bl w:val="nil"/>
                  </w:tcBorders>
                  <w:noWrap w:val="0"/>
                  <w:vAlign w:val="center"/>
                </w:tcPr>
                <w:p w14:paraId="6BD22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14:paraId="4438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25A30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资源综合利用</w:t>
                  </w:r>
                </w:p>
                <w:p w14:paraId="5C8A9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对剥离表土或筛分后的渣土，用于环境治理、土地复垦和复绿。干法生产中石粉收集后应充分合理利用。泥用硅质原料等。湿法生产中的沉淀泥浆经脱水干化后形成的泥粉或泥饼，可用于新型墙体材料、土地复垦和土壤改良等。剥离表土(风化层）后，砂石矿山资源综合利用率不低于95%。固体废弃物妥善处置率达到100%,满足环保、安全、监测等相关要求。</w:t>
                  </w:r>
                </w:p>
                <w:p w14:paraId="02DC6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2、矿山应对采矿场、排土场的防洪排水进行整体规划，建设截洪沟、沉砂池等设施，符合水土保持方案要求。对收集的地表径流水和矿坑排水，经处理后用于厂区绿化和厂区生产。</w:t>
                  </w:r>
                </w:p>
                <w:p w14:paraId="3905A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3、厂区配备完善的生产废水处理系统，经过固液分离处理的清水应100%循环利用。</w:t>
                  </w:r>
                </w:p>
              </w:tc>
              <w:tc>
                <w:tcPr>
                  <w:tcW w:w="2177" w:type="pct"/>
                  <w:tcBorders>
                    <w:tl2br w:val="nil"/>
                    <w:tr2bl w:val="nil"/>
                  </w:tcBorders>
                  <w:noWrap w:val="0"/>
                  <w:vAlign w:val="top"/>
                </w:tcPr>
                <w:p w14:paraId="5850F0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000000"/>
                      <w:spacing w:val="11"/>
                      <w:kern w:val="0"/>
                      <w:position w:val="0"/>
                      <w:szCs w:val="21"/>
                      <w:highlight w:val="none"/>
                      <w:u w:val="none" w:color="auto"/>
                    </w:rPr>
                  </w:pPr>
                  <w:r>
                    <w:rPr>
                      <w:rFonts w:hint="eastAsia"/>
                      <w:color w:val="000000"/>
                      <w:spacing w:val="11"/>
                      <w:kern w:val="0"/>
                      <w:position w:val="0"/>
                      <w:szCs w:val="21"/>
                      <w:u w:val="none" w:color="auto"/>
                    </w:rPr>
                    <w:t>1、项目设置</w:t>
                  </w:r>
                  <w:r>
                    <w:rPr>
                      <w:rFonts w:hint="eastAsia"/>
                      <w:color w:val="000000"/>
                      <w:spacing w:val="11"/>
                      <w:kern w:val="0"/>
                      <w:position w:val="0"/>
                      <w:szCs w:val="21"/>
                      <w:u w:val="none" w:color="auto"/>
                      <w:lang w:val="en-US" w:eastAsia="zh-CN"/>
                    </w:rPr>
                    <w:t>临时堆土场，剥离物堆存于临时堆土场</w:t>
                  </w:r>
                  <w:r>
                    <w:rPr>
                      <w:rFonts w:hint="eastAsia"/>
                      <w:color w:val="000000"/>
                      <w:spacing w:val="11"/>
                      <w:kern w:val="0"/>
                      <w:position w:val="0"/>
                      <w:szCs w:val="21"/>
                      <w:u w:val="none" w:color="auto"/>
                    </w:rPr>
                    <w:t>，项目剥离</w:t>
                  </w:r>
                  <w:r>
                    <w:rPr>
                      <w:rFonts w:hint="eastAsia"/>
                      <w:color w:val="000000"/>
                      <w:spacing w:val="11"/>
                      <w:kern w:val="0"/>
                      <w:position w:val="0"/>
                      <w:szCs w:val="21"/>
                      <w:u w:val="none" w:color="auto"/>
                      <w:lang w:val="en-US" w:eastAsia="zh-CN"/>
                    </w:rPr>
                    <w:t>物在场内进行回填，用于矿区环境治理、土地复垦和复绿，回填后剩余的余方拖运至新田县龙兴环保建材有限公</w:t>
                  </w:r>
                  <w:r>
                    <w:rPr>
                      <w:rFonts w:hint="eastAsia"/>
                      <w:color w:val="000000"/>
                      <w:spacing w:val="11"/>
                      <w:kern w:val="0"/>
                      <w:position w:val="0"/>
                      <w:szCs w:val="21"/>
                      <w:highlight w:val="none"/>
                      <w:u w:val="none" w:color="auto"/>
                      <w:lang w:val="en-US" w:eastAsia="zh-CN"/>
                    </w:rPr>
                    <w:t>司用于生产及建筑利用使用；沉淀池污泥定期清理脱水后在场内进行回填</w:t>
                  </w:r>
                  <w:r>
                    <w:rPr>
                      <w:rFonts w:hint="eastAsia"/>
                      <w:color w:val="000000"/>
                      <w:spacing w:val="11"/>
                      <w:kern w:val="0"/>
                      <w:position w:val="0"/>
                      <w:szCs w:val="21"/>
                      <w:highlight w:val="none"/>
                      <w:u w:val="none" w:color="auto"/>
                    </w:rPr>
                    <w:t>，利用率可达100%，各类固体废弃物均能妥善处置，处置率可达到100%。</w:t>
                  </w:r>
                </w:p>
                <w:p w14:paraId="2DCDEE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本项目编制了资源开发利用方案，对采矿场的防洪排水进行整体规划，在采矿场周边规划建设截洪沟、沉淀池等设施，符合水土保持方案要求。对收集的地表径流水和矿坑排水，经处理沉淀池处理后用于厂区降尘。</w:t>
                  </w:r>
                </w:p>
                <w:p w14:paraId="74C71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3、洗车废水设置沉淀池处理循环使用。</w:t>
                  </w:r>
                </w:p>
              </w:tc>
              <w:tc>
                <w:tcPr>
                  <w:tcW w:w="503" w:type="pct"/>
                  <w:tcBorders>
                    <w:tl2br w:val="nil"/>
                    <w:tr2bl w:val="nil"/>
                  </w:tcBorders>
                  <w:noWrap w:val="0"/>
                  <w:vAlign w:val="center"/>
                </w:tcPr>
                <w:p w14:paraId="08546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14:paraId="71B4C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03FF5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减排降污</w:t>
                  </w:r>
                </w:p>
                <w:p w14:paraId="0A5C7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1、矿区的生活污水单独收集，经无害化处理后达标排放或委托有资质单位外运处理。生产中产生的废油要集中收集，设置独立的场所存放，并交有资质单位处理。</w:t>
                  </w:r>
                </w:p>
                <w:p w14:paraId="29174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2、矿区配置洒水车、高压喷雾车等设备，对无组织排放粉尘进行固尘、抑尘、降尘。</w:t>
                  </w:r>
                </w:p>
                <w:p w14:paraId="73BE7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根据产尘点的粉尘浓度和特性，在穿孔凿岩机、装载机、破碎机、筛分机、整形机、制砂机、输送机等设备连续产生粉尘部位安装相应的高效节能除尘装置。生产加工车间的产尘点要封闭，有利于形成负压除尘；皮带运输系统廊道应选用封闭方式，防止粉尘逸散。设立局部废气收集系统和集中净化处理装置，减少废气排放。存在尾气排放的设备装置，其废气排放标准符合《大气污染物综合排放标准》(GB 16297)。</w:t>
                  </w:r>
                </w:p>
                <w:p w14:paraId="6F40F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3、合理设计工艺布置，控制噪声传播。选用低噪声生产设备；对高噪强振的设备，应采取消声、减振措施；矿山主要采掘、运输设备应设置密闭驾驶室；工业企业厂界噪声排放限值符合《工业企业厂界环境噪声排放标准》(GB 12348)的要求，若矿区位于未划分声环境功能区的区域，当厂界外有噪声敏感建筑物时，可参照《声环境质量标准》(GB 3096)的规定确定厂界外区域的声环境质量要求，并执行相应的厂界环境噪声排放限值。</w:t>
                  </w:r>
                </w:p>
                <w:p w14:paraId="4FFDA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spacing w:val="11"/>
                      <w:kern w:val="0"/>
                      <w:position w:val="0"/>
                      <w:szCs w:val="21"/>
                      <w:u w:val="none" w:color="auto"/>
                    </w:rPr>
                  </w:pPr>
                  <w:r>
                    <w:rPr>
                      <w:rFonts w:hint="eastAsia"/>
                      <w:color w:val="000000"/>
                      <w:spacing w:val="11"/>
                      <w:kern w:val="0"/>
                      <w:position w:val="0"/>
                      <w:szCs w:val="21"/>
                      <w:u w:val="none" w:color="auto"/>
                    </w:rPr>
                    <w:t>4、建立粉尘、噪声监测网络与评价制度，编制监测控制方案，并针对监测控制对象定期组织第三方监测和自我监测。</w:t>
                  </w:r>
                </w:p>
              </w:tc>
              <w:tc>
                <w:tcPr>
                  <w:tcW w:w="2177" w:type="pct"/>
                  <w:tcBorders>
                    <w:tl2br w:val="nil"/>
                    <w:tr2bl w:val="nil"/>
                  </w:tcBorders>
                  <w:noWrap w:val="0"/>
                  <w:vAlign w:val="top"/>
                </w:tcPr>
                <w:p w14:paraId="0E375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w:t>
                  </w:r>
                  <w:r>
                    <w:rPr>
                      <w:rFonts w:hint="eastAsia"/>
                      <w:color w:val="000000"/>
                      <w:spacing w:val="11"/>
                      <w:kern w:val="0"/>
                      <w:position w:val="0"/>
                      <w:szCs w:val="21"/>
                      <w:highlight w:val="none"/>
                      <w:u w:val="none" w:color="auto"/>
                    </w:rPr>
                    <w:t>项目员工生活污水单独设置化粪池收集后用作农肥不外排；生产中</w:t>
                  </w:r>
                  <w:r>
                    <w:rPr>
                      <w:rFonts w:hint="eastAsia"/>
                      <w:color w:val="000000"/>
                      <w:spacing w:val="11"/>
                      <w:kern w:val="0"/>
                      <w:position w:val="0"/>
                      <w:szCs w:val="21"/>
                      <w:u w:val="none" w:color="auto"/>
                    </w:rPr>
                    <w:t>产生的废润滑油集中收集于废油桶内，设置独立的危险废物暂存间，危险废物暂存间防渗、防雨、防流失，定期并交有资质单位处理。</w:t>
                  </w:r>
                </w:p>
                <w:p w14:paraId="04A41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color w:val="000000"/>
                      <w:spacing w:val="11"/>
                      <w:kern w:val="0"/>
                      <w:position w:val="0"/>
                      <w:szCs w:val="21"/>
                      <w:highlight w:val="yellow"/>
                      <w:u w:val="none" w:color="auto"/>
                      <w:lang w:val="en-US" w:eastAsia="zh-CN"/>
                    </w:rPr>
                  </w:pPr>
                  <w:r>
                    <w:rPr>
                      <w:rFonts w:hint="eastAsia"/>
                      <w:color w:val="000000"/>
                      <w:spacing w:val="11"/>
                      <w:kern w:val="0"/>
                      <w:position w:val="0"/>
                      <w:szCs w:val="21"/>
                      <w:u w:val="none" w:color="auto"/>
                    </w:rPr>
                    <w:t>2、厂区配</w:t>
                  </w:r>
                  <w:r>
                    <w:rPr>
                      <w:rFonts w:hint="eastAsia"/>
                      <w:color w:val="000000"/>
                      <w:spacing w:val="11"/>
                      <w:kern w:val="0"/>
                      <w:position w:val="0"/>
                      <w:szCs w:val="21"/>
                      <w:highlight w:val="none"/>
                      <w:u w:val="none" w:color="auto"/>
                    </w:rPr>
                    <w:t>置了洒水车、高压喷雾机等设备，根据产尘点的粉尘浓度和特性，矿区潜孔钻机</w:t>
                  </w:r>
                  <w:r>
                    <w:rPr>
                      <w:rFonts w:hint="eastAsia"/>
                      <w:color w:val="000000"/>
                      <w:spacing w:val="11"/>
                      <w:kern w:val="0"/>
                      <w:position w:val="0"/>
                      <w:szCs w:val="21"/>
                      <w:highlight w:val="none"/>
                      <w:u w:val="none" w:color="auto"/>
                      <w:lang w:val="en-US" w:eastAsia="zh-CN"/>
                    </w:rPr>
                    <w:t>在作业时配备布袋除尘器对粉尘进行收集。</w:t>
                  </w:r>
                </w:p>
                <w:p w14:paraId="0EB9F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 xml:space="preserve">3、合理布局，对高噪强振的设备采取消声、减振措施；矿山购置的采掘、运输设备均采用低噪声设备；确保厂界噪声排放限值符合《工业企业厂界环境噪声排放标准》(GB 12348)的要求。 </w:t>
                  </w:r>
                </w:p>
                <w:p w14:paraId="35F27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4、制定监测计划，安排专人负责环境保护工作，定期委托有资质的监测公司开展自行监测。</w:t>
                  </w:r>
                </w:p>
                <w:p w14:paraId="15890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p>
              </w:tc>
              <w:tc>
                <w:tcPr>
                  <w:tcW w:w="503" w:type="pct"/>
                  <w:tcBorders>
                    <w:tl2br w:val="nil"/>
                    <w:tr2bl w:val="nil"/>
                  </w:tcBorders>
                  <w:noWrap w:val="0"/>
                  <w:vAlign w:val="center"/>
                </w:tcPr>
                <w:p w14:paraId="0B613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bl>
          <w:p w14:paraId="4A87B67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color w:val="000000"/>
                <w:spacing w:val="11"/>
                <w:position w:val="0"/>
                <w:sz w:val="24"/>
                <w:szCs w:val="24"/>
                <w:u w:val="single" w:color="auto"/>
                <w:lang w:eastAsia="zh-CN" w:bidi="ar"/>
              </w:rPr>
            </w:pPr>
            <w:r>
              <w:rPr>
                <w:rFonts w:hint="default" w:ascii="Times New Roman" w:hAnsi="Times New Roman" w:eastAsia="宋体" w:cs="Times New Roman"/>
                <w:b/>
                <w:color w:val="000000"/>
                <w:spacing w:val="11"/>
                <w:position w:val="0"/>
                <w:sz w:val="24"/>
                <w:szCs w:val="24"/>
                <w:u w:val="single" w:color="auto"/>
                <w:lang w:val="en-US" w:eastAsia="zh-CN" w:bidi="ar"/>
              </w:rPr>
              <w:t>3、与生态环境分区管控符合性分析</w:t>
            </w:r>
          </w:p>
          <w:p w14:paraId="473EE33C">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14:paraId="0DED27A1">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（1）生态红线</w:t>
            </w:r>
          </w:p>
          <w:p w14:paraId="7A403712">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项目位于永州市新田县龙泉街道周家洞村，根据</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项目不涉及生态管控区域，不在生态保护红线区域内。因此，项目符合生态保护红线划定的规定。</w:t>
            </w:r>
          </w:p>
          <w:p w14:paraId="2D49A50A">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（2）环境质量底线</w:t>
            </w:r>
          </w:p>
          <w:p w14:paraId="2DC41EA5">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TSP，采取相应治理措施后可达标排放，不会对区域环境空气质量产生明显影响。</w:t>
            </w:r>
          </w:p>
          <w:p w14:paraId="76CA5E99">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根据周边地表水的环境质量现状监测数据可知，项目区域地表水水质较好，均可达到相应水环境质量要求。项目生产废水不外排，对区域水环境质量影响小。</w:t>
            </w:r>
          </w:p>
          <w:p w14:paraId="6DCFF095">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14:paraId="531C9E36">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综上，评价项目建设符合环境质量底线要求的。</w:t>
            </w:r>
          </w:p>
          <w:p w14:paraId="7434DF90">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（3）资源利用上线</w:t>
            </w:r>
          </w:p>
          <w:p w14:paraId="12DEC244">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yellow"/>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标，有效地控制污染，项目的水、电等资源不会突破区域的资源利用上线。</w:t>
            </w:r>
          </w:p>
          <w:p w14:paraId="718098DE">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因此，项目资源利用满足要求。</w:t>
            </w:r>
          </w:p>
          <w:p w14:paraId="0DEB98B9">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（4）环境准入清单</w:t>
            </w:r>
          </w:p>
          <w:p w14:paraId="5A49A0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14:paraId="2304937B">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项目位于永州市新田县龙泉街道周家洞村，根据《永州市环境管控单元（省级以上产业园区除外）生态环境准入清单》（2023版），</w:t>
            </w:r>
            <w:r>
              <w:rPr>
                <w:rFonts w:hint="eastAsia" w:eastAsia="宋体" w:cs="Times New Roman"/>
                <w:caps w:val="0"/>
                <w:smallCaps w:val="0"/>
                <w:color w:val="auto"/>
                <w:spacing w:val="11"/>
                <w:position w:val="0"/>
                <w:sz w:val="24"/>
                <w:szCs w:val="24"/>
                <w:highlight w:val="none"/>
                <w:u w:val="single" w:color="auto"/>
                <w:lang w:val="en-US" w:eastAsia="zh-CN"/>
              </w:rPr>
              <w:t>本项目所在地</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龙泉街道的管控单元分类为一般管控单元（见附图</w:t>
            </w:r>
            <w:r>
              <w:rPr>
                <w:rFonts w:hint="eastAsia" w:cs="Times New Roman"/>
                <w:caps w:val="0"/>
                <w:smallCaps w:val="0"/>
                <w:color w:val="auto"/>
                <w:spacing w:val="11"/>
                <w:position w:val="0"/>
                <w:sz w:val="24"/>
                <w:szCs w:val="24"/>
                <w:highlight w:val="none"/>
                <w:u w:val="single" w:color="auto"/>
                <w:lang w:val="en-US" w:eastAsia="zh-CN"/>
              </w:rPr>
              <w:t>7</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eastAsia" w:eastAsia="宋体" w:cs="Times New Roman"/>
                <w:caps w:val="0"/>
                <w:smallCaps w:val="0"/>
                <w:color w:val="auto"/>
                <w:spacing w:val="11"/>
                <w:position w:val="0"/>
                <w:sz w:val="24"/>
                <w:szCs w:val="24"/>
                <w:highlight w:val="none"/>
                <w:u w:val="single" w:color="auto"/>
                <w:lang w:val="en-US" w:eastAsia="zh-CN"/>
              </w:rPr>
              <w:t>，环境管控单元编码为：ZH43112830001</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。本项目与其相符性分析详见下表：</w:t>
            </w:r>
          </w:p>
          <w:p w14:paraId="68D2835A">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b/>
                <w:color w:val="auto"/>
                <w:spacing w:val="11"/>
                <w:kern w:val="2"/>
                <w:position w:val="0"/>
                <w:sz w:val="21"/>
                <w:szCs w:val="21"/>
                <w:highlight w:val="none"/>
                <w:u w:val="single" w:color="auto"/>
                <w:lang w:val="en-US" w:eastAsia="zh-CN" w:bidi="ar-SA"/>
              </w:rPr>
              <w:t>表1</w:t>
            </w:r>
            <w:r>
              <w:rPr>
                <w:rFonts w:hint="eastAsia" w:eastAsia="宋体" w:cs="Times New Roman"/>
                <w:b/>
                <w:color w:val="auto"/>
                <w:spacing w:val="11"/>
                <w:kern w:val="2"/>
                <w:position w:val="0"/>
                <w:sz w:val="21"/>
                <w:szCs w:val="21"/>
                <w:highlight w:val="none"/>
                <w:u w:val="single" w:color="auto"/>
                <w:lang w:val="en-US" w:eastAsia="zh-CN" w:bidi="ar-SA"/>
              </w:rPr>
              <w:t>-5</w:t>
            </w:r>
            <w:r>
              <w:rPr>
                <w:rFonts w:hint="default" w:ascii="Times New Roman" w:hAnsi="Times New Roman" w:eastAsia="宋体" w:cs="Times New Roman"/>
                <w:b/>
                <w:color w:val="auto"/>
                <w:spacing w:val="11"/>
                <w:kern w:val="2"/>
                <w:position w:val="0"/>
                <w:sz w:val="21"/>
                <w:szCs w:val="21"/>
                <w:highlight w:val="none"/>
                <w:u w:val="single" w:color="auto"/>
                <w:lang w:val="en-US" w:eastAsia="zh-CN" w:bidi="ar-SA"/>
              </w:rPr>
              <w:t xml:space="preserve"> 项目与环境管控单元管控要求相符性分析一览表</w:t>
            </w:r>
          </w:p>
          <w:tbl>
            <w:tblPr>
              <w:tblStyle w:val="61"/>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3232"/>
              <w:gridCol w:w="2196"/>
              <w:gridCol w:w="645"/>
            </w:tblGrid>
            <w:tr w14:paraId="5A635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20"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管控维度</w:t>
                  </w:r>
                </w:p>
              </w:tc>
              <w:tc>
                <w:tcPr>
                  <w:tcW w:w="2384"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清单中管控要求</w:t>
                  </w:r>
                </w:p>
              </w:tc>
              <w:tc>
                <w:tcPr>
                  <w:tcW w:w="1620"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14:paraId="2917E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rPr>
                    <w:t>符合性结论</w:t>
                  </w:r>
                </w:p>
              </w:tc>
            </w:tr>
            <w:tr w14:paraId="644D6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空间布局约束</w:t>
                  </w:r>
                </w:p>
              </w:tc>
              <w:tc>
                <w:tcPr>
                  <w:tcW w:w="2384" w:type="pct"/>
                  <w:tcBorders>
                    <w:tl2br w:val="nil"/>
                    <w:tr2bl w:val="nil"/>
                  </w:tcBorders>
                  <w:vAlign w:val="center"/>
                </w:tcPr>
                <w:p w14:paraId="3DB944DB">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 xml:space="preserve">（1.1）产业准入应严格执行国家、省级关于主体功能区划的环境保护及产业准入负面清单要求。 </w:t>
                  </w:r>
                </w:p>
                <w:p w14:paraId="4082839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（1.2）畜禽养殖产业布局应符合《湖南省新田县畜禽规模养殖“三区”划定方案》。</w:t>
                  </w:r>
                </w:p>
              </w:tc>
              <w:tc>
                <w:tcPr>
                  <w:tcW w:w="1620" w:type="pct"/>
                  <w:tcBorders>
                    <w:tl2br w:val="nil"/>
                    <w:tr2bl w:val="nil"/>
                  </w:tcBorders>
                  <w:vAlign w:val="center"/>
                </w:tcPr>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本项目属于非金属矿采选业</w:t>
                  </w:r>
                  <w:r>
                    <w:rPr>
                      <w:rFonts w:hint="eastAsia" w:eastAsia="宋体" w:cs="Times New Roman"/>
                      <w:color w:val="auto"/>
                      <w:spacing w:val="11"/>
                      <w:kern w:val="0"/>
                      <w:position w:val="0"/>
                      <w:sz w:val="21"/>
                      <w:szCs w:val="21"/>
                      <w:highlight w:val="none"/>
                      <w:u w:val="single" w:color="auto"/>
                      <w:lang w:val="en-US" w:eastAsia="zh-CN"/>
                    </w:rPr>
                    <w:t>以及非金属矿物制品业</w:t>
                  </w:r>
                  <w:r>
                    <w:rPr>
                      <w:rFonts w:hint="default" w:ascii="Times New Roman" w:hAnsi="Times New Roman" w:eastAsia="宋体" w:cs="Times New Roman"/>
                      <w:color w:val="auto"/>
                      <w:spacing w:val="11"/>
                      <w:kern w:val="0"/>
                      <w:position w:val="0"/>
                      <w:sz w:val="21"/>
                      <w:szCs w:val="21"/>
                      <w:highlight w:val="none"/>
                      <w:u w:val="single" w:color="auto"/>
                      <w:lang w:val="en-US" w:eastAsia="zh-CN"/>
                    </w:rPr>
                    <w:t>，</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不涉及畜禽养殖</w:t>
                  </w:r>
                  <w:r>
                    <w:rPr>
                      <w:rFonts w:hint="eastAsia" w:eastAsia="宋体" w:cs="Times New Roman"/>
                      <w:color w:val="auto"/>
                      <w:spacing w:val="11"/>
                      <w:kern w:val="0"/>
                      <w:position w:val="0"/>
                      <w:sz w:val="21"/>
                      <w:szCs w:val="21"/>
                      <w:highlight w:val="none"/>
                      <w:u w:val="single" w:color="auto"/>
                      <w:lang w:val="en-US" w:eastAsia="zh-CN"/>
                    </w:rPr>
                    <w:t>业</w:t>
                  </w:r>
                </w:p>
              </w:tc>
              <w:tc>
                <w:tcPr>
                  <w:tcW w:w="475" w:type="pct"/>
                  <w:tcBorders>
                    <w:tl2br w:val="nil"/>
                    <w:tr2bl w:val="nil"/>
                  </w:tcBorders>
                  <w:vAlign w:val="center"/>
                </w:tcPr>
                <w:p w14:paraId="6AE22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14:paraId="524DF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污染物排放管控</w:t>
                  </w:r>
                </w:p>
              </w:tc>
              <w:tc>
                <w:tcPr>
                  <w:tcW w:w="2384" w:type="pct"/>
                  <w:tcBorders>
                    <w:tl2br w:val="nil"/>
                    <w:tr2bl w:val="nil"/>
                  </w:tcBorders>
                  <w:vAlign w:val="center"/>
                </w:tcPr>
                <w:p w14:paraId="093D0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 xml:space="preserve">（2.1）有关行业新建项目必须执行《新田县环境突出问题集中整治重点行业操作规范》（试行），现有项目必须在规定期限内达到《规范》要求，否则自行淘汰退出。 </w:t>
                  </w:r>
                </w:p>
                <w:p w14:paraId="33352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 xml:space="preserve">（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 </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（2.3）严格控制涉重金属企业进入，依法关停达标无望、治理整顿后仍不能稳定达标的涉重金属企业。强化涉重金属重点工矿企业的重金属污染物排放及周边环境中的重金属监测。</w:t>
                  </w:r>
                </w:p>
              </w:tc>
              <w:tc>
                <w:tcPr>
                  <w:tcW w:w="1620" w:type="pct"/>
                  <w:tcBorders>
                    <w:tl2br w:val="nil"/>
                    <w:tr2bl w:val="nil"/>
                  </w:tcBorders>
                  <w:vAlign w:val="center"/>
                </w:tcPr>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本项目符合《新田县环境突出问题集中整治重点行业操作规范》（试行），本项目生活垃圾交由环卫部门处置</w:t>
                  </w:r>
                </w:p>
              </w:tc>
              <w:tc>
                <w:tcPr>
                  <w:tcW w:w="475" w:type="pct"/>
                  <w:tcBorders>
                    <w:tl2br w:val="nil"/>
                    <w:tr2bl w:val="nil"/>
                  </w:tcBorders>
                  <w:vAlign w:val="center"/>
                </w:tcPr>
                <w:p w14:paraId="2B29A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14:paraId="41C27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环境风险防控</w:t>
                  </w:r>
                </w:p>
              </w:tc>
              <w:tc>
                <w:tcPr>
                  <w:tcW w:w="2384"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（3.1）中山街道/龙泉街道：加强饮用水水源地风险管控，严格保护饮用水水质安全。</w:t>
                  </w:r>
                </w:p>
              </w:tc>
              <w:tc>
                <w:tcPr>
                  <w:tcW w:w="1620" w:type="pct"/>
                  <w:tcBorders>
                    <w:tl2br w:val="nil"/>
                    <w:tr2bl w:val="nil"/>
                  </w:tcBorders>
                  <w:vAlign w:val="center"/>
                </w:tcPr>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本项目所在区域不涉及饮用水源保护区</w:t>
                  </w:r>
                </w:p>
              </w:tc>
              <w:tc>
                <w:tcPr>
                  <w:tcW w:w="475" w:type="pct"/>
                  <w:tcBorders>
                    <w:tl2br w:val="nil"/>
                    <w:tr2bl w:val="nil"/>
                  </w:tcBorders>
                  <w:vAlign w:val="center"/>
                </w:tcPr>
                <w:p w14:paraId="359D1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14:paraId="235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资源开发效率要求</w:t>
                  </w:r>
                </w:p>
              </w:tc>
              <w:tc>
                <w:tcPr>
                  <w:tcW w:w="2384" w:type="pct"/>
                  <w:tcBorders>
                    <w:tl2br w:val="nil"/>
                    <w:tr2bl w:val="nil"/>
                  </w:tcBorders>
                  <w:vAlign w:val="center"/>
                </w:tcPr>
                <w:p w14:paraId="3D76F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 xml:space="preserve">（4.1）中山街道/龙泉街道：高污染燃料禁燃区严格执行《新田县高污染燃料禁燃区划定方案》的规定。 </w:t>
                  </w:r>
                </w:p>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，农业用水总量控制在12112万m</w:t>
                  </w:r>
                  <w:r>
                    <w:rPr>
                      <w:rFonts w:hint="eastAsia" w:ascii="Times New Roman" w:hAnsi="Times New Roman" w:eastAsia="宋体" w:cs="Times New Roman"/>
                      <w:color w:val="auto"/>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，万元地区生产总值用水量、万元工业增加值用水量分别比2020年降低10.08%、8.87%，农田灌溉水有效利用系数为 0.555。</w:t>
                  </w:r>
                </w:p>
              </w:tc>
              <w:tc>
                <w:tcPr>
                  <w:tcW w:w="1620" w:type="pct"/>
                  <w:tcBorders>
                    <w:tl2br w:val="nil"/>
                    <w:tr2bl w:val="nil"/>
                  </w:tcBorders>
                  <w:vAlign w:val="center"/>
                </w:tcPr>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项目使用资源主要为水、电等</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r>
                    <w:rPr>
                      <w:rFonts w:hint="eastAsia" w:eastAsia="宋体" w:cs="Times New Roman"/>
                      <w:color w:val="auto"/>
                      <w:spacing w:val="11"/>
                      <w:kern w:val="0"/>
                      <w:position w:val="0"/>
                      <w:sz w:val="21"/>
                      <w:szCs w:val="21"/>
                      <w:highlight w:val="none"/>
                      <w:u w:val="single" w:color="auto"/>
                      <w:lang w:val="en-US" w:eastAsia="zh-CN"/>
                    </w:rPr>
                    <w:t>。项目在运营过程中不涉及使用燃料</w:t>
                  </w:r>
                </w:p>
              </w:tc>
              <w:tc>
                <w:tcPr>
                  <w:tcW w:w="475" w:type="pct"/>
                  <w:tcBorders>
                    <w:tl2br w:val="nil"/>
                    <w:tr2bl w:val="nil"/>
                  </w:tcBorders>
                  <w:vAlign w:val="center"/>
                </w:tcPr>
                <w:p w14:paraId="129C3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bl>
          <w:p w14:paraId="0EF7A49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jc w:val="left"/>
              <w:textAlignment w:val="auto"/>
              <w:rPr>
                <w:rFonts w:hint="default" w:ascii="Times New Roman" w:hAnsi="Times New Roman" w:eastAsia="宋体" w:cs="Times New Roman"/>
                <w:b/>
                <w:bCs/>
                <w:spacing w:val="11"/>
                <w:kern w:val="0"/>
                <w:position w:val="0"/>
                <w:sz w:val="24"/>
                <w:szCs w:val="24"/>
                <w:u w:val="none" w:color="auto"/>
              </w:rPr>
            </w:pPr>
            <w:r>
              <w:rPr>
                <w:rFonts w:hint="eastAsia" w:ascii="Times New Roman" w:hAnsi="Times New Roman" w:eastAsia="宋体" w:cs="Times New Roman"/>
                <w:b/>
                <w:bCs/>
                <w:spacing w:val="11"/>
                <w:kern w:val="0"/>
                <w:position w:val="0"/>
                <w:sz w:val="24"/>
                <w:szCs w:val="24"/>
                <w:u w:val="none" w:color="auto"/>
                <w:lang w:val="en-US" w:eastAsia="zh-CN"/>
              </w:rPr>
              <w:t>4</w:t>
            </w:r>
            <w:r>
              <w:rPr>
                <w:rFonts w:hint="default" w:ascii="Times New Roman" w:hAnsi="Times New Roman" w:eastAsia="宋体" w:cs="Times New Roman"/>
                <w:b/>
                <w:bCs/>
                <w:spacing w:val="11"/>
                <w:kern w:val="0"/>
                <w:position w:val="0"/>
                <w:sz w:val="24"/>
                <w:szCs w:val="24"/>
                <w:u w:val="none" w:color="auto"/>
                <w:lang w:val="en-US" w:eastAsia="zh-CN"/>
              </w:rPr>
              <w:t>、</w:t>
            </w:r>
            <w:r>
              <w:rPr>
                <w:rFonts w:hint="default" w:ascii="Times New Roman" w:hAnsi="Times New Roman" w:eastAsia="宋体" w:cs="Times New Roman"/>
                <w:b/>
                <w:bCs/>
                <w:spacing w:val="11"/>
                <w:kern w:val="0"/>
                <w:position w:val="0"/>
                <w:sz w:val="24"/>
                <w:szCs w:val="24"/>
                <w:u w:val="none" w:color="auto"/>
              </w:rPr>
              <w:t>与《矿山生态环境保护与污染防治技术政策》的符合性分析</w:t>
            </w:r>
          </w:p>
          <w:p w14:paraId="6157B148">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《矿山生态环境保护与污染防治技术政策》提</w:t>
            </w:r>
            <w:r>
              <w:rPr>
                <w:rFonts w:hint="eastAsia" w:ascii="宋体" w:hAnsi="宋体" w:eastAsia="宋体" w:cs="宋体"/>
                <w:spacing w:val="11"/>
                <w:kern w:val="0"/>
                <w:position w:val="0"/>
                <w:sz w:val="24"/>
                <w:szCs w:val="24"/>
                <w:u w:val="none" w:color="auto"/>
              </w:rPr>
              <w:t>出：“禁止在依法划定的自然保护区</w:t>
            </w:r>
            <w:r>
              <w:rPr>
                <w:rFonts w:hint="eastAsia" w:ascii="宋体" w:hAnsi="宋体" w:eastAsia="宋体" w:cs="宋体"/>
                <w:spacing w:val="11"/>
                <w:kern w:val="0"/>
                <w:position w:val="0"/>
                <w:sz w:val="24"/>
                <w:szCs w:val="24"/>
                <w:u w:val="none" w:color="auto"/>
                <w:lang w:eastAsia="zh-CN"/>
              </w:rPr>
              <w:t>（</w:t>
            </w:r>
            <w:r>
              <w:rPr>
                <w:rFonts w:hint="eastAsia" w:ascii="宋体" w:hAnsi="宋体" w:eastAsia="宋体" w:cs="宋体"/>
                <w:spacing w:val="11"/>
                <w:kern w:val="0"/>
                <w:position w:val="0"/>
                <w:sz w:val="24"/>
                <w:szCs w:val="24"/>
                <w:u w:val="none" w:color="auto"/>
              </w:rPr>
              <w:t>核心区、缓冲区</w:t>
            </w:r>
            <w:r>
              <w:rPr>
                <w:rFonts w:hint="eastAsia" w:ascii="宋体" w:hAnsi="宋体" w:eastAsia="宋体" w:cs="宋体"/>
                <w:spacing w:val="11"/>
                <w:kern w:val="0"/>
                <w:position w:val="0"/>
                <w:sz w:val="24"/>
                <w:szCs w:val="24"/>
                <w:u w:val="none" w:color="auto"/>
                <w:lang w:eastAsia="zh-CN"/>
              </w:rPr>
              <w:t>）</w:t>
            </w:r>
            <w:r>
              <w:rPr>
                <w:rFonts w:hint="eastAsia" w:ascii="宋体" w:hAnsi="宋体" w:eastAsia="宋体" w:cs="宋体"/>
                <w:spacing w:val="11"/>
                <w:kern w:val="0"/>
                <w:position w:val="0"/>
                <w:sz w:val="24"/>
                <w:szCs w:val="24"/>
                <w:u w:val="none" w:color="auto"/>
              </w:rPr>
              <w:t>、风景名胜区、森林公园、饮用水水源保护区、重要湖泊周边、文物古迹所在地、地质遗迹保护区、基本农田保护区等区域内采矿”、“推广应用充填采矿工艺技术，利用废石充填采空区”等</w:t>
            </w:r>
            <w:r>
              <w:rPr>
                <w:rFonts w:hint="default" w:ascii="Times New Roman" w:hAnsi="Times New Roman" w:eastAsia="宋体" w:cs="Times New Roman"/>
                <w:spacing w:val="11"/>
                <w:kern w:val="0"/>
                <w:position w:val="0"/>
                <w:sz w:val="24"/>
                <w:szCs w:val="24"/>
                <w:u w:val="none" w:color="auto"/>
              </w:rPr>
              <w:t>。</w:t>
            </w:r>
          </w:p>
          <w:p w14:paraId="04A7E5E6">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highlight w:val="yellow"/>
                <w:u w:val="none" w:color="auto"/>
              </w:rPr>
            </w:pPr>
            <w:r>
              <w:rPr>
                <w:rFonts w:hint="default" w:ascii="Times New Roman" w:hAnsi="Times New Roman" w:eastAsia="宋体" w:cs="Times New Roman"/>
                <w:spacing w:val="11"/>
                <w:kern w:val="0"/>
                <w:position w:val="0"/>
                <w:sz w:val="24"/>
                <w:szCs w:val="24"/>
                <w:u w:val="none" w:color="auto"/>
              </w:rPr>
              <w:t>本项目</w:t>
            </w:r>
            <w:r>
              <w:rPr>
                <w:rFonts w:hint="default" w:ascii="Times New Roman" w:hAnsi="Times New Roman" w:eastAsia="宋体" w:cs="Times New Roman"/>
                <w:spacing w:val="11"/>
                <w:kern w:val="0"/>
                <w:position w:val="0"/>
                <w:sz w:val="24"/>
                <w:szCs w:val="24"/>
                <w:highlight w:val="none"/>
                <w:u w:val="none" w:color="auto"/>
              </w:rPr>
              <w:t>所在地不属于依法划定的自然保护区、风景名胜区和饮用水水源保护区，也不属于地质灾害危险区等生态脆弱区；项目</w:t>
            </w:r>
            <w:r>
              <w:rPr>
                <w:rFonts w:hint="eastAsia" w:cs="Times New Roman"/>
                <w:spacing w:val="11"/>
                <w:kern w:val="0"/>
                <w:position w:val="0"/>
                <w:sz w:val="24"/>
                <w:szCs w:val="24"/>
                <w:highlight w:val="none"/>
                <w:u w:val="none" w:color="auto"/>
                <w:lang w:val="en-US" w:eastAsia="zh-CN"/>
              </w:rPr>
              <w:t>本项目设置临时排土场，剥离物临时堆存后</w:t>
            </w:r>
            <w:r>
              <w:rPr>
                <w:rFonts w:hint="default" w:ascii="Times New Roman" w:hAnsi="Times New Roman" w:eastAsia="宋体" w:cs="Times New Roman"/>
                <w:spacing w:val="11"/>
                <w:kern w:val="0"/>
                <w:position w:val="0"/>
                <w:sz w:val="24"/>
                <w:szCs w:val="24"/>
                <w:highlight w:val="none"/>
                <w:u w:val="none" w:color="auto"/>
                <w:lang w:val="en-US" w:eastAsia="zh-CN"/>
              </w:rPr>
              <w:t>在场内进行回填，用于矿区环境治理、土地复垦和复绿，回填后产生的余方拖运至新田县龙兴环保建材有限公司用于生产及建筑利用使用</w:t>
            </w:r>
            <w:r>
              <w:rPr>
                <w:rFonts w:hint="default" w:ascii="Times New Roman" w:hAnsi="Times New Roman" w:eastAsia="宋体" w:cs="Times New Roman"/>
                <w:spacing w:val="11"/>
                <w:kern w:val="0"/>
                <w:position w:val="0"/>
                <w:sz w:val="24"/>
                <w:szCs w:val="24"/>
                <w:highlight w:val="none"/>
                <w:u w:val="none" w:color="auto"/>
              </w:rPr>
              <w:t>。</w:t>
            </w:r>
          </w:p>
          <w:p w14:paraId="3605F1E1">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因此，本项目符合《矿山生态环境保护与污染防治技术政策》相关要求，其相关内容与本项目符合性分析</w:t>
            </w:r>
            <w:r>
              <w:rPr>
                <w:rFonts w:hint="eastAsia" w:eastAsia="宋体" w:cs="Times New Roman"/>
                <w:spacing w:val="11"/>
                <w:kern w:val="0"/>
                <w:position w:val="0"/>
                <w:sz w:val="24"/>
                <w:szCs w:val="24"/>
                <w:u w:val="none" w:color="auto"/>
                <w:lang w:val="en-US" w:eastAsia="zh-CN"/>
              </w:rPr>
              <w:t>详见下表</w:t>
            </w:r>
            <w:r>
              <w:rPr>
                <w:rFonts w:hint="default" w:ascii="Times New Roman" w:hAnsi="Times New Roman" w:eastAsia="宋体" w:cs="Times New Roman"/>
                <w:spacing w:val="11"/>
                <w:kern w:val="0"/>
                <w:position w:val="0"/>
                <w:sz w:val="24"/>
                <w:szCs w:val="24"/>
                <w:u w:val="none" w:color="auto"/>
              </w:rPr>
              <w:t>。</w:t>
            </w:r>
          </w:p>
          <w:p w14:paraId="499CC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Cs w:val="21"/>
                <w:u w:val="none" w:color="auto"/>
              </w:rPr>
            </w:pPr>
            <w:r>
              <w:rPr>
                <w:rFonts w:hint="default" w:ascii="Times New Roman" w:hAnsi="Times New Roman" w:eastAsia="宋体" w:cs="Times New Roman"/>
                <w:b/>
                <w:bCs/>
                <w:spacing w:val="11"/>
                <w:kern w:val="0"/>
                <w:position w:val="0"/>
                <w:szCs w:val="21"/>
                <w:u w:val="none" w:color="auto"/>
              </w:rPr>
              <w:t>表1-</w:t>
            </w:r>
            <w:r>
              <w:rPr>
                <w:rFonts w:hint="eastAsia" w:eastAsia="宋体" w:cs="Times New Roman"/>
                <w:b/>
                <w:bCs/>
                <w:spacing w:val="11"/>
                <w:kern w:val="0"/>
                <w:position w:val="0"/>
                <w:szCs w:val="21"/>
                <w:u w:val="none" w:color="auto"/>
                <w:lang w:val="en-US" w:eastAsia="zh-CN"/>
              </w:rPr>
              <w:t xml:space="preserve">6 </w:t>
            </w:r>
            <w:r>
              <w:rPr>
                <w:rFonts w:hint="default" w:ascii="Times New Roman" w:hAnsi="Times New Roman" w:eastAsia="宋体" w:cs="Times New Roman"/>
                <w:b/>
                <w:bCs/>
                <w:spacing w:val="11"/>
                <w:kern w:val="0"/>
                <w:position w:val="0"/>
                <w:szCs w:val="21"/>
                <w:u w:val="none" w:color="auto"/>
              </w:rPr>
              <w:t>与《矿山生态环境保护与污染防治技术政策》符合性分析对照表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07"/>
              <w:gridCol w:w="2984"/>
              <w:gridCol w:w="887"/>
            </w:tblGrid>
            <w:tr w14:paraId="63293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523CD0A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lang w:val="en-US" w:eastAsia="zh-CN"/>
                    </w:rPr>
                    <w:t>相关内容</w:t>
                  </w:r>
                </w:p>
              </w:tc>
              <w:tc>
                <w:tcPr>
                  <w:tcW w:w="2201" w:type="pct"/>
                  <w:tcBorders>
                    <w:tl2br w:val="nil"/>
                    <w:tr2bl w:val="nil"/>
                  </w:tcBorders>
                  <w:shd w:val="clear" w:color="auto" w:fill="auto"/>
                  <w:noWrap w:val="0"/>
                  <w:tcMar>
                    <w:top w:w="0" w:type="dxa"/>
                    <w:left w:w="108" w:type="dxa"/>
                    <w:bottom w:w="0" w:type="dxa"/>
                    <w:right w:w="108" w:type="dxa"/>
                  </w:tcMar>
                  <w:vAlign w:val="center"/>
                </w:tcPr>
                <w:p w14:paraId="41385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654" w:type="pct"/>
                  <w:tcBorders>
                    <w:tl2br w:val="nil"/>
                    <w:tr2bl w:val="nil"/>
                  </w:tcBorders>
                  <w:shd w:val="clear" w:color="auto" w:fill="auto"/>
                  <w:noWrap w:val="0"/>
                  <w:tcMar>
                    <w:top w:w="0" w:type="dxa"/>
                    <w:left w:w="108" w:type="dxa"/>
                    <w:bottom w:w="0" w:type="dxa"/>
                    <w:right w:w="108" w:type="dxa"/>
                  </w:tcMar>
                  <w:vAlign w:val="center"/>
                </w:tcPr>
                <w:p w14:paraId="0B83D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position w:val="0"/>
                      <w:sz w:val="21"/>
                      <w:szCs w:val="21"/>
                      <w:u w:val="none"/>
                      <w:lang w:val="en-US" w:eastAsia="zh-CN"/>
                    </w:rPr>
                    <w:t>是否相符</w:t>
                  </w:r>
                </w:p>
              </w:tc>
            </w:tr>
            <w:tr w14:paraId="54AD67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7E14C7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禁止在依法划定的自然保护区（核心区、缓冲区）、风景名胜区、森林公园、饮用水水源保护区、重要湖泊周边、文物古迹所在地、地质遗迹保护区、基本农田保护区等区域内采矿</w:t>
                  </w:r>
                </w:p>
              </w:tc>
              <w:tc>
                <w:tcPr>
                  <w:tcW w:w="2201" w:type="pct"/>
                  <w:tcBorders>
                    <w:tl2br w:val="nil"/>
                    <w:tr2bl w:val="nil"/>
                  </w:tcBorders>
                  <w:noWrap w:val="0"/>
                  <w:tcMar>
                    <w:top w:w="0" w:type="dxa"/>
                    <w:left w:w="108" w:type="dxa"/>
                    <w:bottom w:w="0" w:type="dxa"/>
                    <w:right w:w="108" w:type="dxa"/>
                  </w:tcMar>
                  <w:vAlign w:val="center"/>
                </w:tcPr>
                <w:p w14:paraId="1798ED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本项目矿区占地范围不涉及自然保护区、风景名胜区、地质公园、森林公园、饮用水水源保护区、重要湖泊、文物古迹所在地、地质遗迹保护区、基本农田保护区等</w:t>
                  </w:r>
                </w:p>
              </w:tc>
              <w:tc>
                <w:tcPr>
                  <w:tcW w:w="654" w:type="pct"/>
                  <w:tcBorders>
                    <w:tl2br w:val="nil"/>
                    <w:tr2bl w:val="nil"/>
                  </w:tcBorders>
                  <w:noWrap w:val="0"/>
                  <w:tcMar>
                    <w:top w:w="0" w:type="dxa"/>
                    <w:left w:w="108" w:type="dxa"/>
                    <w:bottom w:w="0" w:type="dxa"/>
                    <w:right w:w="108" w:type="dxa"/>
                  </w:tcMar>
                  <w:vAlign w:val="center"/>
                </w:tcPr>
                <w:p w14:paraId="1DEC04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52330A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2A9329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禁止在铁路、国道、省道两侧的直观可视范围内进行露天开采</w:t>
                  </w:r>
                </w:p>
              </w:tc>
              <w:tc>
                <w:tcPr>
                  <w:tcW w:w="2201" w:type="pct"/>
                  <w:tcBorders>
                    <w:tl2br w:val="nil"/>
                    <w:tr2bl w:val="nil"/>
                  </w:tcBorders>
                  <w:noWrap w:val="0"/>
                  <w:tcMar>
                    <w:top w:w="0" w:type="dxa"/>
                    <w:left w:w="108" w:type="dxa"/>
                    <w:bottom w:w="0" w:type="dxa"/>
                    <w:right w:w="108" w:type="dxa"/>
                  </w:tcMar>
                  <w:vAlign w:val="center"/>
                </w:tcPr>
                <w:p w14:paraId="197553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矿区不在铁路、国道、省道两侧直观可视范围内</w:t>
                  </w:r>
                </w:p>
              </w:tc>
              <w:tc>
                <w:tcPr>
                  <w:tcW w:w="654" w:type="pct"/>
                  <w:tcBorders>
                    <w:tl2br w:val="nil"/>
                    <w:tr2bl w:val="nil"/>
                  </w:tcBorders>
                  <w:noWrap w:val="0"/>
                  <w:tcMar>
                    <w:top w:w="0" w:type="dxa"/>
                    <w:left w:w="108" w:type="dxa"/>
                    <w:bottom w:w="0" w:type="dxa"/>
                    <w:right w:w="108" w:type="dxa"/>
                  </w:tcMar>
                  <w:vAlign w:val="center"/>
                </w:tcPr>
                <w:p w14:paraId="729485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6DF90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2144" w:type="pct"/>
                  <w:tcBorders>
                    <w:tl2br w:val="nil"/>
                    <w:tr2bl w:val="nil"/>
                  </w:tcBorders>
                  <w:noWrap w:val="0"/>
                  <w:tcMar>
                    <w:top w:w="0" w:type="dxa"/>
                    <w:left w:w="108" w:type="dxa"/>
                    <w:bottom w:w="0" w:type="dxa"/>
                    <w:right w:w="108" w:type="dxa"/>
                  </w:tcMar>
                  <w:vAlign w:val="center"/>
                </w:tcPr>
                <w:p w14:paraId="340CD6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禁止在地质灾害危险区开采矿产资源</w:t>
                  </w:r>
                </w:p>
              </w:tc>
              <w:tc>
                <w:tcPr>
                  <w:tcW w:w="2201" w:type="pct"/>
                  <w:tcBorders>
                    <w:tl2br w:val="nil"/>
                    <w:tr2bl w:val="nil"/>
                  </w:tcBorders>
                  <w:noWrap w:val="0"/>
                  <w:tcMar>
                    <w:top w:w="0" w:type="dxa"/>
                    <w:left w:w="108" w:type="dxa"/>
                    <w:bottom w:w="0" w:type="dxa"/>
                    <w:right w:w="108" w:type="dxa"/>
                  </w:tcMar>
                  <w:vAlign w:val="center"/>
                </w:tcPr>
                <w:p w14:paraId="0D8346D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本项目不属于地质灾害危险区</w:t>
                  </w:r>
                </w:p>
              </w:tc>
              <w:tc>
                <w:tcPr>
                  <w:tcW w:w="654" w:type="pct"/>
                  <w:tcBorders>
                    <w:tl2br w:val="nil"/>
                    <w:tr2bl w:val="nil"/>
                  </w:tcBorders>
                  <w:noWrap w:val="0"/>
                  <w:tcMar>
                    <w:top w:w="0" w:type="dxa"/>
                    <w:left w:w="108" w:type="dxa"/>
                    <w:bottom w:w="0" w:type="dxa"/>
                    <w:right w:w="108" w:type="dxa"/>
                  </w:tcMar>
                  <w:vAlign w:val="center"/>
                </w:tcPr>
                <w:p w14:paraId="29DB73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54A824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6C89B4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禁止土法采、选冶金矿和土法冶炼汞、砷、铅、锌、焦、硫、钒等矿产资源开发活动</w:t>
                  </w:r>
                </w:p>
              </w:tc>
              <w:tc>
                <w:tcPr>
                  <w:tcW w:w="2201" w:type="pct"/>
                  <w:tcBorders>
                    <w:tl2br w:val="nil"/>
                    <w:tr2bl w:val="nil"/>
                  </w:tcBorders>
                  <w:noWrap w:val="0"/>
                  <w:tcMar>
                    <w:top w:w="0" w:type="dxa"/>
                    <w:left w:w="108" w:type="dxa"/>
                    <w:bottom w:w="0" w:type="dxa"/>
                    <w:right w:w="108" w:type="dxa"/>
                  </w:tcMar>
                  <w:vAlign w:val="center"/>
                </w:tcPr>
                <w:p w14:paraId="55ECC0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本项目为建筑石料用灰岩矿开采，开采工艺成熟</w:t>
                  </w:r>
                </w:p>
              </w:tc>
              <w:tc>
                <w:tcPr>
                  <w:tcW w:w="654" w:type="pct"/>
                  <w:tcBorders>
                    <w:tl2br w:val="nil"/>
                    <w:tr2bl w:val="nil"/>
                  </w:tcBorders>
                  <w:noWrap w:val="0"/>
                  <w:tcMar>
                    <w:top w:w="0" w:type="dxa"/>
                    <w:left w:w="108" w:type="dxa"/>
                    <w:bottom w:w="0" w:type="dxa"/>
                    <w:right w:w="108" w:type="dxa"/>
                  </w:tcMar>
                  <w:vAlign w:val="center"/>
                </w:tcPr>
                <w:p w14:paraId="38FA83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17D9C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257C31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禁止新建对生态环境产生不可恢复利用的、产生破坏性影响的矿产资源开发项目</w:t>
                  </w:r>
                </w:p>
              </w:tc>
              <w:tc>
                <w:tcPr>
                  <w:tcW w:w="2201" w:type="pct"/>
                  <w:tcBorders>
                    <w:tl2br w:val="nil"/>
                    <w:tr2bl w:val="nil"/>
                  </w:tcBorders>
                  <w:noWrap w:val="0"/>
                  <w:tcMar>
                    <w:top w:w="0" w:type="dxa"/>
                    <w:left w:w="108" w:type="dxa"/>
                    <w:bottom w:w="0" w:type="dxa"/>
                    <w:right w:w="108" w:type="dxa"/>
                  </w:tcMar>
                  <w:vAlign w:val="center"/>
                </w:tcPr>
                <w:p w14:paraId="755379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项目占地主要为林地及一般农田，植被为常见种，生态环境可恢复</w:t>
                  </w:r>
                </w:p>
              </w:tc>
              <w:tc>
                <w:tcPr>
                  <w:tcW w:w="654" w:type="pct"/>
                  <w:tcBorders>
                    <w:tl2br w:val="nil"/>
                    <w:tr2bl w:val="nil"/>
                  </w:tcBorders>
                  <w:noWrap w:val="0"/>
                  <w:tcMar>
                    <w:top w:w="0" w:type="dxa"/>
                    <w:left w:w="108" w:type="dxa"/>
                    <w:bottom w:w="0" w:type="dxa"/>
                    <w:right w:w="108" w:type="dxa"/>
                  </w:tcMar>
                  <w:vAlign w:val="center"/>
                </w:tcPr>
                <w:p w14:paraId="5F9E61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6B2451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773EB2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限制在生态功能保护区和自然保护区（过渡区）内开采矿产资源</w:t>
                  </w:r>
                </w:p>
              </w:tc>
              <w:tc>
                <w:tcPr>
                  <w:tcW w:w="2201" w:type="pct"/>
                  <w:tcBorders>
                    <w:tl2br w:val="nil"/>
                    <w:tr2bl w:val="nil"/>
                  </w:tcBorders>
                  <w:noWrap w:val="0"/>
                  <w:tcMar>
                    <w:top w:w="0" w:type="dxa"/>
                    <w:left w:w="108" w:type="dxa"/>
                    <w:bottom w:w="0" w:type="dxa"/>
                    <w:right w:w="108" w:type="dxa"/>
                  </w:tcMar>
                  <w:vAlign w:val="center"/>
                </w:tcPr>
                <w:p w14:paraId="5B8400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本项目矿区占地范围不涉及生态功能保护区和自然保护区</w:t>
                  </w:r>
                </w:p>
              </w:tc>
              <w:tc>
                <w:tcPr>
                  <w:tcW w:w="654" w:type="pct"/>
                  <w:tcBorders>
                    <w:tl2br w:val="nil"/>
                    <w:tr2bl w:val="nil"/>
                  </w:tcBorders>
                  <w:noWrap w:val="0"/>
                  <w:tcMar>
                    <w:top w:w="0" w:type="dxa"/>
                    <w:left w:w="108" w:type="dxa"/>
                    <w:bottom w:w="0" w:type="dxa"/>
                    <w:right w:w="108" w:type="dxa"/>
                  </w:tcMar>
                  <w:vAlign w:val="center"/>
                </w:tcPr>
                <w:p w14:paraId="6CEE79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p w14:paraId="5F648E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p>
              </w:tc>
            </w:tr>
            <w:tr w14:paraId="7E210F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0F7F40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限制在地质灾害易发区、水土流失严重区域等生态脆弱区内开采矿产资源</w:t>
                  </w:r>
                </w:p>
              </w:tc>
              <w:tc>
                <w:tcPr>
                  <w:tcW w:w="2201" w:type="pct"/>
                  <w:tcBorders>
                    <w:tl2br w:val="nil"/>
                    <w:tr2bl w:val="nil"/>
                  </w:tcBorders>
                  <w:noWrap w:val="0"/>
                  <w:tcMar>
                    <w:top w:w="0" w:type="dxa"/>
                    <w:left w:w="108" w:type="dxa"/>
                    <w:bottom w:w="0" w:type="dxa"/>
                    <w:right w:w="108" w:type="dxa"/>
                  </w:tcMar>
                  <w:vAlign w:val="center"/>
                </w:tcPr>
                <w:p w14:paraId="787487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项目所在区域水土流失属于轻度及中度，且不属于地质灾害易发区。</w:t>
                  </w:r>
                </w:p>
              </w:tc>
              <w:tc>
                <w:tcPr>
                  <w:tcW w:w="654" w:type="pct"/>
                  <w:tcBorders>
                    <w:tl2br w:val="nil"/>
                    <w:tr2bl w:val="nil"/>
                  </w:tcBorders>
                  <w:noWrap w:val="0"/>
                  <w:tcMar>
                    <w:top w:w="0" w:type="dxa"/>
                    <w:left w:w="108" w:type="dxa"/>
                    <w:bottom w:w="0" w:type="dxa"/>
                    <w:right w:w="108" w:type="dxa"/>
                  </w:tcMar>
                  <w:vAlign w:val="center"/>
                </w:tcPr>
                <w:p w14:paraId="5AE05C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0111E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23631F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矿产资源开发应符合国家产业政策要求，选址、布局应符合所在地的区域发展规划</w:t>
                  </w:r>
                </w:p>
              </w:tc>
              <w:tc>
                <w:tcPr>
                  <w:tcW w:w="2201" w:type="pct"/>
                  <w:tcBorders>
                    <w:tl2br w:val="nil"/>
                    <w:tr2bl w:val="nil"/>
                  </w:tcBorders>
                  <w:noWrap w:val="0"/>
                  <w:tcMar>
                    <w:top w:w="0" w:type="dxa"/>
                    <w:left w:w="108" w:type="dxa"/>
                    <w:bottom w:w="0" w:type="dxa"/>
                    <w:right w:w="108" w:type="dxa"/>
                  </w:tcMar>
                  <w:vAlign w:val="center"/>
                </w:tcPr>
                <w:p w14:paraId="693CBA7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符合国家产业政策和区域规划要求</w:t>
                  </w:r>
                </w:p>
              </w:tc>
              <w:tc>
                <w:tcPr>
                  <w:tcW w:w="654" w:type="pct"/>
                  <w:tcBorders>
                    <w:tl2br w:val="nil"/>
                    <w:tr2bl w:val="nil"/>
                  </w:tcBorders>
                  <w:noWrap w:val="0"/>
                  <w:tcMar>
                    <w:top w:w="0" w:type="dxa"/>
                    <w:left w:w="108" w:type="dxa"/>
                    <w:bottom w:w="0" w:type="dxa"/>
                    <w:right w:w="108" w:type="dxa"/>
                  </w:tcMar>
                  <w:vAlign w:val="center"/>
                </w:tcPr>
                <w:p w14:paraId="6A9EA5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bl>
          <w:p w14:paraId="27DB2FF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同时，《矿山生态环境保护与污染防治技术政策》对矿山生态环境保护与污染防治提出了要求。本环评已按照《矿山生态环境保护与污染防治技术政策》的要求和其他相关规定以及项目周围环境敏感特征和当前技术经济条件，有针对性地提出合理可行的生态环境保护与污染防治措施，以达到实现矿产资源开发与生态环境保护协调发展，避免和减少矿区生态环境破坏和污染的目的。</w:t>
            </w:r>
          </w:p>
          <w:p w14:paraId="1F8AB963">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eastAsia" w:ascii="Times New Roman" w:hAnsi="Times New Roman" w:eastAsia="宋体" w:cs="Times New Roman"/>
                <w:spacing w:val="11"/>
                <w:position w:val="0"/>
                <w:sz w:val="24"/>
                <w:szCs w:val="24"/>
                <w:u w:val="none" w:color="auto"/>
                <w:lang w:val="en-US" w:eastAsia="zh-CN"/>
              </w:rPr>
            </w:pPr>
            <w:r>
              <w:rPr>
                <w:rFonts w:hint="default" w:ascii="Times New Roman" w:hAnsi="Times New Roman" w:eastAsia="宋体" w:cs="Times New Roman"/>
                <w:spacing w:val="11"/>
                <w:position w:val="0"/>
                <w:sz w:val="24"/>
                <w:szCs w:val="24"/>
                <w:u w:val="none" w:color="auto"/>
              </w:rPr>
              <w:t>综上，本矿山的建设符合《矿山生态环境保护与污染防治技术政策》。</w:t>
            </w:r>
            <w:r>
              <w:rPr>
                <w:rFonts w:hint="eastAsia" w:cs="Times New Roman"/>
                <w:spacing w:val="11"/>
                <w:position w:val="0"/>
                <w:sz w:val="24"/>
                <w:szCs w:val="24"/>
                <w:u w:val="none" w:color="auto"/>
                <w:lang w:val="en-US" w:eastAsia="zh-CN"/>
              </w:rPr>
              <w:t xml:space="preserve"> </w:t>
            </w:r>
          </w:p>
          <w:p w14:paraId="2B6825AB">
            <w:pPr>
              <w:pStyle w:val="27"/>
              <w:keepNext w:val="0"/>
              <w:keepLines w:val="0"/>
              <w:pageBreakBefore w:val="0"/>
              <w:widowControl w:val="0"/>
              <w:kinsoku/>
              <w:wordWrap/>
              <w:overflowPunct/>
              <w:topLinePunct w:val="0"/>
              <w:bidi w:val="0"/>
              <w:adjustRightInd w:val="0"/>
              <w:snapToGrid w:val="0"/>
              <w:spacing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ascii="Times New Roman" w:hAnsi="Times New Roman" w:eastAsia="宋体" w:cs="Times New Roman"/>
                <w:color w:val="000000"/>
                <w:spacing w:val="11"/>
                <w:position w:val="0"/>
                <w:sz w:val="24"/>
                <w:szCs w:val="24"/>
                <w:u w:val="none" w:color="auto"/>
                <w:lang w:val="en-US" w:eastAsia="zh-CN"/>
              </w:rPr>
              <w:t>5</w:t>
            </w:r>
            <w:r>
              <w:rPr>
                <w:rFonts w:hint="default"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rPr>
              <w:t>与《全国生态环境保护纲要》的符合性分析</w:t>
            </w:r>
          </w:p>
          <w:p w14:paraId="35B8E539">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eastAsia" w:ascii="Times New Roman" w:hAnsi="Times New Roman" w:eastAsia="宋体" w:cs="Times New Roman"/>
                <w:b w:val="0"/>
                <w:bCs w:val="0"/>
                <w:color w:val="000000"/>
                <w:spacing w:val="11"/>
                <w:position w:val="0"/>
                <w:sz w:val="24"/>
                <w:szCs w:val="24"/>
                <w:u w:val="none" w:color="auto"/>
                <w:lang w:eastAsia="zh-CN"/>
              </w:rPr>
              <w:t>本</w:t>
            </w:r>
            <w:r>
              <w:rPr>
                <w:rFonts w:hint="default" w:ascii="Times New Roman" w:hAnsi="Times New Roman" w:eastAsia="宋体" w:cs="Times New Roman"/>
                <w:b w:val="0"/>
                <w:bCs w:val="0"/>
                <w:color w:val="000000"/>
                <w:spacing w:val="11"/>
                <w:position w:val="0"/>
                <w:sz w:val="24"/>
                <w:szCs w:val="24"/>
                <w:u w:val="none" w:color="auto"/>
              </w:rPr>
              <w:t>项目</w:t>
            </w:r>
            <w:r>
              <w:rPr>
                <w:rFonts w:hint="eastAsia" w:ascii="Times New Roman" w:hAnsi="Times New Roman" w:eastAsia="宋体" w:cs="Times New Roman"/>
                <w:b w:val="0"/>
                <w:bCs w:val="0"/>
                <w:color w:val="000000"/>
                <w:spacing w:val="11"/>
                <w:position w:val="0"/>
                <w:sz w:val="24"/>
                <w:szCs w:val="24"/>
                <w:u w:val="none" w:color="auto"/>
                <w:lang w:eastAsia="zh-CN"/>
              </w:rPr>
              <w:t>为</w:t>
            </w:r>
            <w:r>
              <w:rPr>
                <w:rFonts w:hint="default" w:ascii="Times New Roman" w:hAnsi="Times New Roman" w:eastAsia="宋体" w:cs="Times New Roman"/>
                <w:b w:val="0"/>
                <w:bCs w:val="0"/>
                <w:color w:val="000000"/>
                <w:spacing w:val="11"/>
                <w:position w:val="0"/>
                <w:sz w:val="24"/>
                <w:szCs w:val="24"/>
                <w:u w:val="none" w:color="auto"/>
              </w:rPr>
              <w:t>露天开采</w:t>
            </w:r>
            <w:r>
              <w:rPr>
                <w:rFonts w:hint="eastAsia" w:ascii="Times New Roman" w:hAnsi="Times New Roman" w:eastAsia="宋体" w:cs="Times New Roman"/>
                <w:b w:val="0"/>
                <w:bCs w:val="0"/>
                <w:color w:val="000000"/>
                <w:spacing w:val="11"/>
                <w:position w:val="0"/>
                <w:sz w:val="24"/>
                <w:szCs w:val="24"/>
                <w:u w:val="none" w:color="auto"/>
                <w:lang w:eastAsia="zh-CN"/>
              </w:rPr>
              <w:t>，</w:t>
            </w:r>
            <w:r>
              <w:rPr>
                <w:rFonts w:hint="default" w:ascii="Times New Roman" w:hAnsi="Times New Roman" w:eastAsia="宋体" w:cs="Times New Roman"/>
                <w:b w:val="0"/>
                <w:bCs w:val="0"/>
                <w:color w:val="000000"/>
                <w:spacing w:val="11"/>
                <w:position w:val="0"/>
                <w:sz w:val="24"/>
                <w:szCs w:val="24"/>
                <w:u w:val="none" w:color="auto"/>
              </w:rPr>
              <w:t>属于矿产资源开发项目。《全国生态环境保护纲要》对矿产资源开发利用的生态环境保护提出了明确要求：“严禁在生态功能保护区、自然保护区、风景名胜区、森林公园内采矿。严禁在崩塌滑坡危险区、泥石流易发区和易导致自然景观破坏的区域采石、采砂、取土。矿产资源开发利用必须严格规划管理，开发应选取有利于生态环境保护的工期、区域和方式，把开发活动对生态环境的破坏减少到最低限度。矿产资源开发必须防止次生地质灾害的发生。在沿江、沿河、沿湖、沿库、沿海地区开采矿产资源，必须落实生态环境保护措施，尽量避免和减少对生态环境的破坏。已造成破坏的，开发者必须限期恢复，已停止采矿或关闭的矿山、矿坑，必须及时做好土地复垦。”</w:t>
            </w:r>
          </w:p>
          <w:p w14:paraId="05A7FAFF">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项目不在划定的生态功能保护区，自然保护区、风景名胜区、森林公园等，不属于崩塌滑坡危险区、泥石流易发区，矿区内无有价值的自然景观，同时采取先剥后采、水平台阶式开采、微差爆破等有利于生态环境保护的工艺，闭矿后也将及时进行土地复垦。</w:t>
            </w:r>
          </w:p>
          <w:p w14:paraId="4CC5AF45">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因此，项目的建设符合《全国生态环境保护纲要》对矿产资源开发利用的生态环境保护要求。</w:t>
            </w:r>
          </w:p>
          <w:p w14:paraId="68F1524C">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3FB363D5">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209F950E">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67F29377">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3752D4D4">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5539ABB7">
            <w:pPr>
              <w:pStyle w:val="27"/>
              <w:keepNext w:val="0"/>
              <w:keepLines w:val="0"/>
              <w:pageBreakBefore w:val="0"/>
              <w:widowControl w:val="0"/>
              <w:kinsoku/>
              <w:wordWrap/>
              <w:overflowPunct/>
              <w:topLinePunct w:val="0"/>
              <w:bidi w:val="0"/>
              <w:adjustRightInd w:val="0"/>
              <w:snapToGrid w:val="0"/>
              <w:spacing w:line="240" w:lineRule="auto"/>
              <w:textAlignment w:val="auto"/>
              <w:rPr>
                <w:rFonts w:hint="eastAsia" w:ascii="Times New Roman" w:hAnsi="Times New Roman" w:cs="Times New Roman"/>
                <w:b w:val="0"/>
                <w:bCs w:val="0"/>
                <w:color w:val="000000"/>
                <w:spacing w:val="11"/>
                <w:position w:val="0"/>
                <w:sz w:val="24"/>
                <w:szCs w:val="24"/>
                <w:u w:val="none" w:color="auto"/>
                <w:lang w:val="en-US" w:eastAsia="zh-CN"/>
              </w:rPr>
            </w:pPr>
          </w:p>
          <w:p w14:paraId="7EC0D488">
            <w:pPr>
              <w:pStyle w:val="27"/>
              <w:keepNext w:val="0"/>
              <w:keepLines w:val="0"/>
              <w:pageBreakBefore w:val="0"/>
              <w:widowControl w:val="0"/>
              <w:kinsoku/>
              <w:wordWrap/>
              <w:overflowPunct/>
              <w:topLinePunct w:val="0"/>
              <w:bidi w:val="0"/>
              <w:adjustRightInd w:val="0"/>
              <w:snapToGrid w:val="0"/>
              <w:spacing w:line="240" w:lineRule="auto"/>
              <w:ind w:firstLine="524" w:firstLineChars="200"/>
              <w:textAlignment w:val="auto"/>
              <w:rPr>
                <w:rFonts w:hint="default" w:ascii="Times New Roman" w:hAnsi="Times New Roman" w:eastAsia="宋体" w:cs="Times New Roman"/>
                <w:color w:val="000000"/>
                <w:spacing w:val="11"/>
                <w:kern w:val="2"/>
                <w:position w:val="0"/>
                <w:sz w:val="24"/>
                <w:szCs w:val="32"/>
                <w:u w:val="none" w:color="auto"/>
                <w:lang w:val="en-US" w:eastAsia="zh-CN" w:bidi="ar-SA"/>
              </w:rPr>
            </w:pPr>
            <w:r>
              <w:rPr>
                <w:rFonts w:hint="eastAsia" w:ascii="Times New Roman" w:hAnsi="Times New Roman" w:cs="Times New Roman"/>
                <w:b w:val="0"/>
                <w:bCs w:val="0"/>
                <w:color w:val="000000"/>
                <w:spacing w:val="11"/>
                <w:position w:val="0"/>
                <w:sz w:val="24"/>
                <w:szCs w:val="24"/>
                <w:u w:val="none" w:color="auto"/>
                <w:lang w:val="en-US" w:eastAsia="zh-CN"/>
              </w:rPr>
              <w:t xml:space="preserve"> </w:t>
            </w:r>
          </w:p>
        </w:tc>
      </w:tr>
    </w:tbl>
    <w:p w14:paraId="2A052D55">
      <w:pPr>
        <w:spacing w:line="360" w:lineRule="auto"/>
        <w:outlineLvl w:val="9"/>
        <w:rPr>
          <w:rFonts w:hint="default" w:ascii="Times New Roman" w:hAnsi="Times New Roman" w:eastAsia="宋体" w:cs="Times New Roman"/>
          <w:color w:val="auto"/>
          <w:spacing w:val="11"/>
          <w:position w:val="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A3047FE">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1" w:name="_Toc21551"/>
      <w:r>
        <w:rPr>
          <w:rFonts w:hint="default" w:ascii="Times New Roman" w:hAnsi="Times New Roman" w:eastAsia="宋体" w:cs="Times New Roman"/>
          <w:b/>
          <w:bCs/>
          <w:snapToGrid w:val="0"/>
          <w:color w:val="auto"/>
          <w:spacing w:val="11"/>
          <w:position w:val="0"/>
          <w:sz w:val="30"/>
          <w:szCs w:val="30"/>
        </w:rPr>
        <w:t>二、建设内容</w:t>
      </w:r>
      <w:bookmarkEnd w:id="1"/>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8213"/>
      </w:tblGrid>
      <w:tr w14:paraId="426C8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50" w:type="dxa"/>
            <w:tcBorders>
              <w:tl2br w:val="nil"/>
              <w:tr2bl w:val="nil"/>
            </w:tcBorders>
            <w:noWrap w:val="0"/>
            <w:vAlign w:val="center"/>
          </w:tcPr>
          <w:p w14:paraId="563E07BA">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地理位置</w:t>
            </w:r>
          </w:p>
        </w:tc>
        <w:tc>
          <w:tcPr>
            <w:tcW w:w="8304" w:type="dxa"/>
            <w:tcBorders>
              <w:tl2br w:val="nil"/>
              <w:tr2bl w:val="nil"/>
            </w:tcBorders>
            <w:noWrap w:val="0"/>
            <w:vAlign w:val="center"/>
          </w:tcPr>
          <w:p w14:paraId="7B9B650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周家洞矿区位于新田县城西北部300°方位，距新田县城直距约5.0km，行政隶属新田县龙泉街道管辖，地理坐标为：东经112°08′22″～112°08′42″，北纬25°55′29″～25°54′43″。</w:t>
            </w:r>
            <w:r>
              <w:rPr>
                <w:rFonts w:hint="eastAsia" w:ascii="Times New Roman" w:hAnsi="Times New Roman" w:eastAsia="宋体" w:cs="Times New Roman"/>
                <w:color w:val="auto"/>
                <w:spacing w:val="11"/>
                <w:kern w:val="0"/>
                <w:position w:val="0"/>
                <w:sz w:val="24"/>
                <w:szCs w:val="24"/>
                <w:lang w:val="en-US" w:eastAsia="zh-CN"/>
              </w:rPr>
              <w:t>位于舂陵水系新田河区域范围内</w:t>
            </w:r>
            <w:r>
              <w:rPr>
                <w:rFonts w:hint="default" w:ascii="Times New Roman" w:hAnsi="Times New Roman" w:eastAsia="宋体" w:cs="Times New Roman"/>
                <w:color w:val="auto"/>
                <w:spacing w:val="11"/>
                <w:kern w:val="0"/>
                <w:position w:val="0"/>
                <w:sz w:val="24"/>
                <w:szCs w:val="24"/>
                <w:lang w:val="en-US" w:eastAsia="zh-CN"/>
              </w:rPr>
              <w:t>。</w:t>
            </w:r>
          </w:p>
        </w:tc>
      </w:tr>
      <w:tr w14:paraId="61B37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48719BCB">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项目组成及规模</w:t>
            </w:r>
          </w:p>
        </w:tc>
        <w:tc>
          <w:tcPr>
            <w:tcW w:w="8304" w:type="dxa"/>
            <w:tcBorders>
              <w:tl2br w:val="nil"/>
              <w:tr2bl w:val="nil"/>
            </w:tcBorders>
            <w:noWrap w:val="0"/>
            <w:vAlign w:val="top"/>
          </w:tcPr>
          <w:p w14:paraId="2E0AF65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bCs/>
                <w:color w:val="auto"/>
                <w:spacing w:val="11"/>
                <w:kern w:val="0"/>
                <w:position w:val="0"/>
                <w:sz w:val="24"/>
                <w:szCs w:val="24"/>
                <w:u w:val="none" w:color="auto"/>
                <w:lang w:val="en-US" w:eastAsia="zh-CN"/>
              </w:rPr>
            </w:pPr>
            <w:r>
              <w:rPr>
                <w:rFonts w:hint="eastAsia" w:ascii="Times New Roman" w:hAnsi="Times New Roman" w:eastAsia="宋体" w:cs="Times New Roman"/>
                <w:b/>
                <w:bCs/>
                <w:color w:val="auto"/>
                <w:spacing w:val="11"/>
                <w:kern w:val="0"/>
                <w:position w:val="0"/>
                <w:sz w:val="24"/>
                <w:szCs w:val="24"/>
                <w:u w:color="auto"/>
                <w:lang w:val="en-US" w:eastAsia="zh-CN" w:bidi="ar-SA"/>
              </w:rPr>
              <w:t>1、</w:t>
            </w:r>
            <w:r>
              <w:rPr>
                <w:rFonts w:hint="eastAsia" w:ascii="Times New Roman" w:hAnsi="Times New Roman" w:eastAsia="宋体" w:cs="Times New Roman"/>
                <w:b/>
                <w:bCs/>
                <w:color w:val="auto"/>
                <w:spacing w:val="11"/>
                <w:kern w:val="0"/>
                <w:position w:val="0"/>
                <w:sz w:val="24"/>
                <w:szCs w:val="24"/>
                <w:u w:val="none" w:color="auto"/>
                <w:lang w:val="en-US" w:eastAsia="zh-CN"/>
              </w:rPr>
              <w:t>项目背景及基本情况</w:t>
            </w:r>
          </w:p>
          <w:p w14:paraId="20B288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2017年12月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湖南省新田县周家洞矿区建筑石料用灰岩矿</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原新田县龙泉矿区振新建筑石料用灰岩矿）采矿权人新田县振新建材有限公司取得原永州市环境保护局《关于新田县振新建材有限公司建筑石料用灰岩矿建设项目环境影响报告表的批复》（永环评[2017]185号），年产30万吨建筑石料用灰岩，项目矿区面积0.0948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准采标高+340m~+300m，于2017年12月投产试运营；2020年8月，委托湖南中额环保科技有限公司对本项目进行竣工环境保护验收并编制了《新田县振新建材有限公司建筑石料用灰岩矿建设项目竣工环境保护验收报告》。2022年6月因采矿证到期等因素停止生产，截止目前，一直处于停产状态。</w:t>
            </w:r>
          </w:p>
          <w:p w14:paraId="2A9B152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eastAsia="zh-CN"/>
              </w:rPr>
            </w:pPr>
            <w:r>
              <w:rPr>
                <w:rFonts w:hint="default" w:ascii="Times New Roman" w:hAnsi="Times New Roman" w:eastAsia="宋体" w:cs="Times New Roman"/>
                <w:snapToGrid w:val="0"/>
                <w:color w:val="000000"/>
                <w:spacing w:val="11"/>
                <w:kern w:val="0"/>
                <w:position w:val="0"/>
                <w:sz w:val="24"/>
                <w:szCs w:val="24"/>
                <w:u w:val="single" w:color="auto"/>
                <w:lang w:eastAsia="zh-CN"/>
              </w:rPr>
              <w:t>砂石土矿不仅是重要的民生矿产，而且对推动矿山所在地的经济发展有着重要的意义。根据《新田县普通建筑材料用砂石土矿专项规划</w:t>
            </w:r>
            <w:r>
              <w:rPr>
                <w:rFonts w:hint="eastAsia" w:ascii="Times New Roman" w:hAnsi="Times New Roman" w:eastAsia="宋体" w:cs="Times New Roman"/>
                <w:snapToGrid w:val="0"/>
                <w:color w:val="000000"/>
                <w:spacing w:val="11"/>
                <w:kern w:val="0"/>
                <w:position w:val="0"/>
                <w:sz w:val="24"/>
                <w:szCs w:val="24"/>
                <w:u w:val="single" w:color="auto"/>
                <w:lang w:eastAsia="zh-CN"/>
              </w:rPr>
              <w:t>（</w:t>
            </w:r>
            <w:r>
              <w:rPr>
                <w:rFonts w:hint="default" w:ascii="Times New Roman" w:hAnsi="Times New Roman" w:eastAsia="宋体" w:cs="Times New Roman"/>
                <w:snapToGrid w:val="0"/>
                <w:color w:val="000000"/>
                <w:spacing w:val="11"/>
                <w:kern w:val="0"/>
                <w:position w:val="0"/>
                <w:sz w:val="24"/>
                <w:szCs w:val="24"/>
                <w:u w:val="single" w:color="auto"/>
                <w:lang w:eastAsia="zh-CN"/>
              </w:rPr>
              <w:t>2019~2025年</w:t>
            </w:r>
            <w:r>
              <w:rPr>
                <w:rFonts w:hint="eastAsia" w:ascii="Times New Roman" w:hAnsi="Times New Roman" w:eastAsia="宋体" w:cs="Times New Roman"/>
                <w:snapToGrid w:val="0"/>
                <w:color w:val="000000"/>
                <w:spacing w:val="11"/>
                <w:kern w:val="0"/>
                <w:position w:val="0"/>
                <w:sz w:val="24"/>
                <w:szCs w:val="24"/>
                <w:u w:val="single" w:color="auto"/>
                <w:lang w:eastAsia="zh-CN"/>
              </w:rPr>
              <w:t>）</w:t>
            </w:r>
            <w:r>
              <w:rPr>
                <w:rFonts w:hint="default" w:ascii="Times New Roman" w:hAnsi="Times New Roman" w:eastAsia="宋体" w:cs="Times New Roman"/>
                <w:snapToGrid w:val="0"/>
                <w:color w:val="000000"/>
                <w:spacing w:val="11"/>
                <w:kern w:val="0"/>
                <w:position w:val="0"/>
                <w:sz w:val="24"/>
                <w:szCs w:val="24"/>
                <w:u w:val="single" w:color="auto"/>
                <w:lang w:eastAsia="zh-CN"/>
              </w:rPr>
              <w:t>》，新田县共规划了11个砂石土矿区块，</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新田县周家洞建筑石料用灰岩矿</w:t>
            </w:r>
            <w:r>
              <w:rPr>
                <w:rFonts w:hint="default" w:ascii="Times New Roman" w:hAnsi="Times New Roman" w:eastAsia="宋体" w:cs="Times New Roman"/>
                <w:snapToGrid w:val="0"/>
                <w:color w:val="000000"/>
                <w:spacing w:val="11"/>
                <w:kern w:val="0"/>
                <w:position w:val="0"/>
                <w:sz w:val="24"/>
                <w:szCs w:val="24"/>
                <w:u w:val="single" w:color="auto"/>
                <w:lang w:eastAsia="zh-CN"/>
              </w:rPr>
              <w:t>属11个规划区块之一。</w:t>
            </w:r>
          </w:p>
          <w:p w14:paraId="26ECB8D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为加快推进县域砂石产业规模化、集约化发展，推进绿色矿山建设，保障地区经济社会发展对砂石资源的总体需求，新田县自然资源局通过公开招投标确定委托湖南省地球物理地球化学调查所（以下简称物化所）开展了周家洞矿区建筑石料用灰岩矿勘查工作，于2022年7月取得野外验收意见书并编制了勘查报告初步成果，初步评价矿区可作为小型砂石矿山建设基地。</w:t>
            </w:r>
          </w:p>
          <w:p w14:paraId="779ADC7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10</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月永州市自然资源和规划局委托湖南省国土空间调查监测所编制了《湖南省新田县周家洞矿区建筑石料用灰岩矿采矿权申请范围核查报告》，该报告2022年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10</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25</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日经专家评审通过</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永采矿权核查评字</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2022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010号</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，后经永州市自然资源和规划局审查通过。</w:t>
            </w:r>
          </w:p>
          <w:p w14:paraId="2040899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11</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9</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日经永州市自然资源和规划局评审通过了《湖南省新田县周家洞矿区建筑石料用灰岩矿勘查报告》，矿产资源储量评审备案证明</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永自然资储备字[202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]00</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号</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，矿山范围内建筑石料用灰岩矿控制资源量</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370.4</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万t</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1</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36.7</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万m</w:t>
            </w:r>
            <w:r>
              <w:rPr>
                <w:rFonts w:hint="default" w:ascii="Times New Roman" w:hAnsi="Times New Roman" w:eastAsia="宋体" w:cs="Times New Roman"/>
                <w:snapToGrid w:val="0"/>
                <w:color w:val="000000"/>
                <w:spacing w:val="11"/>
                <w:kern w:val="0"/>
                <w:position w:val="0"/>
                <w:sz w:val="24"/>
                <w:szCs w:val="24"/>
                <w:u w:val="single" w:color="auto"/>
                <w:vertAlign w:val="superscript"/>
                <w:lang w:val="en-US" w:eastAsia="zh-CN"/>
              </w:rPr>
              <w:t>3</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，矿区剥离量</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13.2</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万m</w:t>
            </w:r>
            <w:r>
              <w:rPr>
                <w:rFonts w:hint="default" w:ascii="Times New Roman" w:hAnsi="Times New Roman" w:eastAsia="宋体" w:cs="Times New Roman"/>
                <w:snapToGrid w:val="0"/>
                <w:color w:val="000000"/>
                <w:spacing w:val="11"/>
                <w:kern w:val="0"/>
                <w:position w:val="0"/>
                <w:sz w:val="24"/>
                <w:szCs w:val="24"/>
                <w:u w:val="singl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，剥采比为</w:t>
            </w:r>
            <w:r>
              <w:rPr>
                <w:rFonts w:hint="default" w:ascii="Times New Roman" w:hAnsi="Times New Roman" w:eastAsia="宋体" w:cs="Times New Roman"/>
                <w:bCs/>
                <w:color w:val="000000"/>
                <w:spacing w:val="11"/>
                <w:position w:val="0"/>
                <w:sz w:val="24"/>
                <w:szCs w:val="24"/>
                <w:highlight w:val="none"/>
                <w:u w:val="single" w:color="auto"/>
                <w:lang w:val="en-US" w:eastAsia="zh-CN"/>
              </w:rPr>
              <w:t>0.10:1（m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w:t>
            </w:r>
          </w:p>
          <w:p w14:paraId="01F0865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为推进新田县砂石土矿专项整治工作，确保满足当地基础设施建设对砂石料的需求，依法规范出让砂石矿采矿权，根据湖南省砂石土矿专项整治相关文件，本次拟设矿区须按新设采矿权组织招拍挂出让，为了顺利完成新设采矿权出让工作，永州市自然资源和规划局委托湖南省国土空间调查监测所编制《湖南省新田县周家洞矿区建筑石料用灰岩矿资源开发利用方案》。</w:t>
            </w:r>
          </w:p>
          <w:p w14:paraId="0126B12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2024年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9</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11</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日新田县振新建材有限公司（本项目建设单位）通过湖南省</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永州市</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国有资产资源交易平台的矿业权交易系统取得了的湖南省新田县周家洞矿区建筑石料用灰岩矿的使用权。</w:t>
            </w:r>
          </w:p>
          <w:p w14:paraId="2056261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近年来，湖南省新田县大力开展砂石土矿整治整顿，区域范围内砂石土矿多数停产，砂石资源市场供不应求。现为满足市场需求，新田县振新建材有限公司</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拟投资6000万元建设新田县振新建材有限公司石灰石开采、建筑材料开采项目，主要建设内容为：①调整开采范围，矿山矿界范围由0.0948km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调整为0.1018km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准采标高+340m~+300m调整为+343m～+260m，扩建后产量可达年产60万吨建筑石料用灰岩，仅增加年产量，不新增生产设备；②新建水稳拌合区。2025年1月13日，新田县振新建材有限公司办理了新的采矿许可证，采矿许可证为C4311282017057130144435，有效期为2022年6月3日至2032年2月13日。</w:t>
            </w:r>
          </w:p>
          <w:p w14:paraId="55DCF0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eastAsia" w:ascii="Times New Roman" w:hAnsi="Times New Roman" w:eastAsia="宋体" w:cs="Times New Roman"/>
                <w:snapToGrid w:val="0"/>
                <w:color w:val="000000"/>
                <w:spacing w:val="11"/>
                <w:kern w:val="0"/>
                <w:position w:val="0"/>
                <w:sz w:val="24"/>
                <w:szCs w:val="24"/>
                <w:u w:val="none" w:color="auto"/>
                <w:lang w:val="en-US" w:eastAsia="zh-CN"/>
              </w:rPr>
              <w:t>依据</w:t>
            </w:r>
            <w:r>
              <w:rPr>
                <w:rFonts w:hint="default" w:ascii="Times New Roman" w:hAnsi="Times New Roman" w:eastAsia="宋体" w:cs="Times New Roman"/>
                <w:snapToGrid w:val="0"/>
                <w:color w:val="000000"/>
                <w:spacing w:val="11"/>
                <w:kern w:val="0"/>
                <w:position w:val="0"/>
                <w:sz w:val="24"/>
                <w:szCs w:val="24"/>
                <w:u w:val="none" w:color="auto"/>
                <w:lang w:val="en-US" w:eastAsia="zh-CN"/>
              </w:rPr>
              <w:t>《建设项目环境影响评价分类管理名录》（2021版），本项目类别为</w:t>
            </w:r>
            <w:r>
              <w:rPr>
                <w:rFonts w:hint="eastAsia" w:ascii="Times New Roman" w:hAnsi="Times New Roman" w:eastAsia="宋体" w:cs="Times New Roman"/>
                <w:snapToGrid w:val="0"/>
                <w:color w:val="000000"/>
                <w:spacing w:val="11"/>
                <w:kern w:val="0"/>
                <w:position w:val="0"/>
                <w:sz w:val="24"/>
                <w:szCs w:val="24"/>
                <w:u w:val="none" w:color="auto"/>
                <w:lang w:val="en-US" w:eastAsia="zh-CN"/>
              </w:rPr>
              <w:t>“八、非金属矿采选业 10--11.土砂石开采 101（不含河道采砂项目）中的其他”，应编制环境影响报告表</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r>
              <w:rPr>
                <w:rFonts w:hint="eastAsia" w:ascii="Times New Roman" w:hAnsi="Times New Roman" w:eastAsia="宋体" w:cs="Times New Roman"/>
                <w:snapToGrid w:val="0"/>
                <w:color w:val="000000"/>
                <w:spacing w:val="11"/>
                <w:kern w:val="0"/>
                <w:position w:val="0"/>
                <w:sz w:val="24"/>
                <w:szCs w:val="24"/>
                <w:u w:val="none" w:color="auto"/>
                <w:lang w:val="en-US" w:eastAsia="zh-CN"/>
              </w:rPr>
              <w:t>受新田县振新建材有限公司委托，我公司承担了该项目的环境影响评价工作。</w:t>
            </w:r>
            <w:r>
              <w:rPr>
                <w:rFonts w:hint="default" w:ascii="Times New Roman" w:hAnsi="Times New Roman" w:eastAsia="宋体" w:cs="Times New Roman"/>
                <w:snapToGrid w:val="0"/>
                <w:color w:val="000000"/>
                <w:spacing w:val="11"/>
                <w:kern w:val="0"/>
                <w:position w:val="0"/>
                <w:sz w:val="24"/>
                <w:szCs w:val="24"/>
                <w:u w:val="none" w:color="auto"/>
                <w:lang w:val="en-US" w:eastAsia="zh-CN"/>
              </w:rPr>
              <w:t>接受委托后，通过现场踏勘、资料收集，在工程分析的基础上，对本项目可能造成的环境影响进行分析评价后，按照环境影响评价技术导则的要求，编制了《新田县振新建材有限公司石灰石开采、建筑材料开采项目环境影响报告表》，供建设单位上报审批。</w:t>
            </w:r>
          </w:p>
          <w:p w14:paraId="7AC04285">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ascii="Times New Roman" w:hAnsi="Times New Roman" w:eastAsia="宋体" w:cs="Times New Roman"/>
                <w:b/>
                <w:bCs/>
                <w:color w:val="auto"/>
                <w:spacing w:val="11"/>
                <w:kern w:val="0"/>
                <w:position w:val="0"/>
                <w:sz w:val="24"/>
                <w:szCs w:val="24"/>
                <w:u w:val="none" w:color="auto"/>
                <w:lang w:val="en-US" w:eastAsia="zh-CN"/>
              </w:rPr>
              <w:t>2、</w:t>
            </w:r>
            <w:r>
              <w:rPr>
                <w:rFonts w:hint="default" w:ascii="Times New Roman" w:hAnsi="Times New Roman" w:eastAsia="宋体" w:cs="Times New Roman"/>
                <w:b/>
                <w:bCs/>
                <w:color w:val="auto"/>
                <w:spacing w:val="11"/>
                <w:position w:val="0"/>
                <w:sz w:val="24"/>
                <w:szCs w:val="24"/>
                <w:highlight w:val="none"/>
                <w:u w:val="none" w:color="auto"/>
                <w:lang w:val="en-US" w:eastAsia="zh-CN"/>
              </w:rPr>
              <w:t>项目工程概况</w:t>
            </w:r>
          </w:p>
          <w:p w14:paraId="3046C5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4"/>
                <w:szCs w:val="24"/>
                <w:highlight w:val="none"/>
                <w:u w:val="none" w:color="auto"/>
                <w:lang w:val="en-US" w:eastAsia="zh-CN"/>
              </w:rPr>
              <w:t>2.1</w:t>
            </w:r>
            <w:r>
              <w:rPr>
                <w:rFonts w:hint="default" w:ascii="Times New Roman" w:hAnsi="Times New Roman" w:eastAsia="宋体" w:cs="Times New Roman"/>
                <w:b/>
                <w:bCs/>
                <w:color w:val="auto"/>
                <w:spacing w:val="11"/>
                <w:position w:val="0"/>
                <w:sz w:val="24"/>
                <w:szCs w:val="24"/>
                <w:highlight w:val="none"/>
                <w:u w:val="none" w:color="auto"/>
              </w:rPr>
              <w:t>工程概况</w:t>
            </w:r>
          </w:p>
          <w:p w14:paraId="306CF6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项目名称：</w:t>
            </w:r>
            <w:r>
              <w:rPr>
                <w:rFonts w:hint="eastAsia" w:ascii="Times New Roman" w:hAnsi="Times New Roman" w:eastAsia="宋体" w:cs="Times New Roman"/>
                <w:color w:val="auto"/>
                <w:spacing w:val="11"/>
                <w:position w:val="0"/>
                <w:sz w:val="24"/>
                <w:szCs w:val="24"/>
                <w:highlight w:val="none"/>
                <w:u w:val="none" w:color="auto"/>
                <w:lang w:val="en-US" w:eastAsia="zh-CN"/>
              </w:rPr>
              <w:t>新田县振新建材有限公司石灰石开采、建筑材料开采项目</w:t>
            </w:r>
            <w:r>
              <w:rPr>
                <w:rFonts w:hint="default" w:ascii="Times New Roman" w:hAnsi="Times New Roman" w:eastAsia="宋体" w:cs="Times New Roman"/>
                <w:color w:val="auto"/>
                <w:spacing w:val="11"/>
                <w:position w:val="0"/>
                <w:sz w:val="24"/>
                <w:szCs w:val="24"/>
                <w:highlight w:val="none"/>
                <w:u w:val="none" w:color="auto"/>
              </w:rPr>
              <w:t>；</w:t>
            </w:r>
          </w:p>
          <w:p w14:paraId="52C62E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建设性质：</w:t>
            </w:r>
            <w:r>
              <w:rPr>
                <w:rFonts w:hint="eastAsia" w:ascii="Times New Roman" w:hAnsi="Times New Roman" w:eastAsia="宋体" w:cs="Times New Roman"/>
                <w:color w:val="auto"/>
                <w:spacing w:val="11"/>
                <w:kern w:val="0"/>
                <w:position w:val="0"/>
                <w:sz w:val="24"/>
                <w:szCs w:val="24"/>
                <w:highlight w:val="none"/>
                <w:u w:val="none" w:color="auto"/>
                <w:lang w:val="en-US" w:eastAsia="zh-CN"/>
              </w:rPr>
              <w:t>扩建</w:t>
            </w:r>
            <w:r>
              <w:rPr>
                <w:rFonts w:hint="default" w:ascii="Times New Roman" w:hAnsi="Times New Roman" w:eastAsia="宋体" w:cs="Times New Roman"/>
                <w:color w:val="auto"/>
                <w:spacing w:val="11"/>
                <w:position w:val="0"/>
                <w:sz w:val="24"/>
                <w:szCs w:val="24"/>
                <w:highlight w:val="none"/>
                <w:u w:val="none" w:color="auto"/>
              </w:rPr>
              <w:t>；</w:t>
            </w:r>
          </w:p>
          <w:p w14:paraId="3D1FCC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建设单位：</w:t>
            </w:r>
            <w:r>
              <w:rPr>
                <w:rFonts w:hint="default" w:ascii="Times New Roman" w:hAnsi="Times New Roman" w:eastAsia="宋体" w:cs="Times New Roman"/>
                <w:color w:val="auto"/>
                <w:spacing w:val="11"/>
                <w:position w:val="0"/>
                <w:sz w:val="24"/>
                <w:szCs w:val="24"/>
                <w:highlight w:val="none"/>
                <w:u w:val="none" w:color="auto"/>
                <w:lang w:val="en-US" w:eastAsia="zh-CN"/>
              </w:rPr>
              <w:t>新田县振新建材有限公司</w:t>
            </w:r>
            <w:r>
              <w:rPr>
                <w:rFonts w:hint="default" w:ascii="Times New Roman" w:hAnsi="Times New Roman" w:eastAsia="宋体" w:cs="Times New Roman"/>
                <w:color w:val="auto"/>
                <w:spacing w:val="11"/>
                <w:position w:val="0"/>
                <w:sz w:val="24"/>
                <w:szCs w:val="24"/>
                <w:highlight w:val="none"/>
                <w:u w:val="none" w:color="auto"/>
              </w:rPr>
              <w:t>；</w:t>
            </w:r>
          </w:p>
          <w:p w14:paraId="2E7E5D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建设地点：</w:t>
            </w:r>
            <w:r>
              <w:rPr>
                <w:rFonts w:hint="default" w:ascii="Times New Roman" w:hAnsi="Times New Roman" w:eastAsia="宋体" w:cs="Times New Roman"/>
                <w:color w:val="auto"/>
                <w:spacing w:val="11"/>
                <w:position w:val="0"/>
                <w:sz w:val="24"/>
                <w:szCs w:val="21"/>
                <w:highlight w:val="none"/>
                <w:u w:val="none" w:color="auto"/>
                <w:lang w:val="en-US" w:eastAsia="zh-CN"/>
              </w:rPr>
              <w:t>湖南省永州市</w:t>
            </w:r>
            <w:r>
              <w:rPr>
                <w:rFonts w:hint="eastAsia" w:cs="Times New Roman"/>
                <w:color w:val="auto"/>
                <w:spacing w:val="11"/>
                <w:position w:val="0"/>
                <w:sz w:val="24"/>
                <w:szCs w:val="21"/>
                <w:highlight w:val="none"/>
                <w:u w:val="none" w:color="auto"/>
                <w:lang w:val="en-US" w:eastAsia="zh-CN"/>
              </w:rPr>
              <w:t>新田</w:t>
            </w:r>
            <w:r>
              <w:rPr>
                <w:rFonts w:hint="default" w:ascii="Times New Roman" w:hAnsi="Times New Roman" w:eastAsia="宋体" w:cs="Times New Roman"/>
                <w:color w:val="auto"/>
                <w:spacing w:val="11"/>
                <w:position w:val="0"/>
                <w:sz w:val="24"/>
                <w:szCs w:val="21"/>
                <w:highlight w:val="none"/>
                <w:u w:val="none" w:color="auto"/>
                <w:lang w:val="en-US" w:eastAsia="zh-CN"/>
              </w:rPr>
              <w:t>县龙泉街道周家洞村</w:t>
            </w:r>
            <w:r>
              <w:rPr>
                <w:rFonts w:hint="default" w:ascii="Times New Roman" w:hAnsi="Times New Roman" w:eastAsia="宋体" w:cs="Times New Roman"/>
                <w:color w:val="auto"/>
                <w:spacing w:val="11"/>
                <w:position w:val="0"/>
                <w:sz w:val="24"/>
                <w:szCs w:val="24"/>
                <w:highlight w:val="none"/>
                <w:u w:val="none" w:color="auto"/>
              </w:rPr>
              <w:t>，项目地理位置详见附图1；</w:t>
            </w:r>
          </w:p>
          <w:p w14:paraId="19A45B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rPr>
              <w:t>投资总额：总投资</w:t>
            </w:r>
            <w:r>
              <w:rPr>
                <w:rFonts w:hint="eastAsia" w:cs="Times New Roman"/>
                <w:color w:val="auto"/>
                <w:spacing w:val="11"/>
                <w:position w:val="0"/>
                <w:sz w:val="24"/>
                <w:szCs w:val="24"/>
                <w:highlight w:val="none"/>
                <w:u w:val="none" w:color="auto"/>
                <w:lang w:val="en-US" w:eastAsia="zh-CN"/>
              </w:rPr>
              <w:t>6</w:t>
            </w:r>
            <w:r>
              <w:rPr>
                <w:rFonts w:hint="eastAsia" w:ascii="Times New Roman" w:hAnsi="Times New Roman" w:eastAsia="宋体" w:cs="Times New Roman"/>
                <w:color w:val="auto"/>
                <w:spacing w:val="11"/>
                <w:position w:val="0"/>
                <w:sz w:val="24"/>
                <w:szCs w:val="24"/>
                <w:highlight w:val="none"/>
                <w:u w:val="none" w:color="auto"/>
                <w:lang w:val="en-US" w:eastAsia="zh-CN"/>
              </w:rPr>
              <w:t>000</w:t>
            </w:r>
            <w:r>
              <w:rPr>
                <w:rFonts w:hint="default" w:ascii="Times New Roman" w:hAnsi="Times New Roman" w:eastAsia="宋体" w:cs="Times New Roman"/>
                <w:color w:val="auto"/>
                <w:spacing w:val="11"/>
                <w:position w:val="0"/>
                <w:sz w:val="24"/>
                <w:szCs w:val="24"/>
                <w:highlight w:val="none"/>
                <w:u w:val="none" w:color="auto"/>
              </w:rPr>
              <w:t>万元，其中环保投资</w:t>
            </w:r>
            <w:r>
              <w:rPr>
                <w:rFonts w:hint="eastAsia" w:cs="Times New Roman"/>
                <w:color w:val="auto"/>
                <w:spacing w:val="11"/>
                <w:position w:val="0"/>
                <w:sz w:val="24"/>
                <w:szCs w:val="24"/>
                <w:highlight w:val="none"/>
                <w:u w:val="none" w:color="auto"/>
                <w:lang w:val="en-US" w:eastAsia="zh-CN"/>
              </w:rPr>
              <w:t>370</w:t>
            </w:r>
            <w:r>
              <w:rPr>
                <w:rFonts w:hint="default" w:ascii="Times New Roman" w:hAnsi="Times New Roman" w:eastAsia="宋体" w:cs="Times New Roman"/>
                <w:color w:val="auto"/>
                <w:spacing w:val="11"/>
                <w:position w:val="0"/>
                <w:sz w:val="24"/>
                <w:szCs w:val="24"/>
                <w:highlight w:val="none"/>
                <w:u w:val="none" w:color="auto"/>
              </w:rPr>
              <w:t>万元，占总投资的</w:t>
            </w:r>
            <w:r>
              <w:rPr>
                <w:rFonts w:hint="eastAsia" w:cs="Times New Roman"/>
                <w:color w:val="auto"/>
                <w:spacing w:val="11"/>
                <w:position w:val="0"/>
                <w:sz w:val="24"/>
                <w:szCs w:val="24"/>
                <w:highlight w:val="none"/>
                <w:u w:val="none" w:color="auto"/>
                <w:lang w:val="en-US" w:eastAsia="zh-CN"/>
              </w:rPr>
              <w:t>6.17</w:t>
            </w:r>
            <w:r>
              <w:rPr>
                <w:rFonts w:hint="default" w:ascii="Times New Roman" w:hAnsi="Times New Roman" w:eastAsia="宋体" w:cs="Times New Roman"/>
                <w:color w:val="auto"/>
                <w:spacing w:val="11"/>
                <w:position w:val="0"/>
                <w:sz w:val="24"/>
                <w:szCs w:val="24"/>
                <w:highlight w:val="none"/>
                <w:u w:val="none" w:color="auto"/>
              </w:rPr>
              <w:t>%。</w:t>
            </w:r>
          </w:p>
          <w:p w14:paraId="6BF342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w:t>
            </w:r>
            <w:r>
              <w:rPr>
                <w:rFonts w:hint="eastAsia" w:ascii="Times New Roman" w:hAnsi="Times New Roman" w:eastAsia="宋体" w:cs="Times New Roman"/>
                <w:b/>
                <w:color w:val="auto"/>
                <w:spacing w:val="11"/>
                <w:position w:val="0"/>
                <w:sz w:val="24"/>
                <w:szCs w:val="24"/>
                <w:highlight w:val="none"/>
                <w:u w:val="none" w:color="auto"/>
                <w:lang w:val="en-US" w:eastAsia="zh-CN"/>
              </w:rPr>
              <w:t>2</w:t>
            </w:r>
            <w:r>
              <w:rPr>
                <w:rFonts w:hint="default" w:ascii="Times New Roman" w:hAnsi="Times New Roman" w:eastAsia="宋体" w:cs="Times New Roman"/>
                <w:b/>
                <w:color w:val="auto"/>
                <w:spacing w:val="11"/>
                <w:position w:val="0"/>
                <w:sz w:val="24"/>
                <w:szCs w:val="24"/>
                <w:highlight w:val="none"/>
                <w:u w:val="none" w:color="auto"/>
              </w:rPr>
              <w:t>工程</w:t>
            </w:r>
            <w:r>
              <w:rPr>
                <w:rFonts w:hint="eastAsia" w:cs="Times New Roman"/>
                <w:b/>
                <w:color w:val="auto"/>
                <w:spacing w:val="11"/>
                <w:position w:val="0"/>
                <w:sz w:val="24"/>
                <w:szCs w:val="24"/>
                <w:highlight w:val="none"/>
                <w:u w:val="none" w:color="auto"/>
                <w:lang w:val="en-US" w:eastAsia="zh-CN"/>
              </w:rPr>
              <w:t>建设</w:t>
            </w:r>
            <w:r>
              <w:rPr>
                <w:rFonts w:hint="default" w:ascii="Times New Roman" w:hAnsi="Times New Roman" w:eastAsia="宋体" w:cs="Times New Roman"/>
                <w:b/>
                <w:color w:val="auto"/>
                <w:spacing w:val="11"/>
                <w:position w:val="0"/>
                <w:sz w:val="24"/>
                <w:szCs w:val="24"/>
                <w:highlight w:val="none"/>
                <w:u w:val="none" w:color="auto"/>
              </w:rPr>
              <w:t>内容及规模</w:t>
            </w:r>
          </w:p>
          <w:p w14:paraId="32B281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color w:val="000000"/>
                <w:spacing w:val="11"/>
                <w:position w:val="0"/>
                <w:sz w:val="24"/>
                <w:szCs w:val="24"/>
                <w:u w:val="none" w:color="auto"/>
                <w:lang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rPr>
              <w:t>本次扩建将露天开采区开采范</w:t>
            </w:r>
            <w:r>
              <w:rPr>
                <w:rFonts w:hint="default" w:ascii="Times New Roman" w:hAnsi="Times New Roman" w:eastAsia="宋体" w:cs="Times New Roman"/>
                <w:color w:val="auto"/>
                <w:spacing w:val="11"/>
                <w:kern w:val="0"/>
                <w:position w:val="0"/>
                <w:sz w:val="24"/>
                <w:szCs w:val="24"/>
                <w:u w:val="none" w:color="auto"/>
                <w:lang w:val="en-US" w:eastAsia="zh-CN"/>
              </w:rPr>
              <w:t>围调整为101800m</w:t>
            </w:r>
            <w:r>
              <w:rPr>
                <w:rFonts w:hint="default" w:ascii="Times New Roman" w:hAnsi="Times New Roman" w:eastAsia="宋体" w:cs="Times New Roman"/>
                <w:color w:val="auto"/>
                <w:spacing w:val="11"/>
                <w:kern w:val="0"/>
                <w:position w:val="0"/>
                <w:sz w:val="24"/>
                <w:szCs w:val="24"/>
                <w:u w:val="none" w:color="auto"/>
                <w:vertAlign w:val="superscript"/>
                <w:lang w:val="en-US" w:eastAsia="zh-CN"/>
              </w:rPr>
              <w:t>2</w:t>
            </w:r>
            <w:r>
              <w:rPr>
                <w:rFonts w:hint="default" w:ascii="Times New Roman" w:hAnsi="Times New Roman" w:eastAsia="宋体" w:cs="Times New Roman"/>
                <w:color w:val="auto"/>
                <w:spacing w:val="11"/>
                <w:kern w:val="0"/>
                <w:position w:val="0"/>
                <w:sz w:val="24"/>
                <w:szCs w:val="24"/>
                <w:u w:val="none" w:color="auto"/>
                <w:lang w:val="en-US" w:eastAsia="zh-CN"/>
              </w:rPr>
              <w:t>，新建水稳拌合区，办公用房建构筑物不发生变化</w:t>
            </w:r>
            <w:r>
              <w:rPr>
                <w:rFonts w:hint="eastAsia" w:cs="Times New Roman"/>
                <w:color w:val="auto"/>
                <w:spacing w:val="11"/>
                <w:kern w:val="0"/>
                <w:position w:val="0"/>
                <w:sz w:val="24"/>
                <w:szCs w:val="24"/>
                <w:u w:val="none" w:color="auto"/>
                <w:lang w:val="en-US" w:eastAsia="zh-CN"/>
              </w:rPr>
              <w:t>，本项目原拟定作为排土场的位置因征地等因素暂未获得土地使用权</w:t>
            </w:r>
            <w:r>
              <w:rPr>
                <w:rFonts w:hint="eastAsia" w:cs="Times New Roman"/>
                <w:color w:val="auto"/>
                <w:spacing w:val="11"/>
                <w:kern w:val="0"/>
                <w:position w:val="0"/>
                <w:sz w:val="24"/>
                <w:szCs w:val="24"/>
                <w:highlight w:val="none"/>
                <w:u w:val="none" w:color="auto"/>
                <w:lang w:val="en-US" w:eastAsia="zh-CN"/>
              </w:rPr>
              <w:t>，因此在生产过程中产生的剥离物场内及时进行回填，回填后剩余的余方拖运至新田县龙兴环保建材有限公司用于生产及建筑利用使用</w:t>
            </w:r>
            <w:r>
              <w:rPr>
                <w:rFonts w:hint="default" w:ascii="Times New Roman" w:hAnsi="Times New Roman" w:eastAsia="宋体" w:cs="Times New Roman"/>
                <w:color w:val="auto"/>
                <w:spacing w:val="11"/>
                <w:kern w:val="0"/>
                <w:position w:val="0"/>
                <w:sz w:val="24"/>
                <w:szCs w:val="24"/>
                <w:highlight w:val="none"/>
                <w:u w:val="none" w:color="auto"/>
                <w:lang w:val="en-US" w:eastAsia="zh-CN"/>
              </w:rPr>
              <w:t>。项目</w:t>
            </w:r>
            <w:r>
              <w:rPr>
                <w:rFonts w:hint="default" w:ascii="Times New Roman" w:hAnsi="Times New Roman" w:eastAsia="宋体" w:cs="Times New Roman"/>
                <w:color w:val="auto"/>
                <w:spacing w:val="11"/>
                <w:kern w:val="0"/>
                <w:position w:val="0"/>
                <w:sz w:val="24"/>
                <w:szCs w:val="24"/>
                <w:u w:val="none" w:color="auto"/>
                <w:lang w:val="en-US" w:eastAsia="zh-CN"/>
              </w:rPr>
              <w:t>主要经济技术指标</w:t>
            </w:r>
            <w:r>
              <w:rPr>
                <w:rFonts w:hint="eastAsia" w:cs="Times New Roman"/>
                <w:color w:val="auto"/>
                <w:spacing w:val="11"/>
                <w:kern w:val="0"/>
                <w:position w:val="0"/>
                <w:sz w:val="24"/>
                <w:szCs w:val="24"/>
                <w:u w:val="none" w:color="auto"/>
                <w:lang w:val="en-US" w:eastAsia="zh-CN"/>
              </w:rPr>
              <w:t>及</w:t>
            </w:r>
            <w:r>
              <w:rPr>
                <w:rFonts w:hint="default" w:ascii="Times New Roman" w:hAnsi="Times New Roman" w:eastAsia="宋体" w:cs="Times New Roman"/>
                <w:color w:val="auto"/>
                <w:spacing w:val="11"/>
                <w:kern w:val="0"/>
                <w:position w:val="0"/>
                <w:sz w:val="24"/>
                <w:szCs w:val="24"/>
                <w:u w:val="none" w:color="auto"/>
                <w:lang w:val="en-US" w:eastAsia="zh-CN"/>
              </w:rPr>
              <w:t>建设内容见下表：</w:t>
            </w:r>
          </w:p>
          <w:p w14:paraId="17253BDB">
            <w:pPr>
              <w:ind w:firstLine="482"/>
              <w:jc w:val="center"/>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表</w:t>
            </w:r>
            <w:r>
              <w:rPr>
                <w:rFonts w:hint="default" w:ascii="Times New Roman" w:hAnsi="Times New Roman" w:eastAsia="宋体" w:cs="Times New Roman"/>
                <w:b/>
                <w:color w:val="000000"/>
                <w:spacing w:val="11"/>
                <w:position w:val="0"/>
                <w:sz w:val="21"/>
                <w:szCs w:val="21"/>
                <w:u w:val="none" w:color="auto"/>
                <w:lang w:val="en-US" w:eastAsia="zh-CN"/>
              </w:rPr>
              <w:t xml:space="preserve">2-1  </w:t>
            </w:r>
            <w:r>
              <w:rPr>
                <w:rFonts w:hint="default" w:ascii="Times New Roman" w:hAnsi="Times New Roman" w:eastAsia="宋体" w:cs="Times New Roman"/>
                <w:b/>
                <w:color w:val="000000"/>
                <w:spacing w:val="11"/>
                <w:position w:val="0"/>
                <w:sz w:val="21"/>
                <w:szCs w:val="21"/>
                <w:u w:val="none" w:color="auto"/>
              </w:rPr>
              <w:t>项目主要技术经济指标</w:t>
            </w:r>
          </w:p>
          <w:tbl>
            <w:tblPr>
              <w:tblStyle w:val="61"/>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0"/>
              <w:gridCol w:w="829"/>
              <w:gridCol w:w="2100"/>
              <w:gridCol w:w="758"/>
              <w:gridCol w:w="3757"/>
            </w:tblGrid>
            <w:tr w14:paraId="01CB96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44" w:type="pct"/>
                  <w:tcBorders>
                    <w:tl2br w:val="nil"/>
                    <w:tr2bl w:val="nil"/>
                  </w:tcBorders>
                  <w:noWrap w:val="0"/>
                  <w:vAlign w:val="center"/>
                </w:tcPr>
                <w:p w14:paraId="7D5E687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序号</w:t>
                  </w:r>
                </w:p>
              </w:tc>
              <w:tc>
                <w:tcPr>
                  <w:tcW w:w="1831" w:type="pct"/>
                  <w:gridSpan w:val="2"/>
                  <w:tcBorders>
                    <w:tl2br w:val="nil"/>
                    <w:tr2bl w:val="nil"/>
                  </w:tcBorders>
                  <w:noWrap w:val="0"/>
                  <w:vAlign w:val="center"/>
                </w:tcPr>
                <w:p w14:paraId="077C0F6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名称</w:t>
                  </w:r>
                </w:p>
              </w:tc>
              <w:tc>
                <w:tcPr>
                  <w:tcW w:w="474" w:type="pct"/>
                  <w:tcBorders>
                    <w:tl2br w:val="nil"/>
                    <w:tr2bl w:val="nil"/>
                  </w:tcBorders>
                  <w:noWrap w:val="0"/>
                  <w:vAlign w:val="center"/>
                </w:tcPr>
                <w:p w14:paraId="0BF162C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单位</w:t>
                  </w:r>
                </w:p>
              </w:tc>
              <w:tc>
                <w:tcPr>
                  <w:tcW w:w="2349" w:type="pct"/>
                  <w:tcBorders>
                    <w:tl2br w:val="nil"/>
                    <w:tr2bl w:val="nil"/>
                  </w:tcBorders>
                  <w:noWrap w:val="0"/>
                  <w:vAlign w:val="center"/>
                </w:tcPr>
                <w:p w14:paraId="0406C66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指标</w:t>
                  </w:r>
                </w:p>
              </w:tc>
            </w:tr>
            <w:tr w14:paraId="0CB85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restart"/>
                  <w:tcBorders>
                    <w:tl2br w:val="nil"/>
                    <w:tr2bl w:val="nil"/>
                  </w:tcBorders>
                  <w:noWrap w:val="0"/>
                  <w:vAlign w:val="center"/>
                </w:tcPr>
                <w:p w14:paraId="7ADDC68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1</w:t>
                  </w:r>
                </w:p>
              </w:tc>
              <w:tc>
                <w:tcPr>
                  <w:tcW w:w="518" w:type="pct"/>
                  <w:vMerge w:val="restart"/>
                  <w:tcBorders>
                    <w:tl2br w:val="nil"/>
                    <w:tr2bl w:val="nil"/>
                  </w:tcBorders>
                  <w:noWrap w:val="0"/>
                  <w:vAlign w:val="center"/>
                </w:tcPr>
                <w:p w14:paraId="0832BAD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w:t>
                  </w:r>
                </w:p>
                <w:p w14:paraId="670B8BE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范围</w:t>
                  </w:r>
                </w:p>
              </w:tc>
              <w:tc>
                <w:tcPr>
                  <w:tcW w:w="1313" w:type="pct"/>
                  <w:tcBorders>
                    <w:tl2br w:val="nil"/>
                    <w:tr2bl w:val="nil"/>
                  </w:tcBorders>
                  <w:noWrap w:val="0"/>
                  <w:vAlign w:val="center"/>
                </w:tcPr>
                <w:p w14:paraId="5560413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矿山拐点坐标</w:t>
                  </w:r>
                </w:p>
              </w:tc>
              <w:tc>
                <w:tcPr>
                  <w:tcW w:w="474" w:type="pct"/>
                  <w:tcBorders>
                    <w:tl2br w:val="nil"/>
                    <w:tr2bl w:val="nil"/>
                  </w:tcBorders>
                  <w:noWrap w:val="0"/>
                  <w:vAlign w:val="center"/>
                </w:tcPr>
                <w:p w14:paraId="55AC216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个</w:t>
                  </w:r>
                </w:p>
              </w:tc>
              <w:tc>
                <w:tcPr>
                  <w:tcW w:w="2349" w:type="pct"/>
                  <w:tcBorders>
                    <w:tl2br w:val="nil"/>
                    <w:tr2bl w:val="nil"/>
                  </w:tcBorders>
                  <w:noWrap w:val="0"/>
                  <w:vAlign w:val="center"/>
                </w:tcPr>
                <w:p w14:paraId="604FE4C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eastAsia="zh-CN"/>
                    </w:rPr>
                  </w:pPr>
                  <w:r>
                    <w:rPr>
                      <w:rFonts w:hint="eastAsia" w:ascii="Times New Roman" w:hAnsi="Times New Roman" w:eastAsia="宋体" w:cs="Times New Roman"/>
                      <w:spacing w:val="11"/>
                      <w:position w:val="0"/>
                      <w:sz w:val="21"/>
                      <w:szCs w:val="21"/>
                      <w:lang w:val="en-US" w:eastAsia="zh-CN"/>
                    </w:rPr>
                    <w:t>7</w:t>
                  </w:r>
                </w:p>
              </w:tc>
            </w:tr>
            <w:tr w14:paraId="5EE6B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07A75EC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4304606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0E47D67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开采标高</w:t>
                  </w:r>
                </w:p>
              </w:tc>
              <w:tc>
                <w:tcPr>
                  <w:tcW w:w="474" w:type="pct"/>
                  <w:tcBorders>
                    <w:tl2br w:val="nil"/>
                    <w:tr2bl w:val="nil"/>
                  </w:tcBorders>
                  <w:noWrap w:val="0"/>
                  <w:vAlign w:val="center"/>
                </w:tcPr>
                <w:p w14:paraId="5475D04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14:paraId="508A334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+343m～+260m</w:t>
                  </w:r>
                </w:p>
              </w:tc>
            </w:tr>
            <w:tr w14:paraId="31EAB6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5005EB0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453CF3F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27B8373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矿山面积</w:t>
                  </w:r>
                </w:p>
              </w:tc>
              <w:tc>
                <w:tcPr>
                  <w:tcW w:w="474" w:type="pct"/>
                  <w:tcBorders>
                    <w:tl2br w:val="nil"/>
                    <w:tr2bl w:val="nil"/>
                  </w:tcBorders>
                  <w:noWrap w:val="0"/>
                  <w:vAlign w:val="center"/>
                </w:tcPr>
                <w:p w14:paraId="5FB6B8C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k</w:t>
                  </w:r>
                  <w:r>
                    <w:rPr>
                      <w:rFonts w:hint="default" w:ascii="Times New Roman" w:hAnsi="Times New Roman" w:eastAsia="宋体" w:cs="Times New Roman"/>
                      <w:spacing w:val="11"/>
                      <w:position w:val="0"/>
                      <w:sz w:val="21"/>
                      <w:szCs w:val="21"/>
                      <w:lang w:val="en-US" w:eastAsia="zh-CN"/>
                    </w:rPr>
                    <w:t>m</w:t>
                  </w:r>
                  <w:r>
                    <w:rPr>
                      <w:rFonts w:hint="default" w:ascii="Times New Roman" w:hAnsi="Times New Roman" w:eastAsia="宋体" w:cs="Times New Roman"/>
                      <w:spacing w:val="11"/>
                      <w:position w:val="0"/>
                      <w:sz w:val="21"/>
                      <w:szCs w:val="21"/>
                      <w:vertAlign w:val="superscript"/>
                      <w:lang w:val="en-US" w:eastAsia="zh-CN"/>
                    </w:rPr>
                    <w:t>2</w:t>
                  </w:r>
                </w:p>
              </w:tc>
              <w:tc>
                <w:tcPr>
                  <w:tcW w:w="2349" w:type="pct"/>
                  <w:tcBorders>
                    <w:tl2br w:val="nil"/>
                    <w:tr2bl w:val="nil"/>
                  </w:tcBorders>
                  <w:noWrap w:val="0"/>
                  <w:vAlign w:val="center"/>
                </w:tcPr>
                <w:p w14:paraId="3070D0B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0.1018</w:t>
                  </w:r>
                </w:p>
              </w:tc>
            </w:tr>
            <w:tr w14:paraId="336A78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restart"/>
                  <w:tcBorders>
                    <w:tl2br w:val="nil"/>
                    <w:tr2bl w:val="nil"/>
                  </w:tcBorders>
                  <w:noWrap w:val="0"/>
                  <w:vAlign w:val="center"/>
                </w:tcPr>
                <w:p w14:paraId="331AE06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w:t>
                  </w:r>
                </w:p>
              </w:tc>
              <w:tc>
                <w:tcPr>
                  <w:tcW w:w="518" w:type="pct"/>
                  <w:vMerge w:val="restart"/>
                  <w:tcBorders>
                    <w:tl2br w:val="nil"/>
                    <w:tr2bl w:val="nil"/>
                  </w:tcBorders>
                  <w:noWrap w:val="0"/>
                  <w:vAlign w:val="center"/>
                </w:tcPr>
                <w:p w14:paraId="07E85A7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w:t>
                  </w:r>
                </w:p>
                <w:p w14:paraId="6B6F5D0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特征</w:t>
                  </w:r>
                </w:p>
              </w:tc>
              <w:tc>
                <w:tcPr>
                  <w:tcW w:w="1313" w:type="pct"/>
                  <w:tcBorders>
                    <w:tl2br w:val="nil"/>
                    <w:tr2bl w:val="nil"/>
                  </w:tcBorders>
                  <w:noWrap w:val="0"/>
                  <w:vAlign w:val="center"/>
                </w:tcPr>
                <w:p w14:paraId="58C58BF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矿种</w:t>
                  </w:r>
                </w:p>
              </w:tc>
              <w:tc>
                <w:tcPr>
                  <w:tcW w:w="474" w:type="pct"/>
                  <w:tcBorders>
                    <w:tl2br w:val="nil"/>
                    <w:tr2bl w:val="nil"/>
                  </w:tcBorders>
                  <w:noWrap w:val="0"/>
                  <w:vAlign w:val="center"/>
                </w:tcPr>
                <w:p w14:paraId="4E3A265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default"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2A8F507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建筑石料用灰岩</w:t>
                  </w:r>
                </w:p>
              </w:tc>
            </w:tr>
            <w:tr w14:paraId="6AF2C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D1CD64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7BBECE8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7697E36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可采矿体</w:t>
                  </w:r>
                </w:p>
              </w:tc>
              <w:tc>
                <w:tcPr>
                  <w:tcW w:w="474" w:type="pct"/>
                  <w:tcBorders>
                    <w:tl2br w:val="nil"/>
                    <w:tr2bl w:val="nil"/>
                  </w:tcBorders>
                  <w:noWrap w:val="0"/>
                  <w:vAlign w:val="center"/>
                </w:tcPr>
                <w:p w14:paraId="532A8B6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个</w:t>
                  </w:r>
                </w:p>
              </w:tc>
              <w:tc>
                <w:tcPr>
                  <w:tcW w:w="2349" w:type="pct"/>
                  <w:tcBorders>
                    <w:tl2br w:val="nil"/>
                    <w:tr2bl w:val="nil"/>
                  </w:tcBorders>
                  <w:noWrap w:val="0"/>
                  <w:vAlign w:val="center"/>
                </w:tcPr>
                <w:p w14:paraId="304EF19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1</w:t>
                  </w:r>
                </w:p>
              </w:tc>
            </w:tr>
            <w:tr w14:paraId="2AD28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1F64601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5F82F10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61B0F81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矿体走向长</w:t>
                  </w:r>
                </w:p>
              </w:tc>
              <w:tc>
                <w:tcPr>
                  <w:tcW w:w="474" w:type="pct"/>
                  <w:tcBorders>
                    <w:tl2br w:val="nil"/>
                    <w:tr2bl w:val="nil"/>
                  </w:tcBorders>
                  <w:noWrap w:val="0"/>
                  <w:vAlign w:val="center"/>
                </w:tcPr>
                <w:p w14:paraId="713E758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14:paraId="1BED297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465</w:t>
                  </w:r>
                </w:p>
              </w:tc>
            </w:tr>
            <w:tr w14:paraId="78CBC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78BA2C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62B4902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64E2275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矿体倾斜宽</w:t>
                  </w:r>
                </w:p>
              </w:tc>
              <w:tc>
                <w:tcPr>
                  <w:tcW w:w="474" w:type="pct"/>
                  <w:tcBorders>
                    <w:tl2br w:val="nil"/>
                    <w:tr2bl w:val="nil"/>
                  </w:tcBorders>
                  <w:noWrap w:val="0"/>
                  <w:vAlign w:val="center"/>
                </w:tcPr>
                <w:p w14:paraId="4D40186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14:paraId="151F308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93~305</w:t>
                  </w:r>
                </w:p>
              </w:tc>
            </w:tr>
            <w:tr w14:paraId="0AD08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74E117B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27A5800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57E098D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矿体平均厚度</w:t>
                  </w:r>
                </w:p>
              </w:tc>
              <w:tc>
                <w:tcPr>
                  <w:tcW w:w="474" w:type="pct"/>
                  <w:tcBorders>
                    <w:tl2br w:val="nil"/>
                    <w:tr2bl w:val="nil"/>
                  </w:tcBorders>
                  <w:noWrap w:val="0"/>
                  <w:vAlign w:val="center"/>
                </w:tcPr>
                <w:p w14:paraId="3F5F3CC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14:paraId="3E6907C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41.5（+260m标高以上）</w:t>
                  </w:r>
                </w:p>
              </w:tc>
            </w:tr>
            <w:tr w14:paraId="2B495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92D297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5919923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4806132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矿石质量</w:t>
                  </w:r>
                </w:p>
              </w:tc>
              <w:tc>
                <w:tcPr>
                  <w:tcW w:w="474" w:type="pct"/>
                  <w:tcBorders>
                    <w:tl2br w:val="nil"/>
                    <w:tr2bl w:val="nil"/>
                  </w:tcBorders>
                  <w:noWrap w:val="0"/>
                  <w:vAlign w:val="center"/>
                </w:tcPr>
                <w:p w14:paraId="54E0373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default"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03DADC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整体符合Ⅲ类建筑石料指标要求</w:t>
                  </w:r>
                </w:p>
              </w:tc>
            </w:tr>
            <w:tr w14:paraId="5D9E40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restart"/>
                  <w:tcBorders>
                    <w:tl2br w:val="nil"/>
                    <w:tr2bl w:val="nil"/>
                  </w:tcBorders>
                  <w:noWrap w:val="0"/>
                  <w:vAlign w:val="center"/>
                </w:tcPr>
                <w:p w14:paraId="202EFE3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3</w:t>
                  </w:r>
                </w:p>
              </w:tc>
              <w:tc>
                <w:tcPr>
                  <w:tcW w:w="518" w:type="pct"/>
                  <w:vMerge w:val="restart"/>
                  <w:tcBorders>
                    <w:tl2br w:val="nil"/>
                    <w:tr2bl w:val="nil"/>
                  </w:tcBorders>
                  <w:noWrap w:val="0"/>
                  <w:vAlign w:val="center"/>
                </w:tcPr>
                <w:p w14:paraId="551E99A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资源</w:t>
                  </w:r>
                </w:p>
                <w:p w14:paraId="76F6DC9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储量</w:t>
                  </w:r>
                </w:p>
                <w:p w14:paraId="4004524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及开</w:t>
                  </w:r>
                </w:p>
                <w:p w14:paraId="41AA157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采技</w:t>
                  </w:r>
                </w:p>
                <w:p w14:paraId="40607F7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术条</w:t>
                  </w:r>
                </w:p>
                <w:p w14:paraId="1ECDEFF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件</w:t>
                  </w:r>
                </w:p>
              </w:tc>
              <w:tc>
                <w:tcPr>
                  <w:tcW w:w="1313" w:type="pct"/>
                  <w:tcBorders>
                    <w:tl2br w:val="nil"/>
                    <w:tr2bl w:val="nil"/>
                  </w:tcBorders>
                  <w:noWrap w:val="0"/>
                  <w:vAlign w:val="center"/>
                </w:tcPr>
                <w:p w14:paraId="61ADB0E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备案资源量</w:t>
                  </w:r>
                </w:p>
              </w:tc>
              <w:tc>
                <w:tcPr>
                  <w:tcW w:w="474" w:type="pct"/>
                  <w:tcBorders>
                    <w:tl2br w:val="nil"/>
                    <w:tr2bl w:val="nil"/>
                  </w:tcBorders>
                  <w:noWrap w:val="0"/>
                  <w:vAlign w:val="center"/>
                </w:tcPr>
                <w:p w14:paraId="7A7A679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14:paraId="0AD7743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370.4</w:t>
                  </w:r>
                </w:p>
              </w:tc>
            </w:tr>
            <w:tr w14:paraId="6C3B7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209548E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6121767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3A1D45C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设计利用储量</w:t>
                  </w:r>
                </w:p>
              </w:tc>
              <w:tc>
                <w:tcPr>
                  <w:tcW w:w="474" w:type="pct"/>
                  <w:tcBorders>
                    <w:tl2br w:val="nil"/>
                    <w:tr2bl w:val="nil"/>
                  </w:tcBorders>
                  <w:noWrap w:val="0"/>
                  <w:vAlign w:val="center"/>
                </w:tcPr>
                <w:p w14:paraId="10D2A23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14:paraId="627CC7B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370.4</w:t>
                  </w:r>
                </w:p>
              </w:tc>
            </w:tr>
            <w:tr w14:paraId="53751C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71E4EC7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6B5B014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5F2D1CD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可采储量</w:t>
                  </w:r>
                </w:p>
              </w:tc>
              <w:tc>
                <w:tcPr>
                  <w:tcW w:w="474" w:type="pct"/>
                  <w:tcBorders>
                    <w:tl2br w:val="nil"/>
                    <w:tr2bl w:val="nil"/>
                  </w:tcBorders>
                  <w:noWrap w:val="0"/>
                  <w:vAlign w:val="center"/>
                </w:tcPr>
                <w:p w14:paraId="6891162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14:paraId="2D0852B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363.0</w:t>
                  </w:r>
                </w:p>
              </w:tc>
            </w:tr>
            <w:tr w14:paraId="2288E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3211E79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2E4F966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3249B7F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水文地质条件</w:t>
                  </w:r>
                </w:p>
              </w:tc>
              <w:tc>
                <w:tcPr>
                  <w:tcW w:w="474" w:type="pct"/>
                  <w:tcBorders>
                    <w:tl2br w:val="nil"/>
                    <w:tr2bl w:val="nil"/>
                  </w:tcBorders>
                  <w:noWrap w:val="0"/>
                  <w:vAlign w:val="center"/>
                </w:tcPr>
                <w:p w14:paraId="33930CD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14:paraId="1E9B6FB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简单</w:t>
                  </w:r>
                </w:p>
              </w:tc>
            </w:tr>
            <w:tr w14:paraId="1773B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2E085AE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70CB102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4858148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工程地质条件</w:t>
                  </w:r>
                </w:p>
              </w:tc>
              <w:tc>
                <w:tcPr>
                  <w:tcW w:w="474" w:type="pct"/>
                  <w:tcBorders>
                    <w:tl2br w:val="nil"/>
                    <w:tr2bl w:val="nil"/>
                  </w:tcBorders>
                  <w:noWrap w:val="0"/>
                  <w:vAlign w:val="center"/>
                </w:tcPr>
                <w:p w14:paraId="4FC891C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14:paraId="383A14E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中等</w:t>
                  </w:r>
                </w:p>
              </w:tc>
            </w:tr>
            <w:tr w14:paraId="69CB58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454421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2101100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72E0D52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环境地质条件</w:t>
                  </w:r>
                </w:p>
              </w:tc>
              <w:tc>
                <w:tcPr>
                  <w:tcW w:w="474" w:type="pct"/>
                  <w:tcBorders>
                    <w:tl2br w:val="nil"/>
                    <w:tr2bl w:val="nil"/>
                  </w:tcBorders>
                  <w:noWrap w:val="0"/>
                  <w:vAlign w:val="center"/>
                </w:tcPr>
                <w:p w14:paraId="6D78AF4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14:paraId="4DDDEBF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中等</w:t>
                  </w:r>
                </w:p>
              </w:tc>
            </w:tr>
            <w:tr w14:paraId="6BFDD7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20A98A6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2961B41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28A6EB5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其它开采技术条件</w:t>
                  </w:r>
                </w:p>
              </w:tc>
              <w:tc>
                <w:tcPr>
                  <w:tcW w:w="474" w:type="pct"/>
                  <w:tcBorders>
                    <w:tl2br w:val="nil"/>
                    <w:tr2bl w:val="nil"/>
                  </w:tcBorders>
                  <w:noWrap w:val="0"/>
                  <w:vAlign w:val="center"/>
                </w:tcPr>
                <w:p w14:paraId="2782CD6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14:paraId="6ACC68C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较</w:t>
                  </w:r>
                  <w:r>
                    <w:rPr>
                      <w:rFonts w:hint="default" w:ascii="Times New Roman" w:hAnsi="Times New Roman" w:eastAsia="宋体" w:cs="Times New Roman"/>
                      <w:spacing w:val="11"/>
                      <w:position w:val="0"/>
                      <w:sz w:val="21"/>
                      <w:szCs w:val="21"/>
                    </w:rPr>
                    <w:t>适宜</w:t>
                  </w:r>
                </w:p>
              </w:tc>
            </w:tr>
            <w:tr w14:paraId="0043F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344" w:type="pct"/>
                  <w:vMerge w:val="restart"/>
                  <w:tcBorders>
                    <w:tl2br w:val="nil"/>
                    <w:tr2bl w:val="nil"/>
                  </w:tcBorders>
                  <w:noWrap w:val="0"/>
                  <w:vAlign w:val="center"/>
                </w:tcPr>
                <w:p w14:paraId="3703F28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4</w:t>
                  </w:r>
                </w:p>
              </w:tc>
              <w:tc>
                <w:tcPr>
                  <w:tcW w:w="518" w:type="pct"/>
                  <w:vMerge w:val="restart"/>
                  <w:tcBorders>
                    <w:tl2br w:val="nil"/>
                    <w:tr2bl w:val="nil"/>
                  </w:tcBorders>
                  <w:noWrap w:val="0"/>
                  <w:vAlign w:val="center"/>
                </w:tcPr>
                <w:p w14:paraId="5325EDC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生产</w:t>
                  </w:r>
                </w:p>
                <w:p w14:paraId="3C1B9D3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规模</w:t>
                  </w:r>
                </w:p>
              </w:tc>
              <w:tc>
                <w:tcPr>
                  <w:tcW w:w="1313" w:type="pct"/>
                  <w:tcBorders>
                    <w:tl2br w:val="nil"/>
                    <w:tr2bl w:val="nil"/>
                  </w:tcBorders>
                  <w:noWrap w:val="0"/>
                  <w:vAlign w:val="center"/>
                </w:tcPr>
                <w:p w14:paraId="71F2C22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设计年生产能力</w:t>
                  </w:r>
                </w:p>
              </w:tc>
              <w:tc>
                <w:tcPr>
                  <w:tcW w:w="474" w:type="pct"/>
                  <w:tcBorders>
                    <w:tl2br w:val="nil"/>
                    <w:tr2bl w:val="nil"/>
                  </w:tcBorders>
                  <w:noWrap w:val="0"/>
                  <w:vAlign w:val="center"/>
                </w:tcPr>
                <w:p w14:paraId="5369F90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14:paraId="6AD180E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60</w:t>
                  </w:r>
                </w:p>
              </w:tc>
            </w:tr>
            <w:tr w14:paraId="79DE1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5CAF8A3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286C951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007434B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年产量</w:t>
                  </w:r>
                </w:p>
              </w:tc>
              <w:tc>
                <w:tcPr>
                  <w:tcW w:w="474" w:type="pct"/>
                  <w:tcBorders>
                    <w:tl2br w:val="nil"/>
                    <w:tr2bl w:val="nil"/>
                  </w:tcBorders>
                  <w:noWrap w:val="0"/>
                  <w:vAlign w:val="center"/>
                </w:tcPr>
                <w:p w14:paraId="74B6402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14:paraId="7A3C643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60</w:t>
                  </w:r>
                </w:p>
              </w:tc>
            </w:tr>
            <w:tr w14:paraId="11E8E6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414E4B5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7CBA6B8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5326DB3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日产量</w:t>
                  </w:r>
                </w:p>
              </w:tc>
              <w:tc>
                <w:tcPr>
                  <w:tcW w:w="474" w:type="pct"/>
                  <w:tcBorders>
                    <w:tl2br w:val="nil"/>
                    <w:tr2bl w:val="nil"/>
                  </w:tcBorders>
                  <w:noWrap w:val="0"/>
                  <w:vAlign w:val="center"/>
                </w:tcPr>
                <w:p w14:paraId="6BB42CA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t</w:t>
                  </w:r>
                </w:p>
              </w:tc>
              <w:tc>
                <w:tcPr>
                  <w:tcW w:w="2349" w:type="pct"/>
                  <w:tcBorders>
                    <w:tl2br w:val="nil"/>
                    <w:tr2bl w:val="nil"/>
                  </w:tcBorders>
                  <w:noWrap w:val="0"/>
                  <w:vAlign w:val="center"/>
                </w:tcPr>
                <w:p w14:paraId="5D129CB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2000</w:t>
                  </w:r>
                </w:p>
              </w:tc>
            </w:tr>
            <w:tr w14:paraId="73519D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43A1B42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098F666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43631A6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矿山服务年限</w:t>
                  </w:r>
                </w:p>
              </w:tc>
              <w:tc>
                <w:tcPr>
                  <w:tcW w:w="474" w:type="pct"/>
                  <w:tcBorders>
                    <w:tl2br w:val="nil"/>
                    <w:tr2bl w:val="nil"/>
                  </w:tcBorders>
                  <w:noWrap w:val="0"/>
                  <w:vAlign w:val="center"/>
                </w:tcPr>
                <w:p w14:paraId="70A399B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a</w:t>
                  </w:r>
                </w:p>
              </w:tc>
              <w:tc>
                <w:tcPr>
                  <w:tcW w:w="2349" w:type="pct"/>
                  <w:tcBorders>
                    <w:tl2br w:val="nil"/>
                    <w:tr2bl w:val="nil"/>
                  </w:tcBorders>
                  <w:noWrap w:val="0"/>
                  <w:vAlign w:val="center"/>
                </w:tcPr>
                <w:p w14:paraId="0165E24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6.1</w:t>
                  </w:r>
                </w:p>
              </w:tc>
            </w:tr>
            <w:tr w14:paraId="455FC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344" w:type="pct"/>
                  <w:vMerge w:val="restart"/>
                  <w:tcBorders>
                    <w:tl2br w:val="nil"/>
                    <w:tr2bl w:val="nil"/>
                  </w:tcBorders>
                  <w:noWrap w:val="0"/>
                  <w:vAlign w:val="center"/>
                </w:tcPr>
                <w:p w14:paraId="37BF865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5</w:t>
                  </w:r>
                </w:p>
              </w:tc>
              <w:tc>
                <w:tcPr>
                  <w:tcW w:w="518" w:type="pct"/>
                  <w:vMerge w:val="restart"/>
                  <w:tcBorders>
                    <w:tl2br w:val="nil"/>
                    <w:tr2bl w:val="nil"/>
                  </w:tcBorders>
                  <w:noWrap w:val="0"/>
                  <w:vAlign w:val="center"/>
                </w:tcPr>
                <w:p w14:paraId="7DAF3A9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w:t>
                  </w:r>
                </w:p>
                <w:p w14:paraId="15FD0A0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方式</w:t>
                  </w:r>
                </w:p>
              </w:tc>
              <w:tc>
                <w:tcPr>
                  <w:tcW w:w="1313" w:type="pct"/>
                  <w:tcBorders>
                    <w:tl2br w:val="nil"/>
                    <w:tr2bl w:val="nil"/>
                  </w:tcBorders>
                  <w:noWrap w:val="0"/>
                  <w:vAlign w:val="center"/>
                </w:tcPr>
                <w:p w14:paraId="332ACC8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开拓方式</w:t>
                  </w:r>
                </w:p>
              </w:tc>
              <w:tc>
                <w:tcPr>
                  <w:tcW w:w="474" w:type="pct"/>
                  <w:tcBorders>
                    <w:tl2br w:val="nil"/>
                    <w:tr2bl w:val="nil"/>
                  </w:tcBorders>
                  <w:noWrap w:val="0"/>
                  <w:vAlign w:val="center"/>
                </w:tcPr>
                <w:p w14:paraId="6E3172C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744D63F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公路</w:t>
                  </w:r>
                </w:p>
              </w:tc>
            </w:tr>
            <w:tr w14:paraId="44DF7A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57B8A61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1C6BCD6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0161816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开采方式</w:t>
                  </w:r>
                </w:p>
              </w:tc>
              <w:tc>
                <w:tcPr>
                  <w:tcW w:w="474" w:type="pct"/>
                  <w:tcBorders>
                    <w:tl2br w:val="nil"/>
                    <w:tr2bl w:val="nil"/>
                  </w:tcBorders>
                  <w:noWrap w:val="0"/>
                  <w:vAlign w:val="center"/>
                </w:tcPr>
                <w:p w14:paraId="141636B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0B114CC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山坡</w:t>
                  </w:r>
                  <w:r>
                    <w:rPr>
                      <w:rFonts w:hint="default" w:ascii="Times New Roman" w:hAnsi="Times New Roman" w:eastAsia="宋体" w:cs="Times New Roman"/>
                      <w:spacing w:val="11"/>
                      <w:position w:val="0"/>
                      <w:sz w:val="21"/>
                      <w:szCs w:val="21"/>
                    </w:rPr>
                    <w:t>露天开采</w:t>
                  </w:r>
                </w:p>
              </w:tc>
            </w:tr>
            <w:tr w14:paraId="26415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59C3B03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532576A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73B9C54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采矿方法</w:t>
                  </w:r>
                </w:p>
              </w:tc>
              <w:tc>
                <w:tcPr>
                  <w:tcW w:w="474" w:type="pct"/>
                  <w:tcBorders>
                    <w:tl2br w:val="nil"/>
                    <w:tr2bl w:val="nil"/>
                  </w:tcBorders>
                  <w:noWrap w:val="0"/>
                  <w:vAlign w:val="center"/>
                </w:tcPr>
                <w:p w14:paraId="1C038B4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11EE839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由上而下分台阶式顺序开采</w:t>
                  </w:r>
                </w:p>
              </w:tc>
            </w:tr>
            <w:tr w14:paraId="365D5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3502933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4D193DF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4B402D7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地面运输</w:t>
                  </w:r>
                </w:p>
              </w:tc>
              <w:tc>
                <w:tcPr>
                  <w:tcW w:w="474" w:type="pct"/>
                  <w:tcBorders>
                    <w:tl2br w:val="nil"/>
                    <w:tr2bl w:val="nil"/>
                  </w:tcBorders>
                  <w:noWrap w:val="0"/>
                  <w:vAlign w:val="center"/>
                </w:tcPr>
                <w:p w14:paraId="47686F5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5297CF4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汽车</w:t>
                  </w:r>
                </w:p>
              </w:tc>
            </w:tr>
            <w:tr w14:paraId="21470B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2AACB32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40DDF44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1FCC50D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设计损失率</w:t>
                  </w:r>
                </w:p>
              </w:tc>
              <w:tc>
                <w:tcPr>
                  <w:tcW w:w="474" w:type="pct"/>
                  <w:tcBorders>
                    <w:tl2br w:val="nil"/>
                    <w:tr2bl w:val="nil"/>
                  </w:tcBorders>
                  <w:noWrap w:val="0"/>
                  <w:vAlign w:val="center"/>
                </w:tcPr>
                <w:p w14:paraId="1DDCE08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0C28872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eastAsia="zh-CN"/>
                    </w:rPr>
                  </w:pPr>
                  <w:r>
                    <w:rPr>
                      <w:rFonts w:hint="eastAsia" w:ascii="Times New Roman" w:hAnsi="Times New Roman" w:eastAsia="宋体" w:cs="Times New Roman"/>
                      <w:spacing w:val="11"/>
                      <w:position w:val="0"/>
                      <w:sz w:val="21"/>
                      <w:szCs w:val="21"/>
                      <w:lang w:val="en-US" w:eastAsia="zh-CN"/>
                    </w:rPr>
                    <w:t>0</w:t>
                  </w:r>
                </w:p>
              </w:tc>
            </w:tr>
            <w:tr w14:paraId="12DA1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FF456B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0DF353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3398D8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采矿损失率</w:t>
                  </w:r>
                </w:p>
              </w:tc>
              <w:tc>
                <w:tcPr>
                  <w:tcW w:w="474" w:type="pct"/>
                  <w:tcBorders>
                    <w:tl2br w:val="nil"/>
                    <w:tr2bl w:val="nil"/>
                  </w:tcBorders>
                  <w:noWrap w:val="0"/>
                  <w:vAlign w:val="center"/>
                </w:tcPr>
                <w:p w14:paraId="6FE1FC8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6D2ED4B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w:t>
                  </w:r>
                </w:p>
              </w:tc>
            </w:tr>
            <w:tr w14:paraId="0788A6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1A39C0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06B436D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7D71173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矿山回采率</w:t>
                  </w:r>
                </w:p>
              </w:tc>
              <w:tc>
                <w:tcPr>
                  <w:tcW w:w="474" w:type="pct"/>
                  <w:tcBorders>
                    <w:tl2br w:val="nil"/>
                    <w:tr2bl w:val="nil"/>
                  </w:tcBorders>
                  <w:noWrap w:val="0"/>
                  <w:vAlign w:val="center"/>
                </w:tcPr>
                <w:p w14:paraId="7B30C27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078EEF4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98</w:t>
                  </w:r>
                </w:p>
              </w:tc>
            </w:tr>
            <w:tr w14:paraId="4652B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7B693BE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5128647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011EB19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采场回采率</w:t>
                  </w:r>
                </w:p>
              </w:tc>
              <w:tc>
                <w:tcPr>
                  <w:tcW w:w="474" w:type="pct"/>
                  <w:tcBorders>
                    <w:tl2br w:val="nil"/>
                    <w:tr2bl w:val="nil"/>
                  </w:tcBorders>
                  <w:noWrap w:val="0"/>
                  <w:vAlign w:val="center"/>
                </w:tcPr>
                <w:p w14:paraId="1BE4BF8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6FDA11B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98</w:t>
                  </w:r>
                </w:p>
              </w:tc>
            </w:tr>
            <w:tr w14:paraId="556051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restart"/>
                  <w:tcBorders>
                    <w:tl2br w:val="nil"/>
                    <w:tr2bl w:val="nil"/>
                  </w:tcBorders>
                  <w:noWrap w:val="0"/>
                  <w:vAlign w:val="center"/>
                </w:tcPr>
                <w:p w14:paraId="5437884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w:t>
                  </w:r>
                </w:p>
              </w:tc>
              <w:tc>
                <w:tcPr>
                  <w:tcW w:w="518" w:type="pct"/>
                  <w:vMerge w:val="restart"/>
                  <w:tcBorders>
                    <w:tl2br w:val="nil"/>
                    <w:tr2bl w:val="nil"/>
                  </w:tcBorders>
                  <w:noWrap w:val="0"/>
                  <w:vAlign w:val="center"/>
                </w:tcPr>
                <w:p w14:paraId="2E91FEE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经济</w:t>
                  </w:r>
                </w:p>
                <w:p w14:paraId="7327802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指标</w:t>
                  </w:r>
                </w:p>
              </w:tc>
              <w:tc>
                <w:tcPr>
                  <w:tcW w:w="1313" w:type="pct"/>
                  <w:tcBorders>
                    <w:tl2br w:val="nil"/>
                    <w:tr2bl w:val="nil"/>
                  </w:tcBorders>
                  <w:noWrap w:val="0"/>
                  <w:vAlign w:val="center"/>
                </w:tcPr>
                <w:p w14:paraId="7B233AF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产品规格</w:t>
                  </w:r>
                </w:p>
              </w:tc>
              <w:tc>
                <w:tcPr>
                  <w:tcW w:w="474" w:type="pct"/>
                  <w:tcBorders>
                    <w:tl2br w:val="nil"/>
                    <w:tr2bl w:val="nil"/>
                  </w:tcBorders>
                  <w:noWrap w:val="0"/>
                  <w:vAlign w:val="center"/>
                </w:tcPr>
                <w:p w14:paraId="0DB08F6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14:paraId="428C8B5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不同粒径的建筑石料用碎石、机制砂</w:t>
                  </w:r>
                </w:p>
              </w:tc>
            </w:tr>
            <w:tr w14:paraId="0818D7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344" w:type="pct"/>
                  <w:vMerge w:val="continue"/>
                  <w:tcBorders>
                    <w:tl2br w:val="nil"/>
                    <w:tr2bl w:val="nil"/>
                  </w:tcBorders>
                  <w:noWrap w:val="0"/>
                  <w:vAlign w:val="center"/>
                </w:tcPr>
                <w:p w14:paraId="14A44A7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1A8ED80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529E1A5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产品年总成本</w:t>
                  </w:r>
                </w:p>
              </w:tc>
              <w:tc>
                <w:tcPr>
                  <w:tcW w:w="474" w:type="pct"/>
                  <w:tcBorders>
                    <w:tl2br w:val="nil"/>
                    <w:tr2bl w:val="nil"/>
                  </w:tcBorders>
                  <w:noWrap w:val="0"/>
                  <w:vAlign w:val="center"/>
                </w:tcPr>
                <w:p w14:paraId="6767826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万元</w:t>
                  </w:r>
                </w:p>
              </w:tc>
              <w:tc>
                <w:tcPr>
                  <w:tcW w:w="2349" w:type="pct"/>
                  <w:tcBorders>
                    <w:tl2br w:val="nil"/>
                    <w:tr2bl w:val="nil"/>
                  </w:tcBorders>
                  <w:noWrap w:val="0"/>
                  <w:vAlign w:val="center"/>
                </w:tcPr>
                <w:p w14:paraId="7874EA5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eastAsia" w:ascii="Times New Roman" w:hAnsi="Times New Roman" w:eastAsia="宋体" w:cs="Times New Roman"/>
                      <w:spacing w:val="11"/>
                      <w:position w:val="0"/>
                      <w:sz w:val="21"/>
                      <w:szCs w:val="21"/>
                      <w:lang w:val="en-US" w:eastAsia="zh-CN"/>
                    </w:rPr>
                    <w:t>1080</w:t>
                  </w:r>
                </w:p>
              </w:tc>
            </w:tr>
            <w:tr w14:paraId="190CCE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14:paraId="627F633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14:paraId="1DCF058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14:paraId="2592AB2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年收入</w:t>
                  </w:r>
                </w:p>
              </w:tc>
              <w:tc>
                <w:tcPr>
                  <w:tcW w:w="474" w:type="pct"/>
                  <w:tcBorders>
                    <w:tl2br w:val="nil"/>
                    <w:tr2bl w:val="nil"/>
                  </w:tcBorders>
                  <w:noWrap w:val="0"/>
                  <w:vAlign w:val="center"/>
                </w:tcPr>
                <w:p w14:paraId="562C3B7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万元</w:t>
                  </w:r>
                </w:p>
              </w:tc>
              <w:tc>
                <w:tcPr>
                  <w:tcW w:w="2349" w:type="pct"/>
                  <w:tcBorders>
                    <w:tl2br w:val="nil"/>
                    <w:tr2bl w:val="nil"/>
                  </w:tcBorders>
                  <w:noWrap w:val="0"/>
                  <w:vAlign w:val="center"/>
                </w:tcPr>
                <w:p w14:paraId="03B7C97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eastAsia" w:ascii="Times New Roman" w:hAnsi="Times New Roman" w:eastAsia="宋体" w:cs="Times New Roman"/>
                      <w:spacing w:val="11"/>
                      <w:position w:val="0"/>
                      <w:sz w:val="21"/>
                      <w:szCs w:val="21"/>
                      <w:lang w:val="en-US" w:eastAsia="zh-CN"/>
                    </w:rPr>
                    <w:t>2370</w:t>
                  </w:r>
                </w:p>
              </w:tc>
            </w:tr>
          </w:tbl>
          <w:p w14:paraId="270B2033">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2450A73E">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single" w:color="auto"/>
                <w:lang w:val="en-US" w:eastAsia="zh-CN"/>
              </w:rPr>
            </w:pPr>
            <w:r>
              <w:rPr>
                <w:rFonts w:hint="default" w:ascii="Times New Roman" w:hAnsi="Times New Roman" w:eastAsia="宋体" w:cs="Times New Roman"/>
                <w:b/>
                <w:bCs/>
                <w:color w:val="auto"/>
                <w:spacing w:val="11"/>
                <w:position w:val="0"/>
                <w:sz w:val="21"/>
                <w:szCs w:val="21"/>
                <w:u w:val="single" w:color="auto"/>
              </w:rPr>
              <w:t>表</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lang w:val="en-US" w:eastAsia="zh-CN"/>
              </w:rPr>
              <w:t>-</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 xml:space="preserve"> </w:t>
            </w:r>
            <w:r>
              <w:rPr>
                <w:rFonts w:hint="default" w:ascii="Times New Roman" w:hAnsi="Times New Roman" w:eastAsia="宋体" w:cs="Times New Roman"/>
                <w:b/>
                <w:bCs/>
                <w:color w:val="auto"/>
                <w:spacing w:val="11"/>
                <w:position w:val="0"/>
                <w:sz w:val="21"/>
                <w:szCs w:val="21"/>
                <w:u w:val="single" w:color="auto"/>
              </w:rPr>
              <w:t>项目主要建设内容一览表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1"/>
              <w:gridCol w:w="541"/>
              <w:gridCol w:w="2924"/>
              <w:gridCol w:w="2922"/>
              <w:gridCol w:w="1087"/>
            </w:tblGrid>
            <w:tr w14:paraId="5DACD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64" w:type="pct"/>
                  <w:gridSpan w:val="2"/>
                  <w:tcBorders>
                    <w:tl2br w:val="nil"/>
                    <w:tr2bl w:val="nil"/>
                  </w:tcBorders>
                  <w:noWrap w:val="0"/>
                  <w:vAlign w:val="center"/>
                </w:tcPr>
                <w:p w14:paraId="4B26DE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bookmarkStart w:id="2" w:name="_Hlk105580544"/>
                  <w:r>
                    <w:rPr>
                      <w:rFonts w:hint="default" w:ascii="Times New Roman" w:hAnsi="Times New Roman" w:eastAsia="宋体" w:cs="Times New Roman"/>
                      <w:spacing w:val="11"/>
                      <w:position w:val="0"/>
                      <w:szCs w:val="21"/>
                      <w:u w:val="single" w:color="auto"/>
                    </w:rPr>
                    <w:t>分类</w:t>
                  </w:r>
                </w:p>
              </w:tc>
              <w:tc>
                <w:tcPr>
                  <w:tcW w:w="1828" w:type="pct"/>
                  <w:tcBorders>
                    <w:tl2br w:val="nil"/>
                    <w:tr2bl w:val="nil"/>
                  </w:tcBorders>
                  <w:noWrap w:val="0"/>
                  <w:vAlign w:val="center"/>
                </w:tcPr>
                <w:p w14:paraId="393DBE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现有工程建设内容</w:t>
                  </w:r>
                </w:p>
              </w:tc>
              <w:tc>
                <w:tcPr>
                  <w:tcW w:w="1827" w:type="pct"/>
                  <w:tcBorders>
                    <w:tl2br w:val="nil"/>
                    <w:tr2bl w:val="nil"/>
                  </w:tcBorders>
                  <w:noWrap w:val="0"/>
                  <w:vAlign w:val="center"/>
                </w:tcPr>
                <w:p w14:paraId="1A5F8B4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改扩建后建设内容</w:t>
                  </w:r>
                </w:p>
              </w:tc>
              <w:tc>
                <w:tcPr>
                  <w:tcW w:w="679" w:type="pct"/>
                  <w:tcBorders>
                    <w:tl2br w:val="nil"/>
                    <w:tr2bl w:val="nil"/>
                  </w:tcBorders>
                  <w:noWrap w:val="0"/>
                  <w:vAlign w:val="center"/>
                </w:tcPr>
                <w:p w14:paraId="2117800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备注</w:t>
                  </w:r>
                </w:p>
              </w:tc>
            </w:tr>
            <w:tr w14:paraId="22E6C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14:paraId="28F233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主体工程</w:t>
                  </w:r>
                </w:p>
              </w:tc>
              <w:tc>
                <w:tcPr>
                  <w:tcW w:w="337" w:type="pct"/>
                  <w:tcBorders>
                    <w:tl2br w:val="nil"/>
                    <w:tr2bl w:val="nil"/>
                  </w:tcBorders>
                  <w:noWrap w:val="0"/>
                  <w:vAlign w:val="center"/>
                </w:tcPr>
                <w:p w14:paraId="7ADE6C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开采区</w:t>
                  </w:r>
                </w:p>
              </w:tc>
              <w:tc>
                <w:tcPr>
                  <w:tcW w:w="1828" w:type="pct"/>
                  <w:tcBorders>
                    <w:tl2br w:val="nil"/>
                    <w:tr2bl w:val="nil"/>
                  </w:tcBorders>
                  <w:shd w:val="clear" w:color="auto" w:fill="auto"/>
                  <w:noWrap w:val="0"/>
                  <w:vAlign w:val="center"/>
                </w:tcPr>
                <w:p w14:paraId="30B60875">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矿区范围由</w:t>
                  </w:r>
                  <w:r>
                    <w:rPr>
                      <w:rFonts w:hint="eastAsia" w:ascii="Times New Roman" w:hAnsi="Times New Roman" w:eastAsia="宋体" w:cs="Times New Roman"/>
                      <w:spacing w:val="11"/>
                      <w:position w:val="0"/>
                      <w:szCs w:val="21"/>
                      <w:u w:val="single" w:color="auto"/>
                      <w:lang w:val="en-US" w:eastAsia="zh-CN"/>
                    </w:rPr>
                    <w:t>5</w:t>
                  </w:r>
                  <w:r>
                    <w:rPr>
                      <w:rFonts w:hint="default" w:ascii="Times New Roman" w:hAnsi="Times New Roman" w:eastAsia="宋体" w:cs="Times New Roman"/>
                      <w:spacing w:val="11"/>
                      <w:position w:val="0"/>
                      <w:szCs w:val="21"/>
                      <w:u w:val="single" w:color="auto"/>
                    </w:rPr>
                    <w:t>个拐点</w:t>
                  </w:r>
                  <w:r>
                    <w:rPr>
                      <w:rFonts w:hint="default" w:ascii="Times New Roman" w:hAnsi="Times New Roman" w:eastAsia="宋体" w:cs="Times New Roman"/>
                      <w:spacing w:val="11"/>
                      <w:position w:val="0"/>
                      <w:szCs w:val="21"/>
                      <w:u w:val="single" w:color="auto"/>
                      <w:lang w:val="en-US" w:eastAsia="zh-CN"/>
                    </w:rPr>
                    <w:t>坐标</w:t>
                  </w:r>
                  <w:r>
                    <w:rPr>
                      <w:rFonts w:hint="default" w:ascii="Times New Roman" w:hAnsi="Times New Roman" w:eastAsia="宋体" w:cs="Times New Roman"/>
                      <w:spacing w:val="11"/>
                      <w:position w:val="0"/>
                      <w:szCs w:val="21"/>
                      <w:u w:val="single" w:color="auto"/>
                    </w:rPr>
                    <w:t>圈定，矿区面积</w:t>
                  </w:r>
                  <w:r>
                    <w:rPr>
                      <w:rFonts w:hint="default" w:ascii="Times New Roman" w:hAnsi="Times New Roman" w:eastAsia="宋体" w:cs="Times New Roman"/>
                      <w:spacing w:val="11"/>
                      <w:position w:val="0"/>
                      <w:szCs w:val="21"/>
                      <w:u w:val="single" w:color="auto"/>
                      <w:lang w:val="en-US" w:eastAsia="zh-CN"/>
                    </w:rPr>
                    <w:t>0.</w:t>
                  </w:r>
                  <w:r>
                    <w:rPr>
                      <w:rFonts w:hint="eastAsia" w:ascii="Times New Roman" w:hAnsi="Times New Roman" w:eastAsia="宋体" w:cs="Times New Roman"/>
                      <w:spacing w:val="11"/>
                      <w:position w:val="0"/>
                      <w:szCs w:val="21"/>
                      <w:u w:val="single" w:color="auto"/>
                      <w:lang w:val="en-US" w:eastAsia="zh-CN"/>
                    </w:rPr>
                    <w:t>0948</w:t>
                  </w:r>
                  <w:r>
                    <w:rPr>
                      <w:rFonts w:hint="default" w:ascii="Times New Roman" w:hAnsi="Times New Roman" w:eastAsia="宋体" w:cs="Times New Roman"/>
                      <w:spacing w:val="11"/>
                      <w:position w:val="0"/>
                      <w:szCs w:val="21"/>
                      <w:u w:val="single" w:color="auto"/>
                    </w:rPr>
                    <w:t>km</w:t>
                  </w:r>
                  <w:r>
                    <w:rPr>
                      <w:rFonts w:hint="default" w:ascii="Times New Roman" w:hAnsi="Times New Roman" w:eastAsia="宋体" w:cs="Times New Roman"/>
                      <w:spacing w:val="11"/>
                      <w:position w:val="0"/>
                      <w:szCs w:val="21"/>
                      <w:u w:val="single" w:color="auto"/>
                      <w:vertAlign w:val="superscript"/>
                    </w:rPr>
                    <w:t>2</w:t>
                  </w:r>
                  <w:r>
                    <w:rPr>
                      <w:rFonts w:hint="default" w:ascii="Times New Roman" w:hAnsi="Times New Roman" w:eastAsia="宋体" w:cs="Times New Roman"/>
                      <w:spacing w:val="11"/>
                      <w:position w:val="0"/>
                      <w:szCs w:val="21"/>
                      <w:u w:val="single" w:color="auto"/>
                    </w:rPr>
                    <w:t>，准采标高</w:t>
                  </w:r>
                  <w:r>
                    <w:rPr>
                      <w:rFonts w:hint="default" w:ascii="Times New Roman" w:hAnsi="Times New Roman" w:eastAsia="宋体" w:cs="Times New Roman"/>
                      <w:spacing w:val="11"/>
                      <w:position w:val="0"/>
                      <w:szCs w:val="21"/>
                      <w:u w:val="single" w:color="auto"/>
                      <w:lang w:val="en-US" w:eastAsia="zh-CN"/>
                    </w:rPr>
                    <w:t>+34</w:t>
                  </w:r>
                  <w:r>
                    <w:rPr>
                      <w:rFonts w:hint="eastAsia" w:ascii="Times New Roman" w:hAnsi="Times New Roman" w:eastAsia="宋体" w:cs="Times New Roman"/>
                      <w:spacing w:val="11"/>
                      <w:position w:val="0"/>
                      <w:szCs w:val="21"/>
                      <w:u w:val="single" w:color="auto"/>
                      <w:lang w:val="en-US" w:eastAsia="zh-CN"/>
                    </w:rPr>
                    <w:t>0</w:t>
                  </w:r>
                  <w:r>
                    <w:rPr>
                      <w:rFonts w:hint="default" w:ascii="Times New Roman" w:hAnsi="Times New Roman" w:eastAsia="宋体" w:cs="Times New Roman"/>
                      <w:spacing w:val="11"/>
                      <w:position w:val="0"/>
                      <w:szCs w:val="21"/>
                      <w:u w:val="single" w:color="auto"/>
                      <w:lang w:val="en-US" w:eastAsia="zh-CN"/>
                    </w:rPr>
                    <w:t>m～+</w:t>
                  </w:r>
                  <w:r>
                    <w:rPr>
                      <w:rFonts w:hint="eastAsia" w:ascii="Times New Roman" w:hAnsi="Times New Roman" w:eastAsia="宋体" w:cs="Times New Roman"/>
                      <w:spacing w:val="11"/>
                      <w:position w:val="0"/>
                      <w:szCs w:val="21"/>
                      <w:u w:val="single" w:color="auto"/>
                      <w:lang w:val="en-US" w:eastAsia="zh-CN"/>
                    </w:rPr>
                    <w:t>30</w:t>
                  </w:r>
                  <w:r>
                    <w:rPr>
                      <w:rFonts w:hint="default" w:ascii="Times New Roman" w:hAnsi="Times New Roman" w:eastAsia="宋体" w:cs="Times New Roman"/>
                      <w:spacing w:val="11"/>
                      <w:position w:val="0"/>
                      <w:szCs w:val="21"/>
                      <w:u w:val="single" w:color="auto"/>
                      <w:lang w:val="en-US" w:eastAsia="zh-CN"/>
                    </w:rPr>
                    <w:t>0m</w:t>
                  </w:r>
                  <w:r>
                    <w:rPr>
                      <w:rFonts w:hint="default" w:ascii="Times New Roman" w:hAnsi="Times New Roman" w:eastAsia="宋体" w:cs="Times New Roman"/>
                      <w:spacing w:val="11"/>
                      <w:position w:val="0"/>
                      <w:szCs w:val="21"/>
                      <w:u w:val="single" w:color="auto"/>
                    </w:rPr>
                    <w:t>，</w:t>
                  </w:r>
                  <w:r>
                    <w:rPr>
                      <w:rFonts w:hint="eastAsia" w:ascii="Times New Roman" w:hAnsi="Times New Roman" w:eastAsia="宋体" w:cs="Times New Roman"/>
                      <w:spacing w:val="11"/>
                      <w:position w:val="0"/>
                      <w:szCs w:val="21"/>
                      <w:u w:val="single" w:color="auto"/>
                      <w:lang w:val="en-US" w:eastAsia="zh-CN"/>
                    </w:rPr>
                    <w:t>年开采建筑用石料用灰岩3</w:t>
                  </w:r>
                  <w:r>
                    <w:rPr>
                      <w:rFonts w:hint="default" w:ascii="Times New Roman" w:hAnsi="Times New Roman" w:eastAsia="宋体" w:cs="Times New Roman"/>
                      <w:spacing w:val="11"/>
                      <w:position w:val="0"/>
                      <w:szCs w:val="21"/>
                      <w:u w:val="single" w:color="auto"/>
                      <w:lang w:val="en-US" w:eastAsia="zh-CN"/>
                    </w:rPr>
                    <w:t>0</w:t>
                  </w:r>
                  <w:r>
                    <w:rPr>
                      <w:rFonts w:hint="default" w:ascii="Times New Roman" w:hAnsi="Times New Roman" w:eastAsia="宋体" w:cs="Times New Roman"/>
                      <w:spacing w:val="11"/>
                      <w:position w:val="0"/>
                      <w:szCs w:val="21"/>
                      <w:u w:val="single" w:color="auto"/>
                    </w:rPr>
                    <w:t>万吨/年，矿山为露天开采。</w:t>
                  </w:r>
                </w:p>
              </w:tc>
              <w:tc>
                <w:tcPr>
                  <w:tcW w:w="1827" w:type="pct"/>
                  <w:tcBorders>
                    <w:tl2br w:val="nil"/>
                    <w:tr2bl w:val="nil"/>
                  </w:tcBorders>
                  <w:noWrap w:val="0"/>
                  <w:vAlign w:val="center"/>
                </w:tcPr>
                <w:p w14:paraId="1B66F4A2">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rPr>
                    <w:t>矿区范围由</w:t>
                  </w:r>
                  <w:r>
                    <w:rPr>
                      <w:rFonts w:hint="eastAsia" w:ascii="Times New Roman" w:hAnsi="Times New Roman" w:eastAsia="宋体" w:cs="Times New Roman"/>
                      <w:spacing w:val="11"/>
                      <w:position w:val="0"/>
                      <w:szCs w:val="21"/>
                      <w:u w:val="single" w:color="auto"/>
                      <w:lang w:val="en-US" w:eastAsia="zh-CN"/>
                    </w:rPr>
                    <w:t>7</w:t>
                  </w:r>
                  <w:r>
                    <w:rPr>
                      <w:rFonts w:hint="default" w:ascii="Times New Roman" w:hAnsi="Times New Roman" w:eastAsia="宋体" w:cs="Times New Roman"/>
                      <w:spacing w:val="11"/>
                      <w:position w:val="0"/>
                      <w:szCs w:val="21"/>
                      <w:u w:val="single" w:color="auto"/>
                    </w:rPr>
                    <w:t>个拐点</w:t>
                  </w:r>
                  <w:r>
                    <w:rPr>
                      <w:rFonts w:hint="default" w:ascii="Times New Roman" w:hAnsi="Times New Roman" w:eastAsia="宋体" w:cs="Times New Roman"/>
                      <w:spacing w:val="11"/>
                      <w:position w:val="0"/>
                      <w:szCs w:val="21"/>
                      <w:u w:val="single" w:color="auto"/>
                      <w:lang w:val="en-US" w:eastAsia="zh-CN"/>
                    </w:rPr>
                    <w:t>坐标</w:t>
                  </w:r>
                  <w:r>
                    <w:rPr>
                      <w:rFonts w:hint="default" w:ascii="Times New Roman" w:hAnsi="Times New Roman" w:eastAsia="宋体" w:cs="Times New Roman"/>
                      <w:spacing w:val="11"/>
                      <w:position w:val="0"/>
                      <w:szCs w:val="21"/>
                      <w:u w:val="single" w:color="auto"/>
                    </w:rPr>
                    <w:t>圈定，矿区面积</w:t>
                  </w:r>
                  <w:r>
                    <w:rPr>
                      <w:rFonts w:hint="default" w:ascii="Times New Roman" w:hAnsi="Times New Roman" w:eastAsia="宋体" w:cs="Times New Roman"/>
                      <w:spacing w:val="11"/>
                      <w:position w:val="0"/>
                      <w:szCs w:val="21"/>
                      <w:u w:val="single" w:color="auto"/>
                      <w:lang w:val="en-US" w:eastAsia="zh-CN"/>
                    </w:rPr>
                    <w:t>0.1018</w:t>
                  </w:r>
                  <w:r>
                    <w:rPr>
                      <w:rFonts w:hint="default" w:ascii="Times New Roman" w:hAnsi="Times New Roman" w:eastAsia="宋体" w:cs="Times New Roman"/>
                      <w:spacing w:val="11"/>
                      <w:position w:val="0"/>
                      <w:szCs w:val="21"/>
                      <w:u w:val="single" w:color="auto"/>
                    </w:rPr>
                    <w:t>km</w:t>
                  </w:r>
                  <w:r>
                    <w:rPr>
                      <w:rFonts w:hint="default" w:ascii="Times New Roman" w:hAnsi="Times New Roman" w:eastAsia="宋体" w:cs="Times New Roman"/>
                      <w:spacing w:val="11"/>
                      <w:position w:val="0"/>
                      <w:szCs w:val="21"/>
                      <w:u w:val="single" w:color="auto"/>
                      <w:vertAlign w:val="superscript"/>
                    </w:rPr>
                    <w:t>2</w:t>
                  </w:r>
                  <w:r>
                    <w:rPr>
                      <w:rFonts w:hint="default" w:ascii="Times New Roman" w:hAnsi="Times New Roman" w:eastAsia="宋体" w:cs="Times New Roman"/>
                      <w:spacing w:val="11"/>
                      <w:position w:val="0"/>
                      <w:szCs w:val="21"/>
                      <w:u w:val="single" w:color="auto"/>
                    </w:rPr>
                    <w:t>，准采标高</w:t>
                  </w:r>
                  <w:r>
                    <w:rPr>
                      <w:rFonts w:hint="default" w:ascii="Times New Roman" w:hAnsi="Times New Roman" w:eastAsia="宋体" w:cs="Times New Roman"/>
                      <w:spacing w:val="11"/>
                      <w:position w:val="0"/>
                      <w:szCs w:val="21"/>
                      <w:u w:val="single" w:color="auto"/>
                      <w:lang w:val="en-US" w:eastAsia="zh-CN"/>
                    </w:rPr>
                    <w:t>+343m～+260m</w:t>
                  </w:r>
                  <w:r>
                    <w:rPr>
                      <w:rFonts w:hint="default" w:ascii="Times New Roman" w:hAnsi="Times New Roman" w:eastAsia="宋体" w:cs="Times New Roman"/>
                      <w:spacing w:val="11"/>
                      <w:position w:val="0"/>
                      <w:szCs w:val="21"/>
                      <w:u w:val="single" w:color="auto"/>
                    </w:rPr>
                    <w:t>，</w:t>
                  </w:r>
                  <w:r>
                    <w:rPr>
                      <w:rFonts w:hint="default" w:ascii="Times New Roman" w:hAnsi="Times New Roman" w:eastAsia="宋体" w:cs="Times New Roman"/>
                      <w:spacing w:val="11"/>
                      <w:position w:val="0"/>
                      <w:szCs w:val="21"/>
                      <w:u w:val="single" w:color="auto"/>
                      <w:lang w:val="en-US" w:eastAsia="zh-CN"/>
                    </w:rPr>
                    <w:t>年开采建筑用石料用灰岩60</w:t>
                  </w:r>
                  <w:r>
                    <w:rPr>
                      <w:rFonts w:hint="default" w:ascii="Times New Roman" w:hAnsi="Times New Roman" w:eastAsia="宋体" w:cs="Times New Roman"/>
                      <w:spacing w:val="11"/>
                      <w:position w:val="0"/>
                      <w:szCs w:val="21"/>
                      <w:u w:val="single" w:color="auto"/>
                    </w:rPr>
                    <w:t>万吨/年，矿山为露天开采。</w:t>
                  </w:r>
                </w:p>
              </w:tc>
              <w:tc>
                <w:tcPr>
                  <w:tcW w:w="679" w:type="pct"/>
                  <w:tcBorders>
                    <w:tl2br w:val="nil"/>
                    <w:tr2bl w:val="nil"/>
                  </w:tcBorders>
                  <w:noWrap w:val="0"/>
                  <w:vAlign w:val="center"/>
                </w:tcPr>
                <w:p w14:paraId="76CB00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矿区面积调整为0.1018km</w:t>
                  </w:r>
                  <w:r>
                    <w:rPr>
                      <w:rFonts w:hint="eastAsia" w:ascii="Times New Roman" w:hAnsi="Times New Roman" w:eastAsia="宋体" w:cs="Times New Roman"/>
                      <w:spacing w:val="11"/>
                      <w:position w:val="0"/>
                      <w:szCs w:val="21"/>
                      <w:u w:val="single" w:color="auto"/>
                      <w:vertAlign w:val="superscript"/>
                      <w:lang w:val="en-US" w:eastAsia="zh-CN"/>
                    </w:rPr>
                    <w:t>2</w:t>
                  </w:r>
                </w:p>
              </w:tc>
            </w:tr>
            <w:tr w14:paraId="16B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3B20A2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5DCB910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碎石生产线</w:t>
                  </w:r>
                </w:p>
              </w:tc>
              <w:tc>
                <w:tcPr>
                  <w:tcW w:w="1828" w:type="pct"/>
                  <w:tcBorders>
                    <w:tl2br w:val="nil"/>
                    <w:tr2bl w:val="nil"/>
                  </w:tcBorders>
                  <w:noWrap w:val="0"/>
                  <w:vAlign w:val="center"/>
                </w:tcPr>
                <w:p w14:paraId="23C8BF74">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rPr>
                    <w:t>矿区北侧工业场地，包括传输皮带、破碎机、</w:t>
                  </w:r>
                  <w:r>
                    <w:rPr>
                      <w:rFonts w:hint="eastAsia" w:ascii="Times New Roman" w:hAnsi="Times New Roman" w:eastAsia="宋体" w:cs="Times New Roman"/>
                      <w:spacing w:val="11"/>
                      <w:position w:val="0"/>
                      <w:szCs w:val="21"/>
                      <w:u w:val="single" w:color="auto"/>
                      <w:lang w:val="en-US" w:eastAsia="zh-CN"/>
                    </w:rPr>
                    <w:t>筛分</w:t>
                  </w:r>
                  <w:r>
                    <w:rPr>
                      <w:rFonts w:hint="default" w:ascii="Times New Roman" w:hAnsi="Times New Roman" w:eastAsia="宋体" w:cs="Times New Roman"/>
                      <w:spacing w:val="11"/>
                      <w:position w:val="0"/>
                      <w:szCs w:val="21"/>
                      <w:u w:val="single" w:color="auto"/>
                    </w:rPr>
                    <w:t>机等，面积23800m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vertAlign w:val="baseline"/>
                      <w:lang w:val="en-US" w:eastAsia="zh-CN"/>
                    </w:rPr>
                    <w:t>，</w:t>
                  </w:r>
                  <w:r>
                    <w:rPr>
                      <w:rFonts w:hint="default" w:ascii="Times New Roman" w:hAnsi="Times New Roman" w:eastAsia="宋体" w:cs="Times New Roman"/>
                      <w:spacing w:val="11"/>
                      <w:position w:val="0"/>
                      <w:szCs w:val="21"/>
                      <w:u w:val="single" w:color="auto"/>
                    </w:rPr>
                    <w:t>根据产品需要进行破碎，需破碎的矿石，经破碎</w:t>
                  </w:r>
                  <w:r>
                    <w:rPr>
                      <w:rFonts w:hint="eastAsia" w:ascii="Times New Roman" w:hAnsi="Times New Roman" w:eastAsia="宋体" w:cs="Times New Roman"/>
                      <w:spacing w:val="11"/>
                      <w:position w:val="0"/>
                      <w:szCs w:val="21"/>
                      <w:u w:val="single" w:color="auto"/>
                      <w:lang w:val="en-US" w:eastAsia="zh-CN"/>
                    </w:rPr>
                    <w:t>筛分</w:t>
                  </w:r>
                  <w:r>
                    <w:rPr>
                      <w:rFonts w:hint="default" w:ascii="Times New Roman" w:hAnsi="Times New Roman" w:eastAsia="宋体" w:cs="Times New Roman"/>
                      <w:spacing w:val="11"/>
                      <w:position w:val="0"/>
                      <w:szCs w:val="21"/>
                      <w:u w:val="single" w:color="auto"/>
                    </w:rPr>
                    <w:t>分出不同粒径(0-5mm石粉、10-20mm碎石、20-30mm碎石)，在堆场暂存，后用装</w:t>
                  </w:r>
                  <w:r>
                    <w:rPr>
                      <w:rFonts w:hint="eastAsia" w:ascii="Times New Roman" w:hAnsi="Times New Roman" w:eastAsia="宋体" w:cs="Times New Roman"/>
                      <w:spacing w:val="11"/>
                      <w:position w:val="0"/>
                      <w:szCs w:val="21"/>
                      <w:u w:val="single" w:color="auto"/>
                      <w:lang w:val="en-US" w:eastAsia="zh-CN"/>
                    </w:rPr>
                    <w:t>载</w:t>
                  </w:r>
                  <w:r>
                    <w:rPr>
                      <w:rFonts w:hint="default" w:ascii="Times New Roman" w:hAnsi="Times New Roman" w:eastAsia="宋体" w:cs="Times New Roman"/>
                      <w:spacing w:val="11"/>
                      <w:position w:val="0"/>
                      <w:szCs w:val="21"/>
                      <w:u w:val="single" w:color="auto"/>
                    </w:rPr>
                    <w:t>机装车运往指定地点。</w:t>
                  </w:r>
                </w:p>
              </w:tc>
              <w:tc>
                <w:tcPr>
                  <w:tcW w:w="1827" w:type="pct"/>
                  <w:tcBorders>
                    <w:tl2br w:val="nil"/>
                    <w:tr2bl w:val="nil"/>
                  </w:tcBorders>
                  <w:noWrap w:val="0"/>
                  <w:vAlign w:val="center"/>
                </w:tcPr>
                <w:p w14:paraId="3CBE541B">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矿区北侧工业场地，包括传输皮带、破碎机、筛分机等，面积23800m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lang w:val="en-US" w:eastAsia="zh-CN"/>
                    </w:rPr>
                    <w:t>，根据产品需要进行破碎，需破碎的矿石，经破碎筛分分出不同粒径(0-5mm石粉、10-20mm碎石、20-30mm碎石)，在堆场暂存，后用装载机装车运往指定地点。</w:t>
                  </w:r>
                </w:p>
              </w:tc>
              <w:tc>
                <w:tcPr>
                  <w:tcW w:w="679" w:type="pct"/>
                  <w:tcBorders>
                    <w:tl2br w:val="nil"/>
                    <w:tr2bl w:val="nil"/>
                  </w:tcBorders>
                  <w:noWrap w:val="0"/>
                  <w:vAlign w:val="center"/>
                </w:tcPr>
                <w:p w14:paraId="15B885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生产设备依托现有</w:t>
                  </w:r>
                </w:p>
              </w:tc>
            </w:tr>
            <w:tr w14:paraId="35B64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6E8F4B4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217DCC4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水稳拌合区</w:t>
                  </w:r>
                </w:p>
              </w:tc>
              <w:tc>
                <w:tcPr>
                  <w:tcW w:w="1828" w:type="pct"/>
                  <w:tcBorders>
                    <w:tl2br w:val="nil"/>
                    <w:tr2bl w:val="nil"/>
                  </w:tcBorders>
                  <w:noWrap w:val="0"/>
                  <w:vAlign w:val="center"/>
                </w:tcPr>
                <w:p w14:paraId="676D3C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827" w:type="pct"/>
                  <w:tcBorders>
                    <w:tl2br w:val="nil"/>
                    <w:tr2bl w:val="nil"/>
                  </w:tcBorders>
                  <w:noWrap w:val="0"/>
                  <w:vAlign w:val="center"/>
                </w:tcPr>
                <w:p w14:paraId="276D4BD6">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设置一座水稳拌合站，生产区半封闭车间、钢结构，占地面积为600m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lang w:val="en-US" w:eastAsia="zh-CN"/>
                    </w:rPr>
                    <w:t>。</w:t>
                  </w:r>
                </w:p>
              </w:tc>
              <w:tc>
                <w:tcPr>
                  <w:tcW w:w="679" w:type="pct"/>
                  <w:tcBorders>
                    <w:tl2br w:val="nil"/>
                    <w:tr2bl w:val="nil"/>
                  </w:tcBorders>
                  <w:noWrap w:val="0"/>
                  <w:vAlign w:val="center"/>
                </w:tcPr>
                <w:p w14:paraId="59F4288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tr w14:paraId="53CA9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14:paraId="5F49B2D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辅助</w:t>
                  </w:r>
                </w:p>
                <w:p w14:paraId="15D9299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noWrap w:val="0"/>
                  <w:vAlign w:val="center"/>
                </w:tcPr>
                <w:p w14:paraId="3E8174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办公生活区</w:t>
                  </w:r>
                </w:p>
              </w:tc>
              <w:tc>
                <w:tcPr>
                  <w:tcW w:w="1828" w:type="pct"/>
                  <w:tcBorders>
                    <w:tl2br w:val="nil"/>
                    <w:tr2bl w:val="nil"/>
                  </w:tcBorders>
                  <w:noWrap w:val="0"/>
                  <w:vAlign w:val="center"/>
                </w:tcPr>
                <w:p w14:paraId="4B47EC1D">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zh-CN" w:bidi="zh-CN"/>
                    </w:rPr>
                  </w:pPr>
                  <w:r>
                    <w:rPr>
                      <w:rFonts w:hint="eastAsia" w:ascii="Times New Roman" w:hAnsi="Times New Roman" w:eastAsia="宋体" w:cs="Times New Roman"/>
                      <w:spacing w:val="11"/>
                      <w:kern w:val="0"/>
                      <w:position w:val="0"/>
                      <w:szCs w:val="21"/>
                      <w:u w:val="single" w:color="auto"/>
                      <w:lang w:val="en-US" w:bidi="zh-CN"/>
                    </w:rPr>
                    <w:t>位于工业广场南侧，</w:t>
                  </w:r>
                  <w:r>
                    <w:rPr>
                      <w:rFonts w:hint="default" w:ascii="Times New Roman" w:hAnsi="Times New Roman" w:eastAsia="宋体" w:cs="Times New Roman"/>
                      <w:spacing w:val="11"/>
                      <w:kern w:val="0"/>
                      <w:position w:val="0"/>
                      <w:szCs w:val="21"/>
                      <w:u w:val="single" w:color="auto"/>
                      <w:lang w:val="zh-CN" w:bidi="zh-CN"/>
                    </w:rPr>
                    <w:t>办公生活区为活动板房</w:t>
                  </w:r>
                  <w:r>
                    <w:rPr>
                      <w:rFonts w:hint="eastAsia"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2</w:t>
                  </w:r>
                  <w:r>
                    <w:rPr>
                      <w:rFonts w:hint="default" w:ascii="Times New Roman" w:hAnsi="Times New Roman" w:eastAsia="宋体" w:cs="Times New Roman"/>
                      <w:spacing w:val="11"/>
                      <w:kern w:val="0"/>
                      <w:position w:val="0"/>
                      <w:szCs w:val="21"/>
                      <w:u w:val="single" w:color="auto"/>
                      <w:lang w:val="zh-CN" w:bidi="zh-CN"/>
                    </w:rPr>
                    <w:t>F，建筑面积</w:t>
                  </w:r>
                  <w:r>
                    <w:rPr>
                      <w:rFonts w:hint="default" w:ascii="Times New Roman" w:hAnsi="Times New Roman" w:eastAsia="宋体" w:cs="Times New Roman"/>
                      <w:spacing w:val="11"/>
                      <w:kern w:val="0"/>
                      <w:position w:val="0"/>
                      <w:szCs w:val="21"/>
                      <w:u w:val="single" w:color="auto"/>
                      <w:lang w:val="en-US" w:bidi="zh-CN"/>
                    </w:rPr>
                    <w:t>10</w:t>
                  </w:r>
                  <w:r>
                    <w:rPr>
                      <w:rFonts w:hint="default" w:ascii="Times New Roman" w:hAnsi="Times New Roman" w:eastAsia="宋体" w:cs="Times New Roman"/>
                      <w:spacing w:val="11"/>
                      <w:kern w:val="0"/>
                      <w:position w:val="0"/>
                      <w:szCs w:val="21"/>
                      <w:u w:val="single" w:color="auto"/>
                      <w:lang w:val="zh-CN" w:bidi="zh-CN"/>
                    </w:rPr>
                    <w:t>0m</w:t>
                  </w:r>
                  <w:r>
                    <w:rPr>
                      <w:rFonts w:hint="default" w:ascii="Times New Roman" w:hAnsi="Times New Roman" w:eastAsia="宋体" w:cs="Times New Roman"/>
                      <w:spacing w:val="11"/>
                      <w:kern w:val="0"/>
                      <w:position w:val="0"/>
                      <w:szCs w:val="21"/>
                      <w:u w:val="single" w:color="auto"/>
                      <w:vertAlign w:val="superscript"/>
                      <w:lang w:val="zh-CN" w:bidi="zh-CN"/>
                    </w:rPr>
                    <w:t>2</w:t>
                  </w:r>
                  <w:r>
                    <w:rPr>
                      <w:rFonts w:hint="default"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用作日常管理，办公</w:t>
                  </w:r>
                  <w:r>
                    <w:rPr>
                      <w:rFonts w:hint="default" w:ascii="Times New Roman" w:hAnsi="Times New Roman" w:eastAsia="宋体" w:cs="Times New Roman"/>
                      <w:spacing w:val="11"/>
                      <w:kern w:val="0"/>
                      <w:position w:val="0"/>
                      <w:szCs w:val="21"/>
                      <w:u w:val="single" w:color="auto"/>
                      <w:lang w:val="zh-CN" w:bidi="zh-CN"/>
                    </w:rPr>
                    <w:t>。</w:t>
                  </w:r>
                </w:p>
              </w:tc>
              <w:tc>
                <w:tcPr>
                  <w:tcW w:w="1827" w:type="pct"/>
                  <w:tcBorders>
                    <w:tl2br w:val="nil"/>
                    <w:tr2bl w:val="nil"/>
                  </w:tcBorders>
                  <w:noWrap w:val="0"/>
                  <w:vAlign w:val="center"/>
                </w:tcPr>
                <w:p w14:paraId="72C1E343">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zh-CN" w:bidi="zh-CN"/>
                    </w:rPr>
                  </w:pPr>
                  <w:r>
                    <w:rPr>
                      <w:rFonts w:hint="eastAsia" w:ascii="Times New Roman" w:hAnsi="Times New Roman" w:eastAsia="宋体" w:cs="Times New Roman"/>
                      <w:spacing w:val="11"/>
                      <w:kern w:val="0"/>
                      <w:position w:val="0"/>
                      <w:szCs w:val="21"/>
                      <w:u w:val="single" w:color="auto"/>
                      <w:lang w:val="en-US" w:bidi="zh-CN"/>
                    </w:rPr>
                    <w:t>位于工业广场南侧，</w:t>
                  </w:r>
                  <w:r>
                    <w:rPr>
                      <w:rFonts w:hint="default" w:ascii="Times New Roman" w:hAnsi="Times New Roman" w:eastAsia="宋体" w:cs="Times New Roman"/>
                      <w:spacing w:val="11"/>
                      <w:kern w:val="0"/>
                      <w:position w:val="0"/>
                      <w:szCs w:val="21"/>
                      <w:u w:val="single" w:color="auto"/>
                      <w:lang w:val="zh-CN" w:bidi="zh-CN"/>
                    </w:rPr>
                    <w:t>办公生活区为活动板房</w:t>
                  </w:r>
                  <w:r>
                    <w:rPr>
                      <w:rFonts w:hint="eastAsia"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2</w:t>
                  </w:r>
                  <w:r>
                    <w:rPr>
                      <w:rFonts w:hint="default" w:ascii="Times New Roman" w:hAnsi="Times New Roman" w:eastAsia="宋体" w:cs="Times New Roman"/>
                      <w:spacing w:val="11"/>
                      <w:kern w:val="0"/>
                      <w:position w:val="0"/>
                      <w:szCs w:val="21"/>
                      <w:u w:val="single" w:color="auto"/>
                      <w:lang w:val="zh-CN" w:bidi="zh-CN"/>
                    </w:rPr>
                    <w:t>F，建筑面积</w:t>
                  </w:r>
                  <w:r>
                    <w:rPr>
                      <w:rFonts w:hint="default" w:ascii="Times New Roman" w:hAnsi="Times New Roman" w:eastAsia="宋体" w:cs="Times New Roman"/>
                      <w:spacing w:val="11"/>
                      <w:kern w:val="0"/>
                      <w:position w:val="0"/>
                      <w:szCs w:val="21"/>
                      <w:u w:val="single" w:color="auto"/>
                      <w:lang w:val="en-US" w:bidi="zh-CN"/>
                    </w:rPr>
                    <w:t>10</w:t>
                  </w:r>
                  <w:r>
                    <w:rPr>
                      <w:rFonts w:hint="default" w:ascii="Times New Roman" w:hAnsi="Times New Roman" w:eastAsia="宋体" w:cs="Times New Roman"/>
                      <w:spacing w:val="11"/>
                      <w:kern w:val="0"/>
                      <w:position w:val="0"/>
                      <w:szCs w:val="21"/>
                      <w:u w:val="single" w:color="auto"/>
                      <w:lang w:val="zh-CN" w:bidi="zh-CN"/>
                    </w:rPr>
                    <w:t>0m</w:t>
                  </w:r>
                  <w:r>
                    <w:rPr>
                      <w:rFonts w:hint="default" w:ascii="Times New Roman" w:hAnsi="Times New Roman" w:eastAsia="宋体" w:cs="Times New Roman"/>
                      <w:spacing w:val="11"/>
                      <w:kern w:val="0"/>
                      <w:position w:val="0"/>
                      <w:szCs w:val="21"/>
                      <w:u w:val="single" w:color="auto"/>
                      <w:vertAlign w:val="superscript"/>
                      <w:lang w:val="zh-CN" w:bidi="zh-CN"/>
                    </w:rPr>
                    <w:t>2</w:t>
                  </w:r>
                  <w:r>
                    <w:rPr>
                      <w:rFonts w:hint="default"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用作日常管理，办公</w:t>
                  </w:r>
                  <w:r>
                    <w:rPr>
                      <w:rFonts w:hint="default" w:ascii="Times New Roman" w:hAnsi="Times New Roman" w:eastAsia="宋体" w:cs="Times New Roman"/>
                      <w:spacing w:val="11"/>
                      <w:kern w:val="0"/>
                      <w:position w:val="0"/>
                      <w:szCs w:val="21"/>
                      <w:u w:val="single" w:color="auto"/>
                      <w:lang w:val="zh-CN" w:bidi="zh-CN"/>
                    </w:rPr>
                    <w:t>。</w:t>
                  </w:r>
                </w:p>
              </w:tc>
              <w:tc>
                <w:tcPr>
                  <w:tcW w:w="679" w:type="pct"/>
                  <w:tcBorders>
                    <w:tl2br w:val="nil"/>
                    <w:tr2bl w:val="nil"/>
                  </w:tcBorders>
                  <w:noWrap w:val="0"/>
                  <w:vAlign w:val="center"/>
                </w:tcPr>
                <w:p w14:paraId="08272866">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14:paraId="33AA0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54461A2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3A8B4A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配电房</w:t>
                  </w:r>
                </w:p>
              </w:tc>
              <w:tc>
                <w:tcPr>
                  <w:tcW w:w="1828" w:type="pct"/>
                  <w:tcBorders>
                    <w:tl2br w:val="nil"/>
                    <w:tr2bl w:val="nil"/>
                  </w:tcBorders>
                  <w:noWrap w:val="0"/>
                  <w:vAlign w:val="center"/>
                </w:tcPr>
                <w:p w14:paraId="024AFEE6">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1F，砖混结构，主要用电设备为空压机、照明，建筑面积100m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w:t>
                  </w:r>
                </w:p>
              </w:tc>
              <w:tc>
                <w:tcPr>
                  <w:tcW w:w="1827" w:type="pct"/>
                  <w:tcBorders>
                    <w:tl2br w:val="nil"/>
                    <w:tr2bl w:val="nil"/>
                  </w:tcBorders>
                  <w:noWrap w:val="0"/>
                  <w:vAlign w:val="center"/>
                </w:tcPr>
                <w:p w14:paraId="5C580CA8">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1F，砖混结构，主要用电设备为空压机、照明，建筑面积20m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w:t>
                  </w:r>
                </w:p>
              </w:tc>
              <w:tc>
                <w:tcPr>
                  <w:tcW w:w="679" w:type="pct"/>
                  <w:tcBorders>
                    <w:tl2br w:val="nil"/>
                    <w:tr2bl w:val="nil"/>
                  </w:tcBorders>
                  <w:noWrap w:val="0"/>
                  <w:vAlign w:val="center"/>
                </w:tcPr>
                <w:p w14:paraId="6546A433">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eastAsia="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14:paraId="11BD3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0AEE170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5340FE9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材料库房</w:t>
                  </w:r>
                </w:p>
              </w:tc>
              <w:tc>
                <w:tcPr>
                  <w:tcW w:w="1828" w:type="pct"/>
                  <w:tcBorders>
                    <w:tl2br w:val="nil"/>
                    <w:tr2bl w:val="nil"/>
                  </w:tcBorders>
                  <w:noWrap w:val="0"/>
                  <w:vAlign w:val="center"/>
                </w:tcPr>
                <w:p w14:paraId="5DE4F051">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用于机修零件、设备、消防器材存放，建筑面积50m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vertAlign w:val="baseline"/>
                      <w:lang w:val="en-US" w:bidi="zh-CN"/>
                    </w:rPr>
                    <w:t>。</w:t>
                  </w:r>
                </w:p>
              </w:tc>
              <w:tc>
                <w:tcPr>
                  <w:tcW w:w="1827" w:type="pct"/>
                  <w:tcBorders>
                    <w:tl2br w:val="nil"/>
                    <w:tr2bl w:val="nil"/>
                  </w:tcBorders>
                  <w:noWrap w:val="0"/>
                  <w:vAlign w:val="center"/>
                </w:tcPr>
                <w:p w14:paraId="0DFA7026">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用于机修零件、设备、消防器材存放，建筑面积50m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vertAlign w:val="baseline"/>
                      <w:lang w:val="en-US" w:bidi="zh-CN"/>
                    </w:rPr>
                    <w:t>。</w:t>
                  </w:r>
                </w:p>
              </w:tc>
              <w:tc>
                <w:tcPr>
                  <w:tcW w:w="679" w:type="pct"/>
                  <w:tcBorders>
                    <w:tl2br w:val="nil"/>
                    <w:tr2bl w:val="nil"/>
                  </w:tcBorders>
                  <w:noWrap w:val="0"/>
                  <w:vAlign w:val="center"/>
                </w:tcPr>
                <w:p w14:paraId="51A7E727">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eastAsia="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14:paraId="2D045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3DB6A81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14F5D64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其他</w:t>
                  </w:r>
                </w:p>
              </w:tc>
              <w:tc>
                <w:tcPr>
                  <w:tcW w:w="1828" w:type="pct"/>
                  <w:tcBorders>
                    <w:tl2br w:val="nil"/>
                    <w:tr2bl w:val="nil"/>
                  </w:tcBorders>
                  <w:noWrap w:val="0"/>
                  <w:vAlign w:val="center"/>
                </w:tcPr>
                <w:p w14:paraId="0B94A1C6">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大、中、小修及汽修均由外协解决，仅对设备进行日常维护；矿山不设爆破其他器材库，矿山所需炸药等由永州市旺达爆破工程有限公司新田分公司配供；矿山主要机械设备及运输设备加油在厂内进行，设置一个10t储油罐。</w:t>
                  </w:r>
                </w:p>
              </w:tc>
              <w:tc>
                <w:tcPr>
                  <w:tcW w:w="1827" w:type="pct"/>
                  <w:tcBorders>
                    <w:tl2br w:val="nil"/>
                    <w:tr2bl w:val="nil"/>
                  </w:tcBorders>
                  <w:noWrap w:val="0"/>
                  <w:vAlign w:val="center"/>
                </w:tcPr>
                <w:p w14:paraId="662FE06B">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矿山大、中、小修及汽修均由外协解决，仅对设备进行日常维护；矿山爆破工作均委托当地具有资质的爆破公司承担，矿山不设置炸药库；矿山主要机械设备及运输设备加油在厂内进行，设置一个3t储油罐。</w:t>
                  </w:r>
                </w:p>
              </w:tc>
              <w:tc>
                <w:tcPr>
                  <w:tcW w:w="679" w:type="pct"/>
                  <w:tcBorders>
                    <w:tl2br w:val="nil"/>
                    <w:tr2bl w:val="nil"/>
                  </w:tcBorders>
                  <w:noWrap w:val="0"/>
                  <w:vAlign w:val="center"/>
                </w:tcPr>
                <w:p w14:paraId="7EAC16ED">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储油罐更换为3t的</w:t>
                  </w:r>
                </w:p>
              </w:tc>
            </w:tr>
            <w:tr w14:paraId="50174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14:paraId="557621D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储运工程</w:t>
                  </w:r>
                </w:p>
              </w:tc>
              <w:tc>
                <w:tcPr>
                  <w:tcW w:w="337" w:type="pct"/>
                  <w:tcBorders>
                    <w:tl2br w:val="nil"/>
                    <w:tr2bl w:val="nil"/>
                  </w:tcBorders>
                  <w:noWrap w:val="0"/>
                  <w:vAlign w:val="center"/>
                </w:tcPr>
                <w:p w14:paraId="464868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产品堆场</w:t>
                  </w:r>
                </w:p>
              </w:tc>
              <w:tc>
                <w:tcPr>
                  <w:tcW w:w="1828" w:type="pct"/>
                  <w:tcBorders>
                    <w:tl2br w:val="nil"/>
                    <w:tr2bl w:val="nil"/>
                  </w:tcBorders>
                  <w:noWrap w:val="0"/>
                  <w:vAlign w:val="center"/>
                </w:tcPr>
                <w:p w14:paraId="71DFADD0">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总面积10000m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，容量约3.5万m</w:t>
                  </w:r>
                  <w:r>
                    <w:rPr>
                      <w:rFonts w:hint="eastAsia" w:ascii="Times New Roman" w:hAnsi="Times New Roman" w:eastAsia="宋体" w:cs="Times New Roman"/>
                      <w:spacing w:val="11"/>
                      <w:kern w:val="0"/>
                      <w:position w:val="0"/>
                      <w:szCs w:val="21"/>
                      <w:u w:val="single" w:color="auto"/>
                      <w:vertAlign w:val="superscript"/>
                      <w:lang w:val="en-US" w:bidi="zh-CN"/>
                    </w:rPr>
                    <w:t>3</w:t>
                  </w:r>
                  <w:r>
                    <w:rPr>
                      <w:rFonts w:hint="eastAsia" w:ascii="Times New Roman" w:hAnsi="Times New Roman" w:eastAsia="宋体" w:cs="Times New Roman"/>
                      <w:spacing w:val="11"/>
                      <w:kern w:val="0"/>
                      <w:position w:val="0"/>
                      <w:szCs w:val="21"/>
                      <w:u w:val="single" w:color="auto"/>
                      <w:lang w:val="en-US" w:bidi="zh-CN"/>
                    </w:rPr>
                    <w:t>，建设四周围挡的半封闭式结构(围挡高度高于产品堆放高度)，并在产品的堆场周围设置水渠，防止雨水冲刷产品。</w:t>
                  </w:r>
                </w:p>
              </w:tc>
              <w:tc>
                <w:tcPr>
                  <w:tcW w:w="1827" w:type="pct"/>
                  <w:tcBorders>
                    <w:tl2br w:val="nil"/>
                    <w:tr2bl w:val="nil"/>
                  </w:tcBorders>
                  <w:shd w:val="clear" w:color="auto" w:fill="auto"/>
                  <w:noWrap w:val="0"/>
                  <w:vAlign w:val="center"/>
                </w:tcPr>
                <w:p w14:paraId="197CB838">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总面积</w:t>
                  </w:r>
                  <w:r>
                    <w:rPr>
                      <w:rFonts w:hint="eastAsia" w:cs="Times New Roman"/>
                      <w:spacing w:val="11"/>
                      <w:kern w:val="0"/>
                      <w:position w:val="0"/>
                      <w:szCs w:val="21"/>
                      <w:u w:val="single" w:color="auto"/>
                      <w:lang w:val="en-US" w:bidi="zh-CN"/>
                    </w:rPr>
                    <w:t>1090</w:t>
                  </w:r>
                  <w:r>
                    <w:rPr>
                      <w:rFonts w:hint="eastAsia" w:ascii="Times New Roman" w:hAnsi="Times New Roman" w:eastAsia="宋体" w:cs="Times New Roman"/>
                      <w:spacing w:val="11"/>
                      <w:kern w:val="0"/>
                      <w:position w:val="0"/>
                      <w:szCs w:val="21"/>
                      <w:u w:val="single" w:color="auto"/>
                      <w:lang w:val="en-US" w:bidi="zh-CN"/>
                    </w:rPr>
                    <w:t>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，容量约</w:t>
                  </w:r>
                  <w:r>
                    <w:rPr>
                      <w:rFonts w:hint="eastAsia" w:cs="Times New Roman"/>
                      <w:spacing w:val="11"/>
                      <w:kern w:val="0"/>
                      <w:position w:val="0"/>
                      <w:szCs w:val="21"/>
                      <w:u w:val="single" w:color="auto"/>
                      <w:lang w:val="en-US" w:bidi="zh-CN"/>
                    </w:rPr>
                    <w:t>6540</w:t>
                  </w:r>
                  <w:r>
                    <w:rPr>
                      <w:rFonts w:hint="eastAsia" w:ascii="Times New Roman" w:hAnsi="Times New Roman" w:eastAsia="宋体" w:cs="Times New Roman"/>
                      <w:spacing w:val="11"/>
                      <w:kern w:val="0"/>
                      <w:position w:val="0"/>
                      <w:szCs w:val="21"/>
                      <w:u w:val="single" w:color="auto"/>
                      <w:lang w:val="en-US" w:bidi="zh-CN"/>
                    </w:rPr>
                    <w:t>m</w:t>
                  </w:r>
                  <w:r>
                    <w:rPr>
                      <w:rFonts w:hint="eastAsia" w:ascii="Times New Roman" w:hAnsi="Times New Roman" w:eastAsia="宋体" w:cs="Times New Roman"/>
                      <w:spacing w:val="11"/>
                      <w:kern w:val="0"/>
                      <w:position w:val="0"/>
                      <w:szCs w:val="21"/>
                      <w:u w:val="single" w:color="auto"/>
                      <w:vertAlign w:val="superscript"/>
                      <w:lang w:val="en-US" w:bidi="zh-CN"/>
                    </w:rPr>
                    <w:t>3</w:t>
                  </w:r>
                  <w:r>
                    <w:rPr>
                      <w:rFonts w:hint="eastAsia" w:ascii="Times New Roman" w:hAnsi="Times New Roman" w:eastAsia="宋体" w:cs="Times New Roman"/>
                      <w:spacing w:val="11"/>
                      <w:kern w:val="0"/>
                      <w:position w:val="0"/>
                      <w:szCs w:val="21"/>
                      <w:u w:val="single" w:color="auto"/>
                      <w:lang w:val="en-US" w:bidi="zh-CN"/>
                    </w:rPr>
                    <w:t>，</w:t>
                  </w:r>
                  <w:r>
                    <w:rPr>
                      <w:rFonts w:hint="eastAsia" w:cs="Times New Roman"/>
                      <w:spacing w:val="11"/>
                      <w:kern w:val="0"/>
                      <w:position w:val="0"/>
                      <w:szCs w:val="21"/>
                      <w:u w:val="single" w:color="auto"/>
                      <w:lang w:val="en-US" w:bidi="zh-CN"/>
                    </w:rPr>
                    <w:t>产品堆放在三边围挡的半封闭式生产车间内</w:t>
                  </w:r>
                  <w:r>
                    <w:rPr>
                      <w:rFonts w:hint="eastAsia" w:ascii="Times New Roman" w:hAnsi="Times New Roman" w:eastAsia="宋体" w:cs="Times New Roman"/>
                      <w:spacing w:val="11"/>
                      <w:kern w:val="0"/>
                      <w:position w:val="0"/>
                      <w:szCs w:val="21"/>
                      <w:u w:val="single" w:color="auto"/>
                      <w:lang w:val="en-US" w:bidi="zh-CN"/>
                    </w:rPr>
                    <w:t>(围挡高度高于产品堆放高度)，并在产品的堆场周围设置水渠，防止雨水冲刷产品。</w:t>
                  </w:r>
                </w:p>
              </w:tc>
              <w:tc>
                <w:tcPr>
                  <w:tcW w:w="679" w:type="pct"/>
                  <w:tcBorders>
                    <w:tl2br w:val="nil"/>
                    <w:tr2bl w:val="nil"/>
                  </w:tcBorders>
                  <w:noWrap w:val="0"/>
                  <w:vAlign w:val="center"/>
                </w:tcPr>
                <w:p w14:paraId="5FBD5780">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r>
                    <w:rPr>
                      <w:rFonts w:hint="eastAsia" w:cs="Times New Roman"/>
                      <w:spacing w:val="11"/>
                      <w:kern w:val="0"/>
                      <w:position w:val="0"/>
                      <w:szCs w:val="21"/>
                      <w:u w:val="single" w:color="auto"/>
                      <w:lang w:val="en-US" w:eastAsia="zh-CN" w:bidi="zh-CN"/>
                    </w:rPr>
                    <w:t>建筑物</w:t>
                  </w:r>
                </w:p>
              </w:tc>
            </w:tr>
            <w:tr w14:paraId="21080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6C5C7E1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25702C9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排土场</w:t>
                  </w:r>
                </w:p>
              </w:tc>
              <w:tc>
                <w:tcPr>
                  <w:tcW w:w="1828" w:type="pct"/>
                  <w:tcBorders>
                    <w:tl2br w:val="nil"/>
                    <w:tr2bl w:val="nil"/>
                  </w:tcBorders>
                  <w:noWrap w:val="0"/>
                  <w:vAlign w:val="center"/>
                </w:tcPr>
                <w:p w14:paraId="1AD281E2">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矿山范围外东侧，面积14000m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，用于堆放矿山剥离的表土及废土石，分区堆放，土场设置挡土墙，北侧设置沉淀池，上游设置排洪沟，排水沟满足20年一過的洪水</w:t>
                  </w:r>
                </w:p>
              </w:tc>
              <w:tc>
                <w:tcPr>
                  <w:tcW w:w="1827" w:type="pct"/>
                  <w:tcBorders>
                    <w:tl2br w:val="nil"/>
                    <w:tr2bl w:val="nil"/>
                  </w:tcBorders>
                  <w:shd w:val="clear" w:color="auto" w:fill="auto"/>
                  <w:noWrap w:val="0"/>
                  <w:vAlign w:val="center"/>
                </w:tcPr>
                <w:p w14:paraId="0D1FAF59">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 w:val="21"/>
                      <w:szCs w:val="21"/>
                      <w:u w:val="single" w:color="auto"/>
                      <w:lang w:val="en-US" w:eastAsia="zh-CN" w:bidi="zh-CN"/>
                    </w:rPr>
                  </w:pPr>
                  <w:r>
                    <w:rPr>
                      <w:rFonts w:hint="eastAsia" w:cs="Times New Roman"/>
                      <w:spacing w:val="11"/>
                      <w:kern w:val="0"/>
                      <w:position w:val="0"/>
                      <w:sz w:val="21"/>
                      <w:szCs w:val="21"/>
                      <w:highlight w:val="none"/>
                      <w:u w:val="single" w:color="auto"/>
                      <w:lang w:val="en-US" w:eastAsia="zh-CN" w:bidi="zh-CN"/>
                    </w:rPr>
                    <w:t>本项目设置临时堆土场，占地面积6992m</w:t>
                  </w:r>
                  <w:r>
                    <w:rPr>
                      <w:rFonts w:hint="eastAsia" w:cs="Times New Roman"/>
                      <w:spacing w:val="11"/>
                      <w:kern w:val="0"/>
                      <w:position w:val="0"/>
                      <w:sz w:val="21"/>
                      <w:szCs w:val="21"/>
                      <w:highlight w:val="none"/>
                      <w:u w:val="single" w:color="auto"/>
                      <w:vertAlign w:val="superscript"/>
                      <w:lang w:val="en-US" w:eastAsia="zh-CN" w:bidi="zh-CN"/>
                    </w:rPr>
                    <w:t>2</w:t>
                  </w:r>
                  <w:r>
                    <w:rPr>
                      <w:rFonts w:hint="eastAsia" w:cs="Times New Roman"/>
                      <w:spacing w:val="11"/>
                      <w:kern w:val="0"/>
                      <w:position w:val="0"/>
                      <w:sz w:val="21"/>
                      <w:szCs w:val="21"/>
                      <w:highlight w:val="none"/>
                      <w:u w:val="single" w:color="auto"/>
                      <w:lang w:val="en-US" w:eastAsia="zh-CN" w:bidi="zh-CN"/>
                    </w:rPr>
                    <w:t>，在生产过程中产生的剥离物在场内及时进行回填，回填后剩余的余方拖运至新田县龙兴环保建材有限公司用于生产及建筑利用使用。</w:t>
                  </w:r>
                </w:p>
              </w:tc>
              <w:tc>
                <w:tcPr>
                  <w:tcW w:w="679" w:type="pct"/>
                  <w:tcBorders>
                    <w:tl2br w:val="nil"/>
                    <w:tr2bl w:val="nil"/>
                  </w:tcBorders>
                  <w:noWrap w:val="0"/>
                  <w:vAlign w:val="center"/>
                </w:tcPr>
                <w:p w14:paraId="55A6FE6A">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cs="Times New Roman"/>
                      <w:spacing w:val="11"/>
                      <w:kern w:val="0"/>
                      <w:position w:val="0"/>
                      <w:szCs w:val="21"/>
                      <w:u w:val="single" w:color="auto"/>
                      <w:lang w:val="en-US" w:eastAsia="zh-CN" w:bidi="zh-CN"/>
                    </w:rPr>
                    <w:t>/</w:t>
                  </w:r>
                </w:p>
              </w:tc>
            </w:tr>
            <w:tr w14:paraId="68184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526B9D4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00949B9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进场道路</w:t>
                  </w:r>
                </w:p>
              </w:tc>
              <w:tc>
                <w:tcPr>
                  <w:tcW w:w="1828" w:type="pct"/>
                  <w:tcBorders>
                    <w:tl2br w:val="nil"/>
                    <w:tr2bl w:val="nil"/>
                  </w:tcBorders>
                  <w:noWrap w:val="0"/>
                  <w:vAlign w:val="center"/>
                </w:tcPr>
                <w:p w14:paraId="16919517">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进场道路利用现有乡村道路加固拓宽，泥结碎石路面，对全部进场道路公里里程约500m，宽约8m进行硬化。</w:t>
                  </w:r>
                </w:p>
              </w:tc>
              <w:tc>
                <w:tcPr>
                  <w:tcW w:w="1827" w:type="pct"/>
                  <w:tcBorders>
                    <w:tl2br w:val="nil"/>
                    <w:tr2bl w:val="nil"/>
                  </w:tcBorders>
                  <w:shd w:val="clear" w:color="auto" w:fill="auto"/>
                  <w:noWrap w:val="0"/>
                  <w:vAlign w:val="center"/>
                </w:tcPr>
                <w:p w14:paraId="68337609">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进场道路利用现有乡村道路加固拓宽，泥结碎石路面，对全部进场道路公里里程约500m，宽约8m进行硬化。</w:t>
                  </w:r>
                </w:p>
              </w:tc>
              <w:tc>
                <w:tcPr>
                  <w:tcW w:w="679" w:type="pct"/>
                  <w:tcBorders>
                    <w:tl2br w:val="nil"/>
                    <w:tr2bl w:val="nil"/>
                  </w:tcBorders>
                  <w:noWrap w:val="0"/>
                  <w:vAlign w:val="center"/>
                </w:tcPr>
                <w:p w14:paraId="08CE1CCE">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p>
              </w:tc>
            </w:tr>
            <w:tr w14:paraId="6B77A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3CBC8F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17C67F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矿山道路</w:t>
                  </w:r>
                </w:p>
              </w:tc>
              <w:tc>
                <w:tcPr>
                  <w:tcW w:w="1828" w:type="pct"/>
                  <w:tcBorders>
                    <w:tl2br w:val="nil"/>
                    <w:tr2bl w:val="nil"/>
                  </w:tcBorders>
                  <w:noWrap w:val="0"/>
                  <w:vAlign w:val="center"/>
                </w:tcPr>
                <w:p w14:paraId="322DF761">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矿山道路用于挖机、运输车辆上山，进场道路至首采面，长度约600m，道路宽度不小于7m，利用现有小道加宽加固。</w:t>
                  </w:r>
                </w:p>
              </w:tc>
              <w:tc>
                <w:tcPr>
                  <w:tcW w:w="1827" w:type="pct"/>
                  <w:tcBorders>
                    <w:tl2br w:val="nil"/>
                    <w:tr2bl w:val="nil"/>
                  </w:tcBorders>
                  <w:shd w:val="clear" w:color="auto" w:fill="auto"/>
                  <w:noWrap w:val="0"/>
                  <w:vAlign w:val="center"/>
                </w:tcPr>
                <w:p w14:paraId="5FC91C63">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矿山道路用于挖机、运输车辆上山，进场道路至首采面，长度约600m，道路宽度不小于7m，利用现有小道加宽加固。</w:t>
                  </w:r>
                </w:p>
              </w:tc>
              <w:tc>
                <w:tcPr>
                  <w:tcW w:w="679" w:type="pct"/>
                  <w:tcBorders>
                    <w:tl2br w:val="nil"/>
                    <w:tr2bl w:val="nil"/>
                  </w:tcBorders>
                  <w:noWrap w:val="0"/>
                  <w:vAlign w:val="center"/>
                </w:tcPr>
                <w:p w14:paraId="64620B5F">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p>
              </w:tc>
            </w:tr>
            <w:tr w14:paraId="40C5E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14:paraId="346DBE5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公用</w:t>
                  </w:r>
                </w:p>
                <w:p w14:paraId="1A3083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noWrap w:val="0"/>
                  <w:vAlign w:val="center"/>
                </w:tcPr>
                <w:p w14:paraId="14926A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供电</w:t>
                  </w:r>
                </w:p>
              </w:tc>
              <w:tc>
                <w:tcPr>
                  <w:tcW w:w="1828" w:type="pct"/>
                  <w:tcBorders>
                    <w:tl2br w:val="nil"/>
                    <w:tr2bl w:val="nil"/>
                  </w:tcBorders>
                  <w:noWrap w:val="0"/>
                  <w:vAlign w:val="center"/>
                </w:tcPr>
                <w:p w14:paraId="4A83CAD7">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矿山生产生活用电直接从附近的农网10KV农网T接入，用于安装动力线路及设施设备。配置1台变压器，可以满足矿山生产、生活用电。</w:t>
                  </w:r>
                </w:p>
              </w:tc>
              <w:tc>
                <w:tcPr>
                  <w:tcW w:w="1827" w:type="pct"/>
                  <w:tcBorders>
                    <w:tl2br w:val="nil"/>
                    <w:tr2bl w:val="nil"/>
                  </w:tcBorders>
                  <w:noWrap w:val="0"/>
                  <w:vAlign w:val="center"/>
                </w:tcPr>
                <w:p w14:paraId="75872036">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矿山生产生活用电直接从附近的农网10KV农网T接入，用于安装动力线路及设施设备。配置1台变压器，可以满足矿山生产、生活用电。</w:t>
                  </w:r>
                </w:p>
              </w:tc>
              <w:tc>
                <w:tcPr>
                  <w:tcW w:w="679" w:type="pct"/>
                  <w:tcBorders>
                    <w:tl2br w:val="nil"/>
                    <w:tr2bl w:val="nil"/>
                  </w:tcBorders>
                  <w:noWrap w:val="0"/>
                  <w:vAlign w:val="center"/>
                </w:tcPr>
                <w:p w14:paraId="2C7E30A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14:paraId="7D75F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5C5747C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160578E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供水</w:t>
                  </w:r>
                </w:p>
              </w:tc>
              <w:tc>
                <w:tcPr>
                  <w:tcW w:w="1828" w:type="pct"/>
                  <w:tcBorders>
                    <w:tl2br w:val="nil"/>
                    <w:tr2bl w:val="nil"/>
                  </w:tcBorders>
                  <w:noWrap w:val="0"/>
                  <w:vAlign w:val="center"/>
                </w:tcPr>
                <w:p w14:paraId="0153B955">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矿山生活用水来自附近农村居民水井</w:t>
                  </w:r>
                  <w:r>
                    <w:rPr>
                      <w:rFonts w:hint="eastAsia" w:ascii="Times New Roman" w:hAnsi="Times New Roman" w:eastAsia="宋体" w:cs="Times New Roman"/>
                      <w:spacing w:val="11"/>
                      <w:position w:val="0"/>
                      <w:szCs w:val="21"/>
                      <w:u w:val="single" w:color="auto"/>
                      <w:lang w:eastAsia="zh-CN"/>
                    </w:rPr>
                    <w:t>；</w:t>
                  </w:r>
                  <w:r>
                    <w:rPr>
                      <w:rFonts w:hint="default" w:ascii="Times New Roman" w:hAnsi="Times New Roman" w:eastAsia="宋体" w:cs="Times New Roman"/>
                      <w:spacing w:val="11"/>
                      <w:position w:val="0"/>
                      <w:szCs w:val="21"/>
                      <w:u w:val="single" w:color="auto"/>
                    </w:rPr>
                    <w:t>生产用水大部分利用采面雨季汇水</w:t>
                  </w:r>
                  <w:r>
                    <w:rPr>
                      <w:rFonts w:hint="eastAsia" w:ascii="Times New Roman" w:hAnsi="Times New Roman" w:eastAsia="宋体" w:cs="Times New Roman"/>
                      <w:spacing w:val="11"/>
                      <w:position w:val="0"/>
                      <w:szCs w:val="21"/>
                      <w:u w:val="single" w:color="auto"/>
                      <w:lang w:eastAsia="zh-CN"/>
                    </w:rPr>
                    <w:t>，</w:t>
                  </w:r>
                  <w:r>
                    <w:rPr>
                      <w:rFonts w:hint="default" w:ascii="Times New Roman" w:hAnsi="Times New Roman" w:eastAsia="宋体" w:cs="Times New Roman"/>
                      <w:spacing w:val="11"/>
                      <w:position w:val="0"/>
                      <w:szCs w:val="21"/>
                      <w:u w:val="single" w:color="auto"/>
                    </w:rPr>
                    <w:t>不足的部分利用附近塘下水库供水。</w:t>
                  </w:r>
                </w:p>
              </w:tc>
              <w:tc>
                <w:tcPr>
                  <w:tcW w:w="1827" w:type="pct"/>
                  <w:tcBorders>
                    <w:tl2br w:val="nil"/>
                    <w:tr2bl w:val="nil"/>
                  </w:tcBorders>
                  <w:noWrap w:val="0"/>
                  <w:vAlign w:val="center"/>
                </w:tcPr>
                <w:p w14:paraId="79E37524">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项目生产用水、生活用水均依托市政管网供水。</w:t>
                  </w:r>
                </w:p>
              </w:tc>
              <w:tc>
                <w:tcPr>
                  <w:tcW w:w="679" w:type="pct"/>
                  <w:tcBorders>
                    <w:tl2br w:val="nil"/>
                    <w:tr2bl w:val="nil"/>
                  </w:tcBorders>
                  <w:noWrap w:val="0"/>
                  <w:vAlign w:val="center"/>
                </w:tcPr>
                <w:p w14:paraId="691C68E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lang w:val="en-US"/>
                    </w:rPr>
                  </w:pPr>
                  <w:r>
                    <w:rPr>
                      <w:rFonts w:hint="default" w:ascii="Times New Roman" w:hAnsi="Times New Roman" w:eastAsia="宋体" w:cs="Times New Roman"/>
                      <w:spacing w:val="11"/>
                      <w:position w:val="0"/>
                      <w:szCs w:val="21"/>
                      <w:u w:val="single" w:color="auto"/>
                      <w:lang w:val="en-US" w:eastAsia="zh-CN"/>
                    </w:rPr>
                    <w:t>依托</w:t>
                  </w:r>
                  <w:r>
                    <w:rPr>
                      <w:rFonts w:hint="eastAsia" w:ascii="Times New Roman" w:hAnsi="Times New Roman" w:eastAsia="宋体" w:cs="Times New Roman"/>
                      <w:spacing w:val="11"/>
                      <w:position w:val="0"/>
                      <w:szCs w:val="21"/>
                      <w:u w:val="single" w:color="auto"/>
                      <w:lang w:val="en-US" w:eastAsia="zh-CN"/>
                    </w:rPr>
                    <w:t>市政管网</w:t>
                  </w:r>
                </w:p>
              </w:tc>
            </w:tr>
            <w:tr w14:paraId="62351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269E98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78CF587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高位水池</w:t>
                  </w:r>
                </w:p>
              </w:tc>
              <w:tc>
                <w:tcPr>
                  <w:tcW w:w="1828" w:type="pct"/>
                  <w:tcBorders>
                    <w:tl2br w:val="nil"/>
                    <w:tr2bl w:val="nil"/>
                  </w:tcBorders>
                  <w:noWrap w:val="0"/>
                  <w:vAlign w:val="center"/>
                </w:tcPr>
                <w:p w14:paraId="0EFE3202">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容积200m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default" w:ascii="Times New Roman" w:hAnsi="Times New Roman" w:eastAsia="宋体" w:cs="Times New Roman"/>
                      <w:spacing w:val="11"/>
                      <w:position w:val="0"/>
                      <w:szCs w:val="21"/>
                      <w:u w:val="single" w:color="auto"/>
                    </w:rPr>
                    <w:t>，设置在矿山西南</w:t>
                  </w:r>
                  <w:r>
                    <w:rPr>
                      <w:rFonts w:hint="eastAsia" w:ascii="Times New Roman" w:hAnsi="Times New Roman" w:eastAsia="宋体" w:cs="Times New Roman"/>
                      <w:spacing w:val="11"/>
                      <w:position w:val="0"/>
                      <w:szCs w:val="21"/>
                      <w:u w:val="single" w:color="auto"/>
                      <w:lang w:val="en-US" w:eastAsia="zh-CN"/>
                    </w:rPr>
                    <w:t>角</w:t>
                  </w:r>
                  <w:r>
                    <w:rPr>
                      <w:rFonts w:hint="default" w:ascii="Times New Roman" w:hAnsi="Times New Roman" w:eastAsia="宋体" w:cs="Times New Roman"/>
                      <w:spacing w:val="11"/>
                      <w:position w:val="0"/>
                      <w:szCs w:val="21"/>
                      <w:u w:val="single" w:color="auto"/>
                    </w:rPr>
                    <w:t>高处，将处理达标后的水使用水泵提升至该水池，用于矿山的防尘和消防。</w:t>
                  </w:r>
                </w:p>
              </w:tc>
              <w:tc>
                <w:tcPr>
                  <w:tcW w:w="1827" w:type="pct"/>
                  <w:tcBorders>
                    <w:tl2br w:val="nil"/>
                    <w:tr2bl w:val="nil"/>
                  </w:tcBorders>
                  <w:shd w:val="clear" w:color="auto" w:fill="auto"/>
                  <w:noWrap w:val="0"/>
                  <w:vAlign w:val="center"/>
                </w:tcPr>
                <w:p w14:paraId="65D8BAFB">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容积200m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default" w:ascii="Times New Roman" w:hAnsi="Times New Roman" w:eastAsia="宋体" w:cs="Times New Roman"/>
                      <w:spacing w:val="11"/>
                      <w:position w:val="0"/>
                      <w:szCs w:val="21"/>
                      <w:u w:val="single" w:color="auto"/>
                    </w:rPr>
                    <w:t>，设置在矿山西南</w:t>
                  </w:r>
                  <w:r>
                    <w:rPr>
                      <w:rFonts w:hint="eastAsia" w:ascii="Times New Roman" w:hAnsi="Times New Roman" w:eastAsia="宋体" w:cs="Times New Roman"/>
                      <w:spacing w:val="11"/>
                      <w:position w:val="0"/>
                      <w:szCs w:val="21"/>
                      <w:u w:val="single" w:color="auto"/>
                      <w:lang w:val="en-US" w:eastAsia="zh-CN"/>
                    </w:rPr>
                    <w:t>角</w:t>
                  </w:r>
                  <w:r>
                    <w:rPr>
                      <w:rFonts w:hint="default" w:ascii="Times New Roman" w:hAnsi="Times New Roman" w:eastAsia="宋体" w:cs="Times New Roman"/>
                      <w:spacing w:val="11"/>
                      <w:position w:val="0"/>
                      <w:szCs w:val="21"/>
                      <w:u w:val="single" w:color="auto"/>
                    </w:rPr>
                    <w:t>高处，将处理达标后的水使用水泵提升至该水池，用于矿山的防尘和消防。</w:t>
                  </w:r>
                </w:p>
              </w:tc>
              <w:tc>
                <w:tcPr>
                  <w:tcW w:w="679" w:type="pct"/>
                  <w:tcBorders>
                    <w:tl2br w:val="nil"/>
                    <w:tr2bl w:val="nil"/>
                  </w:tcBorders>
                  <w:noWrap w:val="0"/>
                  <w:vAlign w:val="center"/>
                </w:tcPr>
                <w:p w14:paraId="7DDBEED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14:paraId="7F983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460EE70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152451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排水</w:t>
                  </w:r>
                </w:p>
              </w:tc>
              <w:tc>
                <w:tcPr>
                  <w:tcW w:w="1828" w:type="pct"/>
                  <w:tcBorders>
                    <w:tl2br w:val="nil"/>
                    <w:tr2bl w:val="nil"/>
                  </w:tcBorders>
                  <w:noWrap w:val="0"/>
                  <w:vAlign w:val="center"/>
                </w:tcPr>
                <w:p w14:paraId="3CAE799D">
                  <w:pPr>
                    <w:keepNext w:val="0"/>
                    <w:keepLines w:val="0"/>
                    <w:pageBreakBefore w:val="0"/>
                    <w:widowControl w:val="0"/>
                    <w:kinsoku/>
                    <w:wordWrap/>
                    <w:overflowPunct/>
                    <w:topLinePunct w:val="0"/>
                    <w:autoSpaceDE/>
                    <w:autoSpaceDN/>
                    <w:bidi w:val="0"/>
                    <w:jc w:val="both"/>
                    <w:textAlignment w:val="auto"/>
                    <w:rPr>
                      <w:rFonts w:hint="eastAsia" w:ascii="Times New Roman" w:hAnsi="Times New Roman" w:eastAsia="宋体" w:cs="Times New Roman"/>
                      <w:spacing w:val="11"/>
                      <w:position w:val="0"/>
                      <w:szCs w:val="21"/>
                      <w:u w:val="single" w:color="auto"/>
                      <w:lang w:eastAsia="zh-CN"/>
                    </w:rPr>
                  </w:pPr>
                  <w:r>
                    <w:rPr>
                      <w:rFonts w:hint="default" w:ascii="Times New Roman" w:hAnsi="Times New Roman" w:eastAsia="宋体" w:cs="Times New Roman"/>
                      <w:spacing w:val="11"/>
                      <w:position w:val="0"/>
                      <w:szCs w:val="21"/>
                      <w:u w:val="single" w:color="auto"/>
                    </w:rPr>
                    <w:t>在距最终开采境界线之外处设置截洪沟，依当地地形修建排水</w:t>
                  </w:r>
                  <w:r>
                    <w:rPr>
                      <w:rFonts w:hint="eastAsia" w:ascii="Times New Roman" w:hAnsi="Times New Roman" w:eastAsia="宋体" w:cs="Times New Roman"/>
                      <w:spacing w:val="11"/>
                      <w:position w:val="0"/>
                      <w:szCs w:val="21"/>
                      <w:u w:val="single" w:color="auto"/>
                      <w:lang w:val="en-US" w:eastAsia="zh-CN"/>
                    </w:rPr>
                    <w:t>沟渠</w:t>
                  </w:r>
                  <w:r>
                    <w:rPr>
                      <w:rFonts w:hint="default" w:ascii="Times New Roman" w:hAnsi="Times New Roman" w:eastAsia="宋体" w:cs="Times New Roman"/>
                      <w:spacing w:val="11"/>
                      <w:position w:val="0"/>
                      <w:szCs w:val="21"/>
                      <w:u w:val="single" w:color="auto"/>
                    </w:rPr>
                    <w:t>。将大气降水、排水地表水拦截，排入东北部冲沟。采场内的汇水自流至沉淀池，经处理后，用于矿区的</w:t>
                  </w:r>
                  <w:r>
                    <w:rPr>
                      <w:rFonts w:hint="eastAsia" w:ascii="Times New Roman" w:hAnsi="Times New Roman" w:eastAsia="宋体" w:cs="Times New Roman"/>
                      <w:spacing w:val="11"/>
                      <w:position w:val="0"/>
                      <w:szCs w:val="21"/>
                      <w:u w:val="single" w:color="auto"/>
                      <w:lang w:val="en-US" w:eastAsia="zh-CN"/>
                    </w:rPr>
                    <w:t>洒水</w:t>
                  </w:r>
                  <w:r>
                    <w:rPr>
                      <w:rFonts w:hint="default" w:ascii="Times New Roman" w:hAnsi="Times New Roman" w:eastAsia="宋体" w:cs="Times New Roman"/>
                      <w:spacing w:val="11"/>
                      <w:position w:val="0"/>
                      <w:szCs w:val="21"/>
                      <w:u w:val="single" w:color="auto"/>
                    </w:rPr>
                    <w:t>抑尘，生活污水经化</w:t>
                  </w:r>
                  <w:r>
                    <w:rPr>
                      <w:rFonts w:hint="eastAsia" w:ascii="Times New Roman" w:hAnsi="Times New Roman" w:eastAsia="宋体" w:cs="Times New Roman"/>
                      <w:spacing w:val="11"/>
                      <w:position w:val="0"/>
                      <w:szCs w:val="21"/>
                      <w:u w:val="single" w:color="auto"/>
                      <w:lang w:val="en-US" w:eastAsia="zh-CN"/>
                    </w:rPr>
                    <w:t>粪</w:t>
                  </w:r>
                  <w:r>
                    <w:rPr>
                      <w:rFonts w:hint="default" w:ascii="Times New Roman" w:hAnsi="Times New Roman" w:eastAsia="宋体" w:cs="Times New Roman"/>
                      <w:spacing w:val="11"/>
                      <w:position w:val="0"/>
                      <w:szCs w:val="21"/>
                      <w:u w:val="single" w:color="auto"/>
                    </w:rPr>
                    <w:t>池</w:t>
                  </w:r>
                  <w:r>
                    <w:rPr>
                      <w:rFonts w:hint="eastAsia" w:ascii="Times New Roman" w:hAnsi="Times New Roman" w:eastAsia="宋体" w:cs="Times New Roman"/>
                      <w:spacing w:val="11"/>
                      <w:position w:val="0"/>
                      <w:szCs w:val="21"/>
                      <w:u w:val="single" w:color="auto"/>
                      <w:lang w:val="en-US" w:eastAsia="zh-CN"/>
                    </w:rPr>
                    <w:t>沤粪</w:t>
                  </w:r>
                  <w:r>
                    <w:rPr>
                      <w:rFonts w:hint="default" w:ascii="Times New Roman" w:hAnsi="Times New Roman" w:eastAsia="宋体" w:cs="Times New Roman"/>
                      <w:spacing w:val="11"/>
                      <w:position w:val="0"/>
                      <w:szCs w:val="21"/>
                      <w:u w:val="single" w:color="auto"/>
                    </w:rPr>
                    <w:t>处理后用于矿区周边农田施肥</w:t>
                  </w:r>
                  <w:r>
                    <w:rPr>
                      <w:rFonts w:hint="eastAsia" w:ascii="Times New Roman" w:hAnsi="Times New Roman" w:eastAsia="宋体" w:cs="Times New Roman"/>
                      <w:spacing w:val="11"/>
                      <w:position w:val="0"/>
                      <w:szCs w:val="21"/>
                      <w:u w:val="single" w:color="auto"/>
                      <w:lang w:eastAsia="zh-CN"/>
                    </w:rPr>
                    <w:t>。</w:t>
                  </w:r>
                </w:p>
              </w:tc>
              <w:tc>
                <w:tcPr>
                  <w:tcW w:w="1827" w:type="pct"/>
                  <w:tcBorders>
                    <w:tl2br w:val="nil"/>
                    <w:tr2bl w:val="nil"/>
                  </w:tcBorders>
                  <w:shd w:val="clear" w:color="auto" w:fill="auto"/>
                  <w:noWrap w:val="0"/>
                  <w:vAlign w:val="center"/>
                </w:tcPr>
                <w:p w14:paraId="746FA37D">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在距最终开采境界线之外处设置截洪沟，依当地地形修建排水</w:t>
                  </w:r>
                  <w:r>
                    <w:rPr>
                      <w:rFonts w:hint="eastAsia" w:ascii="Times New Roman" w:hAnsi="Times New Roman" w:eastAsia="宋体" w:cs="Times New Roman"/>
                      <w:spacing w:val="11"/>
                      <w:position w:val="0"/>
                      <w:szCs w:val="21"/>
                      <w:u w:val="single" w:color="auto"/>
                      <w:lang w:val="en-US" w:eastAsia="zh-CN"/>
                    </w:rPr>
                    <w:t>沟渠</w:t>
                  </w:r>
                  <w:r>
                    <w:rPr>
                      <w:rFonts w:hint="default" w:ascii="Times New Roman" w:hAnsi="Times New Roman" w:eastAsia="宋体" w:cs="Times New Roman"/>
                      <w:spacing w:val="11"/>
                      <w:position w:val="0"/>
                      <w:szCs w:val="21"/>
                      <w:u w:val="single" w:color="auto"/>
                    </w:rPr>
                    <w:t>。将大气降水、排水地表水拦截，排入东北部冲沟。采场内的汇水自流至沉淀池，经处理后，用于矿区的</w:t>
                  </w:r>
                  <w:r>
                    <w:rPr>
                      <w:rFonts w:hint="eastAsia" w:ascii="Times New Roman" w:hAnsi="Times New Roman" w:eastAsia="宋体" w:cs="Times New Roman"/>
                      <w:spacing w:val="11"/>
                      <w:position w:val="0"/>
                      <w:szCs w:val="21"/>
                      <w:u w:val="single" w:color="auto"/>
                      <w:lang w:val="en-US" w:eastAsia="zh-CN"/>
                    </w:rPr>
                    <w:t>洒水</w:t>
                  </w:r>
                  <w:r>
                    <w:rPr>
                      <w:rFonts w:hint="default" w:ascii="Times New Roman" w:hAnsi="Times New Roman" w:eastAsia="宋体" w:cs="Times New Roman"/>
                      <w:spacing w:val="11"/>
                      <w:position w:val="0"/>
                      <w:szCs w:val="21"/>
                      <w:u w:val="single" w:color="auto"/>
                    </w:rPr>
                    <w:t>抑尘，生活污水经化</w:t>
                  </w:r>
                  <w:r>
                    <w:rPr>
                      <w:rFonts w:hint="default" w:ascii="Times New Roman" w:hAnsi="Times New Roman" w:eastAsia="宋体" w:cs="Times New Roman"/>
                      <w:spacing w:val="11"/>
                      <w:position w:val="0"/>
                      <w:szCs w:val="21"/>
                      <w:u w:val="single" w:color="auto"/>
                      <w:lang w:val="en-US" w:eastAsia="zh-CN"/>
                    </w:rPr>
                    <w:t>粪</w:t>
                  </w:r>
                  <w:r>
                    <w:rPr>
                      <w:rFonts w:hint="default" w:ascii="Times New Roman" w:hAnsi="Times New Roman" w:eastAsia="宋体" w:cs="Times New Roman"/>
                      <w:spacing w:val="11"/>
                      <w:position w:val="0"/>
                      <w:szCs w:val="21"/>
                      <w:u w:val="single" w:color="auto"/>
                    </w:rPr>
                    <w:t>池处理后用于矿区周边农田施肥</w:t>
                  </w:r>
                  <w:r>
                    <w:rPr>
                      <w:rFonts w:hint="eastAsia" w:ascii="Times New Roman" w:hAnsi="Times New Roman" w:eastAsia="宋体" w:cs="Times New Roman"/>
                      <w:spacing w:val="11"/>
                      <w:position w:val="0"/>
                      <w:szCs w:val="21"/>
                      <w:u w:val="single" w:color="auto"/>
                      <w:lang w:eastAsia="zh-CN"/>
                    </w:rPr>
                    <w:t>。</w:t>
                  </w:r>
                </w:p>
              </w:tc>
              <w:tc>
                <w:tcPr>
                  <w:tcW w:w="679" w:type="pct"/>
                  <w:tcBorders>
                    <w:tl2br w:val="nil"/>
                    <w:tr2bl w:val="nil"/>
                  </w:tcBorders>
                  <w:noWrap w:val="0"/>
                  <w:vAlign w:val="center"/>
                </w:tcPr>
                <w:p w14:paraId="22380E3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14:paraId="759E0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14:paraId="1660E15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环保</w:t>
                  </w:r>
                </w:p>
                <w:p w14:paraId="16D17A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shd w:val="clear" w:color="auto" w:fill="auto"/>
                  <w:noWrap w:val="0"/>
                  <w:vAlign w:val="center"/>
                </w:tcPr>
                <w:p w14:paraId="1BD18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rPr>
                    <w:t>废水治理</w:t>
                  </w:r>
                </w:p>
              </w:tc>
              <w:tc>
                <w:tcPr>
                  <w:tcW w:w="1828" w:type="pct"/>
                  <w:tcBorders>
                    <w:tl2br w:val="nil"/>
                    <w:tr2bl w:val="nil"/>
                  </w:tcBorders>
                  <w:noWrap w:val="0"/>
                  <w:vAlign w:val="center"/>
                </w:tcPr>
                <w:p w14:paraId="119CE449">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①工业场地与排土场合建沉淀池(200m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)，采坑雨水沉淀池430m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w:t>
                  </w:r>
                </w:p>
                <w:p w14:paraId="5112EB51">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②化粪池：容积为10m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，位于工业场地办公生活区，收集员工生活用水和粪便，经沤粪处理后用于矿区周边农田施肥。</w:t>
                  </w:r>
                </w:p>
              </w:tc>
              <w:tc>
                <w:tcPr>
                  <w:tcW w:w="1827" w:type="pct"/>
                  <w:tcBorders>
                    <w:tl2br w:val="nil"/>
                    <w:tr2bl w:val="nil"/>
                  </w:tcBorders>
                  <w:noWrap w:val="0"/>
                  <w:vAlign w:val="center"/>
                </w:tcPr>
                <w:p w14:paraId="769DE501">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s="Times New Roman"/>
                      <w:spacing w:val="11"/>
                      <w:position w:val="0"/>
                      <w:u w:val="single" w:color="auto"/>
                      <w:lang w:val="en-US" w:eastAsia="zh-CN"/>
                    </w:rPr>
                  </w:pPr>
                  <w:r>
                    <w:rPr>
                      <w:rFonts w:hint="eastAsia" w:cs="Times New Roman"/>
                      <w:spacing w:val="11"/>
                      <w:position w:val="0"/>
                      <w:u w:val="single" w:color="auto"/>
                      <w:lang w:val="en-US" w:eastAsia="zh-CN"/>
                    </w:rPr>
                    <w:t>厂区内采取雨污分流措施。</w:t>
                  </w:r>
                </w:p>
                <w:p w14:paraId="7234AAF0">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①</w:t>
                  </w:r>
                  <w:r>
                    <w:rPr>
                      <w:rFonts w:hint="default" w:ascii="Times New Roman" w:hAnsi="Times New Roman" w:eastAsia="宋体" w:cs="Times New Roman"/>
                      <w:spacing w:val="11"/>
                      <w:position w:val="0"/>
                      <w:u w:val="single" w:color="auto"/>
                      <w:lang w:val="en-US" w:eastAsia="zh-CN"/>
                    </w:rPr>
                    <w:t>车辆</w:t>
                  </w:r>
                  <w:r>
                    <w:rPr>
                      <w:rFonts w:hint="eastAsia" w:ascii="Times New Roman" w:hAnsi="Times New Roman" w:eastAsia="宋体" w:cs="Times New Roman"/>
                      <w:spacing w:val="11"/>
                      <w:position w:val="0"/>
                      <w:u w:val="single" w:color="auto"/>
                      <w:lang w:val="en-US" w:eastAsia="zh-CN"/>
                    </w:rPr>
                    <w:t>清洗</w:t>
                  </w:r>
                  <w:r>
                    <w:rPr>
                      <w:rFonts w:hint="default" w:ascii="Times New Roman" w:hAnsi="Times New Roman" w:eastAsia="宋体" w:cs="Times New Roman"/>
                      <w:spacing w:val="11"/>
                      <w:position w:val="0"/>
                      <w:u w:val="single" w:color="auto"/>
                      <w:lang w:val="en-US" w:eastAsia="zh-CN"/>
                    </w:rPr>
                    <w:t>废水：在矿区进场公路入口设置车辆过水池，洗车池长7.0m，宽5.0m，高</w:t>
                  </w:r>
                  <w:r>
                    <w:rPr>
                      <w:rFonts w:hint="eastAsia" w:ascii="Times New Roman" w:hAnsi="Times New Roman" w:eastAsia="宋体" w:cs="Times New Roman"/>
                      <w:spacing w:val="11"/>
                      <w:position w:val="0"/>
                      <w:u w:val="single" w:color="auto"/>
                      <w:lang w:val="en-US" w:eastAsia="zh-CN"/>
                    </w:rPr>
                    <w:t>0.5</w:t>
                  </w:r>
                  <w:r>
                    <w:rPr>
                      <w:rFonts w:hint="default" w:ascii="Times New Roman" w:hAnsi="Times New Roman" w:eastAsia="宋体" w:cs="Times New Roman"/>
                      <w:spacing w:val="11"/>
                      <w:position w:val="0"/>
                      <w:u w:val="single" w:color="auto"/>
                      <w:lang w:val="en-US" w:eastAsia="zh-CN"/>
                    </w:rPr>
                    <w:t>m，沿道路纵向布置，两端高中间低，迎水面采用M10水泥砂浆抹面防渗，主要用于进出矿区运输车辆车轮清洗</w:t>
                  </w:r>
                  <w:r>
                    <w:rPr>
                      <w:rFonts w:hint="eastAsia" w:ascii="Times New Roman" w:hAnsi="Times New Roman" w:eastAsia="宋体" w:cs="Times New Roman"/>
                      <w:spacing w:val="11"/>
                      <w:position w:val="0"/>
                      <w:u w:val="single" w:color="auto"/>
                      <w:lang w:val="en-US" w:eastAsia="zh-CN"/>
                    </w:rPr>
                    <w:t>，车辆清洗废水暂存于车辆过水池，循环用水不外排；</w:t>
                  </w:r>
                </w:p>
                <w:p w14:paraId="04BB5CB1">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②生活污水：依托现有化粪池处理生活污水，生活污水经化粪池处理后用于矿区周边农田施肥；</w:t>
                  </w:r>
                </w:p>
                <w:p w14:paraId="3D0F817B">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rPr>
                  </w:pPr>
                  <w:r>
                    <w:rPr>
                      <w:rFonts w:hint="eastAsia" w:ascii="Times New Roman" w:hAnsi="Times New Roman" w:eastAsia="宋体" w:cs="Times New Roman"/>
                      <w:spacing w:val="11"/>
                      <w:position w:val="0"/>
                      <w:u w:val="single" w:color="auto"/>
                      <w:lang w:val="en-US" w:eastAsia="zh-CN"/>
                    </w:rPr>
                    <w:t>③场地雨水：</w:t>
                  </w:r>
                  <w:r>
                    <w:rPr>
                      <w:rFonts w:hint="default" w:ascii="Times New Roman" w:hAnsi="Times New Roman" w:eastAsia="宋体" w:cs="Times New Roman"/>
                      <w:spacing w:val="11"/>
                      <w:position w:val="0"/>
                      <w:u w:val="single" w:color="auto"/>
                      <w:lang w:val="en-US" w:eastAsia="zh-CN"/>
                    </w:rPr>
                    <w:t>场区道路两旁、开采区设有雨水沟，初期雨水经雨水沟汇入初期雨水池进行沉淀处理，处理后回用于洒水抑尘</w:t>
                  </w:r>
                  <w:r>
                    <w:rPr>
                      <w:rFonts w:hint="eastAsia" w:ascii="Times New Roman" w:hAnsi="Times New Roman" w:eastAsia="宋体" w:cs="Times New Roman"/>
                      <w:spacing w:val="11"/>
                      <w:position w:val="0"/>
                      <w:u w:val="single" w:color="auto"/>
                      <w:lang w:val="en-US" w:eastAsia="zh-CN"/>
                    </w:rPr>
                    <w:t>以及洗砂用水</w:t>
                  </w:r>
                  <w:r>
                    <w:rPr>
                      <w:rFonts w:hint="default" w:ascii="Times New Roman" w:hAnsi="Times New Roman" w:eastAsia="宋体" w:cs="Times New Roman"/>
                      <w:spacing w:val="11"/>
                      <w:position w:val="0"/>
                      <w:u w:val="single" w:color="auto"/>
                      <w:lang w:val="en-US" w:eastAsia="zh-CN"/>
                    </w:rPr>
                    <w:t>。</w:t>
                  </w:r>
                  <w:r>
                    <w:rPr>
                      <w:rFonts w:hint="eastAsia" w:ascii="Times New Roman" w:hAnsi="Times New Roman" w:eastAsia="宋体" w:cs="Times New Roman"/>
                      <w:spacing w:val="11"/>
                      <w:position w:val="0"/>
                      <w:u w:val="single" w:color="auto"/>
                      <w:lang w:val="en-US" w:eastAsia="zh-CN"/>
                    </w:rPr>
                    <w:t>在工业广场西北角设置初期雨水池一座（126m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lang w:val="en-US" w:eastAsia="zh-CN"/>
                    </w:rPr>
                    <w:t>），矿区东侧设置初期雨水池三座（15m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vertAlign w:val="baseline"/>
                      <w:lang w:val="en-US" w:eastAsia="zh-CN"/>
                    </w:rPr>
                    <w:t>、76</w:t>
                  </w:r>
                  <w:r>
                    <w:rPr>
                      <w:rFonts w:hint="eastAsia" w:ascii="Times New Roman" w:hAnsi="Times New Roman" w:eastAsia="宋体" w:cs="Times New Roman"/>
                      <w:spacing w:val="11"/>
                      <w:position w:val="0"/>
                      <w:u w:val="single" w:color="auto"/>
                      <w:lang w:val="en-US" w:eastAsia="zh-CN"/>
                    </w:rPr>
                    <w:t>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vertAlign w:val="baseline"/>
                      <w:lang w:val="en-US" w:eastAsia="zh-CN"/>
                    </w:rPr>
                    <w:t>、517</w:t>
                  </w:r>
                  <w:r>
                    <w:rPr>
                      <w:rFonts w:hint="eastAsia" w:ascii="Times New Roman" w:hAnsi="Times New Roman" w:eastAsia="宋体" w:cs="Times New Roman"/>
                      <w:spacing w:val="11"/>
                      <w:position w:val="0"/>
                      <w:u w:val="single" w:color="auto"/>
                      <w:lang w:val="en-US" w:eastAsia="zh-CN"/>
                    </w:rPr>
                    <w:t>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lang w:val="en-US" w:eastAsia="zh-CN"/>
                    </w:rPr>
                    <w:t>），经沉淀处理后回用于生产。</w:t>
                  </w:r>
                </w:p>
              </w:tc>
              <w:tc>
                <w:tcPr>
                  <w:tcW w:w="679" w:type="pct"/>
                  <w:tcBorders>
                    <w:tl2br w:val="nil"/>
                    <w:tr2bl w:val="nil"/>
                  </w:tcBorders>
                  <w:noWrap w:val="0"/>
                  <w:vAlign w:val="center"/>
                </w:tcPr>
                <w:p w14:paraId="3A5233C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新建</w:t>
                  </w:r>
                </w:p>
              </w:tc>
            </w:tr>
            <w:tr w14:paraId="6829A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1432B2F8">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14:paraId="513EDF1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color w:val="auto"/>
                      <w:spacing w:val="11"/>
                      <w:position w:val="0"/>
                      <w:sz w:val="21"/>
                      <w:szCs w:val="21"/>
                      <w:highlight w:val="none"/>
                      <w:u w:val="single" w:color="auto"/>
                    </w:rPr>
                    <w:t>废气治理</w:t>
                  </w:r>
                </w:p>
              </w:tc>
              <w:tc>
                <w:tcPr>
                  <w:tcW w:w="1828" w:type="pct"/>
                  <w:tcBorders>
                    <w:tl2br w:val="nil"/>
                    <w:tr2bl w:val="nil"/>
                  </w:tcBorders>
                  <w:shd w:val="clear" w:color="auto" w:fill="auto"/>
                  <w:noWrap w:val="0"/>
                  <w:vAlign w:val="center"/>
                </w:tcPr>
                <w:p w14:paraId="2F95E3DF">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①</w:t>
                  </w:r>
                  <w:r>
                    <w:rPr>
                      <w:rFonts w:hint="default" w:ascii="Times New Roman" w:hAnsi="Times New Roman" w:eastAsia="宋体" w:cs="Times New Roman"/>
                      <w:spacing w:val="11"/>
                      <w:position w:val="0"/>
                      <w:u w:val="single" w:color="auto"/>
                    </w:rPr>
                    <w:t>开采工作面</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钻孔采用湿式作业。</w:t>
                  </w:r>
                  <w:r>
                    <w:rPr>
                      <w:rFonts w:hint="eastAsia" w:ascii="Times New Roman" w:hAnsi="Times New Roman" w:eastAsia="宋体" w:cs="Times New Roman"/>
                      <w:spacing w:val="11"/>
                      <w:position w:val="0"/>
                      <w:u w:val="single" w:color="auto"/>
                      <w:lang w:val="en-US" w:eastAsia="zh-CN"/>
                    </w:rPr>
                    <w:t>爆破</w:t>
                  </w:r>
                  <w:r>
                    <w:rPr>
                      <w:rFonts w:hint="default" w:ascii="Times New Roman" w:hAnsi="Times New Roman" w:eastAsia="宋体" w:cs="Times New Roman"/>
                      <w:spacing w:val="11"/>
                      <w:position w:val="0"/>
                      <w:u w:val="single" w:color="auto"/>
                    </w:rPr>
                    <w:t>采用</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水抑尘、棕垫铺盖等措施降尘</w:t>
                  </w:r>
                  <w:r>
                    <w:rPr>
                      <w:rFonts w:hint="eastAsia" w:ascii="Times New Roman" w:hAnsi="Times New Roman" w:eastAsia="宋体" w:cs="Times New Roman"/>
                      <w:spacing w:val="11"/>
                      <w:position w:val="0"/>
                      <w:u w:val="single" w:color="auto"/>
                      <w:lang w:eastAsia="zh-CN"/>
                    </w:rPr>
                    <w:t>；</w:t>
                  </w:r>
                </w:p>
                <w:p w14:paraId="77256680">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②</w:t>
                  </w:r>
                  <w:r>
                    <w:rPr>
                      <w:rFonts w:hint="default" w:ascii="Times New Roman" w:hAnsi="Times New Roman" w:eastAsia="宋体" w:cs="Times New Roman"/>
                      <w:spacing w:val="11"/>
                      <w:position w:val="0"/>
                      <w:u w:val="single" w:color="auto"/>
                    </w:rPr>
                    <w:t>破碎筛分区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在破碎机、筛分机安装集气罩，经集气罩收集后进入布袋除尘装置处理，通过15m排气简高空排放，在皮带输送区和下料口安装自动喷淋除尘装置共2套</w:t>
                  </w:r>
                  <w:r>
                    <w:rPr>
                      <w:rFonts w:hint="eastAsia" w:ascii="Times New Roman" w:hAnsi="Times New Roman" w:eastAsia="宋体" w:cs="Times New Roman"/>
                      <w:spacing w:val="11"/>
                      <w:position w:val="0"/>
                      <w:u w:val="single" w:color="auto"/>
                      <w:lang w:eastAsia="zh-CN"/>
                    </w:rPr>
                    <w:t>；</w:t>
                  </w:r>
                </w:p>
                <w:p w14:paraId="345970AC">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③</w:t>
                  </w:r>
                  <w:r>
                    <w:rPr>
                      <w:rFonts w:hint="default" w:ascii="Times New Roman" w:hAnsi="Times New Roman" w:eastAsia="宋体" w:cs="Times New Roman"/>
                      <w:spacing w:val="11"/>
                      <w:position w:val="0"/>
                      <w:u w:val="single" w:color="auto"/>
                    </w:rPr>
                    <w:t>产品堆场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建设为四周围挡的半封闭式结构，并采用</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水抑尘措施</w:t>
                  </w:r>
                  <w:r>
                    <w:rPr>
                      <w:rFonts w:hint="eastAsia" w:ascii="Times New Roman" w:hAnsi="Times New Roman" w:eastAsia="宋体" w:cs="Times New Roman"/>
                      <w:spacing w:val="11"/>
                      <w:position w:val="0"/>
                      <w:u w:val="single" w:color="auto"/>
                      <w:lang w:eastAsia="zh-CN"/>
                    </w:rPr>
                    <w:t>；</w:t>
                  </w:r>
                </w:p>
                <w:p w14:paraId="653E50BC">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u w:val="single" w:color="auto"/>
                      <w:lang w:val="en-US" w:eastAsia="zh-CN"/>
                    </w:rPr>
                    <w:t>④</w:t>
                  </w:r>
                  <w:r>
                    <w:rPr>
                      <w:rFonts w:hint="default" w:ascii="Times New Roman" w:hAnsi="Times New Roman" w:eastAsia="宋体" w:cs="Times New Roman"/>
                      <w:spacing w:val="11"/>
                      <w:position w:val="0"/>
                      <w:u w:val="single" w:color="auto"/>
                    </w:rPr>
                    <w:t>排土场装卸区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设置喷淋</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水装置。</w:t>
                  </w:r>
                </w:p>
              </w:tc>
              <w:tc>
                <w:tcPr>
                  <w:tcW w:w="1827" w:type="pct"/>
                  <w:tcBorders>
                    <w:tl2br w:val="nil"/>
                    <w:tr2bl w:val="nil"/>
                  </w:tcBorders>
                  <w:noWrap w:val="0"/>
                  <w:vAlign w:val="center"/>
                </w:tcPr>
                <w:p w14:paraId="1F06F798">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①开采工作面：钻孔采用干式作业，矿区潜孔钻机在作业时配备布袋除尘器对粉尘进行收集。爆破采用洒水抑尘、棕垫铺盖等措施降尘</w:t>
                  </w:r>
                  <w:r>
                    <w:rPr>
                      <w:rFonts w:hint="eastAsia" w:cs="Times New Roman"/>
                      <w:spacing w:val="11"/>
                      <w:position w:val="0"/>
                      <w:szCs w:val="21"/>
                      <w:u w:val="single" w:color="auto"/>
                      <w:lang w:val="en-US" w:eastAsia="zh-CN"/>
                    </w:rPr>
                    <w:t>。道路两侧设置喷淋头，在厂区设置洒水车</w:t>
                  </w:r>
                  <w:r>
                    <w:rPr>
                      <w:rFonts w:hint="eastAsia" w:ascii="Times New Roman" w:hAnsi="Times New Roman" w:eastAsia="宋体" w:cs="Times New Roman"/>
                      <w:spacing w:val="11"/>
                      <w:position w:val="0"/>
                      <w:szCs w:val="21"/>
                      <w:u w:val="single" w:color="auto"/>
                      <w:lang w:val="en-US" w:eastAsia="zh-CN"/>
                    </w:rPr>
                    <w:t>；</w:t>
                  </w:r>
                </w:p>
                <w:p w14:paraId="48E98FBD">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②矿石破碎及筛分粉尘：在破碎机</w:t>
                  </w:r>
                  <w:r>
                    <w:rPr>
                      <w:rFonts w:hint="eastAsia" w:cs="Times New Roman"/>
                      <w:spacing w:val="11"/>
                      <w:position w:val="0"/>
                      <w:szCs w:val="21"/>
                      <w:u w:val="single" w:color="auto"/>
                      <w:lang w:val="en-US" w:eastAsia="zh-CN"/>
                    </w:rPr>
                    <w:t>上方</w:t>
                  </w:r>
                  <w:r>
                    <w:rPr>
                      <w:rFonts w:hint="eastAsia" w:ascii="Times New Roman" w:hAnsi="Times New Roman" w:eastAsia="宋体" w:cs="Times New Roman"/>
                      <w:spacing w:val="11"/>
                      <w:position w:val="0"/>
                      <w:szCs w:val="21"/>
                      <w:u w:val="single" w:color="auto"/>
                      <w:lang w:val="en-US" w:eastAsia="zh-CN"/>
                    </w:rPr>
                    <w:t>安装集气罩，经集气罩收集后进入布袋除尘装置（两套）处理，分别通过15m排气简高空排放（DA001、DA002），在皮带输送区和下料口安装自动喷淋除尘装置；</w:t>
                  </w:r>
                </w:p>
                <w:p w14:paraId="5A84CDE2">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③水稳拌合上料粉尘：上料区采用自动喷淋抑尘；</w:t>
                  </w:r>
                </w:p>
                <w:p w14:paraId="361A5B31">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④</w:t>
                  </w:r>
                  <w:r>
                    <w:rPr>
                      <w:rFonts w:hint="eastAsia" w:ascii="Times New Roman" w:hAnsi="Times New Roman" w:eastAsia="宋体" w:cs="Times New Roman"/>
                      <w:spacing w:val="11"/>
                      <w:position w:val="0"/>
                      <w:szCs w:val="21"/>
                      <w:u w:val="single" w:color="auto"/>
                      <w:lang w:val="en-US" w:eastAsia="zh-CN"/>
                    </w:rPr>
                    <w:t>产品堆场：建设半封闭式结构</w:t>
                  </w:r>
                  <w:r>
                    <w:rPr>
                      <w:rFonts w:hint="eastAsia" w:cs="Times New Roman"/>
                      <w:spacing w:val="11"/>
                      <w:position w:val="0"/>
                      <w:szCs w:val="21"/>
                      <w:u w:val="single" w:color="auto"/>
                      <w:lang w:val="en-US" w:eastAsia="zh-CN"/>
                    </w:rPr>
                    <w:t>厂房</w:t>
                  </w:r>
                  <w:r>
                    <w:rPr>
                      <w:rFonts w:hint="eastAsia" w:ascii="Times New Roman" w:hAnsi="Times New Roman" w:eastAsia="宋体" w:cs="Times New Roman"/>
                      <w:spacing w:val="11"/>
                      <w:position w:val="0"/>
                      <w:szCs w:val="21"/>
                      <w:u w:val="single" w:color="auto"/>
                      <w:lang w:val="en-US" w:eastAsia="zh-CN"/>
                    </w:rPr>
                    <w:t>，并采用洒水抑尘措施</w:t>
                  </w:r>
                  <w:r>
                    <w:rPr>
                      <w:rFonts w:hint="eastAsia" w:cs="Times New Roman"/>
                      <w:spacing w:val="11"/>
                      <w:position w:val="0"/>
                      <w:szCs w:val="21"/>
                      <w:u w:val="single" w:color="auto"/>
                      <w:lang w:val="en-US" w:eastAsia="zh-CN"/>
                    </w:rPr>
                    <w:t>；</w:t>
                  </w:r>
                </w:p>
                <w:p w14:paraId="6C8C8F27">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⑤场内运输尾气：自然扩散；</w:t>
                  </w:r>
                </w:p>
                <w:p w14:paraId="403A770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⑥临时堆场扬尘：洒水降尘</w:t>
                  </w:r>
                  <w:r>
                    <w:rPr>
                      <w:rFonts w:hint="eastAsia" w:ascii="Times New Roman" w:hAnsi="Times New Roman" w:eastAsia="宋体" w:cs="Times New Roman"/>
                      <w:spacing w:val="11"/>
                      <w:position w:val="0"/>
                      <w:szCs w:val="21"/>
                      <w:u w:val="single" w:color="auto"/>
                      <w:lang w:val="en-US" w:eastAsia="zh-CN"/>
                    </w:rPr>
                    <w:t xml:space="preserve">。 </w:t>
                  </w:r>
                </w:p>
              </w:tc>
              <w:tc>
                <w:tcPr>
                  <w:tcW w:w="679" w:type="pct"/>
                  <w:tcBorders>
                    <w:tl2br w:val="nil"/>
                    <w:tr2bl w:val="nil"/>
                  </w:tcBorders>
                  <w:noWrap w:val="0"/>
                  <w:vAlign w:val="center"/>
                </w:tcPr>
                <w:p w14:paraId="62BA34C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tr w14:paraId="01FB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0C20E3D3">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14:paraId="16E75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rPr>
                    <w:t>噪声治理</w:t>
                  </w:r>
                </w:p>
              </w:tc>
              <w:tc>
                <w:tcPr>
                  <w:tcW w:w="1828" w:type="pct"/>
                  <w:tcBorders>
                    <w:tl2br w:val="nil"/>
                    <w:tr2bl w:val="nil"/>
                  </w:tcBorders>
                  <w:noWrap w:val="0"/>
                  <w:vAlign w:val="center"/>
                </w:tcPr>
                <w:p w14:paraId="39E4995B">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eastAsia="zh-CN"/>
                    </w:rPr>
                  </w:pPr>
                  <w:r>
                    <w:rPr>
                      <w:rFonts w:hint="default" w:ascii="Times New Roman" w:hAnsi="Times New Roman" w:eastAsia="宋体" w:cs="Times New Roman"/>
                      <w:spacing w:val="11"/>
                      <w:position w:val="0"/>
                      <w:szCs w:val="21"/>
                      <w:u w:val="single" w:color="auto"/>
                    </w:rPr>
                    <w:t>高噪声设备封闭隔音，加强爆破、运输、破碎管理，对运行设备、机具进行维护保养，运输车辆禁止鸣笛</w:t>
                  </w:r>
                  <w:r>
                    <w:rPr>
                      <w:rFonts w:hint="eastAsia" w:ascii="Times New Roman" w:hAnsi="Times New Roman" w:eastAsia="宋体" w:cs="Times New Roman"/>
                      <w:spacing w:val="11"/>
                      <w:position w:val="0"/>
                      <w:szCs w:val="21"/>
                      <w:u w:val="single" w:color="auto"/>
                      <w:lang w:eastAsia="zh-CN"/>
                    </w:rPr>
                    <w:t>。</w:t>
                  </w:r>
                </w:p>
              </w:tc>
              <w:tc>
                <w:tcPr>
                  <w:tcW w:w="1827" w:type="pct"/>
                  <w:tcBorders>
                    <w:tl2br w:val="nil"/>
                    <w:tr2bl w:val="nil"/>
                  </w:tcBorders>
                  <w:noWrap w:val="0"/>
                  <w:vAlign w:val="center"/>
                </w:tcPr>
                <w:p w14:paraId="78B8C9BE">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eastAsia="zh-CN"/>
                    </w:rPr>
                  </w:pPr>
                  <w:r>
                    <w:rPr>
                      <w:rFonts w:hint="eastAsia" w:cs="Times New Roman"/>
                      <w:spacing w:val="11"/>
                      <w:position w:val="0"/>
                      <w:szCs w:val="21"/>
                      <w:u w:val="single" w:color="auto"/>
                      <w:lang w:val="en-US" w:eastAsia="zh-CN"/>
                    </w:rPr>
                    <w:t>①</w:t>
                  </w:r>
                  <w:r>
                    <w:rPr>
                      <w:rFonts w:hint="default" w:ascii="Times New Roman" w:hAnsi="Times New Roman" w:eastAsia="宋体" w:cs="Times New Roman"/>
                      <w:spacing w:val="11"/>
                      <w:position w:val="0"/>
                      <w:szCs w:val="21"/>
                      <w:u w:val="single" w:color="auto"/>
                    </w:rPr>
                    <w:t>高噪声设备封闭隔音，加强爆破、运输、破碎管理，对运行设备、机具进行维护保养，运输车辆禁止鸣笛</w:t>
                  </w:r>
                  <w:r>
                    <w:rPr>
                      <w:rFonts w:hint="eastAsia" w:cs="Times New Roman"/>
                      <w:spacing w:val="11"/>
                      <w:position w:val="0"/>
                      <w:szCs w:val="21"/>
                      <w:u w:val="single" w:color="auto"/>
                      <w:lang w:eastAsia="zh-CN"/>
                    </w:rPr>
                    <w:t>；</w:t>
                  </w:r>
                </w:p>
                <w:p w14:paraId="129DCB39">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eastAsia" w:cs="Times New Roman"/>
                      <w:spacing w:val="11"/>
                      <w:position w:val="0"/>
                      <w:szCs w:val="21"/>
                      <w:u w:val="single" w:color="auto"/>
                      <w:lang w:val="en-US" w:eastAsia="zh-CN"/>
                    </w:rPr>
                    <w:t>②在满足生产需要的前提下，尽可能选取噪声低、振动小、能耗小的先进设备；注意机械保养，使机械保持最低声级水平</w:t>
                  </w:r>
                  <w:r>
                    <w:rPr>
                      <w:rFonts w:hint="default" w:ascii="Times New Roman" w:hAnsi="Times New Roman" w:eastAsia="宋体" w:cs="Times New Roman"/>
                      <w:spacing w:val="11"/>
                      <w:position w:val="0"/>
                      <w:szCs w:val="21"/>
                      <w:u w:val="single" w:color="auto"/>
                      <w:lang w:eastAsia="zh-CN"/>
                    </w:rPr>
                    <w:t>。</w:t>
                  </w:r>
                </w:p>
              </w:tc>
              <w:tc>
                <w:tcPr>
                  <w:tcW w:w="679" w:type="pct"/>
                  <w:tcBorders>
                    <w:tl2br w:val="nil"/>
                    <w:tr2bl w:val="nil"/>
                  </w:tcBorders>
                  <w:noWrap w:val="0"/>
                  <w:vAlign w:val="center"/>
                </w:tcPr>
                <w:p w14:paraId="602C9D3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14:paraId="226D9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033E4D8C">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14:paraId="7080B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rPr>
                    <w:t>固废治理</w:t>
                  </w:r>
                </w:p>
              </w:tc>
              <w:tc>
                <w:tcPr>
                  <w:tcW w:w="1828" w:type="pct"/>
                  <w:tcBorders>
                    <w:tl2br w:val="nil"/>
                    <w:tr2bl w:val="nil"/>
                  </w:tcBorders>
                  <w:noWrap w:val="0"/>
                  <w:vAlign w:val="center"/>
                </w:tcPr>
                <w:p w14:paraId="5808B92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项目产生固废主要有剥离表土及废石及生活垃圾等，剥离表土及废石分区堆放在排土场，生活垃圾设垃圾收集点，由当地环卫部门统一</w:t>
                  </w:r>
                  <w:r>
                    <w:rPr>
                      <w:rFonts w:hint="eastAsia" w:ascii="Times New Roman" w:hAnsi="Times New Roman" w:eastAsia="宋体" w:cs="Times New Roman"/>
                      <w:spacing w:val="11"/>
                      <w:position w:val="0"/>
                      <w:szCs w:val="21"/>
                      <w:u w:val="single" w:color="auto"/>
                      <w:lang w:val="en-US" w:eastAsia="zh-CN"/>
                    </w:rPr>
                    <w:t>清运</w:t>
                  </w:r>
                  <w:r>
                    <w:rPr>
                      <w:rFonts w:hint="default" w:ascii="Times New Roman" w:hAnsi="Times New Roman" w:eastAsia="宋体" w:cs="Times New Roman"/>
                      <w:spacing w:val="11"/>
                      <w:position w:val="0"/>
                      <w:szCs w:val="21"/>
                      <w:u w:val="single" w:color="auto"/>
                    </w:rPr>
                    <w:t>。</w:t>
                  </w:r>
                </w:p>
              </w:tc>
              <w:tc>
                <w:tcPr>
                  <w:tcW w:w="1827" w:type="pct"/>
                  <w:tcBorders>
                    <w:tl2br w:val="nil"/>
                    <w:tr2bl w:val="nil"/>
                  </w:tcBorders>
                  <w:noWrap w:val="0"/>
                  <w:vAlign w:val="center"/>
                </w:tcPr>
                <w:p w14:paraId="22A3B1F2">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color w:val="C00000"/>
                      <w:spacing w:val="11"/>
                      <w:position w:val="0"/>
                      <w:szCs w:val="21"/>
                      <w:u w:val="single" w:color="auto"/>
                    </w:rPr>
                    <w:t>项目产生固废主要有剥离</w:t>
                  </w:r>
                  <w:r>
                    <w:rPr>
                      <w:rFonts w:hint="eastAsia" w:cs="Times New Roman"/>
                      <w:color w:val="C00000"/>
                      <w:spacing w:val="11"/>
                      <w:position w:val="0"/>
                      <w:szCs w:val="21"/>
                      <w:u w:val="single" w:color="auto"/>
                      <w:lang w:val="en-US" w:eastAsia="zh-CN"/>
                    </w:rPr>
                    <w:t>物</w:t>
                  </w:r>
                  <w:r>
                    <w:rPr>
                      <w:rFonts w:hint="eastAsia" w:ascii="Times New Roman" w:hAnsi="Times New Roman" w:eastAsia="宋体" w:cs="Times New Roman"/>
                      <w:color w:val="C00000"/>
                      <w:spacing w:val="11"/>
                      <w:position w:val="0"/>
                      <w:szCs w:val="21"/>
                      <w:u w:val="single" w:color="auto"/>
                      <w:lang w:eastAsia="zh-CN"/>
                    </w:rPr>
                    <w:t>、</w:t>
                  </w:r>
                  <w:r>
                    <w:rPr>
                      <w:rFonts w:hint="eastAsia" w:ascii="Times New Roman" w:hAnsi="Times New Roman" w:eastAsia="宋体" w:cs="Times New Roman"/>
                      <w:color w:val="C00000"/>
                      <w:spacing w:val="11"/>
                      <w:position w:val="0"/>
                      <w:szCs w:val="21"/>
                      <w:u w:val="single" w:color="auto"/>
                      <w:lang w:val="en-US" w:eastAsia="zh-CN"/>
                    </w:rPr>
                    <w:t>废润滑油</w:t>
                  </w:r>
                  <w:r>
                    <w:rPr>
                      <w:rFonts w:hint="eastAsia" w:cs="Times New Roman"/>
                      <w:color w:val="C00000"/>
                      <w:spacing w:val="11"/>
                      <w:position w:val="0"/>
                      <w:szCs w:val="21"/>
                      <w:u w:val="single" w:color="auto"/>
                      <w:lang w:val="en-US" w:eastAsia="zh-CN"/>
                    </w:rPr>
                    <w:t>、沉淀池污泥、</w:t>
                  </w:r>
                  <w:r>
                    <w:rPr>
                      <w:rFonts w:hint="default" w:ascii="Times New Roman" w:hAnsi="Times New Roman" w:eastAsia="宋体" w:cs="Times New Roman"/>
                      <w:color w:val="C00000"/>
                      <w:spacing w:val="11"/>
                      <w:position w:val="0"/>
                      <w:szCs w:val="21"/>
                      <w:u w:val="single" w:color="auto"/>
                    </w:rPr>
                    <w:t>生活</w:t>
                  </w:r>
                  <w:r>
                    <w:rPr>
                      <w:rFonts w:hint="default" w:ascii="Times New Roman" w:hAnsi="Times New Roman" w:eastAsia="宋体" w:cs="Times New Roman"/>
                      <w:color w:val="C00000"/>
                      <w:spacing w:val="11"/>
                      <w:position w:val="0"/>
                      <w:szCs w:val="21"/>
                      <w:highlight w:val="none"/>
                      <w:u w:val="single" w:color="auto"/>
                    </w:rPr>
                    <w:t>垃圾等</w:t>
                  </w:r>
                  <w:r>
                    <w:rPr>
                      <w:rFonts w:hint="eastAsia" w:cs="Times New Roman"/>
                      <w:color w:val="C00000"/>
                      <w:spacing w:val="11"/>
                      <w:position w:val="0"/>
                      <w:szCs w:val="21"/>
                      <w:highlight w:val="none"/>
                      <w:u w:val="single" w:color="auto"/>
                      <w:lang w:eastAsia="zh-CN"/>
                    </w:rPr>
                    <w:t>。</w:t>
                  </w:r>
                  <w:r>
                    <w:rPr>
                      <w:rFonts w:hint="default" w:ascii="Times New Roman" w:hAnsi="Times New Roman" w:eastAsia="宋体" w:cs="Times New Roman"/>
                      <w:color w:val="C00000"/>
                      <w:spacing w:val="11"/>
                      <w:position w:val="0"/>
                      <w:szCs w:val="21"/>
                      <w:highlight w:val="none"/>
                      <w:u w:val="single" w:color="auto"/>
                      <w:lang w:val="en-US" w:eastAsia="zh-CN"/>
                    </w:rPr>
                    <w:t>沉淀池污泥、</w:t>
                  </w:r>
                  <w:r>
                    <w:rPr>
                      <w:rFonts w:hint="default" w:ascii="Times New Roman" w:hAnsi="Times New Roman" w:eastAsia="宋体" w:cs="Times New Roman"/>
                      <w:color w:val="C00000"/>
                      <w:spacing w:val="11"/>
                      <w:position w:val="0"/>
                      <w:szCs w:val="21"/>
                      <w:highlight w:val="none"/>
                      <w:u w:val="single" w:color="auto"/>
                    </w:rPr>
                    <w:t>剥离</w:t>
                  </w:r>
                  <w:r>
                    <w:rPr>
                      <w:rFonts w:hint="default" w:ascii="Times New Roman" w:hAnsi="Times New Roman" w:eastAsia="宋体" w:cs="Times New Roman"/>
                      <w:color w:val="C00000"/>
                      <w:spacing w:val="11"/>
                      <w:position w:val="0"/>
                      <w:szCs w:val="21"/>
                      <w:highlight w:val="none"/>
                      <w:u w:val="single" w:color="auto"/>
                      <w:lang w:val="en-US" w:eastAsia="zh-CN"/>
                    </w:rPr>
                    <w:t>物及时回填用作矿区填方修路及矿区复垦使用</w:t>
                  </w:r>
                  <w:r>
                    <w:rPr>
                      <w:rFonts w:hint="eastAsia" w:cs="Times New Roman"/>
                      <w:color w:val="C00000"/>
                      <w:spacing w:val="11"/>
                      <w:position w:val="0"/>
                      <w:szCs w:val="21"/>
                      <w:highlight w:val="none"/>
                      <w:u w:val="single" w:color="auto"/>
                      <w:lang w:val="en-US" w:eastAsia="zh-CN"/>
                    </w:rPr>
                    <w:t>，回填后剩余的余方拖运至新田县龙兴环保建材有限公司用于生产及建筑利用使用</w:t>
                  </w:r>
                  <w:r>
                    <w:rPr>
                      <w:rFonts w:hint="eastAsia" w:cs="Times New Roman"/>
                      <w:color w:val="C00000"/>
                      <w:spacing w:val="11"/>
                      <w:position w:val="0"/>
                      <w:szCs w:val="21"/>
                      <w:highlight w:val="none"/>
                      <w:u w:val="single" w:color="auto"/>
                      <w:lang w:eastAsia="zh-CN"/>
                    </w:rPr>
                    <w:t>；</w:t>
                  </w:r>
                  <w:r>
                    <w:rPr>
                      <w:rFonts w:hint="default" w:ascii="Times New Roman" w:hAnsi="Times New Roman" w:eastAsia="宋体" w:cs="Times New Roman"/>
                      <w:color w:val="C00000"/>
                      <w:spacing w:val="11"/>
                      <w:position w:val="0"/>
                      <w:szCs w:val="21"/>
                      <w:u w:val="single" w:color="auto"/>
                    </w:rPr>
                    <w:t>生活垃圾设垃圾收集点，由当地环卫部门统一</w:t>
                  </w:r>
                  <w:r>
                    <w:rPr>
                      <w:rFonts w:hint="default" w:ascii="Times New Roman" w:hAnsi="Times New Roman" w:eastAsia="宋体" w:cs="Times New Roman"/>
                      <w:color w:val="C00000"/>
                      <w:spacing w:val="11"/>
                      <w:position w:val="0"/>
                      <w:szCs w:val="21"/>
                      <w:u w:val="single" w:color="auto"/>
                      <w:lang w:val="en-US" w:eastAsia="zh-CN"/>
                    </w:rPr>
                    <w:t>清运</w:t>
                  </w:r>
                  <w:r>
                    <w:rPr>
                      <w:rFonts w:hint="eastAsia" w:cs="Times New Roman"/>
                      <w:color w:val="C00000"/>
                      <w:spacing w:val="11"/>
                      <w:position w:val="0"/>
                      <w:szCs w:val="21"/>
                      <w:u w:val="single" w:color="auto"/>
                      <w:lang w:val="en-US" w:eastAsia="zh-CN"/>
                    </w:rPr>
                    <w:t>；废润滑油经危废暂存间暂存后委托有资质单位处置</w:t>
                  </w:r>
                  <w:r>
                    <w:rPr>
                      <w:rFonts w:hint="default" w:ascii="Times New Roman" w:hAnsi="Times New Roman" w:eastAsia="宋体" w:cs="Times New Roman"/>
                      <w:color w:val="C00000"/>
                      <w:spacing w:val="11"/>
                      <w:position w:val="0"/>
                      <w:szCs w:val="21"/>
                      <w:u w:val="single" w:color="auto"/>
                    </w:rPr>
                    <w:t>。</w:t>
                  </w:r>
                </w:p>
              </w:tc>
              <w:tc>
                <w:tcPr>
                  <w:tcW w:w="679" w:type="pct"/>
                  <w:tcBorders>
                    <w:tl2br w:val="nil"/>
                    <w:tr2bl w:val="nil"/>
                  </w:tcBorders>
                  <w:noWrap w:val="0"/>
                  <w:vAlign w:val="center"/>
                </w:tcPr>
                <w:p w14:paraId="42B3B48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14:paraId="5090B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4521FA39">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14:paraId="24277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环境风险</w:t>
                  </w:r>
                </w:p>
              </w:tc>
              <w:tc>
                <w:tcPr>
                  <w:tcW w:w="1828" w:type="pct"/>
                  <w:tcBorders>
                    <w:tl2br w:val="nil"/>
                    <w:tr2bl w:val="nil"/>
                  </w:tcBorders>
                  <w:noWrap w:val="0"/>
                  <w:vAlign w:val="center"/>
                </w:tcPr>
                <w:p w14:paraId="171B2CCC">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highlight w:val="none"/>
                      <w:u w:val="single" w:color="auto"/>
                      <w:lang w:eastAsia="zh-CN"/>
                    </w:rPr>
                  </w:pPr>
                  <w:r>
                    <w:rPr>
                      <w:rFonts w:hint="default" w:ascii="Times New Roman" w:hAnsi="Times New Roman" w:eastAsia="宋体" w:cs="Times New Roman"/>
                      <w:spacing w:val="11"/>
                      <w:position w:val="0"/>
                      <w:szCs w:val="21"/>
                      <w:highlight w:val="none"/>
                      <w:u w:val="single" w:color="auto"/>
                    </w:rPr>
                    <w:t>柴油罐区位于</w:t>
                  </w:r>
                  <w:r>
                    <w:rPr>
                      <w:rFonts w:hint="eastAsia" w:ascii="Times New Roman" w:hAnsi="Times New Roman" w:eastAsia="宋体" w:cs="Times New Roman"/>
                      <w:spacing w:val="11"/>
                      <w:position w:val="0"/>
                      <w:szCs w:val="21"/>
                      <w:highlight w:val="none"/>
                      <w:u w:val="single" w:color="auto"/>
                      <w:lang w:val="en-US" w:eastAsia="zh-CN"/>
                    </w:rPr>
                    <w:t>工业广场南</w:t>
                  </w:r>
                  <w:r>
                    <w:rPr>
                      <w:rFonts w:hint="default" w:ascii="Times New Roman" w:hAnsi="Times New Roman" w:eastAsia="宋体" w:cs="Times New Roman"/>
                      <w:spacing w:val="11"/>
                      <w:position w:val="0"/>
                      <w:szCs w:val="21"/>
                      <w:highlight w:val="none"/>
                      <w:u w:val="single" w:color="auto"/>
                    </w:rPr>
                    <w:t>侧，为</w:t>
                  </w:r>
                  <w:r>
                    <w:rPr>
                      <w:rFonts w:hint="eastAsia" w:ascii="Times New Roman" w:hAnsi="Times New Roman" w:eastAsia="宋体" w:cs="Times New Roman"/>
                      <w:spacing w:val="11"/>
                      <w:position w:val="0"/>
                      <w:szCs w:val="21"/>
                      <w:highlight w:val="none"/>
                      <w:u w:val="single" w:color="auto"/>
                      <w:lang w:val="en-US" w:eastAsia="zh-CN"/>
                    </w:rPr>
                    <w:t>半地埋</w:t>
                  </w:r>
                  <w:r>
                    <w:rPr>
                      <w:rFonts w:hint="default" w:ascii="Times New Roman" w:hAnsi="Times New Roman" w:eastAsia="宋体" w:cs="Times New Roman"/>
                      <w:spacing w:val="11"/>
                      <w:position w:val="0"/>
                      <w:szCs w:val="21"/>
                      <w:highlight w:val="none"/>
                      <w:u w:val="single" w:color="auto"/>
                    </w:rPr>
                    <w:t>式，设置围堰、防风、防雨、防渗措施</w:t>
                  </w:r>
                </w:p>
              </w:tc>
              <w:tc>
                <w:tcPr>
                  <w:tcW w:w="1827" w:type="pct"/>
                  <w:tcBorders>
                    <w:tl2br w:val="nil"/>
                    <w:tr2bl w:val="nil"/>
                  </w:tcBorders>
                  <w:noWrap w:val="0"/>
                  <w:vAlign w:val="center"/>
                </w:tcPr>
                <w:p w14:paraId="634E484E">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default" w:ascii="Times New Roman" w:hAnsi="Times New Roman" w:eastAsia="宋体" w:cs="Times New Roman"/>
                      <w:spacing w:val="11"/>
                      <w:position w:val="0"/>
                      <w:szCs w:val="21"/>
                      <w:highlight w:val="none"/>
                      <w:u w:val="single" w:color="auto"/>
                    </w:rPr>
                    <w:t>柴油罐区位于</w:t>
                  </w:r>
                  <w:r>
                    <w:rPr>
                      <w:rFonts w:hint="default" w:ascii="Times New Roman" w:hAnsi="Times New Roman" w:eastAsia="宋体" w:cs="Times New Roman"/>
                      <w:spacing w:val="11"/>
                      <w:position w:val="0"/>
                      <w:szCs w:val="21"/>
                      <w:highlight w:val="none"/>
                      <w:u w:val="single" w:color="auto"/>
                      <w:lang w:val="en-US" w:eastAsia="zh-CN"/>
                    </w:rPr>
                    <w:t>工业广场南</w:t>
                  </w:r>
                  <w:r>
                    <w:rPr>
                      <w:rFonts w:hint="default" w:ascii="Times New Roman" w:hAnsi="Times New Roman" w:eastAsia="宋体" w:cs="Times New Roman"/>
                      <w:spacing w:val="11"/>
                      <w:position w:val="0"/>
                      <w:szCs w:val="21"/>
                      <w:highlight w:val="none"/>
                      <w:u w:val="single" w:color="auto"/>
                    </w:rPr>
                    <w:t>侧，为</w:t>
                  </w:r>
                  <w:r>
                    <w:rPr>
                      <w:rFonts w:hint="default" w:ascii="Times New Roman" w:hAnsi="Times New Roman" w:eastAsia="宋体" w:cs="Times New Roman"/>
                      <w:spacing w:val="11"/>
                      <w:position w:val="0"/>
                      <w:szCs w:val="21"/>
                      <w:highlight w:val="none"/>
                      <w:u w:val="single" w:color="auto"/>
                      <w:lang w:val="en-US" w:eastAsia="zh-CN"/>
                    </w:rPr>
                    <w:t>半地埋</w:t>
                  </w:r>
                  <w:r>
                    <w:rPr>
                      <w:rFonts w:hint="default" w:ascii="Times New Roman" w:hAnsi="Times New Roman" w:eastAsia="宋体" w:cs="Times New Roman"/>
                      <w:spacing w:val="11"/>
                      <w:position w:val="0"/>
                      <w:szCs w:val="21"/>
                      <w:highlight w:val="none"/>
                      <w:u w:val="single" w:color="auto"/>
                    </w:rPr>
                    <w:t>式，设置围堰、防风、防雨、防渗措施</w:t>
                  </w:r>
                  <w:r>
                    <w:rPr>
                      <w:rFonts w:hint="eastAsia" w:cs="Times New Roman"/>
                      <w:spacing w:val="11"/>
                      <w:position w:val="0"/>
                      <w:szCs w:val="21"/>
                      <w:highlight w:val="none"/>
                      <w:u w:val="single" w:color="auto"/>
                      <w:lang w:eastAsia="zh-CN"/>
                    </w:rPr>
                    <w:t>；</w:t>
                  </w:r>
                  <w:r>
                    <w:rPr>
                      <w:rFonts w:hint="eastAsia" w:cs="Times New Roman"/>
                      <w:spacing w:val="11"/>
                      <w:position w:val="0"/>
                      <w:szCs w:val="21"/>
                      <w:highlight w:val="none"/>
                      <w:u w:val="single" w:color="auto"/>
                      <w:lang w:val="en-US" w:eastAsia="zh-CN"/>
                    </w:rPr>
                    <w:t>拟设置</w:t>
                  </w:r>
                  <w:r>
                    <w:rPr>
                      <w:rFonts w:hint="eastAsia" w:ascii="Times New Roman" w:hAnsi="Times New Roman" w:eastAsia="宋体" w:cs="Times New Roman"/>
                      <w:color w:val="000000"/>
                      <w:spacing w:val="11"/>
                      <w:kern w:val="0"/>
                      <w:position w:val="0"/>
                      <w:szCs w:val="21"/>
                      <w:u w:val="single" w:color="auto"/>
                    </w:rPr>
                    <w:t>风险事故应急池</w:t>
                  </w:r>
                  <w:r>
                    <w:rPr>
                      <w:rFonts w:hint="eastAsia" w:ascii="Times New Roman" w:hAnsi="Times New Roman" w:eastAsia="宋体" w:cs="Times New Roman"/>
                      <w:color w:val="000000"/>
                      <w:spacing w:val="11"/>
                      <w:kern w:val="0"/>
                      <w:position w:val="0"/>
                      <w:szCs w:val="21"/>
                      <w:u w:val="single" w:color="auto"/>
                      <w:lang w:eastAsia="zh-CN"/>
                    </w:rPr>
                    <w:t>（</w:t>
                  </w:r>
                  <w:r>
                    <w:rPr>
                      <w:rFonts w:hint="eastAsia" w:ascii="Times New Roman" w:hAnsi="Times New Roman" w:eastAsia="宋体" w:cs="Times New Roman"/>
                      <w:color w:val="000000"/>
                      <w:spacing w:val="11"/>
                      <w:kern w:val="0"/>
                      <w:position w:val="0"/>
                      <w:szCs w:val="21"/>
                      <w:u w:val="single" w:color="auto"/>
                      <w:lang w:val="en-US" w:eastAsia="zh-CN"/>
                    </w:rPr>
                    <w:t>30m</w:t>
                  </w:r>
                  <w:r>
                    <w:rPr>
                      <w:rFonts w:hint="eastAsia" w:ascii="Times New Roman" w:hAnsi="Times New Roman" w:eastAsia="宋体" w:cs="Times New Roman"/>
                      <w:color w:val="000000"/>
                      <w:spacing w:val="11"/>
                      <w:kern w:val="0"/>
                      <w:position w:val="0"/>
                      <w:szCs w:val="21"/>
                      <w:u w:val="single" w:color="auto"/>
                      <w:vertAlign w:val="superscript"/>
                      <w:lang w:val="en-US" w:eastAsia="zh-CN"/>
                    </w:rPr>
                    <w:t>3</w:t>
                  </w:r>
                  <w:r>
                    <w:rPr>
                      <w:rFonts w:hint="eastAsia" w:ascii="Times New Roman" w:hAnsi="Times New Roman" w:eastAsia="宋体" w:cs="Times New Roman"/>
                      <w:color w:val="000000"/>
                      <w:spacing w:val="11"/>
                      <w:kern w:val="0"/>
                      <w:position w:val="0"/>
                      <w:szCs w:val="21"/>
                      <w:u w:val="single" w:color="auto"/>
                      <w:lang w:eastAsia="zh-CN"/>
                    </w:rPr>
                    <w:t>）</w:t>
                  </w:r>
                </w:p>
              </w:tc>
              <w:tc>
                <w:tcPr>
                  <w:tcW w:w="679" w:type="pct"/>
                  <w:tcBorders>
                    <w:tl2br w:val="nil"/>
                    <w:tr2bl w:val="nil"/>
                  </w:tcBorders>
                  <w:noWrap w:val="0"/>
                  <w:vAlign w:val="center"/>
                </w:tcPr>
                <w:p w14:paraId="3C8B28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14:paraId="69809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continue"/>
                  <w:tcBorders>
                    <w:tl2br w:val="nil"/>
                    <w:tr2bl w:val="nil"/>
                  </w:tcBorders>
                  <w:noWrap w:val="0"/>
                  <w:vAlign w:val="center"/>
                </w:tcPr>
                <w:p w14:paraId="457B930C">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14:paraId="79151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生态环境恢复</w:t>
                  </w:r>
                </w:p>
              </w:tc>
              <w:tc>
                <w:tcPr>
                  <w:tcW w:w="1828" w:type="pct"/>
                  <w:tcBorders>
                    <w:tl2br w:val="nil"/>
                    <w:tr2bl w:val="nil"/>
                  </w:tcBorders>
                  <w:noWrap w:val="0"/>
                  <w:vAlign w:val="center"/>
                </w:tcPr>
                <w:p w14:paraId="53A84A3E">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rPr>
                  </w:pPr>
                  <w:r>
                    <w:rPr>
                      <w:rFonts w:hint="default" w:ascii="Times New Roman" w:hAnsi="Times New Roman" w:eastAsia="宋体" w:cs="Times New Roman"/>
                      <w:spacing w:val="11"/>
                      <w:position w:val="0"/>
                      <w:szCs w:val="21"/>
                      <w:highlight w:val="none"/>
                      <w:u w:val="single" w:color="auto"/>
                      <w:lang w:val="en-US" w:eastAsia="zh-CN"/>
                    </w:rPr>
                    <w:t>落实进行相应的矿山地质环境综合防治方案</w:t>
                  </w:r>
                  <w:r>
                    <w:rPr>
                      <w:rFonts w:hint="eastAsia" w:ascii="Times New Roman" w:hAnsi="Times New Roman" w:eastAsia="宋体" w:cs="Times New Roman"/>
                      <w:spacing w:val="11"/>
                      <w:position w:val="0"/>
                      <w:szCs w:val="21"/>
                      <w:highlight w:val="none"/>
                      <w:u w:val="single" w:color="auto"/>
                      <w:lang w:val="en-US" w:eastAsia="zh-CN"/>
                    </w:rPr>
                    <w:t>，</w:t>
                  </w:r>
                  <w:r>
                    <w:rPr>
                      <w:rFonts w:hint="default" w:ascii="Times New Roman" w:hAnsi="Times New Roman" w:eastAsia="宋体" w:cs="Times New Roman"/>
                      <w:spacing w:val="11"/>
                      <w:position w:val="0"/>
                      <w:szCs w:val="21"/>
                      <w:highlight w:val="none"/>
                      <w:u w:val="single" w:color="auto"/>
                      <w:lang w:val="en-US" w:eastAsia="zh-CN"/>
                    </w:rPr>
                    <w:t>加强</w:t>
                  </w:r>
                  <w:r>
                    <w:rPr>
                      <w:rFonts w:hint="eastAsia" w:ascii="Times New Roman" w:hAnsi="Times New Roman" w:eastAsia="宋体" w:cs="Times New Roman"/>
                      <w:spacing w:val="11"/>
                      <w:position w:val="0"/>
                      <w:szCs w:val="21"/>
                      <w:highlight w:val="none"/>
                      <w:u w:val="single" w:color="auto"/>
                      <w:lang w:val="en-US" w:eastAsia="zh-CN"/>
                    </w:rPr>
                    <w:t>周</w:t>
                  </w:r>
                  <w:r>
                    <w:rPr>
                      <w:rFonts w:hint="default" w:ascii="Times New Roman" w:hAnsi="Times New Roman" w:eastAsia="宋体" w:cs="Times New Roman"/>
                      <w:spacing w:val="11"/>
                      <w:position w:val="0"/>
                      <w:szCs w:val="21"/>
                      <w:highlight w:val="none"/>
                      <w:u w:val="single" w:color="auto"/>
                      <w:lang w:val="en-US" w:eastAsia="zh-CN"/>
                    </w:rPr>
                    <w:t>边生态恢复</w:t>
                  </w:r>
                  <w:r>
                    <w:rPr>
                      <w:rFonts w:hint="eastAsia" w:ascii="Times New Roman" w:hAnsi="Times New Roman" w:eastAsia="宋体" w:cs="Times New Roman"/>
                      <w:spacing w:val="11"/>
                      <w:position w:val="0"/>
                      <w:szCs w:val="21"/>
                      <w:highlight w:val="none"/>
                      <w:u w:val="single" w:color="auto"/>
                      <w:lang w:val="en-US" w:eastAsia="zh-CN"/>
                    </w:rPr>
                    <w:t>。</w:t>
                  </w:r>
                </w:p>
              </w:tc>
              <w:tc>
                <w:tcPr>
                  <w:tcW w:w="1827" w:type="pct"/>
                  <w:tcBorders>
                    <w:tl2br w:val="nil"/>
                    <w:tr2bl w:val="nil"/>
                  </w:tcBorders>
                  <w:noWrap w:val="0"/>
                  <w:vAlign w:val="center"/>
                </w:tcPr>
                <w:p w14:paraId="634CD453">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yellow"/>
                      <w:u w:val="single" w:color="auto"/>
                    </w:rPr>
                  </w:pPr>
                  <w:r>
                    <w:rPr>
                      <w:rFonts w:hint="default" w:ascii="Times New Roman" w:hAnsi="Times New Roman" w:eastAsia="宋体" w:cs="Times New Roman"/>
                      <w:spacing w:val="11"/>
                      <w:position w:val="0"/>
                      <w:szCs w:val="21"/>
                      <w:highlight w:val="none"/>
                      <w:u w:val="single" w:color="auto"/>
                      <w:lang w:val="en-US" w:eastAsia="zh-CN"/>
                    </w:rPr>
                    <w:t>按照绿色矿山的要求，边开采边复垦边治理，对边坡进行处理及场地平整，恢复地表地貌景观</w:t>
                  </w:r>
                  <w:r>
                    <w:rPr>
                      <w:rFonts w:hint="eastAsia" w:ascii="Times New Roman" w:hAnsi="Times New Roman" w:eastAsia="宋体" w:cs="Times New Roman"/>
                      <w:spacing w:val="11"/>
                      <w:position w:val="0"/>
                      <w:szCs w:val="21"/>
                      <w:highlight w:val="none"/>
                      <w:u w:val="single" w:color="auto"/>
                      <w:lang w:val="en-US" w:eastAsia="zh-CN"/>
                    </w:rPr>
                    <w:t>。</w:t>
                  </w:r>
                </w:p>
              </w:tc>
              <w:tc>
                <w:tcPr>
                  <w:tcW w:w="679" w:type="pct"/>
                  <w:tcBorders>
                    <w:tl2br w:val="nil"/>
                    <w:tr2bl w:val="nil"/>
                  </w:tcBorders>
                  <w:noWrap w:val="0"/>
                  <w:vAlign w:val="center"/>
                </w:tcPr>
                <w:p w14:paraId="1A6E8A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bookmarkEnd w:id="2"/>
          </w:tbl>
          <w:p w14:paraId="6975F765">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color w:val="auto"/>
                <w:spacing w:val="11"/>
                <w:position w:val="0"/>
                <w:sz w:val="24"/>
                <w:szCs w:val="24"/>
                <w:highlight w:val="none"/>
                <w:u w:val="none" w:color="auto"/>
                <w:lang w:val="en-US" w:eastAsia="zh-CN"/>
              </w:rPr>
            </w:pPr>
            <w:r>
              <w:rPr>
                <w:rFonts w:hint="eastAsia" w:ascii="Times New Roman" w:hAnsi="Times New Roman" w:eastAsia="宋体" w:cs="Times New Roman"/>
                <w:b/>
                <w:color w:val="auto"/>
                <w:spacing w:val="11"/>
                <w:position w:val="0"/>
                <w:sz w:val="24"/>
                <w:szCs w:val="24"/>
                <w:highlight w:val="none"/>
                <w:u w:val="none" w:color="auto"/>
                <w:lang w:val="en-US" w:eastAsia="zh-CN"/>
              </w:rPr>
              <w:t>2.3产品方案</w:t>
            </w:r>
          </w:p>
          <w:p w14:paraId="5D7849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none" w:color="auto"/>
                <w:lang w:val="en-US" w:eastAsia="zh-CN"/>
              </w:rPr>
            </w:pPr>
            <w:r>
              <w:rPr>
                <w:rFonts w:hint="default" w:ascii="Times New Roman" w:hAnsi="Times New Roman" w:eastAsia="宋体" w:cs="Times New Roman"/>
                <w:b w:val="0"/>
                <w:bCs w:val="0"/>
                <w:color w:val="auto"/>
                <w:spacing w:val="11"/>
                <w:position w:val="0"/>
                <w:sz w:val="24"/>
                <w:szCs w:val="22"/>
                <w:u w:val="none" w:color="auto"/>
                <w:lang w:val="en-US" w:eastAsia="zh-CN"/>
              </w:rPr>
              <w:t>本项目产品方案及变化情况见下表。</w:t>
            </w:r>
          </w:p>
          <w:p w14:paraId="17023B66">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eastAsia" w:ascii="Times New Roman" w:hAnsi="Times New Roman" w:eastAsia="宋体" w:cs="Times New Roman"/>
                <w:b/>
                <w:bCs/>
                <w:color w:val="auto"/>
                <w:spacing w:val="11"/>
                <w:position w:val="0"/>
                <w:sz w:val="21"/>
                <w:szCs w:val="21"/>
                <w:u w:val="none" w:color="auto"/>
                <w:lang w:val="en-US" w:eastAsia="zh-CN"/>
              </w:rPr>
              <w:t>2</w:t>
            </w:r>
            <w:r>
              <w:rPr>
                <w:rFonts w:hint="default" w:ascii="Times New Roman" w:hAnsi="Times New Roman" w:eastAsia="宋体" w:cs="Times New Roman"/>
                <w:b/>
                <w:bCs/>
                <w:color w:val="auto"/>
                <w:spacing w:val="11"/>
                <w:position w:val="0"/>
                <w:sz w:val="21"/>
                <w:szCs w:val="21"/>
                <w:u w:val="none" w:color="auto"/>
                <w:lang w:val="en-US" w:eastAsia="zh-CN"/>
              </w:rPr>
              <w:t>-</w:t>
            </w:r>
            <w:r>
              <w:rPr>
                <w:rFonts w:hint="eastAsia" w:ascii="Times New Roman" w:hAnsi="Times New Roman" w:eastAsia="宋体" w:cs="Times New Roman"/>
                <w:b/>
                <w:bCs/>
                <w:color w:val="auto"/>
                <w:spacing w:val="11"/>
                <w:position w:val="0"/>
                <w:sz w:val="21"/>
                <w:szCs w:val="21"/>
                <w:u w:val="none" w:color="auto"/>
                <w:lang w:val="en-US" w:eastAsia="zh-CN"/>
              </w:rPr>
              <w:t>3</w:t>
            </w:r>
            <w:r>
              <w:rPr>
                <w:rFonts w:hint="default" w:ascii="Times New Roman" w:hAnsi="Times New Roman" w:eastAsia="宋体" w:cs="Times New Roman"/>
                <w:b/>
                <w:bCs/>
                <w:color w:val="auto"/>
                <w:spacing w:val="11"/>
                <w:position w:val="0"/>
                <w:sz w:val="21"/>
                <w:szCs w:val="21"/>
                <w:u w:val="none" w:color="auto"/>
              </w:rPr>
              <w:t xml:space="preserve"> </w:t>
            </w:r>
            <w:r>
              <w:rPr>
                <w:rFonts w:hint="eastAsia" w:ascii="Times New Roman" w:hAnsi="Times New Roman" w:eastAsia="宋体" w:cs="Times New Roman"/>
                <w:b/>
                <w:bCs/>
                <w:color w:val="auto"/>
                <w:spacing w:val="11"/>
                <w:position w:val="0"/>
                <w:sz w:val="21"/>
                <w:szCs w:val="21"/>
                <w:u w:val="none" w:color="auto"/>
                <w:lang w:val="en-US" w:eastAsia="zh-CN"/>
              </w:rPr>
              <w:t xml:space="preserve"> </w:t>
            </w:r>
            <w:r>
              <w:rPr>
                <w:rFonts w:hint="default" w:ascii="Times New Roman" w:hAnsi="Times New Roman" w:eastAsia="宋体" w:cs="Times New Roman"/>
                <w:b/>
                <w:bCs/>
                <w:color w:val="auto"/>
                <w:spacing w:val="11"/>
                <w:position w:val="0"/>
                <w:sz w:val="21"/>
                <w:szCs w:val="21"/>
                <w:u w:val="none" w:color="auto"/>
                <w:lang w:val="en-US" w:eastAsia="zh-CN"/>
              </w:rPr>
              <w:t>产品方案表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6"/>
              <w:gridCol w:w="1841"/>
              <w:gridCol w:w="973"/>
              <w:gridCol w:w="2105"/>
              <w:gridCol w:w="1062"/>
              <w:gridCol w:w="937"/>
            </w:tblGrid>
            <w:tr w14:paraId="624BE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restart"/>
                  <w:tcBorders>
                    <w:tl2br w:val="nil"/>
                    <w:tr2bl w:val="nil"/>
                  </w:tcBorders>
                  <w:noWrap w:val="0"/>
                  <w:vAlign w:val="center"/>
                </w:tcPr>
                <w:p w14:paraId="5A0DFB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产品名称</w:t>
                  </w:r>
                </w:p>
              </w:tc>
              <w:tc>
                <w:tcPr>
                  <w:tcW w:w="1760" w:type="pct"/>
                  <w:gridSpan w:val="2"/>
                  <w:tcBorders>
                    <w:tl2br w:val="nil"/>
                    <w:tr2bl w:val="nil"/>
                  </w:tcBorders>
                  <w:noWrap w:val="0"/>
                  <w:vAlign w:val="center"/>
                </w:tcPr>
                <w:p w14:paraId="01765C1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现有工程</w:t>
                  </w:r>
                </w:p>
              </w:tc>
              <w:tc>
                <w:tcPr>
                  <w:tcW w:w="1980" w:type="pct"/>
                  <w:gridSpan w:val="2"/>
                  <w:tcBorders>
                    <w:tl2br w:val="nil"/>
                    <w:tr2bl w:val="nil"/>
                  </w:tcBorders>
                  <w:noWrap w:val="0"/>
                  <w:vAlign w:val="center"/>
                </w:tcPr>
                <w:p w14:paraId="6FADDF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扩建后</w:t>
                  </w:r>
                </w:p>
              </w:tc>
              <w:tc>
                <w:tcPr>
                  <w:tcW w:w="586" w:type="pct"/>
                  <w:vMerge w:val="restart"/>
                  <w:tcBorders>
                    <w:tl2br w:val="nil"/>
                    <w:tr2bl w:val="nil"/>
                  </w:tcBorders>
                  <w:noWrap w:val="0"/>
                  <w:vAlign w:val="center"/>
                </w:tcPr>
                <w:p w14:paraId="317484F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变化量</w:t>
                  </w:r>
                </w:p>
              </w:tc>
            </w:tr>
            <w:tr w14:paraId="644B5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shd w:val="clear" w:color="auto" w:fill="auto"/>
                  <w:noWrap w:val="0"/>
                  <w:vAlign w:val="center"/>
                </w:tcPr>
                <w:p w14:paraId="306F6E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p>
              </w:tc>
              <w:tc>
                <w:tcPr>
                  <w:tcW w:w="1151" w:type="pct"/>
                  <w:tcBorders>
                    <w:tl2br w:val="nil"/>
                    <w:tr2bl w:val="nil"/>
                  </w:tcBorders>
                  <w:noWrap w:val="0"/>
                  <w:vAlign w:val="center"/>
                </w:tcPr>
                <w:p w14:paraId="200BE97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产品规格</w:t>
                  </w:r>
                </w:p>
              </w:tc>
              <w:tc>
                <w:tcPr>
                  <w:tcW w:w="608" w:type="pct"/>
                  <w:tcBorders>
                    <w:tl2br w:val="nil"/>
                    <w:tr2bl w:val="nil"/>
                  </w:tcBorders>
                  <w:noWrap w:val="0"/>
                  <w:vAlign w:val="center"/>
                </w:tcPr>
                <w:p w14:paraId="6143F14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产能</w:t>
                  </w:r>
                </w:p>
              </w:tc>
              <w:tc>
                <w:tcPr>
                  <w:tcW w:w="1316" w:type="pct"/>
                  <w:tcBorders>
                    <w:tl2br w:val="nil"/>
                    <w:tr2bl w:val="nil"/>
                  </w:tcBorders>
                  <w:shd w:val="clear" w:color="auto" w:fill="auto"/>
                  <w:noWrap w:val="0"/>
                  <w:vAlign w:val="center"/>
                </w:tcPr>
                <w:p w14:paraId="7A96F58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Cs w:val="21"/>
                      <w:u w:val="none" w:color="auto"/>
                      <w:lang w:val="en-US" w:eastAsia="zh-CN"/>
                    </w:rPr>
                    <w:t>产品规格</w:t>
                  </w:r>
                </w:p>
              </w:tc>
              <w:tc>
                <w:tcPr>
                  <w:tcW w:w="664" w:type="pct"/>
                  <w:tcBorders>
                    <w:tl2br w:val="nil"/>
                    <w:tr2bl w:val="nil"/>
                  </w:tcBorders>
                  <w:shd w:val="clear" w:color="auto" w:fill="auto"/>
                  <w:noWrap w:val="0"/>
                  <w:vAlign w:val="center"/>
                </w:tcPr>
                <w:p w14:paraId="7D22A8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Cs w:val="21"/>
                      <w:u w:val="none" w:color="auto"/>
                      <w:lang w:val="en-US" w:eastAsia="zh-CN"/>
                    </w:rPr>
                    <w:t>产能</w:t>
                  </w:r>
                </w:p>
              </w:tc>
              <w:tc>
                <w:tcPr>
                  <w:tcW w:w="586" w:type="pct"/>
                  <w:vMerge w:val="continue"/>
                  <w:tcBorders>
                    <w:tl2br w:val="nil"/>
                    <w:tr2bl w:val="nil"/>
                  </w:tcBorders>
                  <w:noWrap w:val="0"/>
                  <w:vAlign w:val="center"/>
                </w:tcPr>
                <w:p w14:paraId="33A8314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6B702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restart"/>
                  <w:tcBorders>
                    <w:tl2br w:val="nil"/>
                    <w:tr2bl w:val="nil"/>
                  </w:tcBorders>
                  <w:noWrap w:val="0"/>
                  <w:vAlign w:val="center"/>
                </w:tcPr>
                <w:p w14:paraId="3F08A7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砂石骨料</w:t>
                  </w:r>
                </w:p>
              </w:tc>
              <w:tc>
                <w:tcPr>
                  <w:tcW w:w="1151" w:type="pct"/>
                  <w:tcBorders>
                    <w:tl2br w:val="nil"/>
                    <w:tr2bl w:val="nil"/>
                  </w:tcBorders>
                  <w:noWrap w:val="0"/>
                  <w:vAlign w:val="center"/>
                </w:tcPr>
                <w:p w14:paraId="3A0199C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0-5mm石粉</w:t>
                  </w:r>
                </w:p>
              </w:tc>
              <w:tc>
                <w:tcPr>
                  <w:tcW w:w="608" w:type="pct"/>
                  <w:vMerge w:val="restart"/>
                  <w:tcBorders>
                    <w:tl2br w:val="nil"/>
                    <w:tr2bl w:val="nil"/>
                  </w:tcBorders>
                  <w:noWrap w:val="0"/>
                  <w:vAlign w:val="center"/>
                </w:tcPr>
                <w:p w14:paraId="7C9D08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30万t/a</w:t>
                  </w:r>
                </w:p>
              </w:tc>
              <w:tc>
                <w:tcPr>
                  <w:tcW w:w="1316" w:type="pct"/>
                  <w:tcBorders>
                    <w:tl2br w:val="nil"/>
                    <w:tr2bl w:val="nil"/>
                  </w:tcBorders>
                  <w:noWrap w:val="0"/>
                  <w:vAlign w:val="center"/>
                </w:tcPr>
                <w:p w14:paraId="3D4EC7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51#</w:t>
                  </w:r>
                  <w:r>
                    <w:rPr>
                      <w:rFonts w:hint="eastAsia" w:ascii="Times New Roman" w:hAnsi="Times New Roman" w:eastAsia="宋体" w:cs="Times New Roman"/>
                      <w:spacing w:val="11"/>
                      <w:position w:val="0"/>
                      <w:szCs w:val="21"/>
                      <w:u w:val="none" w:color="auto"/>
                      <w:lang w:val="en-US" w:eastAsia="zh-CN"/>
                    </w:rPr>
                    <w:t xml:space="preserve"> </w:t>
                  </w:r>
                  <w:r>
                    <w:rPr>
                      <w:rFonts w:hint="default" w:ascii="Times New Roman" w:hAnsi="Times New Roman" w:eastAsia="宋体" w:cs="Times New Roman"/>
                      <w:spacing w:val="11"/>
                      <w:position w:val="0"/>
                      <w:szCs w:val="21"/>
                      <w:u w:val="none" w:color="auto"/>
                      <w:lang w:val="en-US" w:eastAsia="zh-CN"/>
                    </w:rPr>
                    <w:t>5-10mm</w:t>
                  </w:r>
                </w:p>
              </w:tc>
              <w:tc>
                <w:tcPr>
                  <w:tcW w:w="664" w:type="pct"/>
                  <w:vMerge w:val="restart"/>
                  <w:tcBorders>
                    <w:tl2br w:val="nil"/>
                    <w:tr2bl w:val="nil"/>
                  </w:tcBorders>
                  <w:noWrap w:val="0"/>
                  <w:vAlign w:val="center"/>
                </w:tcPr>
                <w:p w14:paraId="42AA20A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6</w:t>
                  </w:r>
                  <w:r>
                    <w:rPr>
                      <w:rFonts w:hint="default" w:ascii="Times New Roman" w:hAnsi="Times New Roman" w:eastAsia="宋体" w:cs="Times New Roman"/>
                      <w:spacing w:val="11"/>
                      <w:position w:val="0"/>
                      <w:szCs w:val="21"/>
                      <w:u w:val="none" w:color="auto"/>
                      <w:lang w:val="en-US" w:eastAsia="zh-CN"/>
                    </w:rPr>
                    <w:t>0万t/a</w:t>
                  </w:r>
                </w:p>
              </w:tc>
              <w:tc>
                <w:tcPr>
                  <w:tcW w:w="586" w:type="pct"/>
                  <w:vMerge w:val="restart"/>
                  <w:tcBorders>
                    <w:tl2br w:val="nil"/>
                    <w:tr2bl w:val="nil"/>
                  </w:tcBorders>
                  <w:noWrap w:val="0"/>
                  <w:vAlign w:val="center"/>
                </w:tcPr>
                <w:p w14:paraId="096FDF9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+30万t/a</w:t>
                  </w:r>
                </w:p>
              </w:tc>
            </w:tr>
            <w:tr w14:paraId="17D2E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noWrap w:val="0"/>
                  <w:vAlign w:val="center"/>
                </w:tcPr>
                <w:p w14:paraId="05E8AE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14:paraId="7396185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10-20mm碎石</w:t>
                  </w:r>
                </w:p>
              </w:tc>
              <w:tc>
                <w:tcPr>
                  <w:tcW w:w="608" w:type="pct"/>
                  <w:vMerge w:val="continue"/>
                  <w:tcBorders>
                    <w:tl2br w:val="nil"/>
                    <w:tr2bl w:val="nil"/>
                  </w:tcBorders>
                  <w:noWrap w:val="0"/>
                  <w:vAlign w:val="center"/>
                </w:tcPr>
                <w:p w14:paraId="0DA1E38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14:paraId="4B4E36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12# 10-20mm</w:t>
                  </w:r>
                </w:p>
              </w:tc>
              <w:tc>
                <w:tcPr>
                  <w:tcW w:w="664" w:type="pct"/>
                  <w:vMerge w:val="continue"/>
                  <w:tcBorders>
                    <w:tl2br w:val="nil"/>
                    <w:tr2bl w:val="nil"/>
                  </w:tcBorders>
                  <w:noWrap w:val="0"/>
                  <w:vAlign w:val="center"/>
                </w:tcPr>
                <w:p w14:paraId="20C39A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14:paraId="10DB526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41CC2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noWrap w:val="0"/>
                  <w:vAlign w:val="center"/>
                </w:tcPr>
                <w:p w14:paraId="21DB3D8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14:paraId="45E89FC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20-30mm碎石</w:t>
                  </w:r>
                </w:p>
              </w:tc>
              <w:tc>
                <w:tcPr>
                  <w:tcW w:w="608" w:type="pct"/>
                  <w:vMerge w:val="continue"/>
                  <w:tcBorders>
                    <w:tl2br w:val="nil"/>
                    <w:tr2bl w:val="nil"/>
                  </w:tcBorders>
                  <w:noWrap w:val="0"/>
                  <w:vAlign w:val="center"/>
                </w:tcPr>
                <w:p w14:paraId="0B68F8E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14:paraId="404B46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13# 20-32mm</w:t>
                  </w:r>
                </w:p>
              </w:tc>
              <w:tc>
                <w:tcPr>
                  <w:tcW w:w="664" w:type="pct"/>
                  <w:vMerge w:val="continue"/>
                  <w:tcBorders>
                    <w:tl2br w:val="nil"/>
                    <w:tr2bl w:val="nil"/>
                  </w:tcBorders>
                  <w:noWrap w:val="0"/>
                  <w:vAlign w:val="center"/>
                </w:tcPr>
                <w:p w14:paraId="4D03D96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14:paraId="09685EB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70068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noWrap w:val="0"/>
                  <w:vAlign w:val="center"/>
                </w:tcPr>
                <w:p w14:paraId="79A5E2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14:paraId="0AD594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w:t>
                  </w:r>
                </w:p>
              </w:tc>
              <w:tc>
                <w:tcPr>
                  <w:tcW w:w="608" w:type="pct"/>
                  <w:vMerge w:val="continue"/>
                  <w:tcBorders>
                    <w:tl2br w:val="nil"/>
                    <w:tr2bl w:val="nil"/>
                  </w:tcBorders>
                  <w:noWrap w:val="0"/>
                  <w:vAlign w:val="center"/>
                </w:tcPr>
                <w:p w14:paraId="50255FD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14:paraId="23372B7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05#</w:t>
                  </w:r>
                  <w:r>
                    <w:rPr>
                      <w:rFonts w:hint="eastAsia" w:ascii="Times New Roman" w:hAnsi="Times New Roman" w:eastAsia="宋体" w:cs="Times New Roman"/>
                      <w:spacing w:val="11"/>
                      <w:position w:val="0"/>
                      <w:szCs w:val="21"/>
                      <w:u w:val="none" w:color="auto"/>
                      <w:lang w:val="en-US" w:eastAsia="zh-CN"/>
                    </w:rPr>
                    <w:t xml:space="preserve"> </w:t>
                  </w:r>
                  <w:r>
                    <w:rPr>
                      <w:rFonts w:hint="default" w:ascii="Times New Roman" w:hAnsi="Times New Roman" w:eastAsia="宋体" w:cs="Times New Roman"/>
                      <w:spacing w:val="11"/>
                      <w:position w:val="0"/>
                      <w:szCs w:val="21"/>
                      <w:u w:val="none" w:color="auto"/>
                      <w:lang w:val="en-US" w:eastAsia="zh-CN"/>
                    </w:rPr>
                    <w:t>0~5mm</w:t>
                  </w:r>
                </w:p>
              </w:tc>
              <w:tc>
                <w:tcPr>
                  <w:tcW w:w="664" w:type="pct"/>
                  <w:vMerge w:val="continue"/>
                  <w:tcBorders>
                    <w:tl2br w:val="nil"/>
                    <w:tr2bl w:val="nil"/>
                  </w:tcBorders>
                  <w:noWrap w:val="0"/>
                  <w:vAlign w:val="center"/>
                </w:tcPr>
                <w:p w14:paraId="01613A8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14:paraId="6527113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62A95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tcBorders>
                    <w:tl2br w:val="nil"/>
                    <w:tr2bl w:val="nil"/>
                  </w:tcBorders>
                  <w:noWrap w:val="0"/>
                  <w:vAlign w:val="center"/>
                </w:tcPr>
                <w:p w14:paraId="56CD2B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水稳碎石拌合料</w:t>
                  </w:r>
                </w:p>
              </w:tc>
              <w:tc>
                <w:tcPr>
                  <w:tcW w:w="1151" w:type="pct"/>
                  <w:tcBorders>
                    <w:tl2br w:val="nil"/>
                    <w:tr2bl w:val="nil"/>
                  </w:tcBorders>
                  <w:noWrap w:val="0"/>
                  <w:vAlign w:val="center"/>
                </w:tcPr>
                <w:p w14:paraId="195A998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608" w:type="pct"/>
                  <w:tcBorders>
                    <w:tl2br w:val="nil"/>
                    <w:tr2bl w:val="nil"/>
                  </w:tcBorders>
                  <w:noWrap w:val="0"/>
                  <w:vAlign w:val="center"/>
                </w:tcPr>
                <w:p w14:paraId="11F258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1316" w:type="pct"/>
                  <w:tcBorders>
                    <w:tl2br w:val="nil"/>
                    <w:tr2bl w:val="nil"/>
                  </w:tcBorders>
                  <w:noWrap w:val="0"/>
                  <w:vAlign w:val="center"/>
                </w:tcPr>
                <w:p w14:paraId="3F99835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664" w:type="pct"/>
                  <w:tcBorders>
                    <w:tl2br w:val="nil"/>
                    <w:tr2bl w:val="nil"/>
                  </w:tcBorders>
                  <w:noWrap w:val="0"/>
                  <w:vAlign w:val="center"/>
                </w:tcPr>
                <w:p w14:paraId="3AD9E6D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600t/a</w:t>
                  </w:r>
                </w:p>
              </w:tc>
              <w:tc>
                <w:tcPr>
                  <w:tcW w:w="586" w:type="pct"/>
                  <w:tcBorders>
                    <w:tl2br w:val="nil"/>
                    <w:tr2bl w:val="nil"/>
                  </w:tcBorders>
                  <w:noWrap w:val="0"/>
                  <w:vAlign w:val="center"/>
                </w:tcPr>
                <w:p w14:paraId="5788088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r>
                    <w:rPr>
                      <w:rFonts w:hint="default" w:ascii="Times New Roman" w:hAnsi="Times New Roman" w:eastAsia="宋体" w:cs="Times New Roman"/>
                      <w:spacing w:val="11"/>
                      <w:position w:val="0"/>
                      <w:szCs w:val="21"/>
                      <w:u w:val="none" w:color="auto"/>
                      <w:lang w:val="en-US" w:eastAsia="zh-CN"/>
                    </w:rPr>
                    <w:t>600t/a</w:t>
                  </w:r>
                </w:p>
              </w:tc>
            </w:tr>
          </w:tbl>
          <w:p w14:paraId="64CC8C3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color w:val="auto"/>
                <w:spacing w:val="11"/>
                <w:position w:val="0"/>
                <w:sz w:val="24"/>
                <w:szCs w:val="24"/>
                <w:highlight w:val="none"/>
                <w:u w:val="single" w:color="auto"/>
                <w:lang w:val="en-US" w:eastAsia="zh-CN"/>
              </w:rPr>
            </w:pPr>
            <w:r>
              <w:rPr>
                <w:rFonts w:hint="eastAsia" w:ascii="Times New Roman" w:hAnsi="Times New Roman" w:eastAsia="宋体" w:cs="Times New Roman"/>
                <w:b/>
                <w:color w:val="auto"/>
                <w:spacing w:val="11"/>
                <w:position w:val="0"/>
                <w:sz w:val="24"/>
                <w:szCs w:val="24"/>
                <w:highlight w:val="none"/>
                <w:u w:val="single" w:color="auto"/>
                <w:lang w:val="en-US" w:eastAsia="zh-CN"/>
              </w:rPr>
              <w:t>2.4原辅材料</w:t>
            </w:r>
          </w:p>
          <w:p w14:paraId="1CE6F0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single" w:color="auto"/>
                <w:lang w:val="en-US" w:eastAsia="zh-CN"/>
              </w:rPr>
            </w:pPr>
            <w:r>
              <w:rPr>
                <w:rFonts w:hint="default" w:ascii="Times New Roman" w:hAnsi="Times New Roman" w:eastAsia="宋体" w:cs="Times New Roman"/>
                <w:b w:val="0"/>
                <w:bCs w:val="0"/>
                <w:color w:val="auto"/>
                <w:spacing w:val="11"/>
                <w:position w:val="0"/>
                <w:sz w:val="24"/>
                <w:szCs w:val="22"/>
                <w:u w:val="single" w:color="auto"/>
                <w:lang w:val="en-US" w:eastAsia="zh-CN"/>
              </w:rPr>
              <w:t>原辅材料使用情况见下表</w:t>
            </w:r>
          </w:p>
          <w:p w14:paraId="64A57DE8">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single" w:color="auto"/>
                <w:lang w:val="en-US" w:eastAsia="zh-CN"/>
              </w:rPr>
            </w:pPr>
            <w:r>
              <w:rPr>
                <w:rFonts w:hint="default" w:ascii="Times New Roman" w:hAnsi="Times New Roman" w:eastAsia="宋体" w:cs="Times New Roman"/>
                <w:b/>
                <w:bCs/>
                <w:color w:val="auto"/>
                <w:spacing w:val="11"/>
                <w:position w:val="0"/>
                <w:sz w:val="21"/>
                <w:szCs w:val="21"/>
                <w:u w:val="single" w:color="auto"/>
              </w:rPr>
              <w:t>表</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lang w:val="en-US" w:eastAsia="zh-CN"/>
              </w:rPr>
              <w:t>-</w:t>
            </w:r>
            <w:r>
              <w:rPr>
                <w:rFonts w:hint="eastAsia" w:ascii="Times New Roman" w:hAnsi="Times New Roman" w:eastAsia="宋体" w:cs="Times New Roman"/>
                <w:b/>
                <w:bCs/>
                <w:color w:val="auto"/>
                <w:spacing w:val="11"/>
                <w:position w:val="0"/>
                <w:sz w:val="21"/>
                <w:szCs w:val="21"/>
                <w:u w:val="single" w:color="auto"/>
                <w:lang w:val="en-US" w:eastAsia="zh-CN"/>
              </w:rPr>
              <w:t>4</w:t>
            </w:r>
            <w:r>
              <w:rPr>
                <w:rFonts w:hint="default"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 xml:space="preserve"> </w:t>
            </w:r>
            <w:r>
              <w:rPr>
                <w:rFonts w:hint="default" w:ascii="Times New Roman" w:hAnsi="Times New Roman" w:eastAsia="宋体" w:cs="Times New Roman"/>
                <w:b/>
                <w:bCs/>
                <w:color w:val="auto"/>
                <w:spacing w:val="11"/>
                <w:position w:val="0"/>
                <w:sz w:val="21"/>
                <w:szCs w:val="21"/>
                <w:u w:val="single" w:color="auto"/>
                <w:lang w:val="en-US" w:eastAsia="zh-CN"/>
              </w:rPr>
              <w:t>主要原辅材料及能源消耗一览表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3"/>
              <w:gridCol w:w="1466"/>
              <w:gridCol w:w="1395"/>
              <w:gridCol w:w="1335"/>
              <w:gridCol w:w="1410"/>
              <w:gridCol w:w="1714"/>
            </w:tblGrid>
            <w:tr w14:paraId="13EDC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14:paraId="65398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917" w:type="pct"/>
                  <w:tcBorders>
                    <w:tl2br w:val="nil"/>
                    <w:tr2bl w:val="nil"/>
                  </w:tcBorders>
                  <w:shd w:val="clear" w:color="auto" w:fill="auto"/>
                  <w:noWrap w:val="0"/>
                  <w:vAlign w:val="center"/>
                </w:tcPr>
                <w:p w14:paraId="6C1D7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名称</w:t>
                  </w:r>
                </w:p>
              </w:tc>
              <w:tc>
                <w:tcPr>
                  <w:tcW w:w="872" w:type="pct"/>
                  <w:tcBorders>
                    <w:tl2br w:val="nil"/>
                    <w:tr2bl w:val="nil"/>
                  </w:tcBorders>
                  <w:shd w:val="clear" w:color="auto" w:fill="auto"/>
                  <w:noWrap w:val="0"/>
                  <w:vAlign w:val="center"/>
                </w:tcPr>
                <w:p w14:paraId="06ECF5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单位</w:t>
                  </w:r>
                </w:p>
              </w:tc>
              <w:tc>
                <w:tcPr>
                  <w:tcW w:w="835" w:type="pct"/>
                  <w:tcBorders>
                    <w:tl2br w:val="nil"/>
                    <w:tr2bl w:val="nil"/>
                  </w:tcBorders>
                  <w:noWrap w:val="0"/>
                  <w:vAlign w:val="center"/>
                </w:tcPr>
                <w:p w14:paraId="0672FF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扩建后总用量</w:t>
                  </w:r>
                </w:p>
              </w:tc>
              <w:tc>
                <w:tcPr>
                  <w:tcW w:w="882" w:type="pct"/>
                  <w:tcBorders>
                    <w:tl2br w:val="nil"/>
                    <w:tr2bl w:val="nil"/>
                  </w:tcBorders>
                  <w:noWrap w:val="0"/>
                  <w:vAlign w:val="center"/>
                </w:tcPr>
                <w:p w14:paraId="30580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厂内最大储存量</w:t>
                  </w:r>
                </w:p>
              </w:tc>
              <w:tc>
                <w:tcPr>
                  <w:tcW w:w="1072" w:type="pct"/>
                  <w:tcBorders>
                    <w:tl2br w:val="nil"/>
                    <w:tr2bl w:val="nil"/>
                  </w:tcBorders>
                  <w:noWrap w:val="0"/>
                  <w:vAlign w:val="center"/>
                </w:tcPr>
                <w:p w14:paraId="0B1577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备注</w:t>
                  </w:r>
                </w:p>
              </w:tc>
            </w:tr>
            <w:tr w14:paraId="2D86E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4" w:hRule="atLeast"/>
                <w:jc w:val="center"/>
              </w:trPr>
              <w:tc>
                <w:tcPr>
                  <w:tcW w:w="420" w:type="pct"/>
                  <w:tcBorders>
                    <w:tl2br w:val="nil"/>
                    <w:tr2bl w:val="nil"/>
                  </w:tcBorders>
                  <w:noWrap w:val="0"/>
                  <w:vAlign w:val="center"/>
                </w:tcPr>
                <w:p w14:paraId="50A613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w:t>
                  </w:r>
                </w:p>
              </w:tc>
              <w:tc>
                <w:tcPr>
                  <w:tcW w:w="917" w:type="pct"/>
                  <w:tcBorders>
                    <w:tl2br w:val="nil"/>
                    <w:tr2bl w:val="nil"/>
                  </w:tcBorders>
                  <w:noWrap w:val="0"/>
                  <w:vAlign w:val="center"/>
                </w:tcPr>
                <w:p w14:paraId="29CCD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炸药</w:t>
                  </w:r>
                </w:p>
              </w:tc>
              <w:tc>
                <w:tcPr>
                  <w:tcW w:w="872" w:type="pct"/>
                  <w:tcBorders>
                    <w:tl2br w:val="nil"/>
                    <w:tr2bl w:val="nil"/>
                  </w:tcBorders>
                  <w:noWrap w:val="0"/>
                  <w:vAlign w:val="center"/>
                </w:tcPr>
                <w:p w14:paraId="51451B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14:paraId="2BED1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100.32</w:t>
                  </w:r>
                </w:p>
              </w:tc>
              <w:tc>
                <w:tcPr>
                  <w:tcW w:w="882" w:type="pct"/>
                  <w:tcBorders>
                    <w:tl2br w:val="nil"/>
                    <w:tr2bl w:val="nil"/>
                  </w:tcBorders>
                  <w:noWrap w:val="0"/>
                  <w:vAlign w:val="center"/>
                </w:tcPr>
                <w:p w14:paraId="62A31E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vMerge w:val="restart"/>
                  <w:tcBorders>
                    <w:tl2br w:val="nil"/>
                    <w:tr2bl w:val="nil"/>
                  </w:tcBorders>
                  <w:noWrap w:val="0"/>
                  <w:vAlign w:val="center"/>
                </w:tcPr>
                <w:p w14:paraId="4A06B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爆破工作</w:t>
                  </w:r>
                  <w:r>
                    <w:rPr>
                      <w:rFonts w:hint="default" w:ascii="Times New Roman" w:hAnsi="Times New Roman" w:eastAsia="宋体" w:cs="Times New Roman"/>
                      <w:spacing w:val="11"/>
                      <w:position w:val="0"/>
                      <w:szCs w:val="21"/>
                      <w:u w:val="single" w:color="auto"/>
                      <w:lang w:val="en-US" w:eastAsia="zh-CN"/>
                    </w:rPr>
                    <w:t>委托当地具有资质的爆破公司承担，矿山不设置炸药库</w:t>
                  </w:r>
                </w:p>
              </w:tc>
            </w:tr>
            <w:tr w14:paraId="4140B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noWrap w:val="0"/>
                  <w:vAlign w:val="center"/>
                </w:tcPr>
                <w:p w14:paraId="1BC64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2</w:t>
                  </w:r>
                </w:p>
              </w:tc>
              <w:tc>
                <w:tcPr>
                  <w:tcW w:w="917" w:type="pct"/>
                  <w:tcBorders>
                    <w:tl2br w:val="nil"/>
                    <w:tr2bl w:val="nil"/>
                  </w:tcBorders>
                  <w:noWrap w:val="0"/>
                  <w:vAlign w:val="center"/>
                </w:tcPr>
                <w:p w14:paraId="71776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雷管</w:t>
                  </w:r>
                </w:p>
              </w:tc>
              <w:tc>
                <w:tcPr>
                  <w:tcW w:w="872" w:type="pct"/>
                  <w:tcBorders>
                    <w:tl2br w:val="nil"/>
                    <w:tr2bl w:val="nil"/>
                  </w:tcBorders>
                  <w:noWrap w:val="0"/>
                  <w:vAlign w:val="center"/>
                </w:tcPr>
                <w:p w14:paraId="79011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发/a</w:t>
                  </w:r>
                </w:p>
              </w:tc>
              <w:tc>
                <w:tcPr>
                  <w:tcW w:w="835" w:type="pct"/>
                  <w:tcBorders>
                    <w:tl2br w:val="nil"/>
                    <w:tr2bl w:val="nil"/>
                  </w:tcBorders>
                  <w:noWrap w:val="0"/>
                  <w:vAlign w:val="center"/>
                </w:tcPr>
                <w:p w14:paraId="72772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2340</w:t>
                  </w:r>
                </w:p>
              </w:tc>
              <w:tc>
                <w:tcPr>
                  <w:tcW w:w="882" w:type="pct"/>
                  <w:tcBorders>
                    <w:tl2br w:val="nil"/>
                    <w:tr2bl w:val="nil"/>
                  </w:tcBorders>
                  <w:noWrap w:val="0"/>
                  <w:vAlign w:val="center"/>
                </w:tcPr>
                <w:p w14:paraId="1697A0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vMerge w:val="continue"/>
                  <w:tcBorders>
                    <w:tl2br w:val="nil"/>
                    <w:tr2bl w:val="nil"/>
                  </w:tcBorders>
                  <w:noWrap w:val="0"/>
                  <w:vAlign w:val="center"/>
                </w:tcPr>
                <w:p w14:paraId="604BAD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u w:val="single" w:color="auto"/>
                      <w:lang w:val="en-US" w:eastAsia="zh-CN"/>
                    </w:rPr>
                  </w:pPr>
                </w:p>
              </w:tc>
            </w:tr>
            <w:tr w14:paraId="2979E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14:paraId="75311A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3</w:t>
                  </w:r>
                </w:p>
              </w:tc>
              <w:tc>
                <w:tcPr>
                  <w:tcW w:w="917" w:type="pct"/>
                  <w:tcBorders>
                    <w:tl2br w:val="nil"/>
                    <w:tr2bl w:val="nil"/>
                  </w:tcBorders>
                  <w:noWrap w:val="0"/>
                  <w:vAlign w:val="center"/>
                </w:tcPr>
                <w:p w14:paraId="4F5BC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水泥</w:t>
                  </w:r>
                </w:p>
              </w:tc>
              <w:tc>
                <w:tcPr>
                  <w:tcW w:w="872" w:type="pct"/>
                  <w:tcBorders>
                    <w:tl2br w:val="nil"/>
                    <w:tr2bl w:val="nil"/>
                  </w:tcBorders>
                  <w:noWrap w:val="0"/>
                  <w:vAlign w:val="center"/>
                </w:tcPr>
                <w:p w14:paraId="39947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t/a</w:t>
                  </w:r>
                </w:p>
              </w:tc>
              <w:tc>
                <w:tcPr>
                  <w:tcW w:w="835" w:type="pct"/>
                  <w:tcBorders>
                    <w:tl2br w:val="nil"/>
                    <w:tr2bl w:val="nil"/>
                  </w:tcBorders>
                  <w:noWrap w:val="0"/>
                  <w:vAlign w:val="center"/>
                </w:tcPr>
                <w:p w14:paraId="0D317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60</w:t>
                  </w:r>
                </w:p>
              </w:tc>
              <w:tc>
                <w:tcPr>
                  <w:tcW w:w="882" w:type="pct"/>
                  <w:tcBorders>
                    <w:tl2br w:val="nil"/>
                    <w:tr2bl w:val="nil"/>
                  </w:tcBorders>
                  <w:noWrap w:val="0"/>
                  <w:vAlign w:val="center"/>
                </w:tcPr>
                <w:p w14:paraId="29E4F0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3</w:t>
                  </w:r>
                </w:p>
              </w:tc>
              <w:tc>
                <w:tcPr>
                  <w:tcW w:w="1072" w:type="pct"/>
                  <w:tcBorders>
                    <w:tl2br w:val="nil"/>
                    <w:tr2bl w:val="nil"/>
                  </w:tcBorders>
                  <w:noWrap w:val="0"/>
                  <w:vAlign w:val="center"/>
                </w:tcPr>
                <w:p w14:paraId="7C72B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外购</w:t>
                  </w:r>
                </w:p>
              </w:tc>
            </w:tr>
            <w:tr w14:paraId="4DD48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420" w:type="pct"/>
                  <w:tcBorders>
                    <w:tl2br w:val="nil"/>
                    <w:tr2bl w:val="nil"/>
                  </w:tcBorders>
                  <w:shd w:val="clear" w:color="auto" w:fill="auto"/>
                  <w:noWrap w:val="0"/>
                  <w:vAlign w:val="center"/>
                </w:tcPr>
                <w:p w14:paraId="78793A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4</w:t>
                  </w:r>
                </w:p>
              </w:tc>
              <w:tc>
                <w:tcPr>
                  <w:tcW w:w="917" w:type="pct"/>
                  <w:tcBorders>
                    <w:tl2br w:val="nil"/>
                    <w:tr2bl w:val="nil"/>
                  </w:tcBorders>
                  <w:noWrap w:val="0"/>
                  <w:vAlign w:val="center"/>
                </w:tcPr>
                <w:p w14:paraId="241E4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柴油</w:t>
                  </w:r>
                </w:p>
              </w:tc>
              <w:tc>
                <w:tcPr>
                  <w:tcW w:w="872" w:type="pct"/>
                  <w:tcBorders>
                    <w:tl2br w:val="nil"/>
                    <w:tr2bl w:val="nil"/>
                  </w:tcBorders>
                  <w:noWrap w:val="0"/>
                  <w:vAlign w:val="center"/>
                </w:tcPr>
                <w:p w14:paraId="04252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14:paraId="4D34A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600</w:t>
                  </w:r>
                </w:p>
              </w:tc>
              <w:tc>
                <w:tcPr>
                  <w:tcW w:w="882" w:type="pct"/>
                  <w:tcBorders>
                    <w:tl2br w:val="nil"/>
                    <w:tr2bl w:val="nil"/>
                  </w:tcBorders>
                  <w:noWrap w:val="0"/>
                  <w:vAlign w:val="center"/>
                </w:tcPr>
                <w:p w14:paraId="0251C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3</w:t>
                  </w:r>
                </w:p>
              </w:tc>
              <w:tc>
                <w:tcPr>
                  <w:tcW w:w="1072" w:type="pct"/>
                  <w:tcBorders>
                    <w:tl2br w:val="nil"/>
                    <w:tr2bl w:val="nil"/>
                  </w:tcBorders>
                  <w:noWrap w:val="0"/>
                  <w:vAlign w:val="center"/>
                </w:tcPr>
                <w:p w14:paraId="061DB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w:t>
                  </w:r>
                </w:p>
              </w:tc>
            </w:tr>
            <w:tr w14:paraId="32C2D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14:paraId="24F52C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5</w:t>
                  </w:r>
                </w:p>
              </w:tc>
              <w:tc>
                <w:tcPr>
                  <w:tcW w:w="917" w:type="pct"/>
                  <w:tcBorders>
                    <w:tl2br w:val="nil"/>
                    <w:tr2bl w:val="nil"/>
                  </w:tcBorders>
                  <w:noWrap w:val="0"/>
                  <w:vAlign w:val="center"/>
                </w:tcPr>
                <w:p w14:paraId="54C29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絮凝剂</w:t>
                  </w:r>
                </w:p>
              </w:tc>
              <w:tc>
                <w:tcPr>
                  <w:tcW w:w="872" w:type="pct"/>
                  <w:tcBorders>
                    <w:tl2br w:val="nil"/>
                    <w:tr2bl w:val="nil"/>
                  </w:tcBorders>
                  <w:noWrap w:val="0"/>
                  <w:vAlign w:val="center"/>
                </w:tcPr>
                <w:p w14:paraId="72FD4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14:paraId="5E36C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5</w:t>
                  </w:r>
                </w:p>
              </w:tc>
              <w:tc>
                <w:tcPr>
                  <w:tcW w:w="882" w:type="pct"/>
                  <w:tcBorders>
                    <w:tl2br w:val="nil"/>
                    <w:tr2bl w:val="nil"/>
                  </w:tcBorders>
                  <w:noWrap w:val="0"/>
                  <w:vAlign w:val="center"/>
                </w:tcPr>
                <w:p w14:paraId="4BDCC8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0.15</w:t>
                  </w:r>
                </w:p>
              </w:tc>
              <w:tc>
                <w:tcPr>
                  <w:tcW w:w="1072" w:type="pct"/>
                  <w:tcBorders>
                    <w:tl2br w:val="nil"/>
                    <w:tr2bl w:val="nil"/>
                  </w:tcBorders>
                  <w:noWrap w:val="0"/>
                  <w:vAlign w:val="center"/>
                </w:tcPr>
                <w:p w14:paraId="647A35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w:t>
                  </w:r>
                </w:p>
              </w:tc>
            </w:tr>
            <w:tr w14:paraId="7C9D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14:paraId="67680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6</w:t>
                  </w:r>
                </w:p>
              </w:tc>
              <w:tc>
                <w:tcPr>
                  <w:tcW w:w="917" w:type="pct"/>
                  <w:tcBorders>
                    <w:tl2br w:val="nil"/>
                    <w:tr2bl w:val="nil"/>
                  </w:tcBorders>
                  <w:noWrap w:val="0"/>
                  <w:vAlign w:val="center"/>
                </w:tcPr>
                <w:p w14:paraId="207EF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润滑油</w:t>
                  </w:r>
                </w:p>
              </w:tc>
              <w:tc>
                <w:tcPr>
                  <w:tcW w:w="872" w:type="pct"/>
                  <w:tcBorders>
                    <w:tl2br w:val="nil"/>
                    <w:tr2bl w:val="nil"/>
                  </w:tcBorders>
                  <w:noWrap w:val="0"/>
                  <w:vAlign w:val="center"/>
                </w:tcPr>
                <w:p w14:paraId="24972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14:paraId="5EE0AF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w:t>
                  </w:r>
                </w:p>
              </w:tc>
              <w:tc>
                <w:tcPr>
                  <w:tcW w:w="882" w:type="pct"/>
                  <w:tcBorders>
                    <w:tl2br w:val="nil"/>
                    <w:tr2bl w:val="nil"/>
                  </w:tcBorders>
                  <w:noWrap w:val="0"/>
                  <w:vAlign w:val="center"/>
                </w:tcPr>
                <w:p w14:paraId="06B43C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0.1</w:t>
                  </w:r>
                </w:p>
              </w:tc>
              <w:tc>
                <w:tcPr>
                  <w:tcW w:w="1072" w:type="pct"/>
                  <w:tcBorders>
                    <w:tl2br w:val="nil"/>
                    <w:tr2bl w:val="nil"/>
                  </w:tcBorders>
                  <w:noWrap w:val="0"/>
                  <w:vAlign w:val="center"/>
                </w:tcPr>
                <w:p w14:paraId="4356B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外购成品桶装</w:t>
                  </w:r>
                </w:p>
              </w:tc>
            </w:tr>
            <w:tr w14:paraId="5D6E7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14:paraId="17E20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7</w:t>
                  </w:r>
                </w:p>
              </w:tc>
              <w:tc>
                <w:tcPr>
                  <w:tcW w:w="917" w:type="pct"/>
                  <w:tcBorders>
                    <w:tl2br w:val="nil"/>
                    <w:tr2bl w:val="nil"/>
                  </w:tcBorders>
                  <w:noWrap w:val="0"/>
                  <w:vAlign w:val="center"/>
                </w:tcPr>
                <w:p w14:paraId="2ED253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新鲜水</w:t>
                  </w:r>
                </w:p>
              </w:tc>
              <w:tc>
                <w:tcPr>
                  <w:tcW w:w="872" w:type="pct"/>
                  <w:tcBorders>
                    <w:tl2br w:val="nil"/>
                    <w:tr2bl w:val="nil"/>
                  </w:tcBorders>
                  <w:shd w:val="clear" w:color="auto" w:fill="auto"/>
                  <w:noWrap w:val="0"/>
                  <w:vAlign w:val="center"/>
                </w:tcPr>
                <w:p w14:paraId="5EB4DB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m</w:t>
                  </w:r>
                  <w:r>
                    <w:rPr>
                      <w:rFonts w:hint="default" w:ascii="Times New Roman" w:hAnsi="Times New Roman" w:cs="Times New Roman"/>
                      <w:color w:val="auto"/>
                      <w:spacing w:val="11"/>
                      <w:kern w:val="0"/>
                      <w:position w:val="0"/>
                      <w:sz w:val="21"/>
                      <w:szCs w:val="21"/>
                      <w:highlight w:val="none"/>
                      <w:u w:val="single" w:color="auto"/>
                      <w:lang w:val="en-US" w:eastAsia="zh-CN" w:bidi="ar-SA"/>
                    </w:rPr>
                    <w:t>³</w:t>
                  </w: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/a</w:t>
                  </w:r>
                </w:p>
              </w:tc>
              <w:tc>
                <w:tcPr>
                  <w:tcW w:w="835" w:type="pct"/>
                  <w:tcBorders>
                    <w:tl2br w:val="nil"/>
                    <w:tr2bl w:val="nil"/>
                  </w:tcBorders>
                  <w:noWrap w:val="0"/>
                  <w:vAlign w:val="center"/>
                </w:tcPr>
                <w:p w14:paraId="4D660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cs="Times New Roman"/>
                      <w:spacing w:val="11"/>
                      <w:position w:val="0"/>
                      <w:szCs w:val="21"/>
                      <w:highlight w:val="none"/>
                      <w:u w:val="single" w:color="auto"/>
                      <w:lang w:val="en-US" w:eastAsia="zh-CN"/>
                    </w:rPr>
                    <w:t>25134</w:t>
                  </w:r>
                </w:p>
              </w:tc>
              <w:tc>
                <w:tcPr>
                  <w:tcW w:w="882" w:type="pct"/>
                  <w:tcBorders>
                    <w:tl2br w:val="nil"/>
                    <w:tr2bl w:val="nil"/>
                  </w:tcBorders>
                  <w:noWrap w:val="0"/>
                  <w:vAlign w:val="center"/>
                </w:tcPr>
                <w:p w14:paraId="669D13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tcBorders>
                    <w:tl2br w:val="nil"/>
                    <w:tr2bl w:val="nil"/>
                  </w:tcBorders>
                  <w:noWrap w:val="0"/>
                  <w:vAlign w:val="center"/>
                </w:tcPr>
                <w:p w14:paraId="772555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自来水</w:t>
                  </w:r>
                </w:p>
              </w:tc>
            </w:tr>
            <w:tr w14:paraId="1038D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noWrap w:val="0"/>
                  <w:vAlign w:val="center"/>
                </w:tcPr>
                <w:p w14:paraId="160F9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8</w:t>
                  </w:r>
                </w:p>
              </w:tc>
              <w:tc>
                <w:tcPr>
                  <w:tcW w:w="917" w:type="pct"/>
                  <w:tcBorders>
                    <w:tl2br w:val="nil"/>
                    <w:tr2bl w:val="nil"/>
                  </w:tcBorders>
                  <w:noWrap w:val="0"/>
                  <w:vAlign w:val="center"/>
                </w:tcPr>
                <w:p w14:paraId="5B8E77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电</w:t>
                  </w:r>
                </w:p>
              </w:tc>
              <w:tc>
                <w:tcPr>
                  <w:tcW w:w="872" w:type="pct"/>
                  <w:tcBorders>
                    <w:tl2br w:val="nil"/>
                    <w:tr2bl w:val="nil"/>
                  </w:tcBorders>
                  <w:shd w:val="clear" w:color="auto" w:fill="auto"/>
                  <w:noWrap w:val="0"/>
                  <w:vAlign w:val="center"/>
                </w:tcPr>
                <w:p w14:paraId="6F597F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万</w:t>
                  </w: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KWh/a</w:t>
                  </w:r>
                </w:p>
              </w:tc>
              <w:tc>
                <w:tcPr>
                  <w:tcW w:w="835" w:type="pct"/>
                  <w:tcBorders>
                    <w:tl2br w:val="nil"/>
                    <w:tr2bl w:val="nil"/>
                  </w:tcBorders>
                  <w:noWrap w:val="0"/>
                  <w:vAlign w:val="center"/>
                </w:tcPr>
                <w:p w14:paraId="20829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110</w:t>
                  </w:r>
                </w:p>
              </w:tc>
              <w:tc>
                <w:tcPr>
                  <w:tcW w:w="882" w:type="pct"/>
                  <w:tcBorders>
                    <w:tl2br w:val="nil"/>
                    <w:tr2bl w:val="nil"/>
                  </w:tcBorders>
                  <w:noWrap w:val="0"/>
                  <w:vAlign w:val="center"/>
                </w:tcPr>
                <w:p w14:paraId="243DF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tcBorders>
                    <w:tl2br w:val="nil"/>
                    <w:tr2bl w:val="nil"/>
                  </w:tcBorders>
                  <w:noWrap w:val="0"/>
                  <w:vAlign w:val="center"/>
                </w:tcPr>
                <w:p w14:paraId="45126C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当地电网</w:t>
                  </w:r>
                </w:p>
              </w:tc>
            </w:tr>
          </w:tbl>
          <w:p w14:paraId="08A7CB14">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single" w:color="auto"/>
                <w:lang w:val="en-US" w:eastAsia="zh-CN"/>
              </w:rPr>
            </w:pPr>
            <w:r>
              <w:rPr>
                <w:rFonts w:hint="eastAsia" w:ascii="Times New Roman" w:hAnsi="Times New Roman" w:eastAsia="宋体" w:cs="Times New Roman"/>
                <w:b/>
                <w:color w:val="auto"/>
                <w:spacing w:val="11"/>
                <w:position w:val="0"/>
                <w:sz w:val="24"/>
                <w:szCs w:val="24"/>
                <w:highlight w:val="none"/>
                <w:u w:val="single" w:color="auto"/>
                <w:lang w:val="en-US" w:eastAsia="zh-CN"/>
              </w:rPr>
              <w:t>2.5生产设备</w:t>
            </w:r>
          </w:p>
          <w:p w14:paraId="6519C5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single" w:color="auto"/>
                <w:lang w:val="en-US" w:eastAsia="zh-CN"/>
              </w:rPr>
            </w:pPr>
            <w:r>
              <w:rPr>
                <w:rFonts w:hint="default" w:ascii="Times New Roman" w:hAnsi="Times New Roman" w:eastAsia="宋体" w:cs="Times New Roman"/>
                <w:b w:val="0"/>
                <w:bCs w:val="0"/>
                <w:color w:val="auto"/>
                <w:spacing w:val="11"/>
                <w:position w:val="0"/>
                <w:sz w:val="24"/>
                <w:szCs w:val="22"/>
                <w:u w:val="single" w:color="auto"/>
                <w:lang w:val="en-US" w:eastAsia="zh-CN"/>
              </w:rPr>
              <w:t>项目使用的生产设备均不属于《产业结构调整指导目录（2024年本）》中限制、淘汰类，符合国家产业政策要求。项目主要生产设备详见</w:t>
            </w:r>
            <w:r>
              <w:rPr>
                <w:rFonts w:hint="eastAsia" w:ascii="Times New Roman" w:hAnsi="Times New Roman" w:eastAsia="宋体" w:cs="Times New Roman"/>
                <w:b w:val="0"/>
                <w:bCs w:val="0"/>
                <w:color w:val="auto"/>
                <w:spacing w:val="11"/>
                <w:position w:val="0"/>
                <w:sz w:val="24"/>
                <w:szCs w:val="22"/>
                <w:u w:val="single" w:color="auto"/>
                <w:lang w:val="en-US" w:eastAsia="zh-CN"/>
              </w:rPr>
              <w:t>下</w:t>
            </w:r>
            <w:r>
              <w:rPr>
                <w:rFonts w:hint="default" w:ascii="Times New Roman" w:hAnsi="Times New Roman" w:eastAsia="宋体" w:cs="Times New Roman"/>
                <w:b w:val="0"/>
                <w:bCs w:val="0"/>
                <w:color w:val="auto"/>
                <w:spacing w:val="11"/>
                <w:position w:val="0"/>
                <w:sz w:val="24"/>
                <w:szCs w:val="22"/>
                <w:u w:val="single" w:color="auto"/>
                <w:lang w:val="en-US" w:eastAsia="zh-CN"/>
              </w:rPr>
              <w:t>表</w:t>
            </w:r>
            <w:r>
              <w:rPr>
                <w:rFonts w:hint="eastAsia" w:ascii="Times New Roman" w:hAnsi="Times New Roman" w:eastAsia="宋体" w:cs="Times New Roman"/>
                <w:b w:val="0"/>
                <w:bCs w:val="0"/>
                <w:color w:val="auto"/>
                <w:spacing w:val="11"/>
                <w:position w:val="0"/>
                <w:sz w:val="24"/>
                <w:szCs w:val="22"/>
                <w:u w:val="single" w:color="auto"/>
                <w:lang w:val="en-US" w:eastAsia="zh-CN"/>
              </w:rPr>
              <w:t>。</w:t>
            </w:r>
          </w:p>
          <w:p w14:paraId="725F0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 w:val="21"/>
                <w:szCs w:val="21"/>
                <w:u w:val="single" w:color="auto"/>
              </w:rPr>
            </w:pPr>
            <w:r>
              <w:rPr>
                <w:rFonts w:hint="default" w:ascii="Times New Roman" w:hAnsi="Times New Roman" w:eastAsia="宋体" w:cs="Times New Roman"/>
                <w:b/>
                <w:bCs/>
                <w:spacing w:val="11"/>
                <w:kern w:val="0"/>
                <w:position w:val="0"/>
                <w:sz w:val="21"/>
                <w:szCs w:val="21"/>
                <w:u w:val="single" w:color="auto"/>
              </w:rPr>
              <w:t>表2</w:t>
            </w:r>
            <w:r>
              <w:rPr>
                <w:rFonts w:hint="eastAsia" w:ascii="Times New Roman" w:hAnsi="Times New Roman" w:eastAsia="宋体" w:cs="Times New Roman"/>
                <w:b/>
                <w:bCs/>
                <w:spacing w:val="11"/>
                <w:kern w:val="0"/>
                <w:position w:val="0"/>
                <w:sz w:val="21"/>
                <w:szCs w:val="21"/>
                <w:u w:val="single" w:color="auto"/>
                <w:lang w:val="en-US" w:eastAsia="zh-CN"/>
              </w:rPr>
              <w:t>-5</w:t>
            </w:r>
            <w:r>
              <w:rPr>
                <w:rFonts w:hint="default" w:ascii="Times New Roman" w:hAnsi="Times New Roman" w:eastAsia="宋体" w:cs="Times New Roman"/>
                <w:b/>
                <w:bCs/>
                <w:spacing w:val="11"/>
                <w:kern w:val="0"/>
                <w:position w:val="0"/>
                <w:sz w:val="21"/>
                <w:szCs w:val="21"/>
                <w:u w:val="single" w:color="auto"/>
              </w:rPr>
              <w:t xml:space="preserve">  主要</w:t>
            </w:r>
            <w:r>
              <w:rPr>
                <w:rFonts w:hint="default" w:ascii="Times New Roman" w:hAnsi="Times New Roman" w:eastAsia="宋体" w:cs="Times New Roman"/>
                <w:b/>
                <w:bCs/>
                <w:spacing w:val="11"/>
                <w:kern w:val="0"/>
                <w:position w:val="0"/>
                <w:sz w:val="21"/>
                <w:szCs w:val="21"/>
                <w:u w:val="single" w:color="auto"/>
                <w:lang w:val="en-US" w:eastAsia="zh-CN"/>
              </w:rPr>
              <w:t>生产</w:t>
            </w:r>
            <w:r>
              <w:rPr>
                <w:rFonts w:hint="default" w:ascii="Times New Roman" w:hAnsi="Times New Roman" w:eastAsia="宋体" w:cs="Times New Roman"/>
                <w:b/>
                <w:bCs/>
                <w:spacing w:val="11"/>
                <w:kern w:val="0"/>
                <w:position w:val="0"/>
                <w:sz w:val="21"/>
                <w:szCs w:val="21"/>
                <w:u w:val="single" w:color="auto"/>
              </w:rPr>
              <w:t>设备清单</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72"/>
              <w:gridCol w:w="1651"/>
              <w:gridCol w:w="1620"/>
              <w:gridCol w:w="1267"/>
              <w:gridCol w:w="1268"/>
              <w:gridCol w:w="870"/>
            </w:tblGrid>
            <w:tr w14:paraId="32BC0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8" w:type="pct"/>
                  <w:vMerge w:val="restart"/>
                  <w:tcBorders>
                    <w:tl2br w:val="nil"/>
                    <w:tr2bl w:val="nil"/>
                  </w:tcBorders>
                  <w:noWrap w:val="0"/>
                  <w:tcMar>
                    <w:top w:w="15" w:type="dxa"/>
                    <w:left w:w="15" w:type="dxa"/>
                    <w:bottom w:w="0" w:type="dxa"/>
                    <w:right w:w="15" w:type="dxa"/>
                  </w:tcMar>
                  <w:vAlign w:val="center"/>
                </w:tcPr>
                <w:p w14:paraId="69B86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序号</w:t>
                  </w:r>
                </w:p>
              </w:tc>
              <w:tc>
                <w:tcPr>
                  <w:tcW w:w="545" w:type="pct"/>
                  <w:vMerge w:val="restart"/>
                  <w:tcBorders>
                    <w:tl2br w:val="nil"/>
                    <w:tr2bl w:val="nil"/>
                  </w:tcBorders>
                  <w:noWrap w:val="0"/>
                  <w:tcMar>
                    <w:top w:w="15" w:type="dxa"/>
                    <w:left w:w="15" w:type="dxa"/>
                    <w:bottom w:w="0" w:type="dxa"/>
                    <w:right w:w="15" w:type="dxa"/>
                  </w:tcMar>
                  <w:vAlign w:val="center"/>
                </w:tcPr>
                <w:p w14:paraId="71D4C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地点</w:t>
                  </w:r>
                </w:p>
              </w:tc>
              <w:tc>
                <w:tcPr>
                  <w:tcW w:w="1032" w:type="pct"/>
                  <w:vMerge w:val="restart"/>
                  <w:tcBorders>
                    <w:tl2br w:val="nil"/>
                    <w:tr2bl w:val="nil"/>
                  </w:tcBorders>
                  <w:noWrap w:val="0"/>
                  <w:tcMar>
                    <w:top w:w="15" w:type="dxa"/>
                    <w:left w:w="15" w:type="dxa"/>
                    <w:bottom w:w="0" w:type="dxa"/>
                    <w:right w:w="15" w:type="dxa"/>
                  </w:tcMar>
                  <w:vAlign w:val="center"/>
                </w:tcPr>
                <w:p w14:paraId="46225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设备名称</w:t>
                  </w:r>
                </w:p>
              </w:tc>
              <w:tc>
                <w:tcPr>
                  <w:tcW w:w="1013" w:type="pct"/>
                  <w:vMerge w:val="restart"/>
                  <w:tcBorders>
                    <w:tl2br w:val="nil"/>
                    <w:tr2bl w:val="nil"/>
                  </w:tcBorders>
                  <w:noWrap w:val="0"/>
                  <w:vAlign w:val="center"/>
                </w:tcPr>
                <w:p w14:paraId="6A16E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设备型号</w:t>
                  </w:r>
                </w:p>
              </w:tc>
              <w:tc>
                <w:tcPr>
                  <w:tcW w:w="1585" w:type="pct"/>
                  <w:gridSpan w:val="2"/>
                  <w:tcBorders>
                    <w:tl2br w:val="nil"/>
                    <w:tr2bl w:val="nil"/>
                  </w:tcBorders>
                  <w:noWrap w:val="0"/>
                  <w:vAlign w:val="center"/>
                </w:tcPr>
                <w:p w14:paraId="518B9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eastAsia" w:ascii="Times New Roman" w:hAnsi="Times New Roman" w:eastAsia="宋体" w:cs="Times New Roman"/>
                      <w:b w:val="0"/>
                      <w:bCs/>
                      <w:spacing w:val="11"/>
                      <w:position w:val="0"/>
                      <w:sz w:val="21"/>
                      <w:szCs w:val="21"/>
                      <w:u w:val="single" w:color="auto"/>
                      <w:lang w:val="en-US" w:eastAsia="zh-CN"/>
                    </w:rPr>
                    <w:t>设备数量（单位：台）</w:t>
                  </w:r>
                </w:p>
              </w:tc>
              <w:tc>
                <w:tcPr>
                  <w:tcW w:w="544" w:type="pct"/>
                  <w:vMerge w:val="restart"/>
                  <w:tcBorders>
                    <w:tl2br w:val="nil"/>
                    <w:tr2bl w:val="nil"/>
                  </w:tcBorders>
                  <w:noWrap w:val="0"/>
                  <w:vAlign w:val="center"/>
                </w:tcPr>
                <w:p w14:paraId="06783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备注</w:t>
                  </w:r>
                </w:p>
              </w:tc>
            </w:tr>
            <w:tr w14:paraId="76B3F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8" w:type="pct"/>
                  <w:vMerge w:val="continue"/>
                  <w:tcBorders>
                    <w:tl2br w:val="nil"/>
                    <w:tr2bl w:val="nil"/>
                  </w:tcBorders>
                  <w:noWrap w:val="0"/>
                  <w:tcMar>
                    <w:top w:w="15" w:type="dxa"/>
                    <w:left w:w="15" w:type="dxa"/>
                    <w:bottom w:w="0" w:type="dxa"/>
                    <w:right w:w="15" w:type="dxa"/>
                  </w:tcMar>
                  <w:vAlign w:val="center"/>
                </w:tcPr>
                <w:p w14:paraId="79CB7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545" w:type="pct"/>
                  <w:vMerge w:val="continue"/>
                  <w:tcBorders>
                    <w:tl2br w:val="nil"/>
                    <w:tr2bl w:val="nil"/>
                  </w:tcBorders>
                  <w:noWrap w:val="0"/>
                  <w:tcMar>
                    <w:top w:w="15" w:type="dxa"/>
                    <w:left w:w="15" w:type="dxa"/>
                    <w:bottom w:w="0" w:type="dxa"/>
                    <w:right w:w="15" w:type="dxa"/>
                  </w:tcMar>
                  <w:vAlign w:val="center"/>
                </w:tcPr>
                <w:p w14:paraId="6D564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1032" w:type="pct"/>
                  <w:vMerge w:val="continue"/>
                  <w:tcBorders>
                    <w:tl2br w:val="nil"/>
                    <w:tr2bl w:val="nil"/>
                  </w:tcBorders>
                  <w:noWrap w:val="0"/>
                  <w:tcMar>
                    <w:top w:w="15" w:type="dxa"/>
                    <w:left w:w="15" w:type="dxa"/>
                    <w:bottom w:w="0" w:type="dxa"/>
                    <w:right w:w="15" w:type="dxa"/>
                  </w:tcMar>
                  <w:vAlign w:val="center"/>
                </w:tcPr>
                <w:p w14:paraId="088C58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13" w:type="pct"/>
                  <w:vMerge w:val="continue"/>
                  <w:tcBorders>
                    <w:tl2br w:val="nil"/>
                    <w:tr2bl w:val="nil"/>
                  </w:tcBorders>
                  <w:noWrap w:val="0"/>
                  <w:vAlign w:val="center"/>
                </w:tcPr>
                <w:p w14:paraId="61FC1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792" w:type="pct"/>
                  <w:tcBorders>
                    <w:tl2br w:val="nil"/>
                    <w:tr2bl w:val="nil"/>
                  </w:tcBorders>
                  <w:noWrap w:val="0"/>
                  <w:vAlign w:val="center"/>
                </w:tcPr>
                <w:p w14:paraId="50725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现有工程</w:t>
                  </w:r>
                </w:p>
              </w:tc>
              <w:tc>
                <w:tcPr>
                  <w:tcW w:w="793" w:type="pct"/>
                  <w:tcBorders>
                    <w:tl2br w:val="nil"/>
                    <w:tr2bl w:val="nil"/>
                  </w:tcBorders>
                  <w:noWrap w:val="0"/>
                  <w:vAlign w:val="center"/>
                </w:tcPr>
                <w:p w14:paraId="54807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扩建后全厂</w:t>
                  </w:r>
                </w:p>
              </w:tc>
              <w:tc>
                <w:tcPr>
                  <w:tcW w:w="544" w:type="pct"/>
                  <w:vMerge w:val="continue"/>
                  <w:tcBorders>
                    <w:tl2br w:val="nil"/>
                    <w:tr2bl w:val="nil"/>
                  </w:tcBorders>
                  <w:noWrap w:val="0"/>
                  <w:vAlign w:val="center"/>
                </w:tcPr>
                <w:p w14:paraId="6E89B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r>
            <w:tr w14:paraId="12883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14:paraId="6EB39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1</w:t>
                  </w:r>
                </w:p>
              </w:tc>
              <w:tc>
                <w:tcPr>
                  <w:tcW w:w="545" w:type="pct"/>
                  <w:vMerge w:val="restart"/>
                  <w:tcBorders>
                    <w:tl2br w:val="nil"/>
                    <w:tr2bl w:val="nil"/>
                  </w:tcBorders>
                  <w:noWrap w:val="0"/>
                  <w:tcMar>
                    <w:top w:w="15" w:type="dxa"/>
                    <w:left w:w="15" w:type="dxa"/>
                    <w:bottom w:w="0" w:type="dxa"/>
                    <w:right w:w="15" w:type="dxa"/>
                  </w:tcMar>
                  <w:vAlign w:val="center"/>
                </w:tcPr>
                <w:p w14:paraId="530B3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开采区</w:t>
                  </w:r>
                </w:p>
              </w:tc>
              <w:tc>
                <w:tcPr>
                  <w:tcW w:w="1032" w:type="pct"/>
                  <w:tcBorders>
                    <w:tl2br w:val="nil"/>
                    <w:tr2bl w:val="nil"/>
                  </w:tcBorders>
                  <w:noWrap w:val="0"/>
                  <w:tcMar>
                    <w:top w:w="15" w:type="dxa"/>
                    <w:left w:w="15" w:type="dxa"/>
                    <w:bottom w:w="0" w:type="dxa"/>
                    <w:right w:w="15" w:type="dxa"/>
                  </w:tcMar>
                  <w:vAlign w:val="center"/>
                </w:tcPr>
                <w:p w14:paraId="77279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潜孔钻机</w:t>
                  </w:r>
                </w:p>
              </w:tc>
              <w:tc>
                <w:tcPr>
                  <w:tcW w:w="1013" w:type="pct"/>
                  <w:tcBorders>
                    <w:tl2br w:val="nil"/>
                    <w:tr2bl w:val="nil"/>
                  </w:tcBorders>
                  <w:noWrap w:val="0"/>
                  <w:vAlign w:val="center"/>
                </w:tcPr>
                <w:p w14:paraId="5FC11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KQ-70</w:t>
                  </w:r>
                </w:p>
              </w:tc>
              <w:tc>
                <w:tcPr>
                  <w:tcW w:w="792" w:type="pct"/>
                  <w:tcBorders>
                    <w:tl2br w:val="nil"/>
                    <w:tr2bl w:val="nil"/>
                  </w:tcBorders>
                  <w:noWrap w:val="0"/>
                  <w:vAlign w:val="center"/>
                </w:tcPr>
                <w:p w14:paraId="7AAB7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793" w:type="pct"/>
                  <w:tcBorders>
                    <w:tl2br w:val="nil"/>
                    <w:tr2bl w:val="nil"/>
                  </w:tcBorders>
                  <w:shd w:val="clear" w:color="auto" w:fill="auto"/>
                  <w:noWrap w:val="0"/>
                  <w:vAlign w:val="center"/>
                </w:tcPr>
                <w:p w14:paraId="6ACAC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544" w:type="pct"/>
                  <w:vMerge w:val="restart"/>
                  <w:tcBorders>
                    <w:tl2br w:val="nil"/>
                    <w:tr2bl w:val="nil"/>
                  </w:tcBorders>
                  <w:noWrap w:val="0"/>
                  <w:vAlign w:val="center"/>
                </w:tcPr>
                <w:p w14:paraId="68B85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依托现有生产设备</w:t>
                  </w:r>
                </w:p>
              </w:tc>
            </w:tr>
            <w:tr w14:paraId="4A25F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14:paraId="2BFE4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5" w:type="pct"/>
                  <w:vMerge w:val="continue"/>
                  <w:tcBorders>
                    <w:tl2br w:val="nil"/>
                    <w:tr2bl w:val="nil"/>
                  </w:tcBorders>
                  <w:noWrap w:val="0"/>
                  <w:tcMar>
                    <w:top w:w="15" w:type="dxa"/>
                    <w:left w:w="15" w:type="dxa"/>
                    <w:bottom w:w="0" w:type="dxa"/>
                    <w:right w:w="15" w:type="dxa"/>
                  </w:tcMar>
                  <w:vAlign w:val="center"/>
                </w:tcPr>
                <w:p w14:paraId="4803E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2D93D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挖掘机</w:t>
                  </w:r>
                </w:p>
              </w:tc>
              <w:tc>
                <w:tcPr>
                  <w:tcW w:w="1013" w:type="pct"/>
                  <w:tcBorders>
                    <w:tl2br w:val="nil"/>
                    <w:tr2bl w:val="nil"/>
                  </w:tcBorders>
                  <w:noWrap w:val="0"/>
                  <w:vAlign w:val="center"/>
                </w:tcPr>
                <w:p w14:paraId="142B1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小松400型、小松360型</w:t>
                  </w:r>
                </w:p>
              </w:tc>
              <w:tc>
                <w:tcPr>
                  <w:tcW w:w="792" w:type="pct"/>
                  <w:tcBorders>
                    <w:tl2br w:val="nil"/>
                    <w:tr2bl w:val="nil"/>
                  </w:tcBorders>
                  <w:noWrap w:val="0"/>
                  <w:vAlign w:val="center"/>
                </w:tcPr>
                <w:p w14:paraId="1F271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5</w:t>
                  </w:r>
                </w:p>
              </w:tc>
              <w:tc>
                <w:tcPr>
                  <w:tcW w:w="793" w:type="pct"/>
                  <w:tcBorders>
                    <w:tl2br w:val="nil"/>
                    <w:tr2bl w:val="nil"/>
                  </w:tcBorders>
                  <w:shd w:val="clear" w:color="auto" w:fill="auto"/>
                  <w:noWrap w:val="0"/>
                  <w:vAlign w:val="center"/>
                </w:tcPr>
                <w:p w14:paraId="15510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5</w:t>
                  </w:r>
                </w:p>
              </w:tc>
              <w:tc>
                <w:tcPr>
                  <w:tcW w:w="544" w:type="pct"/>
                  <w:vMerge w:val="continue"/>
                  <w:tcBorders>
                    <w:tl2br w:val="nil"/>
                    <w:tr2bl w:val="nil"/>
                  </w:tcBorders>
                  <w:noWrap w:val="0"/>
                  <w:vAlign w:val="center"/>
                </w:tcPr>
                <w:p w14:paraId="79C40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3FD48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14:paraId="7C841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545" w:type="pct"/>
                  <w:vMerge w:val="continue"/>
                  <w:tcBorders>
                    <w:tl2br w:val="nil"/>
                    <w:tr2bl w:val="nil"/>
                  </w:tcBorders>
                  <w:noWrap w:val="0"/>
                  <w:tcMar>
                    <w:top w:w="15" w:type="dxa"/>
                    <w:left w:w="15" w:type="dxa"/>
                    <w:bottom w:w="0" w:type="dxa"/>
                    <w:right w:w="15" w:type="dxa"/>
                  </w:tcMar>
                  <w:vAlign w:val="center"/>
                </w:tcPr>
                <w:p w14:paraId="355D0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2F800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装载机</w:t>
                  </w:r>
                </w:p>
              </w:tc>
              <w:tc>
                <w:tcPr>
                  <w:tcW w:w="1013" w:type="pct"/>
                  <w:tcBorders>
                    <w:tl2br w:val="nil"/>
                    <w:tr2bl w:val="nil"/>
                  </w:tcBorders>
                  <w:noWrap w:val="0"/>
                  <w:vAlign w:val="center"/>
                </w:tcPr>
                <w:p w14:paraId="101AD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50型</w:t>
                  </w:r>
                </w:p>
              </w:tc>
              <w:tc>
                <w:tcPr>
                  <w:tcW w:w="792" w:type="pct"/>
                  <w:tcBorders>
                    <w:tl2br w:val="nil"/>
                    <w:tr2bl w:val="nil"/>
                  </w:tcBorders>
                  <w:noWrap w:val="0"/>
                  <w:vAlign w:val="center"/>
                </w:tcPr>
                <w:p w14:paraId="55B40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793" w:type="pct"/>
                  <w:tcBorders>
                    <w:tl2br w:val="nil"/>
                    <w:tr2bl w:val="nil"/>
                  </w:tcBorders>
                  <w:shd w:val="clear" w:color="auto" w:fill="auto"/>
                  <w:noWrap w:val="0"/>
                  <w:vAlign w:val="center"/>
                </w:tcPr>
                <w:p w14:paraId="26226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544" w:type="pct"/>
                  <w:vMerge w:val="continue"/>
                  <w:tcBorders>
                    <w:tl2br w:val="nil"/>
                    <w:tr2bl w:val="nil"/>
                  </w:tcBorders>
                  <w:noWrap w:val="0"/>
                  <w:vAlign w:val="center"/>
                </w:tcPr>
                <w:p w14:paraId="708AB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14:paraId="5D09E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14:paraId="60078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545" w:type="pct"/>
                  <w:vMerge w:val="continue"/>
                  <w:tcBorders>
                    <w:tl2br w:val="nil"/>
                    <w:tr2bl w:val="nil"/>
                  </w:tcBorders>
                  <w:noWrap w:val="0"/>
                  <w:tcMar>
                    <w:top w:w="15" w:type="dxa"/>
                    <w:left w:w="15" w:type="dxa"/>
                    <w:bottom w:w="0" w:type="dxa"/>
                    <w:right w:w="15" w:type="dxa"/>
                  </w:tcMar>
                  <w:vAlign w:val="center"/>
                </w:tcPr>
                <w:p w14:paraId="1E33C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p>
              </w:tc>
              <w:tc>
                <w:tcPr>
                  <w:tcW w:w="1032" w:type="pct"/>
                  <w:tcBorders>
                    <w:tl2br w:val="nil"/>
                    <w:tr2bl w:val="nil"/>
                  </w:tcBorders>
                  <w:noWrap w:val="0"/>
                  <w:tcMar>
                    <w:top w:w="15" w:type="dxa"/>
                    <w:left w:w="15" w:type="dxa"/>
                    <w:bottom w:w="0" w:type="dxa"/>
                    <w:right w:w="15" w:type="dxa"/>
                  </w:tcMar>
                  <w:vAlign w:val="center"/>
                </w:tcPr>
                <w:p w14:paraId="5F325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eastAsia="zh-CN"/>
                    </w:rPr>
                    <w:t>压路机</w:t>
                  </w:r>
                </w:p>
              </w:tc>
              <w:tc>
                <w:tcPr>
                  <w:tcW w:w="1013" w:type="pct"/>
                  <w:tcBorders>
                    <w:tl2br w:val="nil"/>
                    <w:tr2bl w:val="nil"/>
                  </w:tcBorders>
                  <w:noWrap w:val="0"/>
                  <w:vAlign w:val="center"/>
                </w:tcPr>
                <w:p w14:paraId="39CB4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70吨振动压</w:t>
                  </w:r>
                </w:p>
              </w:tc>
              <w:tc>
                <w:tcPr>
                  <w:tcW w:w="792" w:type="pct"/>
                  <w:tcBorders>
                    <w:tl2br w:val="nil"/>
                    <w:tr2bl w:val="nil"/>
                  </w:tcBorders>
                  <w:noWrap w:val="0"/>
                  <w:vAlign w:val="center"/>
                </w:tcPr>
                <w:p w14:paraId="702E5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14:paraId="04D5B9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14:paraId="1743B9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14:paraId="1E8D3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19027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kern w:val="2"/>
                      <w:position w:val="0"/>
                      <w:sz w:val="21"/>
                      <w:szCs w:val="21"/>
                      <w:u w:val="single" w:color="auto"/>
                      <w:lang w:val="en-US" w:eastAsia="zh-CN" w:bidi="ar-SA"/>
                    </w:rPr>
                    <w:t>5</w:t>
                  </w:r>
                </w:p>
              </w:tc>
              <w:tc>
                <w:tcPr>
                  <w:tcW w:w="545" w:type="pct"/>
                  <w:vMerge w:val="restart"/>
                  <w:tcBorders>
                    <w:tl2br w:val="nil"/>
                    <w:tr2bl w:val="nil"/>
                  </w:tcBorders>
                  <w:noWrap w:val="0"/>
                  <w:tcMar>
                    <w:top w:w="15" w:type="dxa"/>
                    <w:left w:w="15" w:type="dxa"/>
                    <w:bottom w:w="0" w:type="dxa"/>
                    <w:right w:w="15" w:type="dxa"/>
                  </w:tcMar>
                  <w:vAlign w:val="center"/>
                </w:tcPr>
                <w:p w14:paraId="367D0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碎石加工区</w:t>
                  </w:r>
                </w:p>
              </w:tc>
              <w:tc>
                <w:tcPr>
                  <w:tcW w:w="1032" w:type="pct"/>
                  <w:tcBorders>
                    <w:tl2br w:val="nil"/>
                    <w:tr2bl w:val="nil"/>
                  </w:tcBorders>
                  <w:noWrap w:val="0"/>
                  <w:tcMar>
                    <w:top w:w="15" w:type="dxa"/>
                    <w:left w:w="15" w:type="dxa"/>
                    <w:bottom w:w="0" w:type="dxa"/>
                    <w:right w:w="15" w:type="dxa"/>
                  </w:tcMar>
                  <w:vAlign w:val="center"/>
                </w:tcPr>
                <w:p w14:paraId="041A7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皮带输送机</w:t>
                  </w:r>
                </w:p>
              </w:tc>
              <w:tc>
                <w:tcPr>
                  <w:tcW w:w="1013" w:type="pct"/>
                  <w:tcBorders>
                    <w:tl2br w:val="nil"/>
                    <w:tr2bl w:val="nil"/>
                  </w:tcBorders>
                  <w:noWrap w:val="0"/>
                  <w:vAlign w:val="center"/>
                </w:tcPr>
                <w:p w14:paraId="6A180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600mm</w:t>
                  </w:r>
                </w:p>
              </w:tc>
              <w:tc>
                <w:tcPr>
                  <w:tcW w:w="792" w:type="pct"/>
                  <w:tcBorders>
                    <w:tl2br w:val="nil"/>
                    <w:tr2bl w:val="nil"/>
                  </w:tcBorders>
                  <w:noWrap w:val="0"/>
                  <w:vAlign w:val="center"/>
                </w:tcPr>
                <w:p w14:paraId="46489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14:paraId="3C61D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14:paraId="6AFD0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14:paraId="01053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79479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6</w:t>
                  </w:r>
                </w:p>
              </w:tc>
              <w:tc>
                <w:tcPr>
                  <w:tcW w:w="545" w:type="pct"/>
                  <w:vMerge w:val="continue"/>
                  <w:tcBorders>
                    <w:tl2br w:val="nil"/>
                    <w:tr2bl w:val="nil"/>
                  </w:tcBorders>
                  <w:noWrap w:val="0"/>
                  <w:tcMar>
                    <w:top w:w="15" w:type="dxa"/>
                    <w:left w:w="15" w:type="dxa"/>
                    <w:bottom w:w="0" w:type="dxa"/>
                    <w:right w:w="15" w:type="dxa"/>
                  </w:tcMar>
                  <w:vAlign w:val="center"/>
                </w:tcPr>
                <w:p w14:paraId="127B7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16B3B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给料机</w:t>
                  </w:r>
                </w:p>
              </w:tc>
              <w:tc>
                <w:tcPr>
                  <w:tcW w:w="1013" w:type="pct"/>
                  <w:tcBorders>
                    <w:tl2br w:val="nil"/>
                    <w:tr2bl w:val="nil"/>
                  </w:tcBorders>
                  <w:noWrap w:val="0"/>
                  <w:vAlign w:val="center"/>
                </w:tcPr>
                <w:p w14:paraId="39652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ZSW600X160</w:t>
                  </w:r>
                </w:p>
              </w:tc>
              <w:tc>
                <w:tcPr>
                  <w:tcW w:w="792" w:type="pct"/>
                  <w:tcBorders>
                    <w:tl2br w:val="nil"/>
                    <w:tr2bl w:val="nil"/>
                  </w:tcBorders>
                  <w:noWrap w:val="0"/>
                  <w:vAlign w:val="center"/>
                </w:tcPr>
                <w:p w14:paraId="530DE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14:paraId="2023D8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14:paraId="60F9D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14:paraId="59C69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48097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7</w:t>
                  </w:r>
                </w:p>
              </w:tc>
              <w:tc>
                <w:tcPr>
                  <w:tcW w:w="545" w:type="pct"/>
                  <w:vMerge w:val="continue"/>
                  <w:tcBorders>
                    <w:tl2br w:val="nil"/>
                    <w:tr2bl w:val="nil"/>
                  </w:tcBorders>
                  <w:noWrap w:val="0"/>
                  <w:tcMar>
                    <w:top w:w="15" w:type="dxa"/>
                    <w:left w:w="15" w:type="dxa"/>
                    <w:bottom w:w="0" w:type="dxa"/>
                    <w:right w:w="15" w:type="dxa"/>
                  </w:tcMar>
                  <w:vAlign w:val="center"/>
                </w:tcPr>
                <w:p w14:paraId="41131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48795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lang w:val="en-US" w:eastAsia="zh-CN"/>
                    </w:rPr>
                    <w:t>立轴破颚式破碎机</w:t>
                  </w:r>
                </w:p>
              </w:tc>
              <w:tc>
                <w:tcPr>
                  <w:tcW w:w="1013" w:type="pct"/>
                  <w:tcBorders>
                    <w:tl2br w:val="nil"/>
                    <w:tr2bl w:val="nil"/>
                  </w:tcBorders>
                  <w:noWrap w:val="0"/>
                  <w:vAlign w:val="center"/>
                </w:tcPr>
                <w:p w14:paraId="70105A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PL9500YP</w:t>
                  </w:r>
                </w:p>
              </w:tc>
              <w:tc>
                <w:tcPr>
                  <w:tcW w:w="792" w:type="pct"/>
                  <w:tcBorders>
                    <w:tl2br w:val="nil"/>
                    <w:tr2bl w:val="nil"/>
                  </w:tcBorders>
                  <w:noWrap w:val="0"/>
                  <w:vAlign w:val="center"/>
                </w:tcPr>
                <w:p w14:paraId="428BF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14:paraId="413C8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14:paraId="00204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14:paraId="2AE11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71065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545" w:type="pct"/>
                  <w:vMerge w:val="continue"/>
                  <w:tcBorders>
                    <w:tl2br w:val="nil"/>
                    <w:tr2bl w:val="nil"/>
                  </w:tcBorders>
                  <w:noWrap w:val="0"/>
                  <w:tcMar>
                    <w:top w:w="15" w:type="dxa"/>
                    <w:left w:w="15" w:type="dxa"/>
                    <w:bottom w:w="0" w:type="dxa"/>
                    <w:right w:w="15" w:type="dxa"/>
                  </w:tcMar>
                  <w:vAlign w:val="center"/>
                </w:tcPr>
                <w:p w14:paraId="73A5F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0447BE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振动筛</w:t>
                  </w:r>
                </w:p>
              </w:tc>
              <w:tc>
                <w:tcPr>
                  <w:tcW w:w="1013" w:type="pct"/>
                  <w:tcBorders>
                    <w:tl2br w:val="nil"/>
                    <w:tr2bl w:val="nil"/>
                  </w:tcBorders>
                  <w:noWrap w:val="0"/>
                  <w:vAlign w:val="center"/>
                </w:tcPr>
                <w:p w14:paraId="421C6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4YK2460、2YK2160</w:t>
                  </w:r>
                </w:p>
              </w:tc>
              <w:tc>
                <w:tcPr>
                  <w:tcW w:w="792" w:type="pct"/>
                  <w:tcBorders>
                    <w:tl2br w:val="nil"/>
                    <w:tr2bl w:val="nil"/>
                  </w:tcBorders>
                  <w:noWrap w:val="0"/>
                  <w:vAlign w:val="center"/>
                </w:tcPr>
                <w:p w14:paraId="1D52F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14:paraId="2FB7E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14:paraId="7893B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3C5DC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44D2B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9</w:t>
                  </w:r>
                </w:p>
              </w:tc>
              <w:tc>
                <w:tcPr>
                  <w:tcW w:w="545" w:type="pct"/>
                  <w:vMerge w:val="continue"/>
                  <w:tcBorders>
                    <w:tl2br w:val="nil"/>
                    <w:tr2bl w:val="nil"/>
                  </w:tcBorders>
                  <w:noWrap w:val="0"/>
                  <w:tcMar>
                    <w:top w:w="15" w:type="dxa"/>
                    <w:left w:w="15" w:type="dxa"/>
                    <w:bottom w:w="0" w:type="dxa"/>
                    <w:right w:w="15" w:type="dxa"/>
                  </w:tcMar>
                  <w:vAlign w:val="center"/>
                </w:tcPr>
                <w:p w14:paraId="134D6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7C87B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反击式破碎机</w:t>
                  </w:r>
                </w:p>
              </w:tc>
              <w:tc>
                <w:tcPr>
                  <w:tcW w:w="1013" w:type="pct"/>
                  <w:tcBorders>
                    <w:tl2br w:val="nil"/>
                    <w:tr2bl w:val="nil"/>
                  </w:tcBorders>
                  <w:noWrap w:val="0"/>
                  <w:vAlign w:val="center"/>
                </w:tcPr>
                <w:p w14:paraId="7DC64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CF400、CF650C</w:t>
                  </w:r>
                </w:p>
              </w:tc>
              <w:tc>
                <w:tcPr>
                  <w:tcW w:w="792" w:type="pct"/>
                  <w:tcBorders>
                    <w:tl2br w:val="nil"/>
                    <w:tr2bl w:val="nil"/>
                  </w:tcBorders>
                  <w:noWrap w:val="0"/>
                  <w:vAlign w:val="center"/>
                </w:tcPr>
                <w:p w14:paraId="203AE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14:paraId="493E2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14:paraId="26392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339C0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62833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10</w:t>
                  </w:r>
                </w:p>
              </w:tc>
              <w:tc>
                <w:tcPr>
                  <w:tcW w:w="545" w:type="pct"/>
                  <w:vMerge w:val="continue"/>
                  <w:tcBorders>
                    <w:tl2br w:val="nil"/>
                    <w:tr2bl w:val="nil"/>
                  </w:tcBorders>
                  <w:noWrap w:val="0"/>
                  <w:tcMar>
                    <w:top w:w="15" w:type="dxa"/>
                    <w:left w:w="15" w:type="dxa"/>
                    <w:bottom w:w="0" w:type="dxa"/>
                    <w:right w:w="15" w:type="dxa"/>
                  </w:tcMar>
                  <w:vAlign w:val="center"/>
                </w:tcPr>
                <w:p w14:paraId="2CEC4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606CC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风机</w:t>
                  </w:r>
                </w:p>
              </w:tc>
              <w:tc>
                <w:tcPr>
                  <w:tcW w:w="1013" w:type="pct"/>
                  <w:tcBorders>
                    <w:tl2br w:val="nil"/>
                    <w:tr2bl w:val="nil"/>
                  </w:tcBorders>
                  <w:noWrap w:val="0"/>
                  <w:vAlign w:val="center"/>
                </w:tcPr>
                <w:p w14:paraId="534EE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14:paraId="6D647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14:paraId="293C5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14:paraId="70BF9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02AF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164F3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11</w:t>
                  </w:r>
                </w:p>
              </w:tc>
              <w:tc>
                <w:tcPr>
                  <w:tcW w:w="545" w:type="pct"/>
                  <w:vMerge w:val="continue"/>
                  <w:tcBorders>
                    <w:tl2br w:val="nil"/>
                    <w:tr2bl w:val="nil"/>
                  </w:tcBorders>
                  <w:noWrap w:val="0"/>
                  <w:tcMar>
                    <w:top w:w="15" w:type="dxa"/>
                    <w:left w:w="15" w:type="dxa"/>
                    <w:bottom w:w="0" w:type="dxa"/>
                    <w:right w:w="15" w:type="dxa"/>
                  </w:tcMar>
                  <w:vAlign w:val="center"/>
                </w:tcPr>
                <w:p w14:paraId="7C262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20181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lang w:val="en-US" w:eastAsia="zh-CN"/>
                    </w:rPr>
                    <w:t>布袋除尘器</w:t>
                  </w:r>
                </w:p>
              </w:tc>
              <w:tc>
                <w:tcPr>
                  <w:tcW w:w="1013" w:type="pct"/>
                  <w:tcBorders>
                    <w:tl2br w:val="nil"/>
                    <w:tr2bl w:val="nil"/>
                  </w:tcBorders>
                  <w:noWrap w:val="0"/>
                  <w:vAlign w:val="center"/>
                </w:tcPr>
                <w:p w14:paraId="597AF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w:t>
                  </w:r>
                </w:p>
              </w:tc>
              <w:tc>
                <w:tcPr>
                  <w:tcW w:w="792" w:type="pct"/>
                  <w:tcBorders>
                    <w:tl2br w:val="nil"/>
                    <w:tr2bl w:val="nil"/>
                  </w:tcBorders>
                  <w:noWrap w:val="0"/>
                  <w:vAlign w:val="center"/>
                </w:tcPr>
                <w:p w14:paraId="07C78B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2</w:t>
                  </w:r>
                </w:p>
              </w:tc>
              <w:tc>
                <w:tcPr>
                  <w:tcW w:w="793" w:type="pct"/>
                  <w:tcBorders>
                    <w:tl2br w:val="nil"/>
                    <w:tr2bl w:val="nil"/>
                  </w:tcBorders>
                  <w:noWrap w:val="0"/>
                  <w:vAlign w:val="center"/>
                </w:tcPr>
                <w:p w14:paraId="34E8F3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2</w:t>
                  </w:r>
                </w:p>
              </w:tc>
              <w:tc>
                <w:tcPr>
                  <w:tcW w:w="544" w:type="pct"/>
                  <w:vMerge w:val="continue"/>
                  <w:tcBorders>
                    <w:tl2br w:val="nil"/>
                    <w:tr2bl w:val="nil"/>
                  </w:tcBorders>
                  <w:noWrap w:val="0"/>
                  <w:vAlign w:val="center"/>
                </w:tcPr>
                <w:p w14:paraId="4F033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2C584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52DB4C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12</w:t>
                  </w:r>
                </w:p>
              </w:tc>
              <w:tc>
                <w:tcPr>
                  <w:tcW w:w="545" w:type="pct"/>
                  <w:vMerge w:val="restart"/>
                  <w:tcBorders>
                    <w:tl2br w:val="nil"/>
                    <w:tr2bl w:val="nil"/>
                  </w:tcBorders>
                  <w:noWrap w:val="0"/>
                  <w:tcMar>
                    <w:top w:w="15" w:type="dxa"/>
                    <w:left w:w="15" w:type="dxa"/>
                    <w:bottom w:w="0" w:type="dxa"/>
                    <w:right w:w="15" w:type="dxa"/>
                  </w:tcMar>
                  <w:vAlign w:val="center"/>
                </w:tcPr>
                <w:p w14:paraId="5A0C5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水稳拌合区</w:t>
                  </w:r>
                </w:p>
              </w:tc>
              <w:tc>
                <w:tcPr>
                  <w:tcW w:w="1032" w:type="pct"/>
                  <w:tcBorders>
                    <w:tl2br w:val="nil"/>
                    <w:tr2bl w:val="nil"/>
                  </w:tcBorders>
                  <w:noWrap w:val="0"/>
                  <w:tcMar>
                    <w:top w:w="15" w:type="dxa"/>
                    <w:left w:w="15" w:type="dxa"/>
                    <w:bottom w:w="0" w:type="dxa"/>
                    <w:right w:w="15" w:type="dxa"/>
                  </w:tcMar>
                  <w:vAlign w:val="center"/>
                </w:tcPr>
                <w:p w14:paraId="0FF3F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水稳拌合站</w:t>
                  </w:r>
                </w:p>
              </w:tc>
              <w:tc>
                <w:tcPr>
                  <w:tcW w:w="1013" w:type="pct"/>
                  <w:tcBorders>
                    <w:tl2br w:val="nil"/>
                    <w:tr2bl w:val="nil"/>
                  </w:tcBorders>
                  <w:shd w:val="clear" w:color="auto" w:fill="auto"/>
                  <w:noWrap w:val="0"/>
                  <w:vAlign w:val="center"/>
                </w:tcPr>
                <w:p w14:paraId="0DE91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14:paraId="560DF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3" w:type="pct"/>
                  <w:tcBorders>
                    <w:tl2br w:val="nil"/>
                    <w:tr2bl w:val="nil"/>
                  </w:tcBorders>
                  <w:noWrap w:val="0"/>
                  <w:vAlign w:val="center"/>
                </w:tcPr>
                <w:p w14:paraId="54E0B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restart"/>
                  <w:tcBorders>
                    <w:tl2br w:val="nil"/>
                    <w:tr2bl w:val="nil"/>
                  </w:tcBorders>
                  <w:noWrap w:val="0"/>
                  <w:vAlign w:val="center"/>
                </w:tcPr>
                <w:p w14:paraId="773F5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新增</w:t>
                  </w:r>
                </w:p>
              </w:tc>
            </w:tr>
            <w:tr w14:paraId="57659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5EB2D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13</w:t>
                  </w:r>
                </w:p>
              </w:tc>
              <w:tc>
                <w:tcPr>
                  <w:tcW w:w="545" w:type="pct"/>
                  <w:vMerge w:val="continue"/>
                  <w:tcBorders>
                    <w:tl2br w:val="nil"/>
                    <w:tr2bl w:val="nil"/>
                  </w:tcBorders>
                  <w:noWrap w:val="0"/>
                  <w:tcMar>
                    <w:top w:w="15" w:type="dxa"/>
                    <w:left w:w="15" w:type="dxa"/>
                    <w:bottom w:w="0" w:type="dxa"/>
                    <w:right w:w="15" w:type="dxa"/>
                  </w:tcMar>
                  <w:vAlign w:val="center"/>
                </w:tcPr>
                <w:p w14:paraId="2E4839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1032" w:type="pct"/>
                  <w:tcBorders>
                    <w:tl2br w:val="nil"/>
                    <w:tr2bl w:val="nil"/>
                  </w:tcBorders>
                  <w:noWrap w:val="0"/>
                  <w:tcMar>
                    <w:top w:w="15" w:type="dxa"/>
                    <w:left w:w="15" w:type="dxa"/>
                    <w:bottom w:w="0" w:type="dxa"/>
                    <w:right w:w="15" w:type="dxa"/>
                  </w:tcMar>
                  <w:vAlign w:val="center"/>
                </w:tcPr>
                <w:p w14:paraId="67661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水泥筒仓</w:t>
                  </w:r>
                </w:p>
              </w:tc>
              <w:tc>
                <w:tcPr>
                  <w:tcW w:w="1013" w:type="pct"/>
                  <w:tcBorders>
                    <w:tl2br w:val="nil"/>
                    <w:tr2bl w:val="nil"/>
                  </w:tcBorders>
                  <w:shd w:val="clear" w:color="auto" w:fill="auto"/>
                  <w:noWrap w:val="0"/>
                  <w:vAlign w:val="center"/>
                </w:tcPr>
                <w:p w14:paraId="71F09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14:paraId="65679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3" w:type="pct"/>
                  <w:tcBorders>
                    <w:tl2br w:val="nil"/>
                    <w:tr2bl w:val="nil"/>
                  </w:tcBorders>
                  <w:noWrap w:val="0"/>
                  <w:vAlign w:val="center"/>
                </w:tcPr>
                <w:p w14:paraId="79000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14:paraId="12E11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r>
            <w:tr w14:paraId="59109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44D18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14</w:t>
                  </w:r>
                </w:p>
              </w:tc>
              <w:tc>
                <w:tcPr>
                  <w:tcW w:w="545" w:type="pct"/>
                  <w:vMerge w:val="restart"/>
                  <w:tcBorders>
                    <w:tl2br w:val="nil"/>
                    <w:tr2bl w:val="nil"/>
                  </w:tcBorders>
                  <w:noWrap w:val="0"/>
                  <w:tcMar>
                    <w:top w:w="15" w:type="dxa"/>
                    <w:left w:w="15" w:type="dxa"/>
                    <w:bottom w:w="0" w:type="dxa"/>
                    <w:right w:w="15" w:type="dxa"/>
                  </w:tcMar>
                  <w:vAlign w:val="center"/>
                </w:tcPr>
                <w:p w14:paraId="76DDF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工业场地</w:t>
                  </w:r>
                </w:p>
              </w:tc>
              <w:tc>
                <w:tcPr>
                  <w:tcW w:w="1032" w:type="pct"/>
                  <w:tcBorders>
                    <w:tl2br w:val="nil"/>
                    <w:tr2bl w:val="nil"/>
                  </w:tcBorders>
                  <w:noWrap w:val="0"/>
                  <w:tcMar>
                    <w:top w:w="15" w:type="dxa"/>
                    <w:left w:w="15" w:type="dxa"/>
                    <w:bottom w:w="0" w:type="dxa"/>
                    <w:right w:w="15" w:type="dxa"/>
                  </w:tcMar>
                  <w:vAlign w:val="center"/>
                </w:tcPr>
                <w:p w14:paraId="71525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变压器</w:t>
                  </w:r>
                </w:p>
              </w:tc>
              <w:tc>
                <w:tcPr>
                  <w:tcW w:w="1013" w:type="pct"/>
                  <w:tcBorders>
                    <w:tl2br w:val="nil"/>
                    <w:tr2bl w:val="nil"/>
                  </w:tcBorders>
                  <w:noWrap w:val="0"/>
                  <w:vAlign w:val="center"/>
                </w:tcPr>
                <w:p w14:paraId="3F466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S11-600/10</w:t>
                  </w:r>
                </w:p>
              </w:tc>
              <w:tc>
                <w:tcPr>
                  <w:tcW w:w="792" w:type="pct"/>
                  <w:tcBorders>
                    <w:tl2br w:val="nil"/>
                    <w:tr2bl w:val="nil"/>
                  </w:tcBorders>
                  <w:noWrap w:val="0"/>
                  <w:vAlign w:val="center"/>
                </w:tcPr>
                <w:p w14:paraId="15920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14:paraId="319B8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restart"/>
                  <w:tcBorders>
                    <w:tl2br w:val="nil"/>
                    <w:tr2bl w:val="nil"/>
                  </w:tcBorders>
                  <w:noWrap w:val="0"/>
                  <w:vAlign w:val="center"/>
                </w:tcPr>
                <w:p w14:paraId="1FBE13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lang w:val="en-US" w:eastAsia="zh-CN"/>
                    </w:rPr>
                    <w:t>依托现有生产设备</w:t>
                  </w:r>
                </w:p>
              </w:tc>
            </w:tr>
            <w:tr w14:paraId="5D03C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6C7FF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15</w:t>
                  </w:r>
                </w:p>
              </w:tc>
              <w:tc>
                <w:tcPr>
                  <w:tcW w:w="545" w:type="pct"/>
                  <w:vMerge w:val="continue"/>
                  <w:tcBorders>
                    <w:tl2br w:val="nil"/>
                    <w:tr2bl w:val="nil"/>
                  </w:tcBorders>
                  <w:noWrap w:val="0"/>
                  <w:tcMar>
                    <w:top w:w="15" w:type="dxa"/>
                    <w:left w:w="15" w:type="dxa"/>
                    <w:bottom w:w="0" w:type="dxa"/>
                    <w:right w:w="15" w:type="dxa"/>
                  </w:tcMar>
                  <w:vAlign w:val="center"/>
                </w:tcPr>
                <w:p w14:paraId="7799C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41272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空压机</w:t>
                  </w:r>
                </w:p>
              </w:tc>
              <w:tc>
                <w:tcPr>
                  <w:tcW w:w="1013" w:type="pct"/>
                  <w:tcBorders>
                    <w:tl2br w:val="nil"/>
                    <w:tr2bl w:val="nil"/>
                  </w:tcBorders>
                  <w:noWrap w:val="0"/>
                  <w:vAlign w:val="center"/>
                </w:tcPr>
                <w:p w14:paraId="18A80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LG-16/10G</w:t>
                  </w:r>
                </w:p>
              </w:tc>
              <w:tc>
                <w:tcPr>
                  <w:tcW w:w="792" w:type="pct"/>
                  <w:tcBorders>
                    <w:tl2br w:val="nil"/>
                    <w:tr2bl w:val="nil"/>
                  </w:tcBorders>
                  <w:noWrap w:val="0"/>
                  <w:vAlign w:val="center"/>
                </w:tcPr>
                <w:p w14:paraId="5AE7A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14:paraId="2DB3C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14:paraId="0D19A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41C79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262A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16</w:t>
                  </w:r>
                </w:p>
              </w:tc>
              <w:tc>
                <w:tcPr>
                  <w:tcW w:w="545" w:type="pct"/>
                  <w:vMerge w:val="continue"/>
                  <w:tcBorders>
                    <w:tl2br w:val="nil"/>
                    <w:tr2bl w:val="nil"/>
                  </w:tcBorders>
                  <w:noWrap w:val="0"/>
                  <w:tcMar>
                    <w:top w:w="15" w:type="dxa"/>
                    <w:left w:w="15" w:type="dxa"/>
                    <w:bottom w:w="0" w:type="dxa"/>
                    <w:right w:w="15" w:type="dxa"/>
                  </w:tcMar>
                  <w:vAlign w:val="center"/>
                </w:tcPr>
                <w:p w14:paraId="165F7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14:paraId="537A0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水泵</w:t>
                  </w:r>
                </w:p>
              </w:tc>
              <w:tc>
                <w:tcPr>
                  <w:tcW w:w="1013" w:type="pct"/>
                  <w:tcBorders>
                    <w:tl2br w:val="nil"/>
                    <w:tr2bl w:val="nil"/>
                  </w:tcBorders>
                  <w:noWrap w:val="0"/>
                  <w:vAlign w:val="center"/>
                </w:tcPr>
                <w:p w14:paraId="4C5C7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DA1-80×12</w:t>
                  </w:r>
                </w:p>
              </w:tc>
              <w:tc>
                <w:tcPr>
                  <w:tcW w:w="792" w:type="pct"/>
                  <w:tcBorders>
                    <w:tl2br w:val="nil"/>
                    <w:tr2bl w:val="nil"/>
                  </w:tcBorders>
                  <w:noWrap w:val="0"/>
                  <w:vAlign w:val="center"/>
                </w:tcPr>
                <w:p w14:paraId="078BA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14:paraId="12568C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14:paraId="2C462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14:paraId="14DD6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14:paraId="38476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17</w:t>
                  </w:r>
                </w:p>
              </w:tc>
              <w:tc>
                <w:tcPr>
                  <w:tcW w:w="545" w:type="pct"/>
                  <w:tcBorders>
                    <w:tl2br w:val="nil"/>
                    <w:tr2bl w:val="nil"/>
                  </w:tcBorders>
                  <w:noWrap w:val="0"/>
                  <w:tcMar>
                    <w:top w:w="15" w:type="dxa"/>
                    <w:left w:w="15" w:type="dxa"/>
                    <w:bottom w:w="0" w:type="dxa"/>
                    <w:right w:w="15" w:type="dxa"/>
                  </w:tcMar>
                  <w:vAlign w:val="center"/>
                </w:tcPr>
                <w:p w14:paraId="125EE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运输设备</w:t>
                  </w:r>
                </w:p>
              </w:tc>
              <w:tc>
                <w:tcPr>
                  <w:tcW w:w="1032" w:type="pct"/>
                  <w:tcBorders>
                    <w:tl2br w:val="nil"/>
                    <w:tr2bl w:val="nil"/>
                  </w:tcBorders>
                  <w:noWrap w:val="0"/>
                  <w:tcMar>
                    <w:top w:w="15" w:type="dxa"/>
                    <w:left w:w="15" w:type="dxa"/>
                    <w:bottom w:w="0" w:type="dxa"/>
                    <w:right w:w="15" w:type="dxa"/>
                  </w:tcMar>
                  <w:vAlign w:val="center"/>
                </w:tcPr>
                <w:p w14:paraId="5AA41C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运输车</w:t>
                  </w:r>
                </w:p>
              </w:tc>
              <w:tc>
                <w:tcPr>
                  <w:tcW w:w="1013" w:type="pct"/>
                  <w:tcBorders>
                    <w:tl2br w:val="nil"/>
                    <w:tr2bl w:val="nil"/>
                  </w:tcBorders>
                  <w:noWrap w:val="0"/>
                  <w:vAlign w:val="center"/>
                </w:tcPr>
                <w:p w14:paraId="2DFC3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载重20t</w:t>
                  </w:r>
                </w:p>
              </w:tc>
              <w:tc>
                <w:tcPr>
                  <w:tcW w:w="792" w:type="pct"/>
                  <w:tcBorders>
                    <w:tl2br w:val="nil"/>
                    <w:tr2bl w:val="nil"/>
                  </w:tcBorders>
                  <w:noWrap w:val="0"/>
                  <w:vAlign w:val="center"/>
                </w:tcPr>
                <w:p w14:paraId="05F8A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793" w:type="pct"/>
                  <w:tcBorders>
                    <w:tl2br w:val="nil"/>
                    <w:tr2bl w:val="nil"/>
                  </w:tcBorders>
                  <w:shd w:val="clear" w:color="auto" w:fill="auto"/>
                  <w:noWrap w:val="0"/>
                  <w:vAlign w:val="center"/>
                </w:tcPr>
                <w:p w14:paraId="3D59D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544" w:type="pct"/>
                  <w:vMerge w:val="continue"/>
                  <w:tcBorders>
                    <w:tl2br w:val="nil"/>
                    <w:tr2bl w:val="nil"/>
                  </w:tcBorders>
                  <w:noWrap w:val="0"/>
                  <w:vAlign w:val="center"/>
                </w:tcPr>
                <w:p w14:paraId="6A701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bl>
          <w:p w14:paraId="41A228A5">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eastAsia" w:ascii="Times New Roman" w:hAnsi="Times New Roman" w:eastAsia="宋体" w:cs="Times New Roman"/>
                <w:b/>
                <w:color w:val="auto"/>
                <w:spacing w:val="11"/>
                <w:position w:val="0"/>
                <w:sz w:val="24"/>
                <w:szCs w:val="24"/>
                <w:highlight w:val="none"/>
                <w:u w:val="none" w:color="auto"/>
                <w:lang w:val="en-US" w:eastAsia="zh-CN"/>
              </w:rPr>
              <w:t>2.6</w:t>
            </w:r>
            <w:r>
              <w:rPr>
                <w:rFonts w:hint="default" w:ascii="Times New Roman" w:hAnsi="Times New Roman" w:eastAsia="宋体" w:cs="Times New Roman"/>
                <w:b/>
                <w:color w:val="auto"/>
                <w:spacing w:val="11"/>
                <w:position w:val="0"/>
                <w:sz w:val="24"/>
                <w:szCs w:val="24"/>
                <w:highlight w:val="none"/>
                <w:u w:val="none" w:color="auto"/>
                <w:lang w:val="en-US" w:eastAsia="zh-CN"/>
              </w:rPr>
              <w:t xml:space="preserve">公共工程 </w:t>
            </w:r>
          </w:p>
          <w:p w14:paraId="2B1EE35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（1）给排水 </w:t>
            </w:r>
          </w:p>
          <w:p w14:paraId="15763FA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①给水 </w:t>
            </w:r>
          </w:p>
          <w:p w14:paraId="39E11B8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生产用水来源于项目场区内沉淀池</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以及市政供水管网</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，生活用水来源于市政供水管网。 </w:t>
            </w:r>
          </w:p>
          <w:p w14:paraId="264CC5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②排水 </w:t>
            </w:r>
          </w:p>
          <w:p w14:paraId="574013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single" w:color="auto"/>
                <w:lang w:val="en-US" w:eastAsia="zh-CN"/>
              </w:rPr>
              <w:t>厂区内采取雨污分流措施。</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场区道路两旁</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、开采区</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设有</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雨水沟</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，初期雨水</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经雨水沟</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汇入</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初期雨水池</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进行沉淀处理，处理后回用于洒水抑尘以及洗砂用水。</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车辆清洗废水暂存于车辆过水池，循环用水不外排；</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生活污水经化粪池处理后用于矿区周边农田施肥。 </w:t>
            </w:r>
          </w:p>
          <w:p w14:paraId="74A743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（2）供电 </w:t>
            </w:r>
          </w:p>
          <w:p w14:paraId="234C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矿山生产生活用电直接从附近的农网10KV农网T接入，用于安装动力线路及设施设备。配置1台变压器，可以满足矿山生产、生活用电。 </w:t>
            </w:r>
          </w:p>
          <w:p w14:paraId="39F4C4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2"/>
                <w:highlight w:val="none"/>
                <w:u w:val="none" w:color="auto"/>
                <w:lang w:val="en-US" w:eastAsia="zh-CN"/>
              </w:rPr>
            </w:pPr>
            <w:r>
              <w:rPr>
                <w:rFonts w:hint="eastAsia" w:ascii="Times New Roman" w:hAnsi="Times New Roman" w:eastAsia="宋体" w:cs="Times New Roman"/>
                <w:b/>
                <w:bCs/>
                <w:color w:val="auto"/>
                <w:spacing w:val="11"/>
                <w:position w:val="0"/>
                <w:sz w:val="24"/>
                <w:szCs w:val="22"/>
                <w:highlight w:val="none"/>
                <w:u w:val="none" w:color="auto"/>
                <w:lang w:val="en-US" w:eastAsia="zh-CN"/>
              </w:rPr>
              <w:t>2.7</w:t>
            </w:r>
            <w:r>
              <w:rPr>
                <w:rFonts w:hint="default" w:ascii="Times New Roman" w:hAnsi="Times New Roman" w:eastAsia="宋体" w:cs="Times New Roman"/>
                <w:b/>
                <w:bCs/>
                <w:color w:val="auto"/>
                <w:spacing w:val="11"/>
                <w:position w:val="0"/>
                <w:sz w:val="24"/>
                <w:szCs w:val="22"/>
                <w:highlight w:val="none"/>
                <w:u w:val="none" w:color="auto"/>
                <w:lang w:val="en-US" w:eastAsia="zh-CN"/>
              </w:rPr>
              <w:t xml:space="preserve">劳动定员与生产班制 </w:t>
            </w:r>
          </w:p>
          <w:p w14:paraId="5E2DA3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项目劳动定员</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2</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0人，均为附近村民，不在厂内食宿。两班制，每班工作</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8</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小时，年生产300天。</w:t>
            </w:r>
          </w:p>
          <w:p w14:paraId="1A55A6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b/>
                <w:bCs/>
                <w:color w:val="auto"/>
                <w:spacing w:val="11"/>
                <w:position w:val="0"/>
                <w:sz w:val="24"/>
                <w:szCs w:val="22"/>
                <w:u w:val="none" w:color="auto"/>
                <w:lang w:val="en-US" w:eastAsia="zh-CN"/>
              </w:rPr>
              <w:t>3、矿区概况</w:t>
            </w:r>
          </w:p>
          <w:p w14:paraId="22F933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u w:val="none" w:color="auto"/>
                <w:lang w:val="en-US" w:eastAsia="zh-CN"/>
              </w:rPr>
            </w:pPr>
            <w:r>
              <w:rPr>
                <w:rFonts w:hint="eastAsia" w:cs="Times New Roman"/>
                <w:color w:val="auto"/>
                <w:spacing w:val="11"/>
                <w:position w:val="0"/>
                <w:sz w:val="24"/>
                <w:szCs w:val="22"/>
                <w:u w:val="none" w:color="auto"/>
                <w:lang w:val="en-US" w:eastAsia="zh-CN"/>
              </w:rPr>
              <w:t>（1）矿区总体概况</w:t>
            </w:r>
          </w:p>
          <w:p w14:paraId="587E81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矿区面积0.1018km</w:t>
            </w:r>
            <w:r>
              <w:rPr>
                <w:rFonts w:hint="default" w:ascii="Times New Roman" w:hAnsi="Times New Roman" w:eastAsia="宋体" w:cs="Times New Roman"/>
                <w:color w:val="auto"/>
                <w:spacing w:val="11"/>
                <w:position w:val="0"/>
                <w:sz w:val="24"/>
                <w:szCs w:val="22"/>
                <w:u w:val="none" w:color="auto"/>
                <w:vertAlign w:val="superscript"/>
                <w:lang w:val="en-US" w:eastAsia="zh-CN"/>
              </w:rPr>
              <w:t>2</w:t>
            </w:r>
            <w:r>
              <w:rPr>
                <w:rFonts w:hint="default" w:ascii="Times New Roman" w:hAnsi="Times New Roman" w:eastAsia="宋体" w:cs="Times New Roman"/>
                <w:color w:val="auto"/>
                <w:spacing w:val="11"/>
                <w:position w:val="0"/>
                <w:sz w:val="24"/>
                <w:szCs w:val="22"/>
                <w:u w:val="none" w:color="auto"/>
                <w:lang w:val="en-US" w:eastAsia="zh-CN"/>
              </w:rPr>
              <w:t>，准采标高+343m～+260m，年开采</w:t>
            </w:r>
            <w:r>
              <w:rPr>
                <w:rFonts w:hint="eastAsia"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建筑石料用灰岩，经省矿政管理系统查询，矿区范围与规划“三区”关系信息、其他矿业权信息、永久基本农田信息等15项查询信息不重合，拟设采矿权范围内无限制矿区、无限制开采区、无登记探矿权、无采矿权、无已探明的矿产资源储量关系信息、无建设用地项目、无生态保护红线、无基本农田、无自然保护地、无风景名胜区</w:t>
            </w:r>
            <w:r>
              <w:rPr>
                <w:rFonts w:hint="eastAsia" w:cs="Times New Roman"/>
                <w:color w:val="auto"/>
                <w:spacing w:val="11"/>
                <w:position w:val="0"/>
                <w:sz w:val="24"/>
                <w:szCs w:val="22"/>
                <w:u w:val="none" w:color="auto"/>
                <w:lang w:val="en-US" w:eastAsia="zh-CN"/>
              </w:rPr>
              <w:t>，不存在一矿多开、大矿小开的情况</w:t>
            </w:r>
            <w:r>
              <w:rPr>
                <w:rFonts w:hint="default" w:ascii="Times New Roman" w:hAnsi="Times New Roman" w:eastAsia="宋体" w:cs="Times New Roman"/>
                <w:color w:val="auto"/>
                <w:spacing w:val="11"/>
                <w:position w:val="0"/>
                <w:sz w:val="24"/>
                <w:szCs w:val="22"/>
                <w:u w:val="none" w:color="auto"/>
                <w:lang w:val="en-US" w:eastAsia="zh-CN"/>
              </w:rPr>
              <w:t>。拟设采矿权范围内有林地0.022km</w:t>
            </w:r>
            <w:r>
              <w:rPr>
                <w:rFonts w:hint="default" w:ascii="Times New Roman" w:hAnsi="Times New Roman" w:eastAsia="宋体" w:cs="Times New Roman"/>
                <w:color w:val="auto"/>
                <w:spacing w:val="11"/>
                <w:position w:val="0"/>
                <w:sz w:val="24"/>
                <w:szCs w:val="22"/>
                <w:u w:val="none" w:color="auto"/>
                <w:vertAlign w:val="superscript"/>
                <w:lang w:val="en-US" w:eastAsia="zh-CN"/>
              </w:rPr>
              <w:t>2</w:t>
            </w:r>
            <w:r>
              <w:rPr>
                <w:rFonts w:hint="default" w:ascii="Times New Roman" w:hAnsi="Times New Roman" w:eastAsia="宋体" w:cs="Times New Roman"/>
                <w:color w:val="auto"/>
                <w:spacing w:val="11"/>
                <w:position w:val="0"/>
                <w:sz w:val="24"/>
                <w:szCs w:val="22"/>
                <w:u w:val="none" w:color="auto"/>
                <w:lang w:val="en-US" w:eastAsia="zh-CN"/>
              </w:rPr>
              <w:t>，在开采前，应按林业部门有关要求办理好相关手续。</w:t>
            </w:r>
          </w:p>
          <w:p w14:paraId="26DB83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（2）矿石储量</w:t>
            </w:r>
          </w:p>
          <w:p w14:paraId="4DDB53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C00000"/>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根据《湖南省新田县周家洞矿区建筑石料用灰岩矿采矿权申请范围核查报告》，拟设采矿权范围内初步估算了建筑石料用灰岩矿控制的资源量</w:t>
            </w:r>
            <w:r>
              <w:rPr>
                <w:rFonts w:hint="eastAsia" w:ascii="Times New Roman" w:hAnsi="Times New Roman" w:eastAsia="宋体" w:cs="Times New Roman"/>
                <w:snapToGrid w:val="0"/>
                <w:color w:val="000000"/>
                <w:spacing w:val="11"/>
                <w:kern w:val="0"/>
                <w:position w:val="0"/>
                <w:sz w:val="24"/>
                <w:szCs w:val="24"/>
                <w:u w:val="none" w:color="auto"/>
                <w:lang w:val="en-US" w:eastAsia="zh-CN"/>
              </w:rPr>
              <w:t>370.4</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万t</w:t>
            </w:r>
            <w:r>
              <w:rPr>
                <w:rFonts w:hint="eastAsia"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1</w:t>
            </w:r>
            <w:r>
              <w:rPr>
                <w:rFonts w:hint="eastAsia" w:ascii="Times New Roman" w:hAnsi="Times New Roman" w:eastAsia="宋体" w:cs="Times New Roman"/>
                <w:snapToGrid w:val="0"/>
                <w:color w:val="000000"/>
                <w:spacing w:val="11"/>
                <w:kern w:val="0"/>
                <w:position w:val="0"/>
                <w:sz w:val="24"/>
                <w:szCs w:val="24"/>
                <w:u w:val="none" w:color="auto"/>
                <w:lang w:val="en-US" w:eastAsia="zh-CN"/>
              </w:rPr>
              <w:t>36.7</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eastAsia"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color w:val="auto"/>
                <w:spacing w:val="11"/>
                <w:position w:val="0"/>
                <w:sz w:val="24"/>
                <w:szCs w:val="22"/>
                <w:u w:val="none" w:color="auto"/>
                <w:lang w:val="en-US" w:eastAsia="zh-CN"/>
              </w:rPr>
              <w:t>，按年生产规模</w:t>
            </w:r>
            <w:r>
              <w:rPr>
                <w:rFonts w:hint="eastAsia"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万吨/年，回采率98%，矿山服务年限约6.1年。剥离量</w:t>
            </w:r>
            <w:r>
              <w:rPr>
                <w:rFonts w:hint="eastAsia" w:ascii="Times New Roman" w:hAnsi="Times New Roman" w:eastAsia="宋体" w:cs="Times New Roman"/>
                <w:snapToGrid w:val="0"/>
                <w:color w:val="000000"/>
                <w:spacing w:val="11"/>
                <w:kern w:val="0"/>
                <w:position w:val="0"/>
                <w:sz w:val="24"/>
                <w:szCs w:val="24"/>
                <w:u w:val="none" w:color="auto"/>
                <w:lang w:val="en-US" w:eastAsia="zh-CN"/>
              </w:rPr>
              <w:t>13.2</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color w:val="auto"/>
                <w:spacing w:val="11"/>
                <w:position w:val="0"/>
                <w:sz w:val="24"/>
                <w:szCs w:val="22"/>
                <w:u w:val="none" w:color="auto"/>
                <w:lang w:val="en-US" w:eastAsia="zh-CN"/>
              </w:rPr>
              <w:t>，故矿区剥采比为</w:t>
            </w:r>
            <w:r>
              <w:rPr>
                <w:rFonts w:hint="default" w:ascii="Times New Roman" w:hAnsi="Times New Roman" w:eastAsia="宋体" w:cs="Times New Roman"/>
                <w:bCs/>
                <w:color w:val="C00000"/>
                <w:spacing w:val="11"/>
                <w:position w:val="0"/>
                <w:sz w:val="24"/>
                <w:szCs w:val="24"/>
                <w:highlight w:val="none"/>
                <w:u w:val="none" w:color="auto"/>
                <w:lang w:val="en-US" w:eastAsia="zh-CN"/>
              </w:rPr>
              <w:t>0.10:1（m</w:t>
            </w:r>
            <w:r>
              <w:rPr>
                <w:rFonts w:hint="default" w:ascii="Times New Roman" w:hAnsi="Times New Roman" w:eastAsia="宋体" w:cs="Times New Roman"/>
                <w:bCs/>
                <w:color w:val="C00000"/>
                <w:spacing w:val="11"/>
                <w:position w:val="0"/>
                <w:sz w:val="24"/>
                <w:szCs w:val="24"/>
                <w:highlight w:val="none"/>
                <w:u w:val="none" w:color="auto"/>
                <w:vertAlign w:val="superscript"/>
                <w:lang w:val="en-US" w:eastAsia="zh-CN"/>
              </w:rPr>
              <w:t>3</w:t>
            </w:r>
            <w:r>
              <w:rPr>
                <w:rFonts w:hint="default" w:ascii="Times New Roman" w:hAnsi="Times New Roman" w:eastAsia="宋体" w:cs="Times New Roman"/>
                <w:bCs/>
                <w:color w:val="C00000"/>
                <w:spacing w:val="11"/>
                <w:position w:val="0"/>
                <w:sz w:val="24"/>
                <w:szCs w:val="24"/>
                <w:highlight w:val="none"/>
                <w:u w:val="none" w:color="auto"/>
                <w:lang w:val="en-US" w:eastAsia="zh-CN"/>
              </w:rPr>
              <w:t>/m</w:t>
            </w:r>
            <w:r>
              <w:rPr>
                <w:rFonts w:hint="default" w:ascii="Times New Roman" w:hAnsi="Times New Roman" w:eastAsia="宋体" w:cs="Times New Roman"/>
                <w:bCs/>
                <w:color w:val="C00000"/>
                <w:spacing w:val="11"/>
                <w:position w:val="0"/>
                <w:sz w:val="24"/>
                <w:szCs w:val="24"/>
                <w:highlight w:val="none"/>
                <w:u w:val="none" w:color="auto"/>
                <w:vertAlign w:val="superscript"/>
                <w:lang w:val="en-US" w:eastAsia="zh-CN"/>
              </w:rPr>
              <w:t>3</w:t>
            </w:r>
            <w:r>
              <w:rPr>
                <w:rFonts w:hint="default" w:ascii="Times New Roman" w:hAnsi="Times New Roman" w:eastAsia="宋体" w:cs="Times New Roman"/>
                <w:bCs/>
                <w:color w:val="C00000"/>
                <w:spacing w:val="11"/>
                <w:position w:val="0"/>
                <w:sz w:val="24"/>
                <w:szCs w:val="24"/>
                <w:highlight w:val="none"/>
                <w:u w:val="none" w:color="auto"/>
                <w:lang w:val="en-US" w:eastAsia="zh-CN"/>
              </w:rPr>
              <w:t>）</w:t>
            </w:r>
            <w:r>
              <w:rPr>
                <w:rFonts w:hint="eastAsia" w:cs="Times New Roman"/>
                <w:color w:val="C00000"/>
                <w:spacing w:val="11"/>
                <w:position w:val="0"/>
                <w:sz w:val="24"/>
                <w:szCs w:val="22"/>
                <w:u w:val="none" w:color="auto"/>
                <w:lang w:val="en-US" w:eastAsia="zh-CN"/>
              </w:rPr>
              <w:t>。</w:t>
            </w:r>
          </w:p>
          <w:p w14:paraId="52F063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color w:val="auto"/>
                <w:spacing w:val="11"/>
                <w:position w:val="0"/>
                <w:sz w:val="24"/>
                <w:szCs w:val="22"/>
                <w:u w:val="none" w:color="auto"/>
                <w:lang w:val="en-US" w:eastAsia="zh-CN"/>
              </w:rPr>
              <w:t>（</w:t>
            </w:r>
            <w:r>
              <w:rPr>
                <w:rFonts w:hint="eastAsia" w:cs="Times New Roman"/>
                <w:color w:val="auto"/>
                <w:spacing w:val="11"/>
                <w:position w:val="0"/>
                <w:sz w:val="24"/>
                <w:szCs w:val="22"/>
                <w:u w:val="none" w:color="auto"/>
                <w:lang w:val="en-US" w:eastAsia="zh-CN"/>
              </w:rPr>
              <w:t>3</w:t>
            </w:r>
            <w:r>
              <w:rPr>
                <w:rFonts w:hint="eastAsia" w:ascii="Times New Roman" w:hAnsi="Times New Roman" w:eastAsia="宋体" w:cs="Times New Roman"/>
                <w:color w:val="auto"/>
                <w:spacing w:val="11"/>
                <w:position w:val="0"/>
                <w:sz w:val="24"/>
                <w:szCs w:val="22"/>
                <w:u w:val="none" w:color="auto"/>
                <w:lang w:val="en-US" w:eastAsia="zh-CN"/>
              </w:rPr>
              <w:t>）矿区范围</w:t>
            </w:r>
          </w:p>
          <w:p w14:paraId="21A417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根据《新田县周家洞矿区建筑石料用灰岩矿采矿权申请范围核查报告》（中确定的采矿权范围，该报告已经永州市自然资源和规划局组织评审通过，评审号“永采矿权核查评字[2022]10号”。矿区范围由7个拐点坐标圈定，面积0.0994km</w:t>
            </w:r>
            <w:r>
              <w:rPr>
                <w:rFonts w:hint="eastAsia" w:cs="Times New Roman"/>
                <w:color w:val="auto"/>
                <w:spacing w:val="11"/>
                <w:position w:val="0"/>
                <w:sz w:val="24"/>
                <w:szCs w:val="22"/>
                <w:highlight w:val="none"/>
                <w:u w:val="none" w:color="auto"/>
                <w:vertAlign w:val="superscript"/>
                <w:lang w:val="en-US" w:eastAsia="zh-CN"/>
              </w:rPr>
              <w:t>2</w:t>
            </w:r>
            <w:r>
              <w:rPr>
                <w:rFonts w:hint="eastAsia" w:cs="Times New Roman"/>
                <w:color w:val="auto"/>
                <w:spacing w:val="11"/>
                <w:position w:val="0"/>
                <w:sz w:val="24"/>
                <w:szCs w:val="22"/>
                <w:highlight w:val="none"/>
                <w:u w:val="none" w:color="auto"/>
                <w:lang w:val="en-US" w:eastAsia="zh-CN"/>
              </w:rPr>
              <w:t>，开采深度+343m～+260m。根据2023年3月湖南省国土空间调查监测提交的《新田县周家洞矿区建筑石料用灰岩矿采矿权申请范围核查报告》评审意见书（补充），周家洞调整后的矿区范围由7个拐点组成，面积0.1018km</w:t>
            </w:r>
            <w:r>
              <w:rPr>
                <w:rFonts w:hint="eastAsia" w:cs="Times New Roman"/>
                <w:color w:val="auto"/>
                <w:spacing w:val="11"/>
                <w:position w:val="0"/>
                <w:sz w:val="24"/>
                <w:szCs w:val="22"/>
                <w:highlight w:val="none"/>
                <w:u w:val="none" w:color="auto"/>
                <w:vertAlign w:val="superscript"/>
                <w:lang w:val="en-US" w:eastAsia="zh-CN"/>
              </w:rPr>
              <w:t>2</w:t>
            </w:r>
            <w:r>
              <w:rPr>
                <w:rFonts w:hint="eastAsia" w:cs="Times New Roman"/>
                <w:color w:val="auto"/>
                <w:spacing w:val="11"/>
                <w:position w:val="0"/>
                <w:sz w:val="24"/>
                <w:szCs w:val="22"/>
                <w:highlight w:val="none"/>
                <w:u w:val="none" w:color="auto"/>
                <w:lang w:val="en-US" w:eastAsia="zh-CN"/>
              </w:rPr>
              <w:t>，开采深度+343m～+260m，矿区拐点坐标详见表2-6。</w:t>
            </w:r>
          </w:p>
          <w:p w14:paraId="2293CD0B">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eastAsia" w:ascii="Times New Roman" w:hAnsi="Times New Roman" w:eastAsia="宋体" w:cs="Times New Roman"/>
                <w:b/>
                <w:bCs/>
                <w:color w:val="auto"/>
                <w:spacing w:val="11"/>
                <w:position w:val="0"/>
                <w:sz w:val="21"/>
                <w:szCs w:val="21"/>
                <w:u w:val="none" w:color="auto"/>
                <w:lang w:val="en-US" w:eastAsia="zh-CN"/>
              </w:rPr>
              <w:t>2</w:t>
            </w:r>
            <w:r>
              <w:rPr>
                <w:rFonts w:hint="default" w:ascii="Times New Roman" w:hAnsi="Times New Roman" w:eastAsia="宋体" w:cs="Times New Roman"/>
                <w:b/>
                <w:bCs/>
                <w:color w:val="auto"/>
                <w:spacing w:val="11"/>
                <w:position w:val="0"/>
                <w:sz w:val="21"/>
                <w:szCs w:val="21"/>
                <w:u w:val="none" w:color="auto"/>
                <w:lang w:val="en-US" w:eastAsia="zh-CN"/>
              </w:rPr>
              <w:t>-</w:t>
            </w:r>
            <w:r>
              <w:rPr>
                <w:rFonts w:hint="eastAsia" w:cs="Times New Roman"/>
                <w:b/>
                <w:bCs/>
                <w:color w:val="auto"/>
                <w:spacing w:val="11"/>
                <w:position w:val="0"/>
                <w:sz w:val="21"/>
                <w:szCs w:val="21"/>
                <w:u w:val="none" w:color="auto"/>
                <w:lang w:val="en-US" w:eastAsia="zh-CN"/>
              </w:rPr>
              <w:t>6</w:t>
            </w:r>
            <w:r>
              <w:rPr>
                <w:rFonts w:hint="default" w:ascii="Times New Roman" w:hAnsi="Times New Roman" w:eastAsia="宋体" w:cs="Times New Roman"/>
                <w:b/>
                <w:bCs/>
                <w:color w:val="auto"/>
                <w:spacing w:val="11"/>
                <w:position w:val="0"/>
                <w:sz w:val="21"/>
                <w:szCs w:val="21"/>
                <w:u w:val="none" w:color="auto"/>
              </w:rPr>
              <w:t xml:space="preserve"> </w:t>
            </w:r>
            <w:r>
              <w:rPr>
                <w:rFonts w:hint="eastAsia" w:ascii="Times New Roman" w:hAnsi="Times New Roman" w:eastAsia="宋体" w:cs="Times New Roman"/>
                <w:b/>
                <w:bCs/>
                <w:color w:val="auto"/>
                <w:spacing w:val="11"/>
                <w:position w:val="0"/>
                <w:sz w:val="21"/>
                <w:szCs w:val="21"/>
                <w:u w:val="none" w:color="auto"/>
                <w:lang w:val="en-US" w:eastAsia="zh-CN"/>
              </w:rPr>
              <w:t xml:space="preserve"> </w:t>
            </w:r>
            <w:r>
              <w:rPr>
                <w:rFonts w:hint="default" w:ascii="Times New Roman" w:hAnsi="Times New Roman" w:eastAsia="宋体" w:cs="Times New Roman"/>
                <w:b/>
                <w:bCs/>
                <w:color w:val="auto"/>
                <w:spacing w:val="11"/>
                <w:position w:val="0"/>
                <w:sz w:val="21"/>
                <w:szCs w:val="21"/>
                <w:u w:val="none" w:color="auto"/>
                <w:lang w:val="en-US" w:eastAsia="zh-CN"/>
              </w:rPr>
              <w:t>新田县周家洞矿区建筑石料用灰岩矿拐点坐标表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36"/>
              <w:gridCol w:w="3127"/>
              <w:gridCol w:w="3130"/>
            </w:tblGrid>
            <w:tr w14:paraId="39902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08DCC68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点号</w:t>
                  </w:r>
                </w:p>
              </w:tc>
              <w:tc>
                <w:tcPr>
                  <w:tcW w:w="1956" w:type="pct"/>
                  <w:tcBorders>
                    <w:tl2br w:val="nil"/>
                    <w:tr2bl w:val="nil"/>
                  </w:tcBorders>
                  <w:noWrap w:val="0"/>
                  <w:vAlign w:val="center"/>
                </w:tcPr>
                <w:p w14:paraId="4AF090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X（CGCS2000）</w:t>
                  </w:r>
                </w:p>
              </w:tc>
              <w:tc>
                <w:tcPr>
                  <w:tcW w:w="1956" w:type="pct"/>
                  <w:tcBorders>
                    <w:tl2br w:val="nil"/>
                    <w:tr2bl w:val="nil"/>
                  </w:tcBorders>
                  <w:noWrap w:val="0"/>
                  <w:vAlign w:val="center"/>
                </w:tcPr>
                <w:p w14:paraId="5BCA71A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Y（CGCS2000）</w:t>
                  </w:r>
                </w:p>
              </w:tc>
            </w:tr>
            <w:tr w14:paraId="337BC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shd w:val="clear" w:color="auto" w:fill="auto"/>
                  <w:noWrap w:val="0"/>
                  <w:vAlign w:val="center"/>
                </w:tcPr>
                <w:p w14:paraId="17519BB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kern w:val="2"/>
                      <w:position w:val="0"/>
                      <w:sz w:val="21"/>
                      <w:szCs w:val="21"/>
                      <w:u w:val="none" w:color="auto"/>
                      <w:lang w:val="en-US" w:eastAsia="zh-CN" w:bidi="ar-SA"/>
                    </w:rPr>
                    <w:t>1</w:t>
                  </w:r>
                </w:p>
              </w:tc>
              <w:tc>
                <w:tcPr>
                  <w:tcW w:w="1956" w:type="pct"/>
                  <w:tcBorders>
                    <w:tl2br w:val="nil"/>
                    <w:tr2bl w:val="nil"/>
                  </w:tcBorders>
                  <w:noWrap w:val="0"/>
                  <w:vAlign w:val="center"/>
                </w:tcPr>
                <w:p w14:paraId="3395B12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2869367.88</w:t>
                  </w:r>
                </w:p>
              </w:tc>
              <w:tc>
                <w:tcPr>
                  <w:tcW w:w="1956" w:type="pct"/>
                  <w:tcBorders>
                    <w:tl2br w:val="nil"/>
                    <w:tr2bl w:val="nil"/>
                  </w:tcBorders>
                  <w:noWrap w:val="0"/>
                  <w:vAlign w:val="center"/>
                </w:tcPr>
                <w:p w14:paraId="4AC3304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37614288.43</w:t>
                  </w:r>
                </w:p>
              </w:tc>
            </w:tr>
            <w:tr w14:paraId="554F1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63E5640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w:t>
                  </w:r>
                </w:p>
              </w:tc>
              <w:tc>
                <w:tcPr>
                  <w:tcW w:w="1956" w:type="pct"/>
                  <w:tcBorders>
                    <w:tl2br w:val="nil"/>
                    <w:tr2bl w:val="nil"/>
                  </w:tcBorders>
                  <w:noWrap w:val="0"/>
                  <w:vAlign w:val="center"/>
                </w:tcPr>
                <w:p w14:paraId="6A405D2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2869419.70</w:t>
                  </w:r>
                </w:p>
              </w:tc>
              <w:tc>
                <w:tcPr>
                  <w:tcW w:w="1956" w:type="pct"/>
                  <w:tcBorders>
                    <w:tl2br w:val="nil"/>
                    <w:tr2bl w:val="nil"/>
                  </w:tcBorders>
                  <w:noWrap w:val="0"/>
                  <w:vAlign w:val="center"/>
                </w:tcPr>
                <w:p w14:paraId="4C919EC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37614553.00</w:t>
                  </w:r>
                </w:p>
              </w:tc>
            </w:tr>
            <w:tr w14:paraId="0006D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07B0C9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w:t>
                  </w:r>
                </w:p>
              </w:tc>
              <w:tc>
                <w:tcPr>
                  <w:tcW w:w="1956" w:type="pct"/>
                  <w:tcBorders>
                    <w:tl2br w:val="nil"/>
                    <w:tr2bl w:val="nil"/>
                  </w:tcBorders>
                  <w:noWrap w:val="0"/>
                  <w:vAlign w:val="center"/>
                </w:tcPr>
                <w:p w14:paraId="0A5665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2869246.25</w:t>
                  </w:r>
                </w:p>
              </w:tc>
              <w:tc>
                <w:tcPr>
                  <w:tcW w:w="1956" w:type="pct"/>
                  <w:tcBorders>
                    <w:tl2br w:val="nil"/>
                    <w:tr2bl w:val="nil"/>
                  </w:tcBorders>
                  <w:noWrap w:val="0"/>
                  <w:vAlign w:val="center"/>
                </w:tcPr>
                <w:p w14:paraId="43ABCE8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37614604.99</w:t>
                  </w:r>
                </w:p>
              </w:tc>
            </w:tr>
            <w:tr w14:paraId="47671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5DCBB92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4</w:t>
                  </w:r>
                </w:p>
              </w:tc>
              <w:tc>
                <w:tcPr>
                  <w:tcW w:w="1956" w:type="pct"/>
                  <w:tcBorders>
                    <w:tl2br w:val="nil"/>
                    <w:tr2bl w:val="nil"/>
                  </w:tcBorders>
                  <w:noWrap w:val="0"/>
                  <w:vAlign w:val="center"/>
                </w:tcPr>
                <w:p w14:paraId="262F4C4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2869065.89</w:t>
                  </w:r>
                </w:p>
              </w:tc>
              <w:tc>
                <w:tcPr>
                  <w:tcW w:w="1956" w:type="pct"/>
                  <w:tcBorders>
                    <w:tl2br w:val="nil"/>
                    <w:tr2bl w:val="nil"/>
                  </w:tcBorders>
                  <w:noWrap w:val="0"/>
                  <w:vAlign w:val="center"/>
                </w:tcPr>
                <w:p w14:paraId="6EAB112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37614650.45</w:t>
                  </w:r>
                </w:p>
              </w:tc>
            </w:tr>
            <w:tr w14:paraId="3006E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6BE761F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5</w:t>
                  </w:r>
                </w:p>
              </w:tc>
              <w:tc>
                <w:tcPr>
                  <w:tcW w:w="1956" w:type="pct"/>
                  <w:tcBorders>
                    <w:tl2br w:val="nil"/>
                    <w:tr2bl w:val="nil"/>
                  </w:tcBorders>
                  <w:noWrap w:val="0"/>
                  <w:vAlign w:val="center"/>
                </w:tcPr>
                <w:p w14:paraId="235C52C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2869038.40</w:t>
                  </w:r>
                </w:p>
              </w:tc>
              <w:tc>
                <w:tcPr>
                  <w:tcW w:w="1956" w:type="pct"/>
                  <w:tcBorders>
                    <w:tl2br w:val="nil"/>
                    <w:tr2bl w:val="nil"/>
                  </w:tcBorders>
                  <w:noWrap w:val="0"/>
                  <w:vAlign w:val="center"/>
                </w:tcPr>
                <w:p w14:paraId="51A609F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37614427.40</w:t>
                  </w:r>
                </w:p>
              </w:tc>
            </w:tr>
            <w:tr w14:paraId="12302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00F275E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6</w:t>
                  </w:r>
                </w:p>
              </w:tc>
              <w:tc>
                <w:tcPr>
                  <w:tcW w:w="1956" w:type="pct"/>
                  <w:tcBorders>
                    <w:tl2br w:val="nil"/>
                    <w:tr2bl w:val="nil"/>
                  </w:tcBorders>
                  <w:noWrap w:val="0"/>
                  <w:vAlign w:val="center"/>
                </w:tcPr>
                <w:p w14:paraId="678454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2869142.73</w:t>
                  </w:r>
                </w:p>
              </w:tc>
              <w:tc>
                <w:tcPr>
                  <w:tcW w:w="1956" w:type="pct"/>
                  <w:tcBorders>
                    <w:tl2br w:val="nil"/>
                    <w:tr2bl w:val="nil"/>
                  </w:tcBorders>
                  <w:noWrap w:val="0"/>
                  <w:vAlign w:val="center"/>
                </w:tcPr>
                <w:p w14:paraId="14EA2DB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37614380.41</w:t>
                  </w:r>
                </w:p>
              </w:tc>
            </w:tr>
            <w:tr w14:paraId="41CC4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14:paraId="444C673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7</w:t>
                  </w:r>
                </w:p>
              </w:tc>
              <w:tc>
                <w:tcPr>
                  <w:tcW w:w="1956" w:type="pct"/>
                  <w:tcBorders>
                    <w:tl2br w:val="nil"/>
                    <w:tr2bl w:val="nil"/>
                  </w:tcBorders>
                  <w:noWrap w:val="0"/>
                  <w:vAlign w:val="center"/>
                </w:tcPr>
                <w:p w14:paraId="4FC9B42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2869228.67</w:t>
                  </w:r>
                </w:p>
              </w:tc>
              <w:tc>
                <w:tcPr>
                  <w:tcW w:w="1956" w:type="pct"/>
                  <w:tcBorders>
                    <w:tl2br w:val="nil"/>
                    <w:tr2bl w:val="nil"/>
                  </w:tcBorders>
                  <w:noWrap w:val="0"/>
                  <w:vAlign w:val="center"/>
                </w:tcPr>
                <w:p w14:paraId="44AF757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37614233.95</w:t>
                  </w:r>
                </w:p>
              </w:tc>
            </w:tr>
            <w:tr w14:paraId="1D839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000" w:type="pct"/>
                  <w:gridSpan w:val="3"/>
                  <w:tcBorders>
                    <w:tl2br w:val="nil"/>
                    <w:tr2bl w:val="nil"/>
                  </w:tcBorders>
                  <w:noWrap w:val="0"/>
                  <w:vAlign w:val="center"/>
                </w:tcPr>
                <w:p w14:paraId="4E42847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拟设采矿权面积：0.1018km</w:t>
                  </w:r>
                  <w:r>
                    <w:rPr>
                      <w:rFonts w:hint="default" w:ascii="Times New Roman" w:hAnsi="Times New Roman" w:eastAsia="宋体" w:cs="Times New Roman"/>
                      <w:spacing w:val="11"/>
                      <w:position w:val="0"/>
                      <w:szCs w:val="21"/>
                      <w:u w:val="none" w:color="auto"/>
                      <w:vertAlign w:val="superscript"/>
                      <w:lang w:val="en-US" w:eastAsia="zh-CN"/>
                    </w:rPr>
                    <w:t>2</w:t>
                  </w:r>
                  <w:r>
                    <w:rPr>
                      <w:rFonts w:hint="default" w:ascii="Times New Roman" w:hAnsi="Times New Roman" w:eastAsia="宋体" w:cs="Times New Roman"/>
                      <w:spacing w:val="11"/>
                      <w:position w:val="0"/>
                      <w:szCs w:val="21"/>
                      <w:u w:val="none" w:color="auto"/>
                      <w:lang w:val="en-US" w:eastAsia="zh-CN"/>
                    </w:rPr>
                    <w:t>，开采标高：+343m～+260m</w:t>
                  </w:r>
                </w:p>
              </w:tc>
            </w:tr>
          </w:tbl>
          <w:p w14:paraId="71218C6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（4）矿床地质特征</w:t>
            </w:r>
          </w:p>
          <w:p w14:paraId="4736E4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出露地层由老到新依次为：泥盆系上统锡矿山组下段（D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m）、白垩系（K）及第四系（Q）。现对各地层简述如下：</w:t>
            </w:r>
          </w:p>
          <w:p w14:paraId="35570D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分布于南部。上部以灰岩为主，深灰～浅灰色，主要由微晶方解石、少量的白云石、石英、绢云母、黏土矿物和生物屑组成，构成微晶结构，具波状层理，中厚层状～块状构造，局部层间夹少量薄层状瘤状灰岩、泥灰岩，该层上部夹少量硅质条带及结核，生物屑有介形类和棘皮类碎屑；中部为泥灰岩与瘤状灰岩互层，黑灰色～灰色，薄层状构造，该层底部夹黑灰色钙质页岩；下部为灰岩，灰～浅灰色、局部肉红色，主要由微晶方解石、细晶方解石和少量生物屑组成，构成细晶－微晶结构，块状构造，生物碎屑主要为介形类碎屑，岩石不规则裂隙发育，主要由亮晶方解石集合体脉充填。该层厚121.6~292.2m，平均厚195.3m。与下伏地层呈断层接触。</w:t>
            </w:r>
          </w:p>
          <w:p w14:paraId="31FF05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w:t>
            </w:r>
            <w:r>
              <w:rPr>
                <w:rFonts w:hint="default" w:cs="Times New Roman"/>
                <w:color w:val="auto"/>
                <w:spacing w:val="11"/>
                <w:position w:val="0"/>
                <w:sz w:val="24"/>
                <w:szCs w:val="22"/>
                <w:highlight w:val="none"/>
                <w:u w:val="none" w:color="auto"/>
                <w:lang w:val="en-US" w:eastAsia="zh-CN"/>
              </w:rPr>
              <w:t>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该层分布于区内西侧时、以南北走向往界外延伸，分布于区内中南部时、以东南走向往界外延伸。上部以泥岩为主，灰绿色夹杂紫褐色泥岩，泥质结构，具波状层理，局部层间夹薄－中厚层状白云质微晶－泥晶灰岩、灰岩、含泥灰岩、黑灰色页岩；中部为灰岩，深灰色，由方解石和少量石英、白云石、不透明矿物、介形类生物碎屑组成。岩石具水平层理，薄层状构造，局部层间夹少量黑灰色钙质页岩。岩石方解石细脉较发育；下部为泥岩、泥灰岩为主，深灰色、灰绿色，薄～中厚层状构造，局部层间夹含泥灰岩和黑灰色页岩。该层厚38.1~87.4，平均厚68.6m。与下伏地层呈断层接触。</w:t>
            </w:r>
          </w:p>
          <w:p w14:paraId="0E33F0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w:t>
            </w:r>
            <w:r>
              <w:rPr>
                <w:rFonts w:hint="default" w:cs="Times New Roman"/>
                <w:color w:val="auto"/>
                <w:spacing w:val="11"/>
                <w:position w:val="0"/>
                <w:sz w:val="24"/>
                <w:szCs w:val="22"/>
                <w:highlight w:val="none"/>
                <w:u w:val="none" w:color="auto"/>
                <w:lang w:val="en-US" w:eastAsia="zh-CN"/>
              </w:rPr>
              <w:t>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 xml:space="preserve">m）：该层在区内分布于中北－东部，近南北向往界外延伸，在区外分布于北部、西部及东南部。岩性主要为灰岩，灰色～浅灰色，主要由方解石、少量白云石、石英、生物碎屑组成，构成微晶结构为主、少量泥晶－微晶结构、生物碎屑结构、粗晶生物碎屑结构、亮晶鲕粒结构和粗晶结构，中厚层状～块状构造，生物屑有介形类、双壳类、腕足类、苔藓虫、海百合茎等棘皮类碎屑，夹硅质结核、条带，局部层间夹薄层状瘤状灰岩及泥灰岩与灰岩互层。该层厚68.5-263.4m，平均层厚148.3m。与下伏地层呈整合接触。 </w:t>
            </w:r>
          </w:p>
          <w:p w14:paraId="325506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④</w:t>
            </w:r>
            <w:r>
              <w:rPr>
                <w:rFonts w:hint="default" w:cs="Times New Roman"/>
                <w:color w:val="auto"/>
                <w:spacing w:val="11"/>
                <w:position w:val="0"/>
                <w:sz w:val="24"/>
                <w:szCs w:val="22"/>
                <w:highlight w:val="none"/>
                <w:u w:val="none" w:color="auto"/>
                <w:lang w:val="en-US" w:eastAsia="zh-CN"/>
              </w:rPr>
              <w:t>白垩系（K）：该层分布于东部，主要以褐黄～褐红色（风化色）细砂岩、粉砂岩、砂质泥岩等组成，构成泥质、细粒结构，中厚～厚层状构造，岩石“X”型节理裂隙发育。该层厚50.2~150.6m，平均层厚120.4m。与下伏地层呈不整合接触。</w:t>
            </w:r>
          </w:p>
          <w:p w14:paraId="49C6CF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⑤</w:t>
            </w:r>
            <w:r>
              <w:rPr>
                <w:rFonts w:hint="default" w:cs="Times New Roman"/>
                <w:color w:val="auto"/>
                <w:spacing w:val="11"/>
                <w:position w:val="0"/>
                <w:sz w:val="24"/>
                <w:szCs w:val="22"/>
                <w:highlight w:val="none"/>
                <w:u w:val="none" w:color="auto"/>
                <w:lang w:val="en-US" w:eastAsia="zh-CN"/>
              </w:rPr>
              <w:t xml:space="preserve">第四系（Q） </w:t>
            </w:r>
          </w:p>
          <w:p w14:paraId="528E1B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区内零星分布于基岩不出露地段、总体属于不发育。区外有较大面积分布于西侧、东侧坡前及平缓、低洼区域，其余地段零星分布。主要为残坡积土，由褐黄色、灰黄色和褐红色粉质粘土、碎石土组成。碎石主要为灰岩、泥灰岩，区外东北部碎石为砂岩，结构松散，分布不均匀。厚度变化较大，根据钻孔揭露、采坑调查及地表调查统计，矿区内一般厚 0.0-2.0m，最厚 4.4m。区外坡前平缓区厚度一般2.0-5.0m，多开发为农田。</w:t>
            </w:r>
          </w:p>
          <w:p w14:paraId="7D3C95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（5）构造</w:t>
            </w:r>
          </w:p>
          <w:p w14:paraId="6DACDA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本区经历了两个主要构造阶段，即华力西－印支构造阶段，燕山－喜马拉雅构造时段。区内及周边构造主要分为三种：单斜构造、向斜构造、断裂构造。</w:t>
            </w:r>
          </w:p>
          <w:p w14:paraId="1797F1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单斜构造：西部～西南部基本构造形态为一单斜构造，产状基本一致，地层走向近南北向，倾向245~285°，倾角一般 27~50°。由西向东地层依次变老，地层分别为石炭系下统马栏边组（C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w:t>
            </w:r>
          </w:p>
          <w:p w14:paraId="1BB007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w:t>
            </w:r>
            <w:r>
              <w:rPr>
                <w:rFonts w:hint="default" w:cs="Times New Roman"/>
                <w:color w:val="auto"/>
                <w:spacing w:val="11"/>
                <w:position w:val="0"/>
                <w:sz w:val="24"/>
                <w:szCs w:val="22"/>
                <w:highlight w:val="none"/>
                <w:u w:val="none" w:color="auto"/>
                <w:lang w:val="en-US" w:eastAsia="zh-CN"/>
              </w:rPr>
              <w:t xml:space="preserve">向斜构造： </w:t>
            </w:r>
          </w:p>
          <w:p w14:paraId="75B151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A.</w:t>
            </w:r>
            <w:r>
              <w:rPr>
                <w:rFonts w:hint="default" w:cs="Times New Roman"/>
                <w:color w:val="auto"/>
                <w:spacing w:val="11"/>
                <w:position w:val="0"/>
                <w:sz w:val="24"/>
                <w:szCs w:val="22"/>
                <w:highlight w:val="none"/>
                <w:u w:val="none" w:color="auto"/>
                <w:lang w:val="en-US" w:eastAsia="zh-CN"/>
              </w:rPr>
              <w:t xml:space="preserve">主要向斜构造 </w:t>
            </w:r>
          </w:p>
          <w:p w14:paraId="52509D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矿区东部区域总体为一向斜构造，轴向约 340°，核部为白垩系（K）地层，两翼为石炭系下统马栏边组（C1m）地层，西翼地层倾向约 40°、倾角约 30°，东翼倾向约 300°。矿区大部分处于其西翼。</w:t>
            </w:r>
          </w:p>
          <w:p w14:paraId="6B223C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B.</w:t>
            </w:r>
            <w:r>
              <w:rPr>
                <w:rFonts w:hint="default" w:cs="Times New Roman"/>
                <w:color w:val="auto"/>
                <w:spacing w:val="11"/>
                <w:position w:val="0"/>
                <w:sz w:val="24"/>
                <w:szCs w:val="22"/>
                <w:highlight w:val="none"/>
                <w:u w:val="none" w:color="auto"/>
                <w:lang w:val="en-US" w:eastAsia="zh-CN"/>
              </w:rPr>
              <w:t xml:space="preserve">次一级复式褶皱 </w:t>
            </w:r>
          </w:p>
          <w:p w14:paraId="703610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 xml:space="preserve">发育两条次一级的小型向斜褶皱构造。第一条位于矿区北部，轴向 60°，轴面倾角 20°。核部为石炭系下统马栏边组（C1m）地层，两翼为泥盆系上统锡矿山组上段（D3x 2）地层。西北翼地层倾向约100°、倾角为 23~46°，东南翼地层倾向 55°、倾角 30~60°；第二条位于区内中东部，轴向 340°，轴面倾角约 10°。西翼倾向 50~70°、倾角约 53~69°，东翼倾向 250~270°、倾角约 10~35°。 </w:t>
            </w:r>
          </w:p>
          <w:p w14:paraId="783F23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C.</w:t>
            </w:r>
            <w:r>
              <w:rPr>
                <w:rFonts w:hint="default" w:cs="Times New Roman"/>
                <w:color w:val="auto"/>
                <w:spacing w:val="11"/>
                <w:position w:val="0"/>
                <w:sz w:val="24"/>
                <w:szCs w:val="22"/>
                <w:highlight w:val="none"/>
                <w:u w:val="none" w:color="auto"/>
                <w:lang w:val="en-US" w:eastAsia="zh-CN"/>
              </w:rPr>
              <w:t xml:space="preserve">断裂构造 </w:t>
            </w:r>
          </w:p>
          <w:p w14:paraId="4CCE9B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a</w:t>
            </w:r>
            <w:r>
              <w:rPr>
                <w:rFonts w:hint="default" w:cs="Times New Roman"/>
                <w:color w:val="auto"/>
                <w:spacing w:val="11"/>
                <w:position w:val="0"/>
                <w:sz w:val="24"/>
                <w:szCs w:val="22"/>
                <w:highlight w:val="none"/>
                <w:u w:val="none" w:color="auto"/>
                <w:lang w:val="en-US" w:eastAsia="zh-CN"/>
              </w:rPr>
              <w:t>）矿区西侧 F1 断层为逆断层，属于层内断层，断层下盘为石炭系下统马栏边组（C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m）、泥盆系上统锡矿山组（D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x）正常层序的地层、断层上盘为泥盆系上统锡矿山组上段（D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）地层。断层导致矿区西北部缺失泥盆系上统锡矿山组上段（D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 xml:space="preserve">）部分地层，断层北部走向为 335°、倾向 65°、倾角约 60°。断层南部走向约为300°、倾向约 30°、倾角约 50~60°，其断距不大。 </w:t>
            </w:r>
          </w:p>
          <w:p w14:paraId="5F20BB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b</w:t>
            </w:r>
            <w:r>
              <w:rPr>
                <w:rFonts w:hint="default" w:cs="Times New Roman"/>
                <w:color w:val="auto"/>
                <w:spacing w:val="11"/>
                <w:position w:val="0"/>
                <w:sz w:val="24"/>
                <w:szCs w:val="22"/>
                <w:highlight w:val="none"/>
                <w:u w:val="none" w:color="auto"/>
                <w:lang w:val="en-US" w:eastAsia="zh-CN"/>
              </w:rPr>
              <w:t xml:space="preserve">）东侧 F2 断层为逆断层，断层下盘为白垩纪（K）、上盘为石炭系下统马栏边组（C1m）地层。断层走向约 345°，倾向约 255°，倾角约 27°，其断距大。 </w:t>
            </w:r>
          </w:p>
          <w:p w14:paraId="023C04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 xml:space="preserve">通过采坑、钻探工程、槽探工程揭露和系统采样试验，拟设矿区内临近 F1 断层、F2 断层的灰岩矿体，矿石完整性好、结构较好，因此 F1 断层、F2 断层对区内矿石质量等级、类型影响轻微。 </w:t>
            </w:r>
          </w:p>
          <w:p w14:paraId="618C2E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（6）矿体特征</w:t>
            </w:r>
          </w:p>
          <w:p w14:paraId="16358F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经勘查，泥盆系上统锡矿山组下段（D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）灰岩和上段（D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中部灰岩虽然其质量符合建筑石料用灰岩矿一般工业指标，但不满足其开采技术条件要求，故不纳入开采对象。矿区内圈定的可供开采的建筑石料用灰岩矿矿体有1个，分布于拟设采矿权范围的中北~东部，赋存于石炭系下统马栏边组（C1m）下部地层，岩性为微晶灰岩，深灰~浅灰色，中厚层状~块状构造，平面形态似斧形，剖面上呈向斜产出。矿体走向NW，倾向 10~45°，倾角约 20°~40°，矿层呈向斜产出。矿体走向最大长度465m，倾向宽93~305m，最大厚度70m，矿体赋存标高+342.8~+260m，矿体规模属小型。矿体内部结构较复杂，有1层夹石，编号为夹C、岩性为泥灰岩与灰岩互层，厚度5.0~7.8m，需剔除。</w:t>
            </w:r>
          </w:p>
          <w:p w14:paraId="465506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（7）矿石特征</w:t>
            </w:r>
          </w:p>
          <w:p w14:paraId="7B6656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①矿石矿物成分</w:t>
            </w:r>
          </w:p>
          <w:p w14:paraId="1E71C7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矿石中矿物主要为方解石（86~99%）、白云石（0~5%）和少量石英（0~2%），岩石内部可见少量生物碎屑（0~8%、最多55%，多被方解石交代）。生物屑有介形类、双壳类、腕足类、苔藓虫、海百合茎等棘皮类碎屑。</w:t>
            </w:r>
          </w:p>
          <w:p w14:paraId="7C095F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②矿石结构、构造</w:t>
            </w:r>
          </w:p>
          <w:p w14:paraId="2843D5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矿石以微晶结构为主、为微晶灰岩，其结构以微晶结构为主，块状构造。</w:t>
            </w:r>
          </w:p>
          <w:p w14:paraId="095AF4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③矿石的化学成分</w:t>
            </w:r>
          </w:p>
          <w:p w14:paraId="287513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矿石中 CaO 含量为 46.39-53.42%、平均 51.11%，MgO 为0.20-0.79%、平均 0.50%，SiO</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 xml:space="preserve"> 为 2.43-8.24%、平均 4.66%，Al</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为 1.84-5.06%、平均 3.06%，K</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 为 0.13-0.67%、平均 0.38%，Na</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O为 0-0.02%、平均 0.01%，Fe</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 xml:space="preserve"> 为 0.76-1.84%、平均 3.06%，TiO</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为 0.09-0.2%、平均 0.12%，P</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5</w:t>
            </w:r>
            <w:r>
              <w:rPr>
                <w:rFonts w:hint="default" w:cs="Times New Roman"/>
                <w:color w:val="auto"/>
                <w:spacing w:val="11"/>
                <w:position w:val="0"/>
                <w:sz w:val="24"/>
                <w:szCs w:val="22"/>
                <w:highlight w:val="none"/>
                <w:u w:val="none" w:color="auto"/>
                <w:lang w:val="en-US" w:eastAsia="zh-CN"/>
              </w:rPr>
              <w:t xml:space="preserve"> 为 0.06-0.1%、平均 0.08%，Cl</w:t>
            </w:r>
            <w:r>
              <w:rPr>
                <w:rFonts w:hint="default" w:cs="Times New Roman"/>
                <w:color w:val="auto"/>
                <w:spacing w:val="11"/>
                <w:position w:val="0"/>
                <w:sz w:val="24"/>
                <w:szCs w:val="22"/>
                <w:highlight w:val="none"/>
                <w:u w:val="none" w:color="auto"/>
                <w:vertAlign w:val="superscript"/>
                <w:lang w:val="en-US" w:eastAsia="zh-CN"/>
              </w:rPr>
              <w:t>－</w:t>
            </w:r>
            <w:r>
              <w:rPr>
                <w:rFonts w:hint="default" w:cs="Times New Roman"/>
                <w:color w:val="auto"/>
                <w:spacing w:val="11"/>
                <w:position w:val="0"/>
                <w:sz w:val="24"/>
                <w:szCs w:val="22"/>
                <w:highlight w:val="none"/>
                <w:u w:val="none" w:color="auto"/>
                <w:lang w:val="en-US" w:eastAsia="zh-CN"/>
              </w:rPr>
              <w:t>为0.007-0.043%、平均 0.02%，L.O.I 为 38.05-41.81%、平均 40.50%。</w:t>
            </w:r>
          </w:p>
          <w:p w14:paraId="406F85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（8）开采技术</w:t>
            </w:r>
          </w:p>
          <w:p w14:paraId="3BC3F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 xml:space="preserve">水文地质条件 </w:t>
            </w:r>
          </w:p>
          <w:p w14:paraId="09395A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矿区属丘陵地貌，总体地势西部高，东部低，有利于地表水的径排。山体坡度一般在10~22°之间，采坑局部地段达50~70°。地形有利于大气降水的自然排泄，只有少量顺裂隙渗入地下。</w:t>
            </w:r>
          </w:p>
          <w:p w14:paraId="619967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矿区内地表水不发育；地下水类型主要为碳酸盐岩类裂隙溶洞水，赋存于石炭系下统石凳子组（C</w:t>
            </w:r>
            <w:r>
              <w:rPr>
                <w:rFonts w:hint="eastAsia" w:cs="Times New Roman"/>
                <w:color w:val="auto"/>
                <w:spacing w:val="11"/>
                <w:position w:val="0"/>
                <w:sz w:val="24"/>
                <w:szCs w:val="22"/>
                <w:highlight w:val="none"/>
                <w:u w:val="none" w:color="auto"/>
                <w:vertAlign w:val="subscript"/>
                <w:lang w:val="en-US" w:eastAsia="zh-CN"/>
              </w:rPr>
              <w:t>1</w:t>
            </w:r>
            <w:r>
              <w:rPr>
                <w:rFonts w:hint="eastAsia" w:cs="Times New Roman"/>
                <w:color w:val="auto"/>
                <w:spacing w:val="11"/>
                <w:position w:val="0"/>
                <w:sz w:val="24"/>
                <w:szCs w:val="22"/>
                <w:highlight w:val="none"/>
                <w:u w:val="none" w:color="auto"/>
                <w:lang w:val="en-US" w:eastAsia="zh-CN"/>
              </w:rPr>
              <w:t>s）灰岩岩组，水量贫乏；未来矿山拟采用露天开采方式，拟采最低标高为+177m，高于周边最低侵蚀基准面标高+154m，界外的水库、水塘水体不能直接倒灌采场。采场充水的主要因素为大气降水，水量较小，未来矿山开采后形成的最终开采境界可依地势自行排水。主要地下水类型为碳酸盐岩溶洞裂隙水、碳酸盐岩—碎屑岩构造裂隙水、红层风化裂隙水，含水层位为泥盆系上统锡矿山组（D</w:t>
            </w:r>
            <w:r>
              <w:rPr>
                <w:rFonts w:hint="eastAsia" w:cs="Times New Roman"/>
                <w:color w:val="auto"/>
                <w:spacing w:val="11"/>
                <w:position w:val="0"/>
                <w:sz w:val="24"/>
                <w:szCs w:val="22"/>
                <w:highlight w:val="none"/>
                <w:u w:val="none" w:color="auto"/>
                <w:vertAlign w:val="subscript"/>
                <w:lang w:val="en-US" w:eastAsia="zh-CN"/>
              </w:rPr>
              <w:t>3</w:t>
            </w:r>
            <w:r>
              <w:rPr>
                <w:rFonts w:hint="eastAsia" w:cs="Times New Roman"/>
                <w:color w:val="auto"/>
                <w:spacing w:val="11"/>
                <w:position w:val="0"/>
                <w:sz w:val="24"/>
                <w:szCs w:val="22"/>
                <w:highlight w:val="none"/>
                <w:u w:val="none" w:color="auto"/>
                <w:lang w:val="en-US" w:eastAsia="zh-CN"/>
              </w:rPr>
              <w:t xml:space="preserve">x）和白垩系（K），矿区内地层对应的富水性弱，主要由大气降雨补给，补给条件差。矿区内位于独立水文地质单元补给区内，水文地质边界条件简单，第四系覆盖很少，无老空水分布，未来开采不会造成地表水漏失和疏干地下水。矿山露天开采不会产生塌陷、沉降。 </w:t>
            </w:r>
          </w:p>
          <w:p w14:paraId="16BD07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依据《矿区水文地质工程地质勘查规范》（GB/T 12719-2021）中充水矿床勘查的复杂程度分型表（表 6.1-2）逐一对照分析，本矿区的水文地质条件属简单类型。</w:t>
            </w:r>
          </w:p>
          <w:p w14:paraId="379624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 xml:space="preserve">②工程地质条件 </w:t>
            </w:r>
          </w:p>
          <w:p w14:paraId="4C8C4E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总体工程地质结构相对稳定，但边坡高差较大，且西侧边坡中部有软弱夹层，边坡稳定性较差，其余边坡总体稳定性较好；断层构造对边坡稳定影响一般；地表溶蚀沟槽发育，近地表岩体受溶蚀较破碎，岩体稳定性受到影响。总体来说，矿区工程地质条件中等类型。</w:t>
            </w:r>
          </w:p>
          <w:p w14:paraId="7E83DD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③环境地质条件</w:t>
            </w:r>
          </w:p>
          <w:p w14:paraId="1F6BB0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cs="Times New Roman"/>
                <w:color w:val="auto"/>
                <w:spacing w:val="11"/>
                <w:position w:val="0"/>
                <w:sz w:val="24"/>
                <w:szCs w:val="22"/>
                <w:highlight w:val="none"/>
                <w:u w:val="none" w:color="auto"/>
                <w:lang w:val="en-US" w:eastAsia="zh-CN"/>
              </w:rPr>
              <w:t>矿区属基本稳定区，现状地质灾害不发育，自然生态环境质量良好。未来矿山露天开采造成地表变形、占用土地资源、破坏土石环境，对土地资源和土石环境的影响严重；矿业活动引发崩塌、滑坡和泥石流的可能性中等，危险性中等，对自然景观和人居环境影响较重。其他地质环境影响及地质灾害危害较轻。矿山开采引发的地质环境问题可以通过工程措施治理恢复。因此，矿区属地质环境质量中等类型。</w:t>
            </w:r>
          </w:p>
        </w:tc>
      </w:tr>
      <w:tr w14:paraId="3939B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6212A1A8">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u w:val="single"/>
              </w:rPr>
            </w:pPr>
            <w:r>
              <w:rPr>
                <w:rFonts w:hint="default" w:ascii="Times New Roman" w:hAnsi="Times New Roman" w:eastAsia="宋体" w:cs="Times New Roman"/>
                <w:color w:val="auto"/>
                <w:spacing w:val="11"/>
                <w:kern w:val="0"/>
                <w:position w:val="0"/>
                <w:sz w:val="24"/>
                <w:szCs w:val="24"/>
                <w:u w:val="none"/>
              </w:rPr>
              <w:t>总平面及现场布置</w:t>
            </w:r>
          </w:p>
        </w:tc>
        <w:tc>
          <w:tcPr>
            <w:tcW w:w="8304" w:type="dxa"/>
            <w:tcBorders>
              <w:tl2br w:val="nil"/>
              <w:tr2bl w:val="nil"/>
            </w:tcBorders>
            <w:noWrap w:val="0"/>
            <w:vAlign w:val="top"/>
          </w:tcPr>
          <w:p w14:paraId="6E33F8CF">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color w:val="auto"/>
                <w:spacing w:val="11"/>
                <w:position w:val="0"/>
                <w:sz w:val="24"/>
                <w:szCs w:val="22"/>
                <w:u w:val="none" w:color="auto"/>
                <w:lang w:val="en-US" w:eastAsia="zh-CN"/>
              </w:rPr>
              <w:t>项目总平面布置主要分为露天开采区、</w:t>
            </w:r>
            <w:r>
              <w:rPr>
                <w:rFonts w:hint="eastAsia" w:ascii="Times New Roman" w:hAnsi="Times New Roman" w:eastAsia="宋体" w:cs="Times New Roman"/>
                <w:color w:val="auto"/>
                <w:spacing w:val="11"/>
                <w:position w:val="0"/>
                <w:sz w:val="24"/>
                <w:szCs w:val="22"/>
                <w:highlight w:val="none"/>
                <w:u w:val="none" w:color="auto"/>
                <w:lang w:val="en-US" w:eastAsia="zh-CN"/>
              </w:rPr>
              <w:t>工业广场</w:t>
            </w:r>
            <w:r>
              <w:rPr>
                <w:rFonts w:hint="eastAsia" w:cs="Times New Roman"/>
                <w:color w:val="auto"/>
                <w:spacing w:val="11"/>
                <w:position w:val="0"/>
                <w:sz w:val="24"/>
                <w:szCs w:val="22"/>
                <w:highlight w:val="none"/>
                <w:u w:val="none" w:color="auto"/>
                <w:lang w:val="en-US" w:eastAsia="zh-CN"/>
              </w:rPr>
              <w:t>、临时堆土场</w:t>
            </w:r>
            <w:r>
              <w:rPr>
                <w:rFonts w:hint="eastAsia" w:ascii="Times New Roman" w:hAnsi="Times New Roman" w:eastAsia="宋体" w:cs="Times New Roman"/>
                <w:color w:val="auto"/>
                <w:spacing w:val="11"/>
                <w:position w:val="0"/>
                <w:sz w:val="24"/>
                <w:szCs w:val="22"/>
                <w:highlight w:val="none"/>
                <w:u w:val="none" w:color="auto"/>
                <w:lang w:val="en-US" w:eastAsia="zh-CN"/>
              </w:rPr>
              <w:t>以及办公生活区。露天开采位于厂区西</w:t>
            </w:r>
            <w:r>
              <w:rPr>
                <w:rFonts w:hint="eastAsia" w:cs="Times New Roman"/>
                <w:color w:val="auto"/>
                <w:spacing w:val="11"/>
                <w:position w:val="0"/>
                <w:sz w:val="24"/>
                <w:szCs w:val="22"/>
                <w:highlight w:val="none"/>
                <w:u w:val="none" w:color="auto"/>
                <w:lang w:val="en-US" w:eastAsia="zh-CN"/>
              </w:rPr>
              <w:t>南</w:t>
            </w:r>
            <w:r>
              <w:rPr>
                <w:rFonts w:hint="eastAsia" w:ascii="Times New Roman" w:hAnsi="Times New Roman" w:eastAsia="宋体" w:cs="Times New Roman"/>
                <w:color w:val="auto"/>
                <w:spacing w:val="11"/>
                <w:position w:val="0"/>
                <w:sz w:val="24"/>
                <w:szCs w:val="22"/>
                <w:highlight w:val="none"/>
                <w:u w:val="none" w:color="auto"/>
                <w:lang w:val="en-US" w:eastAsia="zh-CN"/>
              </w:rPr>
              <w:t>侧，工业广场位于厂区东</w:t>
            </w:r>
            <w:r>
              <w:rPr>
                <w:rFonts w:hint="eastAsia" w:ascii="Times New Roman" w:hAnsi="Times New Roman" w:eastAsia="宋体" w:cs="Times New Roman"/>
                <w:color w:val="auto"/>
                <w:spacing w:val="11"/>
                <w:position w:val="0"/>
                <w:sz w:val="24"/>
                <w:szCs w:val="22"/>
                <w:u w:val="none" w:color="auto"/>
                <w:lang w:val="en-US" w:eastAsia="zh-CN"/>
              </w:rPr>
              <w:t>面的平缓坡地处，办公区位于厂区东侧</w:t>
            </w:r>
            <w:r>
              <w:rPr>
                <w:rFonts w:hint="eastAsia" w:cs="Times New Roman"/>
                <w:color w:val="auto"/>
                <w:spacing w:val="11"/>
                <w:position w:val="0"/>
                <w:sz w:val="24"/>
                <w:szCs w:val="22"/>
                <w:u w:val="none" w:color="auto"/>
                <w:lang w:val="en-US" w:eastAsia="zh-CN"/>
              </w:rPr>
              <w:t>，临时堆土场位于厂区东侧</w:t>
            </w:r>
            <w:r>
              <w:rPr>
                <w:rFonts w:hint="eastAsia" w:ascii="Times New Roman" w:hAnsi="Times New Roman" w:eastAsia="宋体" w:cs="Times New Roman"/>
                <w:color w:val="auto"/>
                <w:spacing w:val="11"/>
                <w:position w:val="0"/>
                <w:sz w:val="24"/>
                <w:szCs w:val="22"/>
                <w:u w:val="none" w:color="auto"/>
                <w:lang w:val="en-US" w:eastAsia="zh-CN"/>
              </w:rPr>
              <w:t>。厂区入口处设有车辆过水池</w:t>
            </w:r>
            <w:r>
              <w:rPr>
                <w:rFonts w:hint="eastAsia" w:cs="Times New Roman"/>
                <w:color w:val="auto"/>
                <w:spacing w:val="11"/>
                <w:position w:val="0"/>
                <w:sz w:val="24"/>
                <w:szCs w:val="22"/>
                <w:u w:val="none" w:color="auto"/>
                <w:lang w:val="en-US" w:eastAsia="zh-CN"/>
              </w:rPr>
              <w:t>以及地磅</w:t>
            </w:r>
            <w:r>
              <w:rPr>
                <w:rFonts w:hint="eastAsia" w:ascii="Times New Roman" w:hAnsi="Times New Roman" w:eastAsia="宋体" w:cs="Times New Roman"/>
                <w:color w:val="auto"/>
                <w:spacing w:val="11"/>
                <w:position w:val="0"/>
                <w:sz w:val="24"/>
                <w:szCs w:val="22"/>
                <w:u w:val="none" w:color="auto"/>
                <w:lang w:val="en-US" w:eastAsia="zh-CN"/>
              </w:rPr>
              <w:t>。本项目不在厂区内设置炸药库，爆破工作委托有资质的爆破有限公司进行，项目具体平面布置见附图。</w:t>
            </w:r>
          </w:p>
          <w:p w14:paraId="534250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none" w:color="auto"/>
              </w:rPr>
            </w:pPr>
            <w:r>
              <w:rPr>
                <w:rFonts w:hint="eastAsia" w:ascii="Times New Roman" w:hAnsi="Times New Roman" w:eastAsia="宋体" w:cs="Times New Roman"/>
                <w:color w:val="000000"/>
                <w:spacing w:val="11"/>
                <w:position w:val="0"/>
                <w:sz w:val="24"/>
                <w:szCs w:val="24"/>
                <w:highlight w:val="none"/>
                <w:u w:val="none" w:color="auto"/>
                <w:lang w:val="en-US" w:eastAsia="zh-CN"/>
              </w:rPr>
              <w:t>本</w:t>
            </w:r>
            <w:r>
              <w:rPr>
                <w:rFonts w:hint="default" w:ascii="Times New Roman" w:hAnsi="Times New Roman" w:eastAsia="宋体" w:cs="Times New Roman"/>
                <w:color w:val="000000"/>
                <w:spacing w:val="11"/>
                <w:position w:val="0"/>
                <w:sz w:val="24"/>
                <w:szCs w:val="24"/>
                <w:highlight w:val="none"/>
                <w:u w:val="none" w:color="auto"/>
                <w:lang w:val="en-US" w:eastAsia="zh-CN"/>
              </w:rPr>
              <w:t>矿区范围由</w:t>
            </w:r>
            <w:r>
              <w:rPr>
                <w:rFonts w:hint="eastAsia" w:ascii="Times New Roman" w:hAnsi="Times New Roman" w:eastAsia="宋体" w:cs="Times New Roman"/>
                <w:color w:val="000000"/>
                <w:spacing w:val="11"/>
                <w:position w:val="0"/>
                <w:sz w:val="24"/>
                <w:szCs w:val="24"/>
                <w:highlight w:val="none"/>
                <w:u w:val="none" w:color="auto"/>
                <w:lang w:val="en-US" w:eastAsia="zh-CN"/>
              </w:rPr>
              <w:t>7</w:t>
            </w:r>
            <w:r>
              <w:rPr>
                <w:rFonts w:hint="default" w:ascii="Times New Roman" w:hAnsi="Times New Roman" w:eastAsia="宋体" w:cs="Times New Roman"/>
                <w:color w:val="000000"/>
                <w:spacing w:val="11"/>
                <w:position w:val="0"/>
                <w:sz w:val="24"/>
                <w:szCs w:val="24"/>
                <w:highlight w:val="none"/>
                <w:u w:val="none" w:color="auto"/>
                <w:lang w:val="en-US" w:eastAsia="zh-CN"/>
              </w:rPr>
              <w:t>个拐点闭合圈定，总占地面积0.</w:t>
            </w:r>
            <w:r>
              <w:rPr>
                <w:rFonts w:hint="eastAsia" w:ascii="Times New Roman" w:hAnsi="Times New Roman" w:eastAsia="宋体" w:cs="Times New Roman"/>
                <w:color w:val="000000"/>
                <w:spacing w:val="11"/>
                <w:position w:val="0"/>
                <w:sz w:val="24"/>
                <w:szCs w:val="24"/>
                <w:highlight w:val="none"/>
                <w:u w:val="none" w:color="auto"/>
                <w:lang w:val="en-US" w:eastAsia="zh-CN"/>
              </w:rPr>
              <w:t>1018</w:t>
            </w:r>
            <w:r>
              <w:rPr>
                <w:rFonts w:hint="default" w:ascii="Times New Roman" w:hAnsi="Times New Roman" w:eastAsia="宋体" w:cs="Times New Roman"/>
                <w:color w:val="000000"/>
                <w:spacing w:val="11"/>
                <w:position w:val="0"/>
                <w:sz w:val="24"/>
                <w:szCs w:val="24"/>
                <w:highlight w:val="none"/>
                <w:u w:val="none" w:color="auto"/>
                <w:lang w:val="en-US" w:eastAsia="zh-CN"/>
              </w:rPr>
              <w:t>km</w:t>
            </w:r>
            <w:r>
              <w:rPr>
                <w:rFonts w:hint="default" w:ascii="Times New Roman" w:hAnsi="Times New Roman" w:eastAsia="宋体" w:cs="Times New Roman"/>
                <w:color w:val="000000"/>
                <w:spacing w:val="11"/>
                <w:position w:val="0"/>
                <w:sz w:val="24"/>
                <w:szCs w:val="24"/>
                <w:highlight w:val="none"/>
                <w:u w:val="none" w:color="auto"/>
                <w:vertAlign w:val="superscript"/>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，采用露天台阶式分层开采，公路运输开拓系统，设计准采高程为+343m～+260m。根据矿山地形、地质特点和现有资源赋存状况，台阶高度为15m，台阶坡面角为 30°-65°，安全平台宽度 4m，清扫平台宽 8m。最终边坡角平均为 24°-55°。</w:t>
            </w:r>
            <w:r>
              <w:rPr>
                <w:rFonts w:hint="default" w:ascii="Times New Roman" w:hAnsi="Times New Roman" w:eastAsia="宋体" w:cs="Times New Roman"/>
                <w:color w:val="000000"/>
                <w:spacing w:val="11"/>
                <w:position w:val="0"/>
                <w:sz w:val="24"/>
                <w:szCs w:val="24"/>
                <w:u w:val="none" w:color="auto"/>
              </w:rPr>
              <w:t>项目采用自上而下分台阶开采方式。运输采用公路开拓运输，在台阶面上直接装运。露天采场采区内水文地质条件简单，矿区充水主要为大气降水。矿区雨水经地形坡度自然排水，为防止周围山体的雨水进入采场影响边坡稳定，在矿区设置</w:t>
            </w:r>
            <w:r>
              <w:rPr>
                <w:rFonts w:hint="eastAsia" w:ascii="Times New Roman" w:hAnsi="Times New Roman" w:eastAsia="宋体" w:cs="Times New Roman"/>
                <w:color w:val="000000"/>
                <w:spacing w:val="11"/>
                <w:position w:val="0"/>
                <w:sz w:val="24"/>
                <w:szCs w:val="24"/>
                <w:u w:val="none" w:color="auto"/>
                <w:lang w:val="en-US" w:eastAsia="zh-CN"/>
              </w:rPr>
              <w:t>雨水沟</w:t>
            </w:r>
            <w:r>
              <w:rPr>
                <w:rFonts w:hint="default" w:ascii="Times New Roman" w:hAnsi="Times New Roman" w:eastAsia="宋体" w:cs="Times New Roman"/>
                <w:color w:val="000000"/>
                <w:spacing w:val="11"/>
                <w:position w:val="0"/>
                <w:sz w:val="24"/>
                <w:szCs w:val="24"/>
                <w:u w:val="none" w:color="auto"/>
              </w:rPr>
              <w:t>，并配套完善沉淀池对此部分废水进行收集处理后，再回用，从环保角度分析能满足环保要求，因此本项目总平面布置较合理。</w:t>
            </w:r>
          </w:p>
        </w:tc>
      </w:tr>
      <w:tr w14:paraId="53108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084840D9">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施工方案</w:t>
            </w:r>
          </w:p>
        </w:tc>
        <w:tc>
          <w:tcPr>
            <w:tcW w:w="8304" w:type="dxa"/>
            <w:tcBorders>
              <w:tl2br w:val="nil"/>
              <w:tr2bl w:val="nil"/>
            </w:tcBorders>
            <w:noWrap w:val="0"/>
            <w:vAlign w:val="top"/>
          </w:tcPr>
          <w:p w14:paraId="7A2E728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eastAsia" w:ascii="Times New Roman" w:hAnsi="Times New Roman" w:eastAsia="宋体" w:cs="Times New Roman"/>
                <w:snapToGrid w:val="0"/>
                <w:color w:val="auto"/>
                <w:spacing w:val="11"/>
                <w:kern w:val="0"/>
                <w:position w:val="0"/>
                <w:sz w:val="24"/>
                <w:szCs w:val="24"/>
                <w:lang w:val="en-US" w:eastAsia="zh-CN" w:bidi="ar-SA"/>
              </w:rPr>
            </w:pPr>
            <w:r>
              <w:rPr>
                <w:rFonts w:hint="eastAsia" w:ascii="Times New Roman" w:hAnsi="Times New Roman" w:eastAsia="宋体" w:cs="Times New Roman"/>
                <w:snapToGrid w:val="0"/>
                <w:color w:val="auto"/>
                <w:spacing w:val="11"/>
                <w:kern w:val="0"/>
                <w:position w:val="0"/>
                <w:sz w:val="24"/>
                <w:szCs w:val="24"/>
                <w:lang w:val="en-US" w:eastAsia="zh-CN" w:bidi="ar-SA"/>
              </w:rPr>
              <w:t>本次扩建项目施工期建设内容主要</w:t>
            </w:r>
            <w:r>
              <w:rPr>
                <w:rFonts w:hint="eastAsia" w:cs="Times New Roman"/>
                <w:snapToGrid w:val="0"/>
                <w:color w:val="auto"/>
                <w:spacing w:val="11"/>
                <w:kern w:val="0"/>
                <w:position w:val="0"/>
                <w:sz w:val="24"/>
                <w:szCs w:val="24"/>
                <w:lang w:val="en-US" w:eastAsia="zh-CN" w:bidi="ar-SA"/>
              </w:rPr>
              <w:t>为</w:t>
            </w:r>
            <w:r>
              <w:rPr>
                <w:rFonts w:hint="eastAsia" w:ascii="Times New Roman" w:hAnsi="Times New Roman" w:eastAsia="宋体" w:cs="Times New Roman"/>
                <w:snapToGrid w:val="0"/>
                <w:color w:val="auto"/>
                <w:spacing w:val="11"/>
                <w:kern w:val="0"/>
                <w:position w:val="0"/>
                <w:sz w:val="24"/>
                <w:szCs w:val="24"/>
                <w:lang w:val="en-US" w:eastAsia="zh-CN" w:bidi="ar-SA"/>
              </w:rPr>
              <w:t>完善施工道路、沉淀池、雨水沟、撇洪沟等工程设施等。</w:t>
            </w:r>
          </w:p>
          <w:p w14:paraId="227A763C">
            <w:pPr>
              <w:pStyle w:val="38"/>
              <w:jc w:val="center"/>
              <w:rPr>
                <w:rFonts w:hint="eastAsia" w:ascii="Times New Roman" w:hAnsi="Times New Roman" w:eastAsia="宋体" w:cs="Times New Roman"/>
                <w:snapToGrid w:val="0"/>
                <w:color w:val="auto"/>
                <w:spacing w:val="11"/>
                <w:kern w:val="0"/>
                <w:position w:val="0"/>
                <w:sz w:val="24"/>
                <w:szCs w:val="24"/>
                <w:lang w:val="en-US" w:eastAsia="zh-CN" w:bidi="ar-SA"/>
              </w:rPr>
            </w:pPr>
            <w:r>
              <w:rPr>
                <w:rFonts w:hint="eastAsia" w:ascii="Times New Roman" w:hAnsi="Times New Roman" w:eastAsia="宋体" w:cs="Times New Roman"/>
                <w:snapToGrid w:val="0"/>
                <w:color w:val="auto"/>
                <w:spacing w:val="11"/>
                <w:kern w:val="0"/>
                <w:position w:val="0"/>
                <w:sz w:val="24"/>
                <w:szCs w:val="24"/>
                <w:lang w:val="en-US" w:eastAsia="zh-CN" w:bidi="ar-SA"/>
              </w:rPr>
              <w:drawing>
                <wp:inline distT="0" distB="0" distL="114300" distR="114300">
                  <wp:extent cx="2877185" cy="1914525"/>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7"/>
                          <a:srcRect t="9337" b="9066"/>
                          <a:stretch>
                            <a:fillRect/>
                          </a:stretch>
                        </pic:blipFill>
                        <pic:spPr>
                          <a:xfrm>
                            <a:off x="0" y="0"/>
                            <a:ext cx="2877185" cy="1914525"/>
                          </a:xfrm>
                          <a:prstGeom prst="rect">
                            <a:avLst/>
                          </a:prstGeom>
                        </pic:spPr>
                      </pic:pic>
                    </a:graphicData>
                  </a:graphic>
                </wp:inline>
              </w:drawing>
            </w:r>
          </w:p>
          <w:p w14:paraId="0B3A706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ascii="Times New Roman" w:hAnsi="Times New Roman" w:eastAsia="宋体" w:cs="Times New Roman"/>
                <w:b/>
                <w:bCs/>
                <w:snapToGrid w:val="0"/>
                <w:color w:val="auto"/>
                <w:spacing w:val="11"/>
                <w:kern w:val="0"/>
                <w:position w:val="0"/>
                <w:sz w:val="21"/>
                <w:szCs w:val="21"/>
                <w:lang w:val="en-US" w:eastAsia="zh-CN" w:bidi="ar-SA"/>
              </w:rPr>
            </w:pPr>
            <w:r>
              <w:rPr>
                <w:rFonts w:hint="eastAsia" w:ascii="Times New Roman" w:hAnsi="Times New Roman" w:eastAsia="宋体" w:cs="Times New Roman"/>
                <w:b/>
                <w:bCs/>
                <w:snapToGrid w:val="0"/>
                <w:color w:val="auto"/>
                <w:spacing w:val="11"/>
                <w:kern w:val="0"/>
                <w:position w:val="0"/>
                <w:sz w:val="21"/>
                <w:szCs w:val="21"/>
                <w:lang w:val="en-US" w:eastAsia="zh-CN" w:bidi="ar-SA"/>
              </w:rPr>
              <w:t>图2-</w:t>
            </w:r>
            <w:r>
              <w:rPr>
                <w:rFonts w:hint="eastAsia" w:cs="Times New Roman"/>
                <w:b/>
                <w:bCs/>
                <w:snapToGrid w:val="0"/>
                <w:color w:val="auto"/>
                <w:spacing w:val="11"/>
                <w:kern w:val="0"/>
                <w:position w:val="0"/>
                <w:sz w:val="21"/>
                <w:szCs w:val="21"/>
                <w:lang w:val="en-US" w:eastAsia="zh-CN" w:bidi="ar-SA"/>
              </w:rPr>
              <w:t>1</w:t>
            </w:r>
            <w:r>
              <w:rPr>
                <w:rFonts w:hint="eastAsia" w:ascii="Times New Roman" w:hAnsi="Times New Roman" w:eastAsia="宋体" w:cs="Times New Roman"/>
                <w:b/>
                <w:bCs/>
                <w:snapToGrid w:val="0"/>
                <w:color w:val="auto"/>
                <w:spacing w:val="11"/>
                <w:kern w:val="0"/>
                <w:position w:val="0"/>
                <w:sz w:val="21"/>
                <w:szCs w:val="21"/>
                <w:lang w:val="en-US" w:eastAsia="zh-CN" w:bidi="ar-SA"/>
              </w:rPr>
              <w:t xml:space="preserve">  项目施工期工艺流程及产污节点图</w:t>
            </w:r>
          </w:p>
          <w:p w14:paraId="08032CFF">
            <w:pPr>
              <w:widowControl w:val="0"/>
              <w:spacing w:line="360" w:lineRule="auto"/>
              <w:ind w:firstLine="526" w:firstLineChars="200"/>
              <w:jc w:val="left"/>
              <w:rPr>
                <w:rFonts w:ascii="Times New Roman" w:hAnsi="Times New Roman" w:eastAsia="宋体" w:cs="Times New Roman"/>
                <w:b/>
                <w:bCs/>
                <w:snapToGrid w:val="0"/>
                <w:color w:val="auto"/>
                <w:spacing w:val="11"/>
                <w:kern w:val="0"/>
                <w:position w:val="0"/>
                <w:sz w:val="21"/>
                <w:szCs w:val="21"/>
                <w:lang w:val="en-US" w:eastAsia="zh-CN" w:bidi="ar-SA"/>
              </w:rPr>
            </w:pPr>
            <w:r>
              <w:rPr>
                <w:rFonts w:hint="eastAsia" w:ascii="Times New Roman" w:hAnsi="Times New Roman" w:eastAsia="宋体" w:cs="Times New Roman"/>
                <w:b/>
                <w:bCs/>
                <w:snapToGrid w:val="0"/>
                <w:color w:val="auto"/>
                <w:spacing w:val="11"/>
                <w:kern w:val="0"/>
                <w:position w:val="0"/>
                <w:sz w:val="24"/>
                <w:szCs w:val="24"/>
                <w:lang w:val="en-US" w:eastAsia="zh-CN" w:bidi="ar-SA"/>
              </w:rPr>
              <w:t>施工期工艺流程简述：</w:t>
            </w:r>
          </w:p>
          <w:p w14:paraId="41ABF276">
            <w:pPr>
              <w:widowControl w:val="0"/>
              <w:spacing w:line="360" w:lineRule="auto"/>
              <w:ind w:firstLine="524" w:firstLineChars="200"/>
              <w:jc w:val="both"/>
              <w:rPr>
                <w:rFonts w:hint="default" w:ascii="Times New Roman" w:hAnsi="Times New Roman" w:eastAsia="宋体" w:cs="Times New Roman"/>
                <w:color w:val="auto"/>
                <w:spacing w:val="11"/>
                <w:kern w:val="0"/>
                <w:position w:val="0"/>
                <w:sz w:val="24"/>
                <w:szCs w:val="24"/>
                <w:lang w:val="en-US"/>
              </w:rPr>
            </w:pPr>
            <w:r>
              <w:rPr>
                <w:rFonts w:hint="eastAsia" w:ascii="Times New Roman" w:hAnsi="Times New Roman" w:eastAsia="宋体" w:cs="Times New Roman"/>
                <w:snapToGrid w:val="0"/>
                <w:color w:val="auto"/>
                <w:spacing w:val="11"/>
                <w:kern w:val="0"/>
                <w:position w:val="0"/>
                <w:sz w:val="24"/>
                <w:szCs w:val="24"/>
                <w:lang w:val="en-US" w:eastAsia="zh-CN" w:bidi="ar-SA"/>
              </w:rPr>
              <w:t>建设项目基础工程主要为完善施工道路、沉淀池、雨水沟、撇洪沟等</w:t>
            </w:r>
            <w:r>
              <w:rPr>
                <w:rFonts w:hint="eastAsia" w:cs="Times New Roman"/>
                <w:snapToGrid w:val="0"/>
                <w:color w:val="auto"/>
                <w:spacing w:val="11"/>
                <w:kern w:val="0"/>
                <w:position w:val="0"/>
                <w:sz w:val="24"/>
                <w:szCs w:val="24"/>
                <w:lang w:val="en-US" w:eastAsia="zh-CN" w:bidi="ar-SA"/>
              </w:rPr>
              <w:t>，项目施工工艺较为简单</w:t>
            </w:r>
            <w:r>
              <w:rPr>
                <w:rFonts w:hint="eastAsia" w:ascii="Times New Roman" w:hAnsi="Times New Roman" w:eastAsia="宋体" w:cs="Times New Roman"/>
                <w:snapToGrid w:val="0"/>
                <w:color w:val="auto"/>
                <w:spacing w:val="11"/>
                <w:kern w:val="0"/>
                <w:position w:val="0"/>
                <w:sz w:val="24"/>
                <w:szCs w:val="24"/>
                <w:lang w:val="en-US" w:eastAsia="zh-CN" w:bidi="ar-SA"/>
              </w:rPr>
              <w:t>。施工过程中主要污染物为一定量的施工渣土、施工扬尘、机械设备尾气、施工噪声及施工废水等，会破坏区域内植被，可能造成水土流失。</w:t>
            </w:r>
          </w:p>
        </w:tc>
      </w:tr>
      <w:tr w14:paraId="252EB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481F0FC4">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其他</w:t>
            </w:r>
          </w:p>
        </w:tc>
        <w:tc>
          <w:tcPr>
            <w:tcW w:w="8304" w:type="dxa"/>
            <w:tcBorders>
              <w:tl2br w:val="nil"/>
              <w:tr2bl w:val="nil"/>
            </w:tcBorders>
            <w:noWrap w:val="0"/>
            <w:vAlign w:val="center"/>
          </w:tcPr>
          <w:p w14:paraId="447B5E6F">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spacing w:val="11"/>
                <w:kern w:val="0"/>
                <w:position w:val="0"/>
                <w:sz w:val="24"/>
                <w:szCs w:val="24"/>
                <w:lang w:val="en-US" w:eastAsia="zh-CN"/>
              </w:rPr>
            </w:pPr>
            <w:r>
              <w:rPr>
                <w:rFonts w:hint="eastAsia" w:ascii="Times New Roman" w:hAnsi="Times New Roman" w:eastAsia="宋体" w:cs="Times New Roman"/>
                <w:b/>
                <w:bCs/>
                <w:color w:val="auto"/>
                <w:spacing w:val="11"/>
                <w:kern w:val="0"/>
                <w:position w:val="0"/>
                <w:sz w:val="24"/>
                <w:szCs w:val="24"/>
                <w:lang w:val="en-US" w:eastAsia="zh-CN"/>
              </w:rPr>
              <w:t>营运期工艺流程</w:t>
            </w:r>
            <w:r>
              <w:rPr>
                <w:rFonts w:hint="eastAsia" w:cs="Times New Roman"/>
                <w:b/>
                <w:bCs/>
                <w:color w:val="auto"/>
                <w:spacing w:val="11"/>
                <w:kern w:val="0"/>
                <w:position w:val="0"/>
                <w:sz w:val="24"/>
                <w:szCs w:val="24"/>
                <w:lang w:val="en-US" w:eastAsia="zh-CN"/>
              </w:rPr>
              <w:t>：</w:t>
            </w:r>
          </w:p>
          <w:p w14:paraId="5E6A31E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r>
              <w:rPr>
                <w:rFonts w:hint="eastAsia" w:ascii="Times New Roman" w:hAnsi="Times New Roman" w:eastAsia="宋体" w:cs="Times New Roman"/>
                <w:color w:val="auto"/>
                <w:spacing w:val="11"/>
                <w:kern w:val="0"/>
                <w:position w:val="0"/>
                <w:sz w:val="24"/>
                <w:szCs w:val="24"/>
                <w:lang w:val="en-US" w:eastAsia="zh-CN"/>
              </w:rPr>
              <w:t>项目营运期采矿工艺</w:t>
            </w:r>
            <w:r>
              <w:rPr>
                <w:rFonts w:hint="eastAsia" w:cs="Times New Roman"/>
                <w:color w:val="auto"/>
                <w:spacing w:val="11"/>
                <w:kern w:val="0"/>
                <w:position w:val="0"/>
                <w:sz w:val="24"/>
                <w:szCs w:val="24"/>
                <w:lang w:val="en-US" w:eastAsia="zh-CN"/>
              </w:rPr>
              <w:t>、</w:t>
            </w:r>
            <w:r>
              <w:rPr>
                <w:rFonts w:hint="eastAsia" w:ascii="Times New Roman" w:hAnsi="Times New Roman" w:eastAsia="宋体" w:cs="Times New Roman"/>
                <w:color w:val="auto"/>
                <w:spacing w:val="11"/>
                <w:kern w:val="0"/>
                <w:position w:val="0"/>
                <w:sz w:val="24"/>
                <w:szCs w:val="24"/>
                <w:lang w:val="en-US" w:eastAsia="zh-CN"/>
              </w:rPr>
              <w:t>破碎制砂工艺</w:t>
            </w:r>
            <w:r>
              <w:rPr>
                <w:rFonts w:hint="eastAsia" w:cs="Times New Roman"/>
                <w:color w:val="auto"/>
                <w:spacing w:val="11"/>
                <w:kern w:val="0"/>
                <w:position w:val="0"/>
                <w:sz w:val="24"/>
                <w:szCs w:val="24"/>
                <w:lang w:val="en-US" w:eastAsia="zh-CN"/>
              </w:rPr>
              <w:t>以及水稳拌合工艺</w:t>
            </w:r>
            <w:r>
              <w:rPr>
                <w:rFonts w:hint="eastAsia" w:ascii="Times New Roman" w:hAnsi="Times New Roman" w:eastAsia="宋体" w:cs="Times New Roman"/>
                <w:color w:val="auto"/>
                <w:spacing w:val="11"/>
                <w:kern w:val="0"/>
                <w:position w:val="0"/>
                <w:sz w:val="24"/>
                <w:szCs w:val="24"/>
                <w:lang w:val="en-US" w:eastAsia="zh-CN"/>
              </w:rPr>
              <w:t>流程及产污节点图见下图。</w:t>
            </w:r>
          </w:p>
          <w:p w14:paraId="1F943B1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14:paraId="201DAA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14:paraId="2A7469C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14:paraId="51B3E45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14:paraId="302FDEC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14:paraId="1660A74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p w14:paraId="78B23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drawing>
                <wp:inline distT="0" distB="0" distL="114300" distR="114300">
                  <wp:extent cx="5082540" cy="4739640"/>
                  <wp:effectExtent l="0" t="0" r="0" b="0"/>
                  <wp:docPr id="9" name="ECB019B1-382A-4266-B25C-5B523AA43C14-2" descr="C:/Users/HP/AppData/Local/Temp/wps.GVTHJ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HP/AppData/Local/Temp/wps.GVTHJpwps"/>
                          <pic:cNvPicPr>
                            <a:picLocks noChangeAspect="1"/>
                          </pic:cNvPicPr>
                        </pic:nvPicPr>
                        <pic:blipFill>
                          <a:blip r:embed="rId8"/>
                          <a:stretch>
                            <a:fillRect/>
                          </a:stretch>
                        </pic:blipFill>
                        <pic:spPr>
                          <a:xfrm>
                            <a:off x="0" y="0"/>
                            <a:ext cx="5082540" cy="4739640"/>
                          </a:xfrm>
                          <a:prstGeom prst="rect">
                            <a:avLst/>
                          </a:prstGeom>
                        </pic:spPr>
                      </pic:pic>
                    </a:graphicData>
                  </a:graphic>
                </wp:inline>
              </w:drawing>
            </w:r>
          </w:p>
          <w:p w14:paraId="51E3B3DC">
            <w:pPr>
              <w:widowControl w:val="0"/>
              <w:bidi w:val="0"/>
              <w:adjustRightInd w:val="0"/>
              <w:snapToGrid w:val="0"/>
              <w:spacing w:line="360" w:lineRule="auto"/>
              <w:ind w:firstLine="0" w:firstLineChars="0"/>
              <w:jc w:val="center"/>
              <w:rPr>
                <w:rFonts w:hint="eastAsia" w:ascii="Times New Roman" w:hAnsi="Times New Roman" w:eastAsia="宋体" w:cs="Times New Roman"/>
                <w:b/>
                <w:bCs/>
                <w:color w:val="auto"/>
                <w:spacing w:val="11"/>
                <w:kern w:val="2"/>
                <w:position w:val="0"/>
                <w:sz w:val="21"/>
                <w:szCs w:val="21"/>
                <w:highlight w:val="none"/>
                <w:u w:val="single"/>
                <w:lang w:val="en-US" w:eastAsia="zh-CN" w:bidi="ar-SA"/>
              </w:rPr>
            </w:pPr>
            <w:r>
              <w:rPr>
                <w:rFonts w:hint="eastAsia" w:ascii="Times New Roman" w:hAnsi="Times New Roman" w:eastAsia="宋体" w:cs="Times New Roman"/>
                <w:b/>
                <w:bCs/>
                <w:color w:val="auto"/>
                <w:spacing w:val="11"/>
                <w:kern w:val="2"/>
                <w:position w:val="0"/>
                <w:sz w:val="21"/>
                <w:szCs w:val="21"/>
                <w:highlight w:val="none"/>
                <w:u w:val="single"/>
                <w:lang w:val="en-US" w:eastAsia="zh-CN" w:bidi="ar-SA"/>
              </w:rPr>
              <w:t>图2-2</w:t>
            </w:r>
            <w:r>
              <w:rPr>
                <w:rFonts w:ascii="Times New Roman" w:hAnsi="Times New Roman" w:eastAsia="宋体" w:cs="Times New Roman"/>
                <w:b/>
                <w:bCs/>
                <w:color w:val="auto"/>
                <w:spacing w:val="11"/>
                <w:kern w:val="2"/>
                <w:position w:val="0"/>
                <w:sz w:val="21"/>
                <w:szCs w:val="21"/>
                <w:highlight w:val="none"/>
                <w:u w:val="single"/>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single"/>
                <w:lang w:val="en-US" w:eastAsia="zh-CN" w:bidi="ar-SA"/>
              </w:rPr>
              <w:t>项目生产工艺流程及产污节点图</w:t>
            </w:r>
          </w:p>
          <w:p w14:paraId="7F5423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pacing w:val="11"/>
                <w:kern w:val="2"/>
                <w:position w:val="0"/>
                <w:sz w:val="21"/>
                <w:szCs w:val="21"/>
                <w:highlight w:val="none"/>
                <w:lang w:val="en-US" w:eastAsia="zh-CN" w:bidi="ar-SA"/>
              </w:rPr>
            </w:pPr>
            <w:r>
              <w:rPr>
                <w:rFonts w:hint="eastAsia" w:ascii="Times New Roman" w:hAnsi="Times New Roman" w:eastAsia="宋体" w:cs="Times New Roman"/>
                <w:b/>
                <w:bCs/>
                <w:color w:val="auto"/>
                <w:spacing w:val="11"/>
                <w:kern w:val="2"/>
                <w:position w:val="0"/>
                <w:sz w:val="21"/>
                <w:szCs w:val="21"/>
                <w:highlight w:val="none"/>
                <w:lang w:val="en-US" w:eastAsia="zh-CN" w:bidi="ar-SA"/>
              </w:rPr>
              <w:drawing>
                <wp:inline distT="0" distB="0" distL="114300" distR="114300">
                  <wp:extent cx="3823335" cy="3180715"/>
                  <wp:effectExtent l="0" t="0" r="0" b="635"/>
                  <wp:docPr id="10" name="ECB019B1-382A-4266-B25C-5B523AA43C14-3" descr="C:/Users/Administrator/AppData/Local/Temp/wps.KkPJo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Administrator/AppData/Local/Temp/wps.KkPJoywps"/>
                          <pic:cNvPicPr>
                            <a:picLocks noChangeAspect="1"/>
                          </pic:cNvPicPr>
                        </pic:nvPicPr>
                        <pic:blipFill>
                          <a:blip r:embed="rId9"/>
                          <a:srcRect l="4913" t="4514" b="3916"/>
                          <a:stretch>
                            <a:fillRect/>
                          </a:stretch>
                        </pic:blipFill>
                        <pic:spPr>
                          <a:xfrm>
                            <a:off x="0" y="0"/>
                            <a:ext cx="3823335" cy="3180715"/>
                          </a:xfrm>
                          <a:prstGeom prst="rect">
                            <a:avLst/>
                          </a:prstGeom>
                        </pic:spPr>
                      </pic:pic>
                    </a:graphicData>
                  </a:graphic>
                </wp:inline>
              </w:drawing>
            </w:r>
          </w:p>
          <w:p w14:paraId="1016BAE0">
            <w:pPr>
              <w:widowControl w:val="0"/>
              <w:bidi w:val="0"/>
              <w:adjustRightInd w:val="0"/>
              <w:snapToGrid w:val="0"/>
              <w:spacing w:line="360" w:lineRule="auto"/>
              <w:ind w:firstLine="0" w:firstLineChars="0"/>
              <w:jc w:val="center"/>
              <w:rPr>
                <w:rFonts w:hint="eastAsia" w:ascii="Times New Roman" w:hAnsi="Times New Roman" w:eastAsia="宋体" w:cs="Times New Roman"/>
                <w:b/>
                <w:bCs/>
                <w:color w:val="auto"/>
                <w:spacing w:val="11"/>
                <w:kern w:val="2"/>
                <w:position w:val="0"/>
                <w:sz w:val="21"/>
                <w:szCs w:val="21"/>
                <w:highlight w:val="none"/>
                <w:lang w:val="en-US" w:eastAsia="zh-CN" w:bidi="ar-SA"/>
              </w:rPr>
            </w:pPr>
            <w:r>
              <w:rPr>
                <w:rFonts w:hint="eastAsia" w:ascii="Times New Roman" w:hAnsi="Times New Roman" w:eastAsia="宋体" w:cs="Times New Roman"/>
                <w:b/>
                <w:bCs/>
                <w:color w:val="auto"/>
                <w:spacing w:val="11"/>
                <w:kern w:val="2"/>
                <w:position w:val="0"/>
                <w:sz w:val="21"/>
                <w:szCs w:val="21"/>
                <w:highlight w:val="none"/>
                <w:lang w:val="en-US" w:eastAsia="zh-CN" w:bidi="ar-SA"/>
              </w:rPr>
              <w:t>图2-3 项目水稳拌合生产工艺流程及产污节点图</w:t>
            </w:r>
          </w:p>
          <w:p w14:paraId="62232C1A">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cs="Times New Roman"/>
                <w:b/>
                <w:bCs/>
                <w:color w:val="auto"/>
                <w:spacing w:val="11"/>
                <w:kern w:val="0"/>
                <w:position w:val="0"/>
                <w:sz w:val="24"/>
                <w:szCs w:val="24"/>
                <w:u w:val="single"/>
                <w:lang w:val="en-US" w:eastAsia="zh-CN"/>
              </w:rPr>
            </w:pPr>
            <w:r>
              <w:rPr>
                <w:rFonts w:hint="eastAsia" w:cs="Times New Roman"/>
                <w:b/>
                <w:bCs/>
                <w:color w:val="auto"/>
                <w:spacing w:val="11"/>
                <w:kern w:val="0"/>
                <w:position w:val="0"/>
                <w:sz w:val="24"/>
                <w:szCs w:val="24"/>
                <w:u w:val="single"/>
                <w:lang w:val="en-US" w:eastAsia="zh-CN"/>
              </w:rPr>
              <w:t>（1）矿石开采工艺简述</w:t>
            </w:r>
          </w:p>
          <w:p w14:paraId="4FB0630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①采场剥离</w:t>
            </w:r>
          </w:p>
          <w:p w14:paraId="3AF0D41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开采范围内的覆盖土，采用挖掘机直接挖掘装车外运；岩石(夹石)宜划分为单独的采掘带，采用与采矿相同的方法，单独进行穿爆和装载工作。以提高矿石回采率和降低废石混入率。该过程主要的污染物为剥离粉尘、少量的机械废气及机械噪声；</w:t>
            </w:r>
          </w:p>
          <w:p w14:paraId="593FC9F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②穿孔</w:t>
            </w:r>
          </w:p>
          <w:p w14:paraId="7C802DC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本项目选用潜孔钻机(自带布袋除尘器)进行钻孔作业。根据矿山的具体条件和现行设备确定炮孔直径为70mm，孔深11.6m，中深孔钻孔，布孔方式采用方形布置。该过程主要的污染物为钻孔粉尘和机械噪声；</w:t>
            </w:r>
          </w:p>
          <w:p w14:paraId="5C81980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③装药、爆破</w:t>
            </w:r>
          </w:p>
          <w:p w14:paraId="45C9D5E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采用自上而下分期台阶式开采，采用先进的深孔爆破技术。该过程主要的污染物为爆炸粉尘、少量的爆炸废气及爆破声；</w:t>
            </w:r>
          </w:p>
          <w:p w14:paraId="4AE658E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④铲装</w:t>
            </w:r>
          </w:p>
          <w:p w14:paraId="1AACD58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采矿与剥离采用挖掘机。爆破后的矿岩被装入载重20t的自卸汽车装车方式为侧向平装车。该过程主要的污染物为装卸粉尘及少量的机械废气；</w:t>
            </w:r>
          </w:p>
          <w:p w14:paraId="13D0F32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⑤运输</w:t>
            </w:r>
          </w:p>
          <w:p w14:paraId="713646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highlight w:val="none"/>
                <w:u w:val="single"/>
                <w:lang w:val="en-US" w:eastAsia="zh-CN"/>
              </w:rPr>
            </w:pPr>
            <w:r>
              <w:rPr>
                <w:rFonts w:hint="eastAsia" w:cs="Times New Roman"/>
                <w:color w:val="auto"/>
                <w:spacing w:val="11"/>
                <w:kern w:val="0"/>
                <w:position w:val="0"/>
                <w:sz w:val="24"/>
                <w:szCs w:val="24"/>
                <w:u w:val="single"/>
                <w:lang w:val="en-US" w:eastAsia="zh-CN"/>
              </w:rPr>
              <w:t>开采的石料由自卸汽车运输</w:t>
            </w:r>
            <w:r>
              <w:rPr>
                <w:rFonts w:hint="eastAsia" w:cs="Times New Roman"/>
                <w:color w:val="auto"/>
                <w:spacing w:val="11"/>
                <w:kern w:val="0"/>
                <w:position w:val="0"/>
                <w:sz w:val="24"/>
                <w:szCs w:val="24"/>
                <w:highlight w:val="none"/>
                <w:u w:val="single"/>
                <w:lang w:val="en-US" w:eastAsia="zh-CN"/>
              </w:rPr>
              <w:t>到破碎生产线加工，剥离表土和废土石运至临时堆土场暂存后，回填用作矿区填方修路及矿区复垦使用，回填后剩余的余方拖运至新田县龙兴环保建材有限公司用于生产及建筑利用使用。该过程主要的污染物为运输扬尘及少量的汽车尾气。</w:t>
            </w:r>
          </w:p>
          <w:p w14:paraId="6F9F19AA">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cs="Times New Roman"/>
                <w:b/>
                <w:bCs/>
                <w:color w:val="auto"/>
                <w:spacing w:val="11"/>
                <w:kern w:val="0"/>
                <w:position w:val="0"/>
                <w:sz w:val="24"/>
                <w:szCs w:val="24"/>
                <w:highlight w:val="none"/>
                <w:u w:val="single"/>
                <w:lang w:val="en-US" w:eastAsia="zh-CN"/>
              </w:rPr>
            </w:pPr>
            <w:r>
              <w:rPr>
                <w:rFonts w:hint="eastAsia" w:cs="Times New Roman"/>
                <w:b/>
                <w:bCs/>
                <w:color w:val="auto"/>
                <w:spacing w:val="11"/>
                <w:kern w:val="0"/>
                <w:position w:val="0"/>
                <w:sz w:val="24"/>
                <w:szCs w:val="24"/>
                <w:highlight w:val="none"/>
                <w:u w:val="single"/>
                <w:lang w:val="en-US" w:eastAsia="zh-CN"/>
              </w:rPr>
              <w:t>（2）矿石加工工艺简述</w:t>
            </w:r>
          </w:p>
          <w:p w14:paraId="6C04446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①机械破碎</w:t>
            </w:r>
          </w:p>
          <w:p w14:paraId="55A0FCF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项目矿石运至工业场地加工车间，经过破碎机进行破碎，车间安装有立轴颚式破碎机和反击式破碎机。该过程主要的污染物为破碎粉尘和机械噪声；</w:t>
            </w:r>
          </w:p>
          <w:p w14:paraId="28541C2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②筛分机筛选</w:t>
            </w:r>
          </w:p>
          <w:p w14:paraId="59E2B3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highlight w:val="none"/>
                <w:u w:val="single"/>
                <w:lang w:val="en-US" w:eastAsia="zh-CN"/>
              </w:rPr>
            </w:pPr>
            <w:r>
              <w:rPr>
                <w:rFonts w:hint="eastAsia" w:cs="Times New Roman"/>
                <w:color w:val="auto"/>
                <w:spacing w:val="11"/>
                <w:kern w:val="0"/>
                <w:position w:val="0"/>
                <w:sz w:val="24"/>
                <w:szCs w:val="24"/>
                <w:highlight w:val="none"/>
                <w:u w:val="single"/>
                <w:lang w:val="en-US" w:eastAsia="zh-CN"/>
              </w:rPr>
              <w:t>项目内安装振动筛，通过筛分后经皮带输运机运送至产品堆场。该过程主要的污染物为输送粉尘和机械噪声；</w:t>
            </w:r>
          </w:p>
          <w:p w14:paraId="0F35574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③皮带传输系统</w:t>
            </w:r>
          </w:p>
          <w:p w14:paraId="5C3683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为了将产品运至产品堆置场临存，设置皮带运输走廊。根据产品规格在出口处设置皮带输运机。该过程主要的污染物为输送扬尘；</w:t>
            </w:r>
          </w:p>
          <w:p w14:paraId="63074C6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④产品堆场</w:t>
            </w:r>
          </w:p>
          <w:p w14:paraId="63635C6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项目设1个产品堆场分别堆放产品。该过程主要的污染物为风力粉尘；</w:t>
            </w:r>
          </w:p>
          <w:p w14:paraId="4AEE1ED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⑤运输</w:t>
            </w:r>
          </w:p>
          <w:p w14:paraId="0C48332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沿场外公路由汽车将矿石产品运送给客户，该过程主要的污染物为装卸扬尘和少量的机械废气。</w:t>
            </w:r>
          </w:p>
          <w:p w14:paraId="0F3B784E">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ascii="Times New Roman" w:hAnsi="Times New Roman" w:eastAsia="宋体" w:cs="Times New Roman"/>
                <w:b/>
                <w:bCs/>
                <w:color w:val="auto"/>
                <w:spacing w:val="11"/>
                <w:kern w:val="0"/>
                <w:position w:val="0"/>
                <w:sz w:val="24"/>
                <w:szCs w:val="24"/>
                <w:u w:val="single"/>
                <w:lang w:val="en-US" w:eastAsia="zh-CN"/>
              </w:rPr>
            </w:pPr>
            <w:r>
              <w:rPr>
                <w:rFonts w:hint="eastAsia" w:ascii="Times New Roman" w:hAnsi="Times New Roman" w:eastAsia="宋体" w:cs="Times New Roman"/>
                <w:b/>
                <w:bCs/>
                <w:color w:val="auto"/>
                <w:spacing w:val="11"/>
                <w:kern w:val="0"/>
                <w:position w:val="0"/>
                <w:sz w:val="24"/>
                <w:szCs w:val="24"/>
                <w:u w:val="single"/>
                <w:lang w:val="en-US" w:eastAsia="zh-CN"/>
              </w:rPr>
              <w:t>（3）水稳拌合工艺简述</w:t>
            </w:r>
          </w:p>
          <w:p w14:paraId="12421CF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根据客户需求，少部分碎石需先在厂内进行水稳拌合后再运送给客户。碎石经汽车从产品堆场运至水稳拌合区直接进行拌合，水稳拌合区设置在半封闭式彩钢板结构厂房内。散装水泥粉料经罐车运至厂区，接驳好卸料管道后，通过水泥筒仓经螺旋自吸将水泥输送到储罐中，气体随粉料一起进入水泥筒仓中，水泥筒仓为全封闭式，气体在水泥筒仓内自然沉降。水泥从运输、储存到提升过程均在密闭系统中进行，能够有效避免粉尘的产生。</w:t>
            </w:r>
          </w:p>
          <w:p w14:paraId="062D3D7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lang w:val="en-US" w:eastAsia="zh-CN"/>
              </w:rPr>
            </w:pPr>
            <w:r>
              <w:rPr>
                <w:rFonts w:hint="eastAsia" w:cs="Times New Roman"/>
                <w:color w:val="auto"/>
                <w:spacing w:val="11"/>
                <w:kern w:val="0"/>
                <w:position w:val="0"/>
                <w:sz w:val="24"/>
                <w:szCs w:val="24"/>
                <w:u w:val="single"/>
                <w:lang w:val="en-US" w:eastAsia="zh-CN"/>
              </w:rPr>
              <w:t>经过计量后的碎石、水泥、水进入搅拌机内混合搅拌成水稳层，混合搅拌好的水稳层直接运往道路施工现场。项目搅拌机在搅拌时需添加少量水进行搅拌，因此搅拌时产生粉尘是极少的，主要为上料过程中产生的粉尘，搅拌机工作时会产生搅拌噪声，罐车运输会产生扬尘和噪声。</w:t>
            </w:r>
          </w:p>
          <w:p w14:paraId="0AD129D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3E41E1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71F0DA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4ABE7A7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429A08D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472A99C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7EC3968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5B73325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14:paraId="6FC08B1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tc>
      </w:tr>
    </w:tbl>
    <w:p w14:paraId="25F637A6">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b/>
          <w:bCs/>
          <w:color w:val="auto"/>
          <w:spacing w:val="11"/>
          <w:position w:val="0"/>
        </w:rPr>
        <w:br w:type="page"/>
      </w:r>
      <w:bookmarkStart w:id="3" w:name="_Toc28992"/>
      <w:r>
        <w:rPr>
          <w:rFonts w:hint="default" w:ascii="Times New Roman" w:hAnsi="Times New Roman" w:eastAsia="宋体" w:cs="Times New Roman"/>
          <w:b/>
          <w:bCs/>
          <w:snapToGrid w:val="0"/>
          <w:color w:val="auto"/>
          <w:spacing w:val="11"/>
          <w:position w:val="0"/>
          <w:sz w:val="30"/>
          <w:szCs w:val="30"/>
        </w:rPr>
        <w:t>三、生态环境现状、保护目标及评价标准</w:t>
      </w:r>
      <w:bookmarkEnd w:id="3"/>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13"/>
      </w:tblGrid>
      <w:tr w14:paraId="15179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14:paraId="0B50C857">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生态环境现状</w:t>
            </w:r>
          </w:p>
        </w:tc>
        <w:tc>
          <w:tcPr>
            <w:tcW w:w="8213" w:type="dxa"/>
            <w:tcBorders>
              <w:tl2br w:val="nil"/>
              <w:tr2bl w:val="nil"/>
            </w:tcBorders>
            <w:noWrap w:val="0"/>
            <w:vAlign w:val="center"/>
          </w:tcPr>
          <w:p w14:paraId="545D3781">
            <w:pPr>
              <w:keepNext/>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both"/>
              <w:textAlignment w:val="auto"/>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1、大气环境质量现状</w:t>
            </w:r>
          </w:p>
          <w:p w14:paraId="0C4B93BD">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single" w:color="auto"/>
              </w:rPr>
            </w:pP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1</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rPr>
              <w:t>区域空气环境常规监测数据</w:t>
            </w:r>
          </w:p>
          <w:p w14:paraId="22FCE79E">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single" w:color="auto"/>
              </w:rPr>
            </w:pPr>
            <w:r>
              <w:rPr>
                <w:rFonts w:hint="eastAsia" w:ascii="Times New Roman" w:hAnsi="Times New Roman" w:eastAsia="宋体" w:cs="Times New Roman"/>
                <w:color w:val="auto"/>
                <w:spacing w:val="11"/>
                <w:position w:val="0"/>
                <w:sz w:val="24"/>
                <w:szCs w:val="24"/>
                <w:highlight w:val="none"/>
                <w:u w:val="single" w:color="auto"/>
              </w:rPr>
              <w:t>根据永州市生态环境局发布的《关于2023年12月份全市环境质量状况的通报》</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永环函[2024]4号</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中</w:t>
            </w:r>
            <w:r>
              <w:rPr>
                <w:rFonts w:ascii="Times New Roman" w:hAnsi="Times New Roman" w:eastAsia="宋体" w:cs="Times New Roman"/>
                <w:color w:val="auto"/>
                <w:spacing w:val="11"/>
                <w:position w:val="0"/>
                <w:sz w:val="24"/>
                <w:szCs w:val="24"/>
                <w:highlight w:val="none"/>
                <w:u w:val="single" w:color="auto"/>
              </w:rPr>
              <w:t>的环</w:t>
            </w:r>
            <w:r>
              <w:rPr>
                <w:rFonts w:hint="eastAsia" w:ascii="Times New Roman" w:hAnsi="Times New Roman" w:eastAsia="宋体" w:cs="Times New Roman"/>
                <w:color w:val="auto"/>
                <w:spacing w:val="11"/>
                <w:position w:val="0"/>
                <w:sz w:val="24"/>
                <w:szCs w:val="24"/>
                <w:highlight w:val="none"/>
                <w:u w:val="single" w:color="auto"/>
              </w:rPr>
              <w:t>境监测结果</w:t>
            </w:r>
            <w:r>
              <w:rPr>
                <w:rFonts w:ascii="Times New Roman" w:hAnsi="Times New Roman" w:eastAsia="宋体" w:cs="Times New Roman"/>
                <w:color w:val="auto"/>
                <w:spacing w:val="11"/>
                <w:position w:val="0"/>
                <w:sz w:val="24"/>
                <w:szCs w:val="24"/>
                <w:highlight w:val="none"/>
                <w:u w:val="singl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single" w:color="auto"/>
              </w:rPr>
              <w:t>《环境空气质量标准》（GB</w:t>
            </w:r>
            <w:r>
              <w:rPr>
                <w:rFonts w:hint="eastAsia" w:ascii="Times New Roman" w:hAnsi="Times New Roman" w:eastAsia="宋体" w:cs="Times New Roman"/>
                <w:snapToGrid w:val="0"/>
                <w:color w:val="auto"/>
                <w:spacing w:val="11"/>
                <w:kern w:val="0"/>
                <w:position w:val="0"/>
                <w:sz w:val="24"/>
                <w:szCs w:val="24"/>
                <w:highlight w:val="none"/>
                <w:u w:val="singl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single" w:color="auto"/>
              </w:rPr>
              <w:t>3095-2012）中二级标准及修改单要求，</w:t>
            </w:r>
            <w:r>
              <w:rPr>
                <w:rFonts w:ascii="Times New Roman" w:hAnsi="Times New Roman" w:eastAsia="宋体" w:cs="Times New Roman"/>
                <w:color w:val="auto"/>
                <w:spacing w:val="11"/>
                <w:position w:val="0"/>
                <w:sz w:val="24"/>
                <w:szCs w:val="24"/>
                <w:highlight w:val="none"/>
                <w:u w:val="single" w:color="auto"/>
              </w:rPr>
              <w:t>新田县属于20</w:t>
            </w:r>
            <w:r>
              <w:rPr>
                <w:rFonts w:hint="eastAsia" w:ascii="Times New Roman" w:hAnsi="Times New Roman" w:eastAsia="宋体" w:cs="Times New Roman"/>
                <w:color w:val="auto"/>
                <w:spacing w:val="11"/>
                <w:position w:val="0"/>
                <w:sz w:val="24"/>
                <w:szCs w:val="24"/>
                <w:highlight w:val="none"/>
                <w:u w:val="single" w:color="auto"/>
              </w:rPr>
              <w:t>2</w:t>
            </w:r>
            <w:r>
              <w:rPr>
                <w:rFonts w:hint="eastAsia" w:ascii="Times New Roman" w:hAnsi="Times New Roman" w:eastAsia="宋体" w:cs="Times New Roman"/>
                <w:color w:val="auto"/>
                <w:spacing w:val="11"/>
                <w:position w:val="0"/>
                <w:sz w:val="24"/>
                <w:szCs w:val="24"/>
                <w:highlight w:val="none"/>
                <w:u w:val="single" w:color="auto"/>
                <w:lang w:val="en-US" w:eastAsia="zh-CN"/>
              </w:rPr>
              <w:t>3</w:t>
            </w:r>
            <w:r>
              <w:rPr>
                <w:rFonts w:ascii="Times New Roman" w:hAnsi="Times New Roman" w:eastAsia="宋体" w:cs="Times New Roman"/>
                <w:color w:val="auto"/>
                <w:spacing w:val="11"/>
                <w:position w:val="0"/>
                <w:sz w:val="24"/>
                <w:szCs w:val="24"/>
                <w:highlight w:val="none"/>
                <w:u w:val="singl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single" w:color="auto"/>
                <w:lang w:val="en-US" w:eastAsia="zh-CN"/>
              </w:rPr>
              <w:t>3-1</w:t>
            </w:r>
            <w:r>
              <w:rPr>
                <w:rFonts w:ascii="Times New Roman" w:hAnsi="Times New Roman" w:eastAsia="宋体" w:cs="Times New Roman"/>
                <w:color w:val="auto"/>
                <w:spacing w:val="11"/>
                <w:position w:val="0"/>
                <w:sz w:val="24"/>
                <w:szCs w:val="24"/>
                <w:highlight w:val="none"/>
                <w:u w:val="single" w:color="auto"/>
              </w:rPr>
              <w:t>。</w:t>
            </w:r>
          </w:p>
          <w:p w14:paraId="38BEABE2">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single" w:color="auto"/>
                <w:lang w:val="en-US" w:eastAsia="zh-CN" w:bidi="ar-SA"/>
              </w:rPr>
            </w:pP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singl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空气质量现状评价表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15"/>
              <w:gridCol w:w="1877"/>
              <w:gridCol w:w="1516"/>
              <w:gridCol w:w="1172"/>
              <w:gridCol w:w="883"/>
              <w:gridCol w:w="862"/>
            </w:tblGrid>
            <w:tr w14:paraId="0EF2A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14:paraId="08D1F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市县</w:t>
                  </w:r>
                </w:p>
              </w:tc>
              <w:tc>
                <w:tcPr>
                  <w:tcW w:w="572" w:type="pct"/>
                  <w:tcBorders>
                    <w:tl2br w:val="nil"/>
                    <w:tr2bl w:val="nil"/>
                  </w:tcBorders>
                  <w:noWrap w:val="0"/>
                  <w:vAlign w:val="center"/>
                </w:tcPr>
                <w:p w14:paraId="1C19C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污染物</w:t>
                  </w:r>
                </w:p>
              </w:tc>
              <w:tc>
                <w:tcPr>
                  <w:tcW w:w="1174" w:type="pct"/>
                  <w:tcBorders>
                    <w:tl2br w:val="nil"/>
                    <w:tr2bl w:val="nil"/>
                  </w:tcBorders>
                  <w:noWrap w:val="0"/>
                  <w:vAlign w:val="center"/>
                </w:tcPr>
                <w:p w14:paraId="1EC7D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年评价指标</w:t>
                  </w:r>
                </w:p>
              </w:tc>
              <w:tc>
                <w:tcPr>
                  <w:tcW w:w="948" w:type="pct"/>
                  <w:tcBorders>
                    <w:tl2br w:val="nil"/>
                    <w:tr2bl w:val="nil"/>
                  </w:tcBorders>
                  <w:noWrap w:val="0"/>
                  <w:vAlign w:val="center"/>
                </w:tcPr>
                <w:p w14:paraId="76F4D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single" w:color="auto"/>
                      <w:shd w:val="clear" w:color="auto" w:fill="auto"/>
                    </w:rPr>
                    <w:t>）</w:t>
                  </w:r>
                </w:p>
              </w:tc>
              <w:tc>
                <w:tcPr>
                  <w:tcW w:w="733" w:type="pct"/>
                  <w:tcBorders>
                    <w:tl2br w:val="nil"/>
                    <w:tr2bl w:val="nil"/>
                  </w:tcBorders>
                  <w:noWrap w:val="0"/>
                  <w:vAlign w:val="center"/>
                </w:tcPr>
                <w:p w14:paraId="5B3A3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single" w:color="auto"/>
                      <w:shd w:val="clear" w:color="auto" w:fill="auto"/>
                    </w:rPr>
                    <w:t>）</w:t>
                  </w:r>
                </w:p>
              </w:tc>
              <w:tc>
                <w:tcPr>
                  <w:tcW w:w="552" w:type="pct"/>
                  <w:tcBorders>
                    <w:tl2br w:val="nil"/>
                    <w:tr2bl w:val="nil"/>
                  </w:tcBorders>
                  <w:noWrap w:val="0"/>
                  <w:vAlign w:val="center"/>
                </w:tcPr>
                <w:p w14:paraId="6BF5F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single" w:color="auto"/>
                      <w:shd w:val="clear" w:color="auto" w:fill="auto"/>
                    </w:rPr>
                  </w:pPr>
                  <w:r>
                    <w:rPr>
                      <w:rFonts w:hint="default" w:ascii="Times New Roman" w:hAnsi="Times New Roman" w:eastAsia="宋体" w:cs="Times New Roman"/>
                      <w:color w:val="auto"/>
                      <w:spacing w:val="11"/>
                      <w:position w:val="0"/>
                      <w:sz w:val="21"/>
                      <w:szCs w:val="21"/>
                      <w:highlight w:val="none"/>
                      <w:u w:val="single" w:color="auto"/>
                    </w:rPr>
                    <w:t>占标率（%）</w:t>
                  </w:r>
                </w:p>
              </w:tc>
              <w:tc>
                <w:tcPr>
                  <w:tcW w:w="539" w:type="pct"/>
                  <w:tcBorders>
                    <w:tl2br w:val="nil"/>
                    <w:tr2bl w:val="nil"/>
                  </w:tcBorders>
                  <w:noWrap w:val="0"/>
                  <w:vAlign w:val="center"/>
                </w:tcPr>
                <w:p w14:paraId="4E94E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达标情况</w:t>
                  </w:r>
                </w:p>
              </w:tc>
            </w:tr>
            <w:tr w14:paraId="1D6AB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14:paraId="70FCF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永州市新田县</w:t>
                  </w:r>
                </w:p>
              </w:tc>
              <w:tc>
                <w:tcPr>
                  <w:tcW w:w="572" w:type="pct"/>
                  <w:tcBorders>
                    <w:tl2br w:val="nil"/>
                    <w:tr2bl w:val="nil"/>
                  </w:tcBorders>
                  <w:noWrap w:val="0"/>
                  <w:vAlign w:val="center"/>
                </w:tcPr>
                <w:p w14:paraId="70C0E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w:t>
                  </w:r>
                </w:p>
              </w:tc>
              <w:tc>
                <w:tcPr>
                  <w:tcW w:w="1174" w:type="pct"/>
                  <w:tcBorders>
                    <w:tl2br w:val="nil"/>
                    <w:tr2bl w:val="nil"/>
                  </w:tcBorders>
                  <w:noWrap w:val="0"/>
                  <w:vAlign w:val="center"/>
                </w:tcPr>
                <w:p w14:paraId="3C4C7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14:paraId="4A4FB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w:t>
                  </w:r>
                </w:p>
              </w:tc>
              <w:tc>
                <w:tcPr>
                  <w:tcW w:w="733" w:type="pct"/>
                  <w:tcBorders>
                    <w:tl2br w:val="nil"/>
                    <w:tr2bl w:val="nil"/>
                  </w:tcBorders>
                  <w:noWrap w:val="0"/>
                  <w:vAlign w:val="center"/>
                </w:tcPr>
                <w:p w14:paraId="0E46E5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60</w:t>
                  </w:r>
                </w:p>
              </w:tc>
              <w:tc>
                <w:tcPr>
                  <w:tcW w:w="552" w:type="pct"/>
                  <w:tcBorders>
                    <w:tl2br w:val="nil"/>
                    <w:tr2bl w:val="nil"/>
                  </w:tcBorders>
                  <w:shd w:val="clear" w:color="auto" w:fill="auto"/>
                  <w:noWrap w:val="0"/>
                  <w:vAlign w:val="center"/>
                </w:tcPr>
                <w:p w14:paraId="44951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11.67</w:t>
                  </w:r>
                </w:p>
              </w:tc>
              <w:tc>
                <w:tcPr>
                  <w:tcW w:w="539" w:type="pct"/>
                  <w:tcBorders>
                    <w:tl2br w:val="nil"/>
                    <w:tr2bl w:val="nil"/>
                  </w:tcBorders>
                  <w:noWrap w:val="0"/>
                  <w:vAlign w:val="center"/>
                </w:tcPr>
                <w:p w14:paraId="71D48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14:paraId="0DFD2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F2C6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14:paraId="4B857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w:t>
                  </w:r>
                </w:p>
              </w:tc>
              <w:tc>
                <w:tcPr>
                  <w:tcW w:w="1174" w:type="pct"/>
                  <w:tcBorders>
                    <w:tl2br w:val="nil"/>
                    <w:tr2bl w:val="nil"/>
                  </w:tcBorders>
                  <w:noWrap w:val="0"/>
                  <w:vAlign w:val="center"/>
                </w:tcPr>
                <w:p w14:paraId="7A823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14:paraId="1C66A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8</w:t>
                  </w:r>
                </w:p>
              </w:tc>
              <w:tc>
                <w:tcPr>
                  <w:tcW w:w="733" w:type="pct"/>
                  <w:tcBorders>
                    <w:tl2br w:val="nil"/>
                    <w:tr2bl w:val="nil"/>
                  </w:tcBorders>
                  <w:noWrap w:val="0"/>
                  <w:vAlign w:val="center"/>
                </w:tcPr>
                <w:p w14:paraId="4DD0F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40</w:t>
                  </w:r>
                </w:p>
              </w:tc>
              <w:tc>
                <w:tcPr>
                  <w:tcW w:w="552" w:type="pct"/>
                  <w:tcBorders>
                    <w:tl2br w:val="nil"/>
                    <w:tr2bl w:val="nil"/>
                  </w:tcBorders>
                  <w:shd w:val="clear" w:color="auto" w:fill="auto"/>
                  <w:noWrap w:val="0"/>
                  <w:vAlign w:val="center"/>
                </w:tcPr>
                <w:p w14:paraId="7D0CE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20.00</w:t>
                  </w:r>
                </w:p>
              </w:tc>
              <w:tc>
                <w:tcPr>
                  <w:tcW w:w="539" w:type="pct"/>
                  <w:tcBorders>
                    <w:tl2br w:val="nil"/>
                    <w:tr2bl w:val="nil"/>
                  </w:tcBorders>
                  <w:noWrap w:val="0"/>
                  <w:vAlign w:val="center"/>
                </w:tcPr>
                <w:p w14:paraId="4528F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14:paraId="1DAE6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0F4FF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14:paraId="27936B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10</w:t>
                  </w:r>
                </w:p>
              </w:tc>
              <w:tc>
                <w:tcPr>
                  <w:tcW w:w="1174" w:type="pct"/>
                  <w:tcBorders>
                    <w:tl2br w:val="nil"/>
                    <w:tr2bl w:val="nil"/>
                  </w:tcBorders>
                  <w:noWrap w:val="0"/>
                  <w:vAlign w:val="center"/>
                </w:tcPr>
                <w:p w14:paraId="06B8D0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14:paraId="521C7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44</w:t>
                  </w:r>
                </w:p>
              </w:tc>
              <w:tc>
                <w:tcPr>
                  <w:tcW w:w="733" w:type="pct"/>
                  <w:tcBorders>
                    <w:tl2br w:val="nil"/>
                    <w:tr2bl w:val="nil"/>
                  </w:tcBorders>
                  <w:noWrap w:val="0"/>
                  <w:vAlign w:val="center"/>
                </w:tcPr>
                <w:p w14:paraId="2C8B6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70</w:t>
                  </w:r>
                </w:p>
              </w:tc>
              <w:tc>
                <w:tcPr>
                  <w:tcW w:w="552" w:type="pct"/>
                  <w:tcBorders>
                    <w:tl2br w:val="nil"/>
                    <w:tr2bl w:val="nil"/>
                  </w:tcBorders>
                  <w:shd w:val="clear" w:color="auto" w:fill="auto"/>
                  <w:noWrap w:val="0"/>
                  <w:vAlign w:val="center"/>
                </w:tcPr>
                <w:p w14:paraId="3447E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62.86</w:t>
                  </w:r>
                </w:p>
              </w:tc>
              <w:tc>
                <w:tcPr>
                  <w:tcW w:w="539" w:type="pct"/>
                  <w:tcBorders>
                    <w:tl2br w:val="nil"/>
                    <w:tr2bl w:val="nil"/>
                  </w:tcBorders>
                  <w:noWrap w:val="0"/>
                  <w:vAlign w:val="center"/>
                </w:tcPr>
                <w:p w14:paraId="682C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14:paraId="4DC9E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14B92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14:paraId="7C70B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2.5</w:t>
                  </w:r>
                </w:p>
              </w:tc>
              <w:tc>
                <w:tcPr>
                  <w:tcW w:w="1174" w:type="pct"/>
                  <w:tcBorders>
                    <w:tl2br w:val="nil"/>
                    <w:tr2bl w:val="nil"/>
                  </w:tcBorders>
                  <w:noWrap w:val="0"/>
                  <w:vAlign w:val="center"/>
                </w:tcPr>
                <w:p w14:paraId="42C9F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14:paraId="7AD36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30</w:t>
                  </w:r>
                </w:p>
              </w:tc>
              <w:tc>
                <w:tcPr>
                  <w:tcW w:w="733" w:type="pct"/>
                  <w:tcBorders>
                    <w:tl2br w:val="nil"/>
                    <w:tr2bl w:val="nil"/>
                  </w:tcBorders>
                  <w:noWrap w:val="0"/>
                  <w:vAlign w:val="center"/>
                </w:tcPr>
                <w:p w14:paraId="015065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35</w:t>
                  </w:r>
                </w:p>
              </w:tc>
              <w:tc>
                <w:tcPr>
                  <w:tcW w:w="552" w:type="pct"/>
                  <w:tcBorders>
                    <w:tl2br w:val="nil"/>
                    <w:tr2bl w:val="nil"/>
                  </w:tcBorders>
                  <w:shd w:val="clear" w:color="auto" w:fill="auto"/>
                  <w:noWrap w:val="0"/>
                  <w:vAlign w:val="center"/>
                </w:tcPr>
                <w:p w14:paraId="4C879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85.71</w:t>
                  </w:r>
                </w:p>
              </w:tc>
              <w:tc>
                <w:tcPr>
                  <w:tcW w:w="539" w:type="pct"/>
                  <w:tcBorders>
                    <w:tl2br w:val="nil"/>
                    <w:tr2bl w:val="nil"/>
                  </w:tcBorders>
                  <w:noWrap w:val="0"/>
                  <w:vAlign w:val="center"/>
                </w:tcPr>
                <w:p w14:paraId="3AE85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14:paraId="5DB24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61451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14:paraId="374A77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CO</w:t>
                  </w:r>
                </w:p>
              </w:tc>
              <w:tc>
                <w:tcPr>
                  <w:tcW w:w="1174" w:type="pct"/>
                  <w:tcBorders>
                    <w:tl2br w:val="nil"/>
                    <w:tr2bl w:val="nil"/>
                  </w:tcBorders>
                  <w:noWrap w:val="0"/>
                  <w:vAlign w:val="center"/>
                </w:tcPr>
                <w:p w14:paraId="7A6D93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95</w:t>
                  </w:r>
                  <w:r>
                    <w:rPr>
                      <w:rFonts w:hint="default" w:ascii="宋体" w:hAnsi="宋体" w:eastAsia="宋体" w:cs="Times New Roman"/>
                      <w:caps w:val="0"/>
                      <w:smallCaps w:val="0"/>
                      <w:color w:val="auto"/>
                      <w:spacing w:val="11"/>
                      <w:kern w:val="21"/>
                      <w:position w:val="0"/>
                      <w:sz w:val="21"/>
                      <w:szCs w:val="21"/>
                      <w:u w:val="single" w:color="auto"/>
                      <w:shd w:val="clear" w:color="auto" w:fill="auto"/>
                    </w:rPr>
                    <w:t>百分位数日平均浓度</w:t>
                  </w:r>
                </w:p>
              </w:tc>
              <w:tc>
                <w:tcPr>
                  <w:tcW w:w="948" w:type="pct"/>
                  <w:tcBorders>
                    <w:tl2br w:val="nil"/>
                    <w:tr2bl w:val="nil"/>
                  </w:tcBorders>
                  <w:noWrap w:val="0"/>
                  <w:vAlign w:val="center"/>
                </w:tcPr>
                <w:p w14:paraId="6A51F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680</w:t>
                  </w:r>
                </w:p>
              </w:tc>
              <w:tc>
                <w:tcPr>
                  <w:tcW w:w="733" w:type="pct"/>
                  <w:tcBorders>
                    <w:tl2br w:val="nil"/>
                    <w:tr2bl w:val="nil"/>
                  </w:tcBorders>
                  <w:noWrap w:val="0"/>
                  <w:vAlign w:val="center"/>
                </w:tcPr>
                <w:p w14:paraId="03B6D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4000</w:t>
                  </w:r>
                </w:p>
              </w:tc>
              <w:tc>
                <w:tcPr>
                  <w:tcW w:w="552" w:type="pct"/>
                  <w:tcBorders>
                    <w:tl2br w:val="nil"/>
                    <w:tr2bl w:val="nil"/>
                  </w:tcBorders>
                  <w:shd w:val="clear" w:color="auto" w:fill="auto"/>
                  <w:noWrap w:val="0"/>
                  <w:vAlign w:val="center"/>
                </w:tcPr>
                <w:p w14:paraId="56C7A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17.00</w:t>
                  </w:r>
                </w:p>
              </w:tc>
              <w:tc>
                <w:tcPr>
                  <w:tcW w:w="539" w:type="pct"/>
                  <w:tcBorders>
                    <w:tl2br w:val="nil"/>
                    <w:tr2bl w:val="nil"/>
                  </w:tcBorders>
                  <w:noWrap w:val="0"/>
                  <w:vAlign w:val="center"/>
                </w:tcPr>
                <w:p w14:paraId="55985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14:paraId="0E87A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612E9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14:paraId="4E4F5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3</w:t>
                  </w:r>
                </w:p>
              </w:tc>
              <w:tc>
                <w:tcPr>
                  <w:tcW w:w="1174" w:type="pct"/>
                  <w:tcBorders>
                    <w:tl2br w:val="nil"/>
                    <w:tr2bl w:val="nil"/>
                  </w:tcBorders>
                  <w:noWrap w:val="0"/>
                  <w:vAlign w:val="center"/>
                </w:tcPr>
                <w:p w14:paraId="67EF9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90</w:t>
                  </w:r>
                  <w:r>
                    <w:rPr>
                      <w:rFonts w:hint="default" w:ascii="宋体" w:hAnsi="宋体" w:eastAsia="宋体" w:cs="Times New Roman"/>
                      <w:caps w:val="0"/>
                      <w:smallCaps w:val="0"/>
                      <w:color w:val="auto"/>
                      <w:spacing w:val="11"/>
                      <w:kern w:val="21"/>
                      <w:position w:val="0"/>
                      <w:sz w:val="21"/>
                      <w:szCs w:val="21"/>
                      <w:u w:val="singl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8h</w:t>
                  </w:r>
                  <w:r>
                    <w:rPr>
                      <w:rFonts w:hint="default" w:ascii="宋体" w:hAnsi="宋体" w:eastAsia="宋体" w:cs="Times New Roman"/>
                      <w:caps w:val="0"/>
                      <w:smallCaps w:val="0"/>
                      <w:color w:val="auto"/>
                      <w:spacing w:val="11"/>
                      <w:kern w:val="21"/>
                      <w:position w:val="0"/>
                      <w:sz w:val="21"/>
                      <w:szCs w:val="21"/>
                      <w:u w:val="single" w:color="auto"/>
                      <w:shd w:val="clear" w:color="auto" w:fill="auto"/>
                    </w:rPr>
                    <w:t>平均浓度</w:t>
                  </w:r>
                </w:p>
              </w:tc>
              <w:tc>
                <w:tcPr>
                  <w:tcW w:w="948" w:type="pct"/>
                  <w:tcBorders>
                    <w:tl2br w:val="nil"/>
                    <w:tr2bl w:val="nil"/>
                  </w:tcBorders>
                  <w:noWrap w:val="0"/>
                  <w:vAlign w:val="center"/>
                </w:tcPr>
                <w:p w14:paraId="258AD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78</w:t>
                  </w:r>
                </w:p>
              </w:tc>
              <w:tc>
                <w:tcPr>
                  <w:tcW w:w="733" w:type="pct"/>
                  <w:tcBorders>
                    <w:tl2br w:val="nil"/>
                    <w:tr2bl w:val="nil"/>
                  </w:tcBorders>
                  <w:noWrap w:val="0"/>
                  <w:vAlign w:val="center"/>
                </w:tcPr>
                <w:p w14:paraId="30CB8A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160</w:t>
                  </w:r>
                </w:p>
              </w:tc>
              <w:tc>
                <w:tcPr>
                  <w:tcW w:w="552" w:type="pct"/>
                  <w:tcBorders>
                    <w:tl2br w:val="nil"/>
                    <w:tr2bl w:val="nil"/>
                  </w:tcBorders>
                  <w:shd w:val="clear" w:color="auto" w:fill="auto"/>
                  <w:noWrap w:val="0"/>
                  <w:vAlign w:val="center"/>
                </w:tcPr>
                <w:p w14:paraId="18A752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48.75</w:t>
                  </w:r>
                </w:p>
              </w:tc>
              <w:tc>
                <w:tcPr>
                  <w:tcW w:w="539" w:type="pct"/>
                  <w:tcBorders>
                    <w:tl2br w:val="nil"/>
                    <w:tr2bl w:val="nil"/>
                  </w:tcBorders>
                  <w:noWrap w:val="0"/>
                  <w:vAlign w:val="center"/>
                </w:tcPr>
                <w:p w14:paraId="2658C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bl>
          <w:p w14:paraId="6D0D1FA7">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single" w:color="auto"/>
                <w:lang w:val="en-US"/>
              </w:rPr>
            </w:pPr>
            <w:r>
              <w:rPr>
                <w:rFonts w:hint="default" w:ascii="Times New Roman" w:hAnsi="Times New Roman" w:eastAsia="宋体" w:cs="Times New Roman"/>
                <w:color w:val="auto"/>
                <w:spacing w:val="11"/>
                <w:position w:val="0"/>
                <w:sz w:val="24"/>
                <w:szCs w:val="24"/>
                <w:highlight w:val="none"/>
                <w:u w:val="single" w:color="auto"/>
                <w:lang w:val="en-US"/>
              </w:rPr>
              <w:t>上表可知，20</w:t>
            </w:r>
            <w:r>
              <w:rPr>
                <w:rFonts w:hint="eastAsia" w:ascii="Times New Roman" w:hAnsi="Times New Roman" w:eastAsia="宋体" w:cs="Times New Roman"/>
                <w:color w:val="auto"/>
                <w:spacing w:val="11"/>
                <w:position w:val="0"/>
                <w:sz w:val="24"/>
                <w:szCs w:val="24"/>
                <w:highlight w:val="none"/>
                <w:u w:val="single" w:color="auto"/>
                <w:lang w:val="en-US" w:eastAsia="zh-CN"/>
              </w:rPr>
              <w:t>23</w:t>
            </w:r>
            <w:r>
              <w:rPr>
                <w:rFonts w:hint="default" w:ascii="Times New Roman" w:hAnsi="Times New Roman" w:eastAsia="宋体" w:cs="Times New Roman"/>
                <w:color w:val="auto"/>
                <w:spacing w:val="11"/>
                <w:position w:val="0"/>
                <w:sz w:val="24"/>
                <w:szCs w:val="24"/>
                <w:highlight w:val="none"/>
                <w:u w:val="single" w:color="auto"/>
                <w:lang w:val="en-US"/>
              </w:rPr>
              <w:t>年</w:t>
            </w:r>
            <w:r>
              <w:rPr>
                <w:rFonts w:hint="eastAsia" w:ascii="Times New Roman" w:hAnsi="Times New Roman" w:eastAsia="宋体" w:cs="Times New Roman"/>
                <w:color w:val="auto"/>
                <w:spacing w:val="11"/>
                <w:position w:val="0"/>
                <w:sz w:val="24"/>
                <w:szCs w:val="24"/>
                <w:highlight w:val="none"/>
                <w:u w:val="single" w:color="auto"/>
                <w:lang w:val="en-US" w:eastAsia="zh-CN"/>
              </w:rPr>
              <w:t>新田</w:t>
            </w:r>
            <w:r>
              <w:rPr>
                <w:rFonts w:hint="default" w:ascii="Times New Roman" w:hAnsi="Times New Roman" w:eastAsia="宋体" w:cs="Times New Roman"/>
                <w:color w:val="auto"/>
                <w:spacing w:val="11"/>
                <w:position w:val="0"/>
                <w:sz w:val="24"/>
                <w:szCs w:val="24"/>
                <w:highlight w:val="none"/>
                <w:u w:val="single" w:color="auto"/>
                <w:lang w:val="en-US" w:eastAsia="zh-CN"/>
              </w:rPr>
              <w:t>县</w:t>
            </w:r>
            <w:r>
              <w:rPr>
                <w:rFonts w:hint="default" w:ascii="Times New Roman" w:hAnsi="Times New Roman" w:eastAsia="宋体" w:cs="Times New Roman"/>
                <w:color w:val="auto"/>
                <w:spacing w:val="11"/>
                <w:position w:val="0"/>
                <w:sz w:val="24"/>
                <w:szCs w:val="24"/>
                <w:highlight w:val="none"/>
                <w:u w:val="single" w:color="auto"/>
                <w:lang w:val="en-US"/>
              </w:rPr>
              <w:t>SO</w:t>
            </w:r>
            <w:r>
              <w:rPr>
                <w:rFonts w:hint="default" w:ascii="Times New Roman" w:hAnsi="Times New Roman" w:eastAsia="宋体" w:cs="Times New Roman"/>
                <w:color w:val="auto"/>
                <w:spacing w:val="11"/>
                <w:position w:val="0"/>
                <w:sz w:val="24"/>
                <w:szCs w:val="24"/>
                <w:highlight w:val="none"/>
                <w:u w:val="single" w:color="auto"/>
                <w:vertAlign w:val="subscript"/>
                <w:lang w:val="en-US"/>
              </w:rPr>
              <w:t>2</w:t>
            </w:r>
            <w:r>
              <w:rPr>
                <w:rFonts w:hint="default" w:ascii="Times New Roman" w:hAnsi="Times New Roman" w:eastAsia="宋体" w:cs="Times New Roman"/>
                <w:color w:val="auto"/>
                <w:spacing w:val="11"/>
                <w:position w:val="0"/>
                <w:sz w:val="24"/>
                <w:szCs w:val="24"/>
                <w:highlight w:val="none"/>
                <w:u w:val="single" w:color="auto"/>
                <w:lang w:val="en-US"/>
              </w:rPr>
              <w:t>、NO</w:t>
            </w:r>
            <w:r>
              <w:rPr>
                <w:rFonts w:hint="default" w:ascii="Times New Roman" w:hAnsi="Times New Roman" w:eastAsia="宋体" w:cs="Times New Roman"/>
                <w:color w:val="auto"/>
                <w:spacing w:val="11"/>
                <w:position w:val="0"/>
                <w:sz w:val="24"/>
                <w:szCs w:val="24"/>
                <w:highlight w:val="none"/>
                <w:u w:val="single" w:color="auto"/>
                <w:vertAlign w:val="subscript"/>
                <w:lang w:val="en-US"/>
              </w:rPr>
              <w:t>2</w:t>
            </w:r>
            <w:r>
              <w:rPr>
                <w:rFonts w:hint="default" w:ascii="Times New Roman" w:hAnsi="Times New Roman" w:eastAsia="宋体" w:cs="Times New Roman"/>
                <w:color w:val="auto"/>
                <w:spacing w:val="11"/>
                <w:position w:val="0"/>
                <w:sz w:val="24"/>
                <w:szCs w:val="24"/>
                <w:highlight w:val="none"/>
                <w:u w:val="single" w:color="auto"/>
                <w:lang w:val="en-US"/>
              </w:rPr>
              <w:t>、CO、O</w:t>
            </w:r>
            <w:r>
              <w:rPr>
                <w:rFonts w:hint="default" w:ascii="Times New Roman" w:hAnsi="Times New Roman" w:eastAsia="宋体" w:cs="Times New Roman"/>
                <w:color w:val="auto"/>
                <w:spacing w:val="11"/>
                <w:position w:val="0"/>
                <w:sz w:val="24"/>
                <w:szCs w:val="24"/>
                <w:highlight w:val="none"/>
                <w:u w:val="single" w:color="auto"/>
                <w:vertAlign w:val="subscript"/>
                <w:lang w:val="en-US"/>
              </w:rPr>
              <w:t>3</w:t>
            </w:r>
            <w:r>
              <w:rPr>
                <w:rFonts w:hint="default" w:ascii="Times New Roman" w:hAnsi="Times New Roman" w:eastAsia="宋体" w:cs="Times New Roman"/>
                <w:color w:val="auto"/>
                <w:spacing w:val="11"/>
                <w:position w:val="0"/>
                <w:sz w:val="24"/>
                <w:szCs w:val="24"/>
                <w:highlight w:val="none"/>
                <w:u w:val="single" w:color="auto"/>
                <w:lang w:val="en-US"/>
              </w:rPr>
              <w:t>、PM</w:t>
            </w:r>
            <w:r>
              <w:rPr>
                <w:rFonts w:hint="default" w:ascii="Times New Roman" w:hAnsi="Times New Roman" w:eastAsia="宋体" w:cs="Times New Roman"/>
                <w:color w:val="auto"/>
                <w:spacing w:val="11"/>
                <w:position w:val="0"/>
                <w:sz w:val="24"/>
                <w:szCs w:val="24"/>
                <w:highlight w:val="none"/>
                <w:u w:val="single" w:color="auto"/>
                <w:vertAlign w:val="subscript"/>
                <w:lang w:val="en-US"/>
              </w:rPr>
              <w:t>2.5</w:t>
            </w:r>
            <w:r>
              <w:rPr>
                <w:rFonts w:hint="default" w:ascii="Times New Roman" w:hAnsi="Times New Roman" w:eastAsia="宋体" w:cs="Times New Roman"/>
                <w:color w:val="auto"/>
                <w:spacing w:val="11"/>
                <w:position w:val="0"/>
                <w:sz w:val="24"/>
                <w:szCs w:val="24"/>
                <w:highlight w:val="none"/>
                <w:u w:val="single" w:color="auto"/>
                <w:lang w:val="en-US" w:eastAsia="zh-CN"/>
              </w:rPr>
              <w:t>、</w:t>
            </w:r>
            <w:r>
              <w:rPr>
                <w:rFonts w:hint="default" w:ascii="Times New Roman" w:hAnsi="Times New Roman" w:eastAsia="宋体" w:cs="Times New Roman"/>
                <w:color w:val="auto"/>
                <w:spacing w:val="11"/>
                <w:position w:val="0"/>
                <w:sz w:val="24"/>
                <w:szCs w:val="24"/>
                <w:highlight w:val="none"/>
                <w:u w:val="single" w:color="auto"/>
                <w:lang w:val="en-US"/>
              </w:rPr>
              <w:t>PM</w:t>
            </w:r>
            <w:r>
              <w:rPr>
                <w:rFonts w:hint="default" w:ascii="Times New Roman" w:hAnsi="Times New Roman" w:eastAsia="宋体" w:cs="Times New Roman"/>
                <w:color w:val="auto"/>
                <w:spacing w:val="11"/>
                <w:position w:val="0"/>
                <w:sz w:val="24"/>
                <w:szCs w:val="24"/>
                <w:highlight w:val="none"/>
                <w:u w:val="single" w:color="auto"/>
                <w:vertAlign w:val="subscript"/>
                <w:lang w:val="en-US"/>
              </w:rPr>
              <w:t>10</w:t>
            </w:r>
            <w:r>
              <w:rPr>
                <w:rFonts w:hint="default" w:ascii="Times New Roman" w:hAnsi="Times New Roman" w:eastAsia="宋体" w:cs="Times New Roman"/>
                <w:color w:val="auto"/>
                <w:spacing w:val="11"/>
                <w:position w:val="0"/>
                <w:sz w:val="24"/>
                <w:szCs w:val="24"/>
                <w:highlight w:val="none"/>
                <w:u w:val="singl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single" w:color="auto"/>
                <w:lang w:val="en-US" w:eastAsia="zh-CN"/>
              </w:rPr>
              <w:t>2018年</w:t>
            </w:r>
            <w:r>
              <w:rPr>
                <w:rFonts w:hint="default" w:ascii="Times New Roman" w:hAnsi="Times New Roman" w:eastAsia="宋体" w:cs="Times New Roman"/>
                <w:color w:val="auto"/>
                <w:spacing w:val="11"/>
                <w:position w:val="0"/>
                <w:sz w:val="24"/>
                <w:szCs w:val="24"/>
                <w:highlight w:val="none"/>
                <w:u w:val="single" w:color="auto"/>
                <w:lang w:val="en-US"/>
              </w:rPr>
              <w:t>修改单二级标准要求，故环境空气为达标区。</w:t>
            </w:r>
          </w:p>
          <w:p w14:paraId="238C88B9">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（2）特征因子监测数据</w:t>
            </w:r>
          </w:p>
          <w:p w14:paraId="1C0A6D93">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本次评价委托湖南中额环保科技有限公司于202</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年</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3</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月</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日-</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3</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月</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7</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日在项目区域</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对特征污染因子TSP进行了</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环境空气质量</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现状</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监测，监测结果如下表所示</w:t>
            </w:r>
            <w:r>
              <w:rPr>
                <w:rFonts w:hint="eastAsia" w:cs="Times New Roman"/>
                <w:b w:val="0"/>
                <w:bCs w:val="0"/>
                <w:color w:val="auto"/>
                <w:spacing w:val="11"/>
                <w:kern w:val="2"/>
                <w:position w:val="0"/>
                <w:sz w:val="24"/>
                <w:szCs w:val="24"/>
                <w:highlight w:val="none"/>
                <w:u w:val="single" w:color="auto"/>
                <w:lang w:val="en-US" w:eastAsia="zh-CN" w:bidi="ar-SA"/>
              </w:rPr>
              <w:t>：</w:t>
            </w:r>
          </w:p>
          <w:p w14:paraId="22C46D79">
            <w:pPr>
              <w:adjustRightInd w:val="0"/>
              <w:snapToGrid w:val="0"/>
              <w:spacing w:line="240" w:lineRule="auto"/>
              <w:ind w:firstLine="0" w:firstLineChars="0"/>
              <w:jc w:val="center"/>
              <w:rPr>
                <w:rFonts w:hint="eastAsia"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pPr>
            <w:r>
              <w:rPr>
                <w:rFonts w:ascii="Times New Roman" w:hAnsi="Times New Roman" w:eastAsia="宋体" w:cs="Times New Roman"/>
                <w:b/>
                <w:bCs/>
                <w:caps w:val="0"/>
                <w:smallCaps w:val="0"/>
                <w:color w:val="auto"/>
                <w:spacing w:val="11"/>
                <w:kern w:val="21"/>
                <w:position w:val="0"/>
                <w:sz w:val="21"/>
                <w:szCs w:val="21"/>
                <w:u w:val="single" w:color="auto"/>
                <w:shd w:val="clear" w:color="auto" w:fill="auto"/>
              </w:rPr>
              <w:t>表</w:t>
            </w:r>
            <w:r>
              <w:rPr>
                <w:rFonts w:hint="eastAsia"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t>3-2</w:t>
            </w:r>
            <w:r>
              <w:rPr>
                <w:rFonts w:ascii="Times New Roman" w:hAnsi="Times New Roman" w:eastAsia="宋体" w:cs="Times New Roman"/>
                <w:b/>
                <w:bCs/>
                <w:caps w:val="0"/>
                <w:smallCaps w:val="0"/>
                <w:color w:val="auto"/>
                <w:spacing w:val="11"/>
                <w:kern w:val="21"/>
                <w:position w:val="0"/>
                <w:sz w:val="21"/>
                <w:szCs w:val="21"/>
                <w:u w:val="single" w:color="auto"/>
                <w:shd w:val="clear" w:color="auto" w:fill="auto"/>
              </w:rPr>
              <w:t xml:space="preserve"> </w:t>
            </w:r>
            <w:r>
              <w:rPr>
                <w:rFonts w:hint="eastAsia" w:ascii="宋体" w:hAnsi="Times New Roman" w:eastAsia="宋体" w:cs="Times New Roman"/>
                <w:b/>
                <w:bCs/>
                <w:caps w:val="0"/>
                <w:smallCaps w:val="0"/>
                <w:color w:val="auto"/>
                <w:spacing w:val="11"/>
                <w:kern w:val="21"/>
                <w:position w:val="0"/>
                <w:sz w:val="21"/>
                <w:szCs w:val="21"/>
                <w:u w:val="single" w:color="auto"/>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t>环境空气质量监测结果及统计</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663"/>
              <w:gridCol w:w="2663"/>
            </w:tblGrid>
            <w:tr w14:paraId="54232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8" w:type="pct"/>
                  <w:vMerge w:val="restart"/>
                  <w:tcBorders>
                    <w:tl2br w:val="nil"/>
                    <w:tr2bl w:val="nil"/>
                  </w:tcBorders>
                  <w:vAlign w:val="center"/>
                </w:tcPr>
                <w:p w14:paraId="53320E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监测地点</w:t>
                  </w:r>
                </w:p>
              </w:tc>
              <w:tc>
                <w:tcPr>
                  <w:tcW w:w="1665" w:type="pct"/>
                  <w:vMerge w:val="restart"/>
                  <w:tcBorders>
                    <w:tl2br w:val="nil"/>
                    <w:tr2bl w:val="nil"/>
                  </w:tcBorders>
                  <w:vAlign w:val="center"/>
                </w:tcPr>
                <w:p w14:paraId="5F36E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评价项目</w:t>
                  </w:r>
                </w:p>
              </w:tc>
              <w:tc>
                <w:tcPr>
                  <w:tcW w:w="1665" w:type="pct"/>
                  <w:tcBorders>
                    <w:tl2br w:val="nil"/>
                    <w:tr2bl w:val="nil"/>
                  </w:tcBorders>
                  <w:vAlign w:val="center"/>
                </w:tcPr>
                <w:p w14:paraId="72A23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监测因子</w:t>
                  </w:r>
                </w:p>
              </w:tc>
            </w:tr>
            <w:tr w14:paraId="3833B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8" w:type="pct"/>
                  <w:vMerge w:val="continue"/>
                  <w:tcBorders>
                    <w:tl2br w:val="nil"/>
                    <w:tr2bl w:val="nil"/>
                  </w:tcBorders>
                  <w:vAlign w:val="center"/>
                </w:tcPr>
                <w:p w14:paraId="7D2BE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vMerge w:val="continue"/>
                  <w:tcBorders>
                    <w:tl2br w:val="nil"/>
                    <w:tr2bl w:val="nil"/>
                  </w:tcBorders>
                  <w:vAlign w:val="center"/>
                </w:tcPr>
                <w:p w14:paraId="5832D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14:paraId="36CC6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TSP（24小时浓度）</w:t>
                  </w:r>
                </w:p>
              </w:tc>
            </w:tr>
            <w:tr w14:paraId="22407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restart"/>
                  <w:tcBorders>
                    <w:tl2br w:val="nil"/>
                    <w:tr2bl w:val="nil"/>
                  </w:tcBorders>
                  <w:vAlign w:val="center"/>
                </w:tcPr>
                <w:p w14:paraId="20DF3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G1厂界下风向</w:t>
                  </w:r>
                </w:p>
              </w:tc>
              <w:tc>
                <w:tcPr>
                  <w:tcW w:w="1665" w:type="pct"/>
                  <w:tcBorders>
                    <w:tl2br w:val="nil"/>
                    <w:tr2bl w:val="nil"/>
                  </w:tcBorders>
                  <w:vAlign w:val="center"/>
                </w:tcPr>
                <w:p w14:paraId="3815E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监测浓度范围</w:t>
                  </w:r>
                </w:p>
              </w:tc>
              <w:tc>
                <w:tcPr>
                  <w:tcW w:w="1665" w:type="pct"/>
                  <w:tcBorders>
                    <w:tl2br w:val="nil"/>
                    <w:tr2bl w:val="nil"/>
                  </w:tcBorders>
                  <w:vAlign w:val="center"/>
                </w:tcPr>
                <w:p w14:paraId="54527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0.091~0.110mg/m</w:t>
                  </w:r>
                  <w:r>
                    <w:rPr>
                      <w:rFonts w:hint="eastAsia" w:ascii="Times New Roman" w:hAnsi="Times New Roman" w:eastAsia="宋体" w:cs="Times New Roman"/>
                      <w:color w:val="auto"/>
                      <w:spacing w:val="11"/>
                      <w:position w:val="0"/>
                      <w:sz w:val="21"/>
                      <w:szCs w:val="21"/>
                      <w:u w:val="single" w:color="auto"/>
                      <w:vertAlign w:val="superscript"/>
                      <w:lang w:val="en-US" w:eastAsia="zh-CN"/>
                    </w:rPr>
                    <w:t>3</w:t>
                  </w:r>
                </w:p>
              </w:tc>
            </w:tr>
            <w:tr w14:paraId="4B5A0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continue"/>
                  <w:tcBorders>
                    <w:tl2br w:val="nil"/>
                    <w:tr2bl w:val="nil"/>
                  </w:tcBorders>
                  <w:vAlign w:val="center"/>
                </w:tcPr>
                <w:p w14:paraId="578B0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14:paraId="68762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超标率</w:t>
                  </w:r>
                </w:p>
              </w:tc>
              <w:tc>
                <w:tcPr>
                  <w:tcW w:w="1665" w:type="pct"/>
                  <w:tcBorders>
                    <w:tl2br w:val="nil"/>
                    <w:tr2bl w:val="nil"/>
                  </w:tcBorders>
                  <w:vAlign w:val="center"/>
                </w:tcPr>
                <w:p w14:paraId="5048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w:t>
                  </w:r>
                </w:p>
              </w:tc>
            </w:tr>
            <w:tr w14:paraId="7AFDE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continue"/>
                  <w:tcBorders>
                    <w:tl2br w:val="nil"/>
                    <w:tr2bl w:val="nil"/>
                  </w:tcBorders>
                  <w:vAlign w:val="center"/>
                </w:tcPr>
                <w:p w14:paraId="49B23F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14:paraId="32B163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最大超标倍数</w:t>
                  </w:r>
                </w:p>
              </w:tc>
              <w:tc>
                <w:tcPr>
                  <w:tcW w:w="1665" w:type="pct"/>
                  <w:tcBorders>
                    <w:tl2br w:val="nil"/>
                    <w:tr2bl w:val="nil"/>
                  </w:tcBorders>
                  <w:vAlign w:val="center"/>
                </w:tcPr>
                <w:p w14:paraId="29761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w:t>
                  </w:r>
                </w:p>
              </w:tc>
            </w:tr>
            <w:tr w14:paraId="3518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continue"/>
                  <w:tcBorders>
                    <w:tl2br w:val="nil"/>
                    <w:tr2bl w:val="nil"/>
                  </w:tcBorders>
                  <w:vAlign w:val="center"/>
                </w:tcPr>
                <w:p w14:paraId="7A0DA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14:paraId="476A9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评价标准</w:t>
                  </w:r>
                </w:p>
              </w:tc>
              <w:tc>
                <w:tcPr>
                  <w:tcW w:w="1665" w:type="pct"/>
                  <w:tcBorders>
                    <w:tl2br w:val="nil"/>
                    <w:tr2bl w:val="nil"/>
                  </w:tcBorders>
                  <w:vAlign w:val="center"/>
                </w:tcPr>
                <w:p w14:paraId="61EF2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0.3mg/m</w:t>
                  </w:r>
                  <w:r>
                    <w:rPr>
                      <w:rFonts w:hint="eastAsia" w:ascii="Times New Roman" w:hAnsi="Times New Roman" w:eastAsia="宋体" w:cs="Times New Roman"/>
                      <w:color w:val="auto"/>
                      <w:spacing w:val="11"/>
                      <w:position w:val="0"/>
                      <w:sz w:val="21"/>
                      <w:szCs w:val="21"/>
                      <w:u w:val="single" w:color="auto"/>
                      <w:vertAlign w:val="superscript"/>
                      <w:lang w:val="en-US" w:eastAsia="zh-CN"/>
                    </w:rPr>
                    <w:t>3</w:t>
                  </w:r>
                </w:p>
              </w:tc>
            </w:tr>
            <w:tr w14:paraId="25112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continue"/>
                  <w:tcBorders>
                    <w:tl2br w:val="nil"/>
                    <w:tr2bl w:val="nil"/>
                  </w:tcBorders>
                  <w:vAlign w:val="center"/>
                </w:tcPr>
                <w:p w14:paraId="78C3E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14:paraId="5FB5F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达标情况</w:t>
                  </w:r>
                </w:p>
              </w:tc>
              <w:tc>
                <w:tcPr>
                  <w:tcW w:w="1665" w:type="pct"/>
                  <w:tcBorders>
                    <w:tl2br w:val="nil"/>
                    <w:tr2bl w:val="nil"/>
                  </w:tcBorders>
                  <w:vAlign w:val="center"/>
                </w:tcPr>
                <w:p w14:paraId="292C00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达标</w:t>
                  </w:r>
                </w:p>
              </w:tc>
            </w:tr>
          </w:tbl>
          <w:p w14:paraId="5D49EE41">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en-US"/>
              </w:rPr>
            </w:pPr>
            <w:r>
              <w:rPr>
                <w:rFonts w:hint="eastAsia" w:ascii="Times New Roman" w:hAnsi="Times New Roman" w:eastAsia="宋体" w:cs="Times New Roman"/>
                <w:b w:val="0"/>
                <w:bCs w:val="0"/>
                <w:color w:val="auto"/>
                <w:spacing w:val="11"/>
                <w:kern w:val="2"/>
                <w:position w:val="0"/>
                <w:sz w:val="24"/>
                <w:szCs w:val="22"/>
                <w:highlight w:val="none"/>
                <w:u w:val="single" w:color="auto"/>
                <w:lang w:val="en-US" w:eastAsia="zh-CN" w:bidi="ar-SA"/>
              </w:rPr>
              <w:t>根据上述内容可知，项目所在区域 TSP 环境质量浓度符合《环境空气质量标准》（GB3095-2012）及修改单二级标准要求。</w:t>
            </w:r>
          </w:p>
          <w:p w14:paraId="603C03EB">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eastAsia="宋体" w:cs="Times New Roman"/>
                <w:b/>
                <w:bCs/>
                <w:color w:val="000000"/>
                <w:spacing w:val="11"/>
                <w:kern w:val="2"/>
                <w:position w:val="0"/>
                <w:sz w:val="24"/>
                <w:szCs w:val="22"/>
                <w:highlight w:val="none"/>
                <w:u w:val="single" w:color="auto"/>
                <w:lang w:val="en-US" w:eastAsia="zh-CN" w:bidi="ar-SA"/>
              </w:rPr>
            </w:pPr>
            <w:r>
              <w:rPr>
                <w:rFonts w:hint="default" w:ascii="Times New Roman" w:hAnsi="Times New Roman" w:eastAsia="宋体" w:cs="Times New Roman"/>
                <w:b/>
                <w:bCs/>
                <w:color w:val="000000"/>
                <w:spacing w:val="11"/>
                <w:kern w:val="2"/>
                <w:position w:val="0"/>
                <w:sz w:val="24"/>
                <w:szCs w:val="22"/>
                <w:highlight w:val="none"/>
                <w:u w:val="single" w:color="auto"/>
                <w:lang w:val="en-US" w:eastAsia="zh-CN" w:bidi="ar-SA"/>
              </w:rPr>
              <w:t>2、地表水环境质量现状</w:t>
            </w:r>
          </w:p>
          <w:p w14:paraId="332B45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eastAsia="宋体" w:cs="Times New Roman"/>
                <w:b/>
                <w:color w:val="000000"/>
                <w:spacing w:val="11"/>
                <w:position w:val="0"/>
                <w:sz w:val="24"/>
                <w:szCs w:val="21"/>
                <w:highlight w:val="none"/>
                <w:u w:val="single" w:color="auto"/>
                <w:lang w:val="en-US"/>
              </w:rPr>
            </w:pPr>
            <w:r>
              <w:rPr>
                <w:rFonts w:hint="default" w:ascii="Times New Roman" w:hAnsi="Times New Roman" w:eastAsia="宋体" w:cs="Times New Roman"/>
                <w:color w:val="000000"/>
                <w:spacing w:val="11"/>
                <w:kern w:val="0"/>
                <w:position w:val="0"/>
                <w:sz w:val="24"/>
                <w:szCs w:val="24"/>
                <w:highlight w:val="none"/>
                <w:u w:val="singl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eastAsia="宋体" w:cs="Times New Roman"/>
                <w:color w:val="000000"/>
                <w:spacing w:val="11"/>
                <w:kern w:val="0"/>
                <w:position w:val="0"/>
                <w:sz w:val="24"/>
                <w:szCs w:val="24"/>
                <w:highlight w:val="none"/>
                <w:u w:val="single" w:color="auto"/>
                <w:lang w:eastAsia="zh-CN"/>
              </w:rPr>
              <w:t>（</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永环函[2024]4号</w:t>
            </w:r>
            <w:r>
              <w:rPr>
                <w:rFonts w:hint="default" w:ascii="Times New Roman" w:hAnsi="Times New Roman" w:eastAsia="宋体" w:cs="Times New Roman"/>
                <w:color w:val="000000"/>
                <w:spacing w:val="11"/>
                <w:kern w:val="0"/>
                <w:position w:val="0"/>
                <w:sz w:val="24"/>
                <w:szCs w:val="24"/>
                <w:highlight w:val="none"/>
                <w:u w:val="single" w:color="auto"/>
                <w:lang w:eastAsia="zh-CN"/>
              </w:rPr>
              <w:t>）</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中</w:t>
            </w:r>
            <w:r>
              <w:rPr>
                <w:rFonts w:hint="default" w:ascii="Times New Roman" w:hAnsi="Times New Roman" w:eastAsia="宋体" w:cs="Times New Roman"/>
                <w:color w:val="000000"/>
                <w:spacing w:val="11"/>
                <w:kern w:val="0"/>
                <w:position w:val="0"/>
                <w:sz w:val="24"/>
                <w:szCs w:val="24"/>
                <w:highlight w:val="none"/>
                <w:u w:val="single" w:color="auto"/>
              </w:rPr>
              <w:t>统计的环境监测结果，新田河大历县村监测断面与本项目</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直线</w:t>
            </w:r>
            <w:r>
              <w:rPr>
                <w:rFonts w:hint="default" w:ascii="Times New Roman" w:hAnsi="Times New Roman" w:eastAsia="宋体" w:cs="Times New Roman"/>
                <w:color w:val="000000"/>
                <w:spacing w:val="11"/>
                <w:kern w:val="0"/>
                <w:position w:val="0"/>
                <w:sz w:val="24"/>
                <w:szCs w:val="24"/>
                <w:highlight w:val="none"/>
                <w:u w:val="single" w:color="auto"/>
              </w:rPr>
              <w:t>距离约</w:t>
            </w:r>
            <w:r>
              <w:rPr>
                <w:rFonts w:hint="eastAsia" w:ascii="Times New Roman" w:hAnsi="Times New Roman" w:eastAsia="宋体" w:cs="Times New Roman"/>
                <w:color w:val="000000"/>
                <w:spacing w:val="11"/>
                <w:kern w:val="0"/>
                <w:position w:val="0"/>
                <w:sz w:val="24"/>
                <w:szCs w:val="24"/>
                <w:highlight w:val="none"/>
                <w:u w:val="single" w:color="auto"/>
                <w:lang w:val="en-US" w:eastAsia="zh-CN"/>
              </w:rPr>
              <w:t>9.69</w:t>
            </w:r>
            <w:r>
              <w:rPr>
                <w:rFonts w:hint="default" w:ascii="Times New Roman" w:hAnsi="Times New Roman" w:eastAsia="宋体" w:cs="Times New Roman"/>
                <w:color w:val="000000"/>
                <w:spacing w:val="11"/>
                <w:kern w:val="0"/>
                <w:position w:val="0"/>
                <w:sz w:val="24"/>
                <w:szCs w:val="24"/>
                <w:highlight w:val="none"/>
                <w:u w:val="single" w:color="auto"/>
              </w:rPr>
              <w:t>km，且该监测点位于本项目下游，能有效代表本项目周边水环境质量现状。具体水质情况详见下图。</w:t>
            </w:r>
            <w:r>
              <w:rPr>
                <w:rFonts w:hint="eastAsia" w:ascii="Times New Roman" w:hAnsi="Times New Roman" w:eastAsia="宋体" w:cs="Times New Roman"/>
                <w:color w:val="000000"/>
                <w:spacing w:val="11"/>
                <w:kern w:val="0"/>
                <w:position w:val="0"/>
                <w:sz w:val="24"/>
                <w:szCs w:val="24"/>
                <w:highlight w:val="none"/>
                <w:u w:val="single" w:color="auto"/>
                <w:lang w:val="en-US" w:eastAsia="zh-CN"/>
              </w:rPr>
              <w:t xml:space="preserve"> </w:t>
            </w:r>
          </w:p>
          <w:p w14:paraId="5F672CA7">
            <w:pPr>
              <w:kinsoku/>
              <w:wordWrap/>
              <w:overflowPunct/>
              <w:topLinePunct w:val="0"/>
              <w:autoSpaceDE/>
              <w:autoSpaceDN/>
              <w:bidi w:val="0"/>
              <w:adjustRightInd/>
              <w:snapToGrid w:val="0"/>
              <w:spacing w:before="0" w:after="0" w:line="240" w:lineRule="auto"/>
              <w:ind w:left="0" w:right="0" w:firstLine="0" w:firstLineChars="0"/>
              <w:jc w:val="center"/>
              <w:rPr>
                <w:rFonts w:hint="default" w:ascii="Times New Roman" w:hAnsi="Times New Roman" w:eastAsia="宋体" w:cs="Times New Roman"/>
                <w:b/>
                <w:bCs/>
                <w:color w:val="auto"/>
                <w:spacing w:val="11"/>
                <w:kern w:val="2"/>
                <w:position w:val="0"/>
                <w:sz w:val="24"/>
                <w:szCs w:val="24"/>
                <w:highlight w:val="none"/>
                <w:u w:val="single" w:color="auto"/>
                <w:lang w:val="en-US" w:bidi="ar-SA"/>
              </w:rPr>
            </w:pPr>
            <w:r>
              <w:rPr>
                <w:rFonts w:hint="default" w:ascii="Times New Roman" w:hAnsi="Times New Roman" w:eastAsia="宋体" w:cs="Times New Roman"/>
                <w:b/>
                <w:bCs/>
                <w:color w:val="auto"/>
                <w:spacing w:val="11"/>
                <w:kern w:val="2"/>
                <w:position w:val="0"/>
                <w:sz w:val="24"/>
                <w:szCs w:val="24"/>
                <w:highlight w:val="none"/>
                <w:u w:val="single" w:color="auto"/>
                <w:lang w:val="en-US" w:bidi="ar-SA"/>
              </w:rPr>
              <w:drawing>
                <wp:inline distT="0" distB="0" distL="114300" distR="114300">
                  <wp:extent cx="5776595" cy="202692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76595" cy="2026920"/>
                          </a:xfrm>
                          <a:prstGeom prst="rect">
                            <a:avLst/>
                          </a:prstGeom>
                          <a:noFill/>
                          <a:ln>
                            <a:noFill/>
                          </a:ln>
                        </pic:spPr>
                      </pic:pic>
                    </a:graphicData>
                  </a:graphic>
                </wp:inline>
              </w:drawing>
            </w:r>
          </w:p>
          <w:p w14:paraId="240AF4D1">
            <w:pPr>
              <w:adjustRightInd w:val="0"/>
              <w:snapToGrid w:val="0"/>
              <w:spacing w:line="360" w:lineRule="auto"/>
              <w:ind w:firstLine="0" w:firstLineChars="0"/>
              <w:jc w:val="center"/>
              <w:rPr>
                <w:rFonts w:hint="default" w:ascii="Times New Roman" w:hAnsi="Times New Roman" w:eastAsia="宋体" w:cs="Times New Roman"/>
                <w:color w:val="auto"/>
                <w:spacing w:val="11"/>
                <w:kern w:val="0"/>
                <w:position w:val="0"/>
                <w:sz w:val="24"/>
                <w:szCs w:val="24"/>
                <w:highlight w:val="none"/>
                <w:u w:val="single" w:color="auto"/>
              </w:rPr>
            </w:pPr>
            <w:r>
              <w:rPr>
                <w:rFonts w:hint="eastAsia" w:ascii="Times New Roman" w:hAnsi="Times New Roman" w:eastAsia="宋体" w:cs="Times New Roman"/>
                <w:b/>
                <w:bCs/>
                <w:color w:val="auto"/>
                <w:spacing w:val="11"/>
                <w:position w:val="0"/>
                <w:sz w:val="21"/>
                <w:szCs w:val="21"/>
                <w:u w:val="single" w:color="auto"/>
                <w:lang w:val="en-US" w:eastAsia="zh-CN"/>
              </w:rPr>
              <w:t>图3-1</w:t>
            </w:r>
            <w:r>
              <w:rPr>
                <w:rFonts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地表水环境质量现状图</w:t>
            </w:r>
          </w:p>
          <w:p w14:paraId="666C749A">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524" w:firstLineChars="200"/>
              <w:jc w:val="both"/>
              <w:textAlignment w:val="auto"/>
              <w:rPr>
                <w:rFonts w:hint="default" w:ascii="Times New Roman" w:hAnsi="Times New Roman" w:eastAsia="宋体" w:cs="Times New Roman"/>
                <w:color w:val="000000"/>
                <w:spacing w:val="11"/>
                <w:kern w:val="0"/>
                <w:position w:val="0"/>
                <w:sz w:val="24"/>
                <w:szCs w:val="24"/>
                <w:highlight w:val="none"/>
                <w:u w:val="single" w:color="auto"/>
                <w:lang w:val="en-US" w:eastAsia="zh-CN"/>
              </w:rPr>
            </w:pPr>
            <w:r>
              <w:rPr>
                <w:rFonts w:hint="default" w:ascii="Times New Roman" w:hAnsi="Times New Roman" w:eastAsia="宋体" w:cs="Times New Roman"/>
                <w:color w:val="auto"/>
                <w:spacing w:val="11"/>
                <w:kern w:val="0"/>
                <w:position w:val="0"/>
                <w:sz w:val="24"/>
                <w:szCs w:val="24"/>
                <w:highlight w:val="none"/>
                <w:u w:val="single" w:color="auto"/>
              </w:rPr>
              <w:t>由上图可知，新田河大历县村断面水质均可达到《地表水环境质量标准》</w:t>
            </w:r>
            <w:r>
              <w:rPr>
                <w:rFonts w:hint="eastAsia" w:ascii="Times New Roman" w:hAnsi="Times New Roman" w:eastAsia="宋体" w:cs="Times New Roman"/>
                <w:color w:val="auto"/>
                <w:spacing w:val="11"/>
                <w:kern w:val="0"/>
                <w:position w:val="0"/>
                <w:sz w:val="24"/>
                <w:szCs w:val="24"/>
                <w:highlight w:val="none"/>
                <w:u w:val="single" w:color="auto"/>
                <w:lang w:eastAsia="zh-CN"/>
              </w:rPr>
              <w:t>（</w:t>
            </w:r>
            <w:r>
              <w:rPr>
                <w:rFonts w:hint="default" w:ascii="Times New Roman" w:hAnsi="Times New Roman" w:eastAsia="宋体" w:cs="Times New Roman"/>
                <w:color w:val="auto"/>
                <w:spacing w:val="11"/>
                <w:kern w:val="0"/>
                <w:position w:val="0"/>
                <w:sz w:val="24"/>
                <w:szCs w:val="24"/>
                <w:highlight w:val="none"/>
                <w:u w:val="single" w:color="auto"/>
              </w:rPr>
              <w:t>GB3838-2002</w:t>
            </w:r>
            <w:r>
              <w:rPr>
                <w:rFonts w:hint="eastAsia" w:ascii="Times New Roman" w:hAnsi="Times New Roman" w:eastAsia="宋体" w:cs="Times New Roman"/>
                <w:color w:val="auto"/>
                <w:spacing w:val="11"/>
                <w:kern w:val="0"/>
                <w:position w:val="0"/>
                <w:sz w:val="24"/>
                <w:szCs w:val="24"/>
                <w:highlight w:val="none"/>
                <w:u w:val="single" w:color="auto"/>
                <w:lang w:eastAsia="zh-CN"/>
              </w:rPr>
              <w:t>）</w:t>
            </w:r>
            <w:r>
              <w:rPr>
                <w:rFonts w:hint="default" w:ascii="Times New Roman" w:hAnsi="Times New Roman" w:eastAsia="宋体" w:cs="Times New Roman"/>
                <w:color w:val="auto"/>
                <w:spacing w:val="11"/>
                <w:kern w:val="0"/>
                <w:position w:val="0"/>
                <w:sz w:val="24"/>
                <w:szCs w:val="24"/>
                <w:highlight w:val="none"/>
                <w:u w:val="single" w:color="auto"/>
              </w:rPr>
              <w:t>II类标准，由此，可判断新田河水质环境质量良好。</w:t>
            </w:r>
          </w:p>
          <w:p w14:paraId="79ED32C9">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bookmarkStart w:id="4" w:name="_Toc411767824"/>
            <w:bookmarkStart w:id="5" w:name="_Toc411767825"/>
            <w:bookmarkStart w:id="6" w:name="OLE_LINK6"/>
            <w:r>
              <w:rPr>
                <w:rFonts w:hint="default" w:ascii="Times New Roman" w:hAnsi="Times New Roman" w:eastAsia="宋体" w:cs="Times New Roman"/>
                <w:b/>
                <w:bCs/>
                <w:color w:val="auto"/>
                <w:spacing w:val="11"/>
                <w:kern w:val="2"/>
                <w:position w:val="0"/>
                <w:sz w:val="24"/>
                <w:szCs w:val="22"/>
                <w:lang w:val="en-US" w:eastAsia="zh-CN" w:bidi="ar-SA"/>
              </w:rPr>
              <w:t>3、声环境质量现状</w:t>
            </w:r>
            <w:bookmarkEnd w:id="4"/>
          </w:p>
          <w:p w14:paraId="33B5590D">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000000"/>
                <w:spacing w:val="11"/>
                <w:position w:val="0"/>
                <w:sz w:val="24"/>
                <w:szCs w:val="24"/>
                <w:highlight w:val="none"/>
                <w:u w:val="none" w:color="auto"/>
              </w:rPr>
              <w:t>根据《建设项目环境影响报告表（污染影响类）编制指南》中规定，50m范围内无居民点的项目无需进行声环境现状监测，本项目周边最近的居民点为</w:t>
            </w:r>
            <w:r>
              <w:rPr>
                <w:rFonts w:hint="eastAsia" w:ascii="Times New Roman" w:hAnsi="Times New Roman" w:eastAsia="宋体" w:cs="Times New Roman"/>
                <w:color w:val="000000"/>
                <w:spacing w:val="11"/>
                <w:position w:val="0"/>
                <w:sz w:val="24"/>
                <w:szCs w:val="24"/>
                <w:highlight w:val="none"/>
                <w:u w:val="none" w:color="auto"/>
                <w:lang w:val="en-US" w:eastAsia="zh-CN"/>
              </w:rPr>
              <w:t>西</w:t>
            </w:r>
            <w:r>
              <w:rPr>
                <w:rFonts w:hint="eastAsia" w:eastAsia="宋体" w:cs="Times New Roman"/>
                <w:color w:val="000000"/>
                <w:spacing w:val="11"/>
                <w:position w:val="0"/>
                <w:sz w:val="24"/>
                <w:szCs w:val="24"/>
                <w:highlight w:val="none"/>
                <w:u w:val="none" w:color="auto"/>
                <w:lang w:val="en-US" w:eastAsia="zh-CN"/>
              </w:rPr>
              <w:t>北</w:t>
            </w:r>
            <w:r>
              <w:rPr>
                <w:rFonts w:hint="default" w:ascii="Times New Roman" w:hAnsi="Times New Roman" w:eastAsia="宋体" w:cs="Times New Roman"/>
                <w:color w:val="000000"/>
                <w:spacing w:val="11"/>
                <w:position w:val="0"/>
                <w:sz w:val="24"/>
                <w:szCs w:val="24"/>
                <w:highlight w:val="none"/>
                <w:u w:val="none" w:color="auto"/>
              </w:rPr>
              <w:t>侧</w:t>
            </w:r>
            <w:r>
              <w:rPr>
                <w:rFonts w:hint="eastAsia" w:eastAsia="宋体" w:cs="Times New Roman"/>
                <w:color w:val="000000"/>
                <w:spacing w:val="11"/>
                <w:position w:val="0"/>
                <w:sz w:val="24"/>
                <w:szCs w:val="24"/>
                <w:highlight w:val="none"/>
                <w:u w:val="none" w:color="auto"/>
                <w:lang w:val="en-US" w:eastAsia="zh-CN"/>
              </w:rPr>
              <w:t>310</w:t>
            </w:r>
            <w:r>
              <w:rPr>
                <w:rFonts w:hint="default" w:ascii="Times New Roman" w:hAnsi="Times New Roman" w:eastAsia="宋体" w:cs="Times New Roman"/>
                <w:color w:val="000000"/>
                <w:spacing w:val="11"/>
                <w:position w:val="0"/>
                <w:sz w:val="24"/>
                <w:szCs w:val="24"/>
                <w:highlight w:val="none"/>
                <w:u w:val="none" w:color="auto"/>
              </w:rPr>
              <w:t>m的</w:t>
            </w:r>
            <w:r>
              <w:rPr>
                <w:rFonts w:hint="eastAsia" w:eastAsia="宋体" w:cs="Times New Roman"/>
                <w:color w:val="000000"/>
                <w:spacing w:val="11"/>
                <w:position w:val="0"/>
                <w:sz w:val="24"/>
                <w:szCs w:val="24"/>
                <w:highlight w:val="none"/>
                <w:u w:val="none" w:color="auto"/>
                <w:lang w:val="en-US" w:eastAsia="zh-CN"/>
              </w:rPr>
              <w:t>蜂头岭散户居民点</w:t>
            </w:r>
            <w:r>
              <w:rPr>
                <w:rFonts w:hint="default" w:ascii="Times New Roman" w:hAnsi="Times New Roman" w:eastAsia="宋体" w:cs="Times New Roman"/>
                <w:color w:val="000000"/>
                <w:spacing w:val="11"/>
                <w:position w:val="0"/>
                <w:sz w:val="24"/>
                <w:szCs w:val="24"/>
                <w:highlight w:val="none"/>
                <w:u w:val="none" w:color="auto"/>
              </w:rPr>
              <w:t>，因此，无需进行声环境现状监测。</w:t>
            </w:r>
          </w:p>
          <w:p w14:paraId="0A1F9F0B">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4、地下水环境</w:t>
            </w:r>
          </w:p>
          <w:p w14:paraId="7C404F17">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2"/>
                <w:u w:val="single"/>
                <w:lang w:val="en-US" w:eastAsia="zh-CN"/>
              </w:rPr>
            </w:pPr>
            <w:r>
              <w:rPr>
                <w:rFonts w:hint="eastAsia" w:cs="Times New Roman"/>
                <w:color w:val="auto"/>
                <w:spacing w:val="11"/>
                <w:position w:val="0"/>
                <w:sz w:val="24"/>
                <w:szCs w:val="22"/>
                <w:u w:val="single"/>
                <w:lang w:val="en-US" w:eastAsia="zh-CN"/>
              </w:rPr>
              <w:t>为更好的了解本项目周边地下水环境质量情况，本次评价委托湖南中额环保科技有限公司于2025年3月20日对项目周边周家洞居民点水井进行了地下水环境质量现状监测，监测结果如下表所示：</w:t>
            </w:r>
          </w:p>
          <w:p w14:paraId="0353B4B7">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pPr>
            <w:r>
              <w:rPr>
                <w:rFonts w:ascii="Times New Roman" w:hAnsi="Times New Roman" w:eastAsia="宋体" w:cs="Times New Roman"/>
                <w:b/>
                <w:bCs/>
                <w:caps w:val="0"/>
                <w:smallCaps w:val="0"/>
                <w:color w:val="auto"/>
                <w:spacing w:val="11"/>
                <w:kern w:val="21"/>
                <w:position w:val="0"/>
                <w:sz w:val="21"/>
                <w:szCs w:val="21"/>
                <w:u w:val="single"/>
                <w:shd w:val="clear" w:color="auto" w:fill="auto"/>
              </w:rPr>
              <w:t>表</w:t>
            </w:r>
            <w:r>
              <w:rPr>
                <w:rFonts w:hint="eastAsia"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t>3-3</w:t>
            </w:r>
            <w:r>
              <w:rPr>
                <w:rFonts w:ascii="Times New Roman" w:hAnsi="Times New Roman" w:eastAsia="宋体" w:cs="Times New Roman"/>
                <w:b/>
                <w:bCs/>
                <w:caps w:val="0"/>
                <w:smallCaps w:val="0"/>
                <w:color w:val="auto"/>
                <w:spacing w:val="11"/>
                <w:kern w:val="21"/>
                <w:position w:val="0"/>
                <w:sz w:val="21"/>
                <w:szCs w:val="21"/>
                <w:u w:val="single"/>
                <w:shd w:val="clear" w:color="auto" w:fill="auto"/>
              </w:rPr>
              <w:t xml:space="preserve"> </w:t>
            </w:r>
            <w:r>
              <w:rPr>
                <w:rFonts w:hint="eastAsia" w:ascii="宋体" w:hAnsi="Times New Roman" w:eastAsia="宋体" w:cs="Times New Roman"/>
                <w:b/>
                <w:bCs/>
                <w:caps w:val="0"/>
                <w:smallCaps w:val="0"/>
                <w:color w:val="auto"/>
                <w:spacing w:val="11"/>
                <w:kern w:val="21"/>
                <w:position w:val="0"/>
                <w:sz w:val="21"/>
                <w:szCs w:val="21"/>
                <w:u w:val="singl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t>地下水环境质量现状监测结果</w:t>
            </w:r>
          </w:p>
          <w:tbl>
            <w:tblPr>
              <w:tblStyle w:val="34"/>
              <w:tblW w:w="79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773"/>
              <w:gridCol w:w="3065"/>
              <w:gridCol w:w="2000"/>
            </w:tblGrid>
            <w:tr w14:paraId="15742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restart"/>
                  <w:tcBorders>
                    <w:tl2br w:val="nil"/>
                    <w:tr2bl w:val="nil"/>
                  </w:tcBorders>
                  <w:vAlign w:val="center"/>
                </w:tcPr>
                <w:p w14:paraId="003869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检测点位</w:t>
                  </w:r>
                </w:p>
              </w:tc>
              <w:tc>
                <w:tcPr>
                  <w:tcW w:w="1773" w:type="dxa"/>
                  <w:vMerge w:val="restart"/>
                  <w:tcBorders>
                    <w:tl2br w:val="nil"/>
                    <w:tr2bl w:val="nil"/>
                  </w:tcBorders>
                  <w:vAlign w:val="center"/>
                </w:tcPr>
                <w:p w14:paraId="352D6F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检测因子</w:t>
                  </w:r>
                </w:p>
              </w:tc>
              <w:tc>
                <w:tcPr>
                  <w:tcW w:w="3065" w:type="dxa"/>
                  <w:tcBorders>
                    <w:tl2br w:val="nil"/>
                    <w:tr2bl w:val="nil"/>
                  </w:tcBorders>
                  <w:vAlign w:val="center"/>
                </w:tcPr>
                <w:p w14:paraId="7C3F3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采样日期及检测结果（单位：mg/L，pH无量纲，总大肠菌群、菌落总数：CFU/100mL，水温：℃，水位：米）</w:t>
                  </w:r>
                </w:p>
              </w:tc>
              <w:tc>
                <w:tcPr>
                  <w:tcW w:w="2000" w:type="dxa"/>
                  <w:vMerge w:val="restart"/>
                  <w:tcBorders>
                    <w:tl2br w:val="nil"/>
                    <w:tr2bl w:val="nil"/>
                  </w:tcBorders>
                  <w:vAlign w:val="center"/>
                </w:tcPr>
                <w:p w14:paraId="23445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标准限值</w:t>
                  </w:r>
                </w:p>
              </w:tc>
            </w:tr>
            <w:tr w14:paraId="1FBDE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35E68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vMerge w:val="continue"/>
                  <w:tcBorders>
                    <w:tl2br w:val="nil"/>
                    <w:tr2bl w:val="nil"/>
                  </w:tcBorders>
                  <w:vAlign w:val="center"/>
                </w:tcPr>
                <w:p w14:paraId="4EA4B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3065" w:type="dxa"/>
                  <w:tcBorders>
                    <w:tl2br w:val="nil"/>
                    <w:tr2bl w:val="nil"/>
                  </w:tcBorders>
                  <w:vAlign w:val="center"/>
                </w:tcPr>
                <w:p w14:paraId="6F5E06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2025.03.20</w:t>
                  </w:r>
                </w:p>
              </w:tc>
              <w:tc>
                <w:tcPr>
                  <w:tcW w:w="2000" w:type="dxa"/>
                  <w:vMerge w:val="continue"/>
                  <w:tcBorders>
                    <w:tl2br w:val="nil"/>
                    <w:tr2bl w:val="nil"/>
                  </w:tcBorders>
                  <w:vAlign w:val="center"/>
                </w:tcPr>
                <w:p w14:paraId="57175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r>
            <w:tr w14:paraId="52610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restart"/>
                  <w:tcBorders>
                    <w:tl2br w:val="nil"/>
                    <w:tr2bl w:val="nil"/>
                  </w:tcBorders>
                  <w:vAlign w:val="center"/>
                </w:tcPr>
                <w:p w14:paraId="1B8F6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D1周家洞居民地下水水井</w:t>
                  </w:r>
                </w:p>
              </w:tc>
              <w:tc>
                <w:tcPr>
                  <w:tcW w:w="1773" w:type="dxa"/>
                  <w:tcBorders>
                    <w:tl2br w:val="nil"/>
                    <w:tr2bl w:val="nil"/>
                  </w:tcBorders>
                  <w:vAlign w:val="center"/>
                </w:tcPr>
                <w:p w14:paraId="1CC2F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pH值</w:t>
                  </w:r>
                </w:p>
              </w:tc>
              <w:tc>
                <w:tcPr>
                  <w:tcW w:w="3065" w:type="dxa"/>
                  <w:tcBorders>
                    <w:tl2br w:val="nil"/>
                    <w:tr2bl w:val="nil"/>
                  </w:tcBorders>
                  <w:vAlign w:val="center"/>
                </w:tcPr>
                <w:p w14:paraId="6403D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7.2</w:t>
                  </w:r>
                </w:p>
              </w:tc>
              <w:tc>
                <w:tcPr>
                  <w:tcW w:w="2000" w:type="dxa"/>
                  <w:tcBorders>
                    <w:tl2br w:val="nil"/>
                    <w:tr2bl w:val="nil"/>
                  </w:tcBorders>
                  <w:vAlign w:val="center"/>
                </w:tcPr>
                <w:p w14:paraId="15B51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6.5-8.5</w:t>
                  </w:r>
                </w:p>
              </w:tc>
            </w:tr>
            <w:tr w14:paraId="23CC8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43C37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274CDD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水温</w:t>
                  </w:r>
                </w:p>
              </w:tc>
              <w:tc>
                <w:tcPr>
                  <w:tcW w:w="3065" w:type="dxa"/>
                  <w:tcBorders>
                    <w:tl2br w:val="nil"/>
                    <w:tr2bl w:val="nil"/>
                  </w:tcBorders>
                  <w:vAlign w:val="center"/>
                </w:tcPr>
                <w:p w14:paraId="60BD6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11.0</w:t>
                  </w:r>
                </w:p>
              </w:tc>
              <w:tc>
                <w:tcPr>
                  <w:tcW w:w="2000" w:type="dxa"/>
                  <w:tcBorders>
                    <w:tl2br w:val="nil"/>
                    <w:tr2bl w:val="nil"/>
                  </w:tcBorders>
                  <w:vAlign w:val="center"/>
                </w:tcPr>
                <w:p w14:paraId="47C41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25D0D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B8C0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03F3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水位</w:t>
                  </w:r>
                </w:p>
              </w:tc>
              <w:tc>
                <w:tcPr>
                  <w:tcW w:w="3065" w:type="dxa"/>
                  <w:tcBorders>
                    <w:tl2br w:val="nil"/>
                    <w:tr2bl w:val="nil"/>
                  </w:tcBorders>
                  <w:vAlign w:val="center"/>
                </w:tcPr>
                <w:p w14:paraId="2DC77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253.1</w:t>
                  </w:r>
                </w:p>
              </w:tc>
              <w:tc>
                <w:tcPr>
                  <w:tcW w:w="2000" w:type="dxa"/>
                  <w:tcBorders>
                    <w:tl2br w:val="nil"/>
                    <w:tr2bl w:val="nil"/>
                  </w:tcBorders>
                  <w:vAlign w:val="center"/>
                </w:tcPr>
                <w:p w14:paraId="5B9BF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530C1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0EA03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12143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氨氮</w:t>
                  </w:r>
                </w:p>
              </w:tc>
              <w:tc>
                <w:tcPr>
                  <w:tcW w:w="3065" w:type="dxa"/>
                  <w:tcBorders>
                    <w:tl2br w:val="nil"/>
                    <w:tr2bl w:val="nil"/>
                  </w:tcBorders>
                  <w:vAlign w:val="center"/>
                </w:tcPr>
                <w:p w14:paraId="46F90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0.070</w:t>
                  </w:r>
                </w:p>
              </w:tc>
              <w:tc>
                <w:tcPr>
                  <w:tcW w:w="2000" w:type="dxa"/>
                  <w:tcBorders>
                    <w:tl2br w:val="nil"/>
                    <w:tr2bl w:val="nil"/>
                  </w:tcBorders>
                  <w:vAlign w:val="center"/>
                </w:tcPr>
                <w:p w14:paraId="77963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0.50</w:t>
                  </w:r>
                </w:p>
              </w:tc>
            </w:tr>
            <w:tr w14:paraId="2B8EF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FB66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940C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硝酸盐</w:t>
                  </w:r>
                </w:p>
              </w:tc>
              <w:tc>
                <w:tcPr>
                  <w:tcW w:w="3065" w:type="dxa"/>
                  <w:tcBorders>
                    <w:tl2br w:val="nil"/>
                    <w:tr2bl w:val="nil"/>
                  </w:tcBorders>
                  <w:vAlign w:val="center"/>
                </w:tcPr>
                <w:p w14:paraId="6A548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1.75</w:t>
                  </w:r>
                </w:p>
              </w:tc>
              <w:tc>
                <w:tcPr>
                  <w:tcW w:w="2000" w:type="dxa"/>
                  <w:tcBorders>
                    <w:tl2br w:val="nil"/>
                    <w:tr2bl w:val="nil"/>
                  </w:tcBorders>
                  <w:vAlign w:val="center"/>
                </w:tcPr>
                <w:p w14:paraId="743BF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20.0</w:t>
                  </w:r>
                </w:p>
              </w:tc>
            </w:tr>
            <w:tr w14:paraId="32C0A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69D2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90F1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亚硝酸盐</w:t>
                  </w:r>
                </w:p>
              </w:tc>
              <w:tc>
                <w:tcPr>
                  <w:tcW w:w="3065" w:type="dxa"/>
                  <w:tcBorders>
                    <w:tl2br w:val="nil"/>
                    <w:tr2bl w:val="nil"/>
                  </w:tcBorders>
                  <w:vAlign w:val="center"/>
                </w:tcPr>
                <w:p w14:paraId="31B01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2143B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w:t>
                  </w:r>
                </w:p>
              </w:tc>
            </w:tr>
            <w:tr w14:paraId="0BF02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3F25C0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E072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挥发酚</w:t>
                  </w:r>
                </w:p>
              </w:tc>
              <w:tc>
                <w:tcPr>
                  <w:tcW w:w="3065" w:type="dxa"/>
                  <w:tcBorders>
                    <w:tl2br w:val="nil"/>
                    <w:tr2bl w:val="nil"/>
                  </w:tcBorders>
                  <w:vAlign w:val="center"/>
                </w:tcPr>
                <w:p w14:paraId="2F8A2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1925E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0.002</w:t>
                  </w:r>
                </w:p>
              </w:tc>
            </w:tr>
            <w:tr w14:paraId="015BA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4AFDF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6F0A1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氰化物</w:t>
                  </w:r>
                </w:p>
              </w:tc>
              <w:tc>
                <w:tcPr>
                  <w:tcW w:w="3065" w:type="dxa"/>
                  <w:tcBorders>
                    <w:tl2br w:val="nil"/>
                    <w:tr2bl w:val="nil"/>
                  </w:tcBorders>
                  <w:vAlign w:val="center"/>
                </w:tcPr>
                <w:p w14:paraId="2A1B4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44D14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0.05</w:t>
                  </w:r>
                </w:p>
              </w:tc>
            </w:tr>
            <w:tr w14:paraId="0F349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31511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105B0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砷</w:t>
                  </w:r>
                </w:p>
              </w:tc>
              <w:tc>
                <w:tcPr>
                  <w:tcW w:w="3065" w:type="dxa"/>
                  <w:tcBorders>
                    <w:tl2br w:val="nil"/>
                    <w:tr2bl w:val="nil"/>
                  </w:tcBorders>
                  <w:vAlign w:val="center"/>
                </w:tcPr>
                <w:p w14:paraId="048B6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12D84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0.01</w:t>
                  </w:r>
                </w:p>
              </w:tc>
            </w:tr>
            <w:tr w14:paraId="3D5B5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36AC89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6EC41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汞</w:t>
                  </w:r>
                </w:p>
              </w:tc>
              <w:tc>
                <w:tcPr>
                  <w:tcW w:w="3065" w:type="dxa"/>
                  <w:tcBorders>
                    <w:tl2br w:val="nil"/>
                    <w:tr2bl w:val="nil"/>
                  </w:tcBorders>
                  <w:vAlign w:val="center"/>
                </w:tcPr>
                <w:p w14:paraId="7E906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104DA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0.001</w:t>
                  </w:r>
                </w:p>
              </w:tc>
            </w:tr>
            <w:tr w14:paraId="3421B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369C6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7E2B0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六价铬</w:t>
                  </w:r>
                </w:p>
              </w:tc>
              <w:tc>
                <w:tcPr>
                  <w:tcW w:w="3065" w:type="dxa"/>
                  <w:tcBorders>
                    <w:tl2br w:val="nil"/>
                    <w:tr2bl w:val="nil"/>
                  </w:tcBorders>
                  <w:vAlign w:val="center"/>
                </w:tcPr>
                <w:p w14:paraId="024A6E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0F51B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0.05</w:t>
                  </w:r>
                </w:p>
              </w:tc>
            </w:tr>
            <w:tr w14:paraId="41857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0910C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322B37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总硬度</w:t>
                  </w:r>
                </w:p>
              </w:tc>
              <w:tc>
                <w:tcPr>
                  <w:tcW w:w="3065" w:type="dxa"/>
                  <w:tcBorders>
                    <w:tl2br w:val="nil"/>
                    <w:tr2bl w:val="nil"/>
                  </w:tcBorders>
                  <w:vAlign w:val="center"/>
                </w:tcPr>
                <w:p w14:paraId="69FA7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124</w:t>
                  </w:r>
                </w:p>
              </w:tc>
              <w:tc>
                <w:tcPr>
                  <w:tcW w:w="2000" w:type="dxa"/>
                  <w:tcBorders>
                    <w:tl2br w:val="nil"/>
                    <w:tr2bl w:val="nil"/>
                  </w:tcBorders>
                  <w:vAlign w:val="center"/>
                </w:tcPr>
                <w:p w14:paraId="3F943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450</w:t>
                  </w:r>
                </w:p>
              </w:tc>
            </w:tr>
            <w:tr w14:paraId="283B3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12E3E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17F8C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铅</w:t>
                  </w:r>
                </w:p>
              </w:tc>
              <w:tc>
                <w:tcPr>
                  <w:tcW w:w="3065" w:type="dxa"/>
                  <w:tcBorders>
                    <w:tl2br w:val="nil"/>
                    <w:tr2bl w:val="nil"/>
                  </w:tcBorders>
                  <w:shd w:val="clear" w:color="auto" w:fill="auto"/>
                  <w:vAlign w:val="center"/>
                </w:tcPr>
                <w:p w14:paraId="3048D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lang w:val="en-US" w:eastAsia="zh-CN" w:bidi="ar-SA"/>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619A1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0.01</w:t>
                  </w:r>
                </w:p>
              </w:tc>
            </w:tr>
            <w:tr w14:paraId="0C792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0D0C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D55D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氟化物</w:t>
                  </w:r>
                </w:p>
              </w:tc>
              <w:tc>
                <w:tcPr>
                  <w:tcW w:w="3065" w:type="dxa"/>
                  <w:tcBorders>
                    <w:tl2br w:val="nil"/>
                    <w:tr2bl w:val="nil"/>
                  </w:tcBorders>
                  <w:vAlign w:val="center"/>
                </w:tcPr>
                <w:p w14:paraId="4FD70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0.114</w:t>
                  </w:r>
                </w:p>
              </w:tc>
              <w:tc>
                <w:tcPr>
                  <w:tcW w:w="2000" w:type="dxa"/>
                  <w:tcBorders>
                    <w:tl2br w:val="nil"/>
                    <w:tr2bl w:val="nil"/>
                  </w:tcBorders>
                  <w:vAlign w:val="center"/>
                </w:tcPr>
                <w:p w14:paraId="77AFF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w:t>
                  </w:r>
                </w:p>
              </w:tc>
            </w:tr>
            <w:tr w14:paraId="15B2F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23352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C04DF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镉</w:t>
                  </w:r>
                </w:p>
              </w:tc>
              <w:tc>
                <w:tcPr>
                  <w:tcW w:w="3065" w:type="dxa"/>
                  <w:tcBorders>
                    <w:tl2br w:val="nil"/>
                    <w:tr2bl w:val="nil"/>
                  </w:tcBorders>
                  <w:vAlign w:val="center"/>
                </w:tcPr>
                <w:p w14:paraId="5F014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27A40E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0.005</w:t>
                  </w:r>
                </w:p>
              </w:tc>
            </w:tr>
            <w:tr w14:paraId="54313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1916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529A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铁</w:t>
                  </w:r>
                </w:p>
              </w:tc>
              <w:tc>
                <w:tcPr>
                  <w:tcW w:w="3065" w:type="dxa"/>
                  <w:tcBorders>
                    <w:tl2br w:val="nil"/>
                    <w:tr2bl w:val="nil"/>
                  </w:tcBorders>
                  <w:vAlign w:val="center"/>
                </w:tcPr>
                <w:p w14:paraId="35D0B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7F73F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0.3</w:t>
                  </w:r>
                </w:p>
              </w:tc>
            </w:tr>
            <w:tr w14:paraId="0DB68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6431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300B5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锰</w:t>
                  </w:r>
                </w:p>
              </w:tc>
              <w:tc>
                <w:tcPr>
                  <w:tcW w:w="3065" w:type="dxa"/>
                  <w:tcBorders>
                    <w:tl2br w:val="nil"/>
                    <w:tr2bl w:val="nil"/>
                  </w:tcBorders>
                  <w:vAlign w:val="center"/>
                </w:tcPr>
                <w:p w14:paraId="772509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3E05A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0.10</w:t>
                  </w:r>
                </w:p>
              </w:tc>
            </w:tr>
            <w:tr w14:paraId="43965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215786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4CEE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溶解性固体</w:t>
                  </w:r>
                </w:p>
              </w:tc>
              <w:tc>
                <w:tcPr>
                  <w:tcW w:w="3065" w:type="dxa"/>
                  <w:tcBorders>
                    <w:tl2br w:val="nil"/>
                    <w:tr2bl w:val="nil"/>
                  </w:tcBorders>
                  <w:vAlign w:val="center"/>
                </w:tcPr>
                <w:p w14:paraId="31FB2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236</w:t>
                  </w:r>
                </w:p>
              </w:tc>
              <w:tc>
                <w:tcPr>
                  <w:tcW w:w="2000" w:type="dxa"/>
                  <w:tcBorders>
                    <w:tl2br w:val="nil"/>
                    <w:tr2bl w:val="nil"/>
                  </w:tcBorders>
                  <w:vAlign w:val="center"/>
                </w:tcPr>
                <w:p w14:paraId="727CD6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1000</w:t>
                  </w:r>
                </w:p>
              </w:tc>
            </w:tr>
            <w:tr w14:paraId="0C029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19F1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635C6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耗氧量</w:t>
                  </w:r>
                </w:p>
              </w:tc>
              <w:tc>
                <w:tcPr>
                  <w:tcW w:w="3065" w:type="dxa"/>
                  <w:tcBorders>
                    <w:tl2br w:val="nil"/>
                    <w:tr2bl w:val="nil"/>
                  </w:tcBorders>
                  <w:vAlign w:val="center"/>
                </w:tcPr>
                <w:p w14:paraId="61C979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w:t>
                  </w:r>
                </w:p>
              </w:tc>
              <w:tc>
                <w:tcPr>
                  <w:tcW w:w="2000" w:type="dxa"/>
                  <w:tcBorders>
                    <w:tl2br w:val="nil"/>
                    <w:tr2bl w:val="nil"/>
                  </w:tcBorders>
                  <w:vAlign w:val="center"/>
                </w:tcPr>
                <w:p w14:paraId="4CCFD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3.0</w:t>
                  </w:r>
                </w:p>
              </w:tc>
            </w:tr>
            <w:tr w14:paraId="20751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25516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DEB2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硫酸盐</w:t>
                  </w:r>
                </w:p>
              </w:tc>
              <w:tc>
                <w:tcPr>
                  <w:tcW w:w="3065" w:type="dxa"/>
                  <w:tcBorders>
                    <w:tl2br w:val="nil"/>
                    <w:tr2bl w:val="nil"/>
                  </w:tcBorders>
                  <w:vAlign w:val="center"/>
                </w:tcPr>
                <w:p w14:paraId="19C6C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25.6</w:t>
                  </w:r>
                </w:p>
              </w:tc>
              <w:tc>
                <w:tcPr>
                  <w:tcW w:w="2000" w:type="dxa"/>
                  <w:tcBorders>
                    <w:tl2br w:val="nil"/>
                    <w:tr2bl w:val="nil"/>
                  </w:tcBorders>
                  <w:vAlign w:val="center"/>
                </w:tcPr>
                <w:p w14:paraId="66403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250</w:t>
                  </w:r>
                </w:p>
              </w:tc>
            </w:tr>
            <w:tr w14:paraId="2F035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B800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74D68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氯化物</w:t>
                  </w:r>
                </w:p>
              </w:tc>
              <w:tc>
                <w:tcPr>
                  <w:tcW w:w="3065" w:type="dxa"/>
                  <w:tcBorders>
                    <w:tl2br w:val="nil"/>
                    <w:tr2bl w:val="nil"/>
                  </w:tcBorders>
                  <w:vAlign w:val="center"/>
                </w:tcPr>
                <w:p w14:paraId="410A8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13.2</w:t>
                  </w:r>
                </w:p>
              </w:tc>
              <w:tc>
                <w:tcPr>
                  <w:tcW w:w="2000" w:type="dxa"/>
                  <w:tcBorders>
                    <w:tl2br w:val="nil"/>
                    <w:tr2bl w:val="nil"/>
                  </w:tcBorders>
                  <w:vAlign w:val="center"/>
                </w:tcPr>
                <w:p w14:paraId="2A436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250</w:t>
                  </w:r>
                </w:p>
              </w:tc>
            </w:tr>
            <w:tr w14:paraId="62BE7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7391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022CD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default" w:ascii="Times New Roman" w:hAnsi="Times New Roman" w:eastAsia="宋体" w:cs="Times New Roman"/>
                      <w:color w:val="auto"/>
                      <w:spacing w:val="11"/>
                      <w:position w:val="0"/>
                      <w:sz w:val="21"/>
                      <w:szCs w:val="21"/>
                      <w:u w:val="single"/>
                      <w:lang w:val="en-US" w:eastAsia="zh-CN"/>
                    </w:rPr>
                    <w:t>总大肠菌群</w:t>
                  </w:r>
                </w:p>
              </w:tc>
              <w:tc>
                <w:tcPr>
                  <w:tcW w:w="3065" w:type="dxa"/>
                  <w:tcBorders>
                    <w:tl2br w:val="nil"/>
                    <w:tr2bl w:val="nil"/>
                  </w:tcBorders>
                  <w:vAlign w:val="center"/>
                </w:tcPr>
                <w:p w14:paraId="0565F8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未检出</w:t>
                  </w:r>
                </w:p>
              </w:tc>
              <w:tc>
                <w:tcPr>
                  <w:tcW w:w="2000" w:type="dxa"/>
                  <w:tcBorders>
                    <w:tl2br w:val="nil"/>
                    <w:tr2bl w:val="nil"/>
                  </w:tcBorders>
                  <w:vAlign w:val="center"/>
                </w:tcPr>
                <w:p w14:paraId="20949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3.0</w:t>
                  </w:r>
                </w:p>
              </w:tc>
            </w:tr>
            <w:tr w14:paraId="0221F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0F4EE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6857E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default" w:ascii="Times New Roman" w:hAnsi="Times New Roman" w:eastAsia="宋体" w:cs="Times New Roman"/>
                      <w:color w:val="auto"/>
                      <w:spacing w:val="11"/>
                      <w:position w:val="0"/>
                      <w:sz w:val="21"/>
                      <w:szCs w:val="21"/>
                      <w:u w:val="single"/>
                      <w:lang w:val="en-US" w:eastAsia="zh-CN"/>
                    </w:rPr>
                    <w:t>菌落总数</w:t>
                  </w:r>
                </w:p>
              </w:tc>
              <w:tc>
                <w:tcPr>
                  <w:tcW w:w="3065" w:type="dxa"/>
                  <w:tcBorders>
                    <w:tl2br w:val="nil"/>
                    <w:tr2bl w:val="nil"/>
                  </w:tcBorders>
                  <w:vAlign w:val="center"/>
                </w:tcPr>
                <w:p w14:paraId="02B54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w:t>
                  </w:r>
                </w:p>
              </w:tc>
              <w:tc>
                <w:tcPr>
                  <w:tcW w:w="2000" w:type="dxa"/>
                  <w:tcBorders>
                    <w:tl2br w:val="nil"/>
                    <w:tr2bl w:val="nil"/>
                  </w:tcBorders>
                  <w:vAlign w:val="center"/>
                </w:tcPr>
                <w:p w14:paraId="5AD822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w:t>
                  </w:r>
                </w:p>
              </w:tc>
            </w:tr>
            <w:tr w14:paraId="650B5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54C74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3D509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K</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14:paraId="6D6E3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1.14</w:t>
                  </w:r>
                </w:p>
              </w:tc>
              <w:tc>
                <w:tcPr>
                  <w:tcW w:w="2000" w:type="dxa"/>
                  <w:tcBorders>
                    <w:tl2br w:val="nil"/>
                    <w:tr2bl w:val="nil"/>
                  </w:tcBorders>
                  <w:vAlign w:val="center"/>
                </w:tcPr>
                <w:p w14:paraId="42604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2020E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2AF35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8EF6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Na</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14:paraId="0CBAE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1.32</w:t>
                  </w:r>
                </w:p>
              </w:tc>
              <w:tc>
                <w:tcPr>
                  <w:tcW w:w="2000" w:type="dxa"/>
                  <w:tcBorders>
                    <w:tl2br w:val="nil"/>
                    <w:tr2bl w:val="nil"/>
                  </w:tcBorders>
                  <w:vAlign w:val="center"/>
                </w:tcPr>
                <w:p w14:paraId="41800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200</w:t>
                  </w:r>
                </w:p>
              </w:tc>
            </w:tr>
            <w:tr w14:paraId="74E5E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151D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7DA0A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Ca</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14:paraId="6D775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31</w:t>
                  </w:r>
                </w:p>
              </w:tc>
              <w:tc>
                <w:tcPr>
                  <w:tcW w:w="2000" w:type="dxa"/>
                  <w:tcBorders>
                    <w:tl2br w:val="nil"/>
                    <w:tr2bl w:val="nil"/>
                  </w:tcBorders>
                  <w:vAlign w:val="center"/>
                </w:tcPr>
                <w:p w14:paraId="11EC0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34A70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63CAB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7731E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Mg</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14:paraId="3895E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094F6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18319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0C576D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52A83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CO</w:t>
                  </w:r>
                  <w:r>
                    <w:rPr>
                      <w:rFonts w:hint="eastAsia" w:ascii="Times New Roman" w:hAnsi="Times New Roman" w:eastAsia="宋体" w:cs="Times New Roman"/>
                      <w:color w:val="auto"/>
                      <w:spacing w:val="11"/>
                      <w:position w:val="0"/>
                      <w:sz w:val="21"/>
                      <w:szCs w:val="21"/>
                      <w:u w:val="single"/>
                      <w:vertAlign w:val="subscript"/>
                      <w:lang w:val="en-US" w:eastAsia="zh-CN"/>
                    </w:rPr>
                    <w:t>3</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14:paraId="6CBF5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14:paraId="11D78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4638C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vMerge w:val="continue"/>
                  <w:tcBorders>
                    <w:tl2br w:val="nil"/>
                    <w:tr2bl w:val="nil"/>
                  </w:tcBorders>
                  <w:vAlign w:val="center"/>
                </w:tcPr>
                <w:p w14:paraId="779DE0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14:paraId="64E2D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HCO</w:t>
                  </w:r>
                  <w:r>
                    <w:rPr>
                      <w:rFonts w:hint="eastAsia" w:ascii="Times New Roman" w:hAnsi="Times New Roman" w:eastAsia="宋体" w:cs="Times New Roman"/>
                      <w:color w:val="auto"/>
                      <w:spacing w:val="11"/>
                      <w:position w:val="0"/>
                      <w:sz w:val="21"/>
                      <w:szCs w:val="21"/>
                      <w:u w:val="single"/>
                      <w:vertAlign w:val="subscript"/>
                      <w:lang w:val="en-US" w:eastAsia="zh-CN"/>
                    </w:rPr>
                    <w:t>3</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14:paraId="69A14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w:t>
                  </w:r>
                </w:p>
              </w:tc>
              <w:tc>
                <w:tcPr>
                  <w:tcW w:w="2000" w:type="dxa"/>
                  <w:tcBorders>
                    <w:tl2br w:val="nil"/>
                    <w:tr2bl w:val="nil"/>
                  </w:tcBorders>
                  <w:vAlign w:val="center"/>
                </w:tcPr>
                <w:p w14:paraId="7018E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14:paraId="68A83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9" w:type="dxa"/>
                  <w:tcBorders>
                    <w:tl2br w:val="nil"/>
                    <w:tr2bl w:val="nil"/>
                  </w:tcBorders>
                  <w:vAlign w:val="center"/>
                </w:tcPr>
                <w:p w14:paraId="3D93B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备注</w:t>
                  </w:r>
                </w:p>
              </w:tc>
              <w:tc>
                <w:tcPr>
                  <w:tcW w:w="6838" w:type="dxa"/>
                  <w:gridSpan w:val="3"/>
                  <w:tcBorders>
                    <w:tl2br w:val="nil"/>
                    <w:tr2bl w:val="nil"/>
                  </w:tcBorders>
                  <w:vAlign w:val="center"/>
                </w:tcPr>
                <w:p w14:paraId="100DD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执行《地下水质量环境》（GB/T 14848-2017）表1中</w:t>
                  </w:r>
                  <w:r>
                    <w:rPr>
                      <w:rFonts w:hint="default" w:ascii="Times New Roman" w:hAnsi="Times New Roman" w:eastAsia="宋体" w:cs="Times New Roman"/>
                      <w:color w:val="auto"/>
                      <w:spacing w:val="11"/>
                      <w:position w:val="0"/>
                      <w:sz w:val="21"/>
                      <w:szCs w:val="21"/>
                      <w:u w:val="single"/>
                      <w:lang w:val="en-US" w:eastAsia="zh-CN"/>
                    </w:rPr>
                    <w:t>Ⅲ</w:t>
                  </w:r>
                  <w:r>
                    <w:rPr>
                      <w:rFonts w:hint="eastAsia" w:ascii="Times New Roman" w:hAnsi="Times New Roman" w:eastAsia="宋体" w:cs="Times New Roman"/>
                      <w:color w:val="auto"/>
                      <w:spacing w:val="11"/>
                      <w:position w:val="0"/>
                      <w:sz w:val="21"/>
                      <w:szCs w:val="21"/>
                      <w:u w:val="single"/>
                      <w:lang w:val="en-US" w:eastAsia="zh-CN"/>
                    </w:rPr>
                    <w:t>类标准</w:t>
                  </w:r>
                </w:p>
              </w:tc>
            </w:tr>
          </w:tbl>
          <w:p w14:paraId="274C3BC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color w:val="auto"/>
                <w:spacing w:val="11"/>
                <w:position w:val="0"/>
                <w:sz w:val="24"/>
                <w:szCs w:val="22"/>
                <w:u w:val="single"/>
              </w:rPr>
            </w:pPr>
            <w:r>
              <w:rPr>
                <w:rFonts w:hint="default" w:ascii="Times New Roman" w:hAnsi="Times New Roman" w:eastAsia="宋体" w:cs="Times New Roman"/>
                <w:color w:val="auto"/>
                <w:spacing w:val="11"/>
                <w:position w:val="0"/>
                <w:sz w:val="24"/>
                <w:szCs w:val="22"/>
                <w:u w:val="single"/>
                <w:lang w:val="en-US" w:eastAsia="zh-CN"/>
              </w:rPr>
              <w:t>根据上述内容可知，项目所在区域</w:t>
            </w:r>
            <w:r>
              <w:rPr>
                <w:rFonts w:hint="eastAsia" w:cs="Times New Roman"/>
                <w:color w:val="auto"/>
                <w:spacing w:val="11"/>
                <w:position w:val="0"/>
                <w:sz w:val="24"/>
                <w:szCs w:val="22"/>
                <w:u w:val="single"/>
                <w:lang w:val="en-US" w:eastAsia="zh-CN"/>
              </w:rPr>
              <w:t>地下水</w:t>
            </w:r>
            <w:r>
              <w:rPr>
                <w:rFonts w:hint="default" w:ascii="Times New Roman" w:hAnsi="Times New Roman" w:eastAsia="宋体" w:cs="Times New Roman"/>
                <w:color w:val="auto"/>
                <w:spacing w:val="11"/>
                <w:position w:val="0"/>
                <w:sz w:val="24"/>
                <w:szCs w:val="22"/>
                <w:u w:val="single"/>
                <w:lang w:val="en-US" w:eastAsia="zh-CN"/>
              </w:rPr>
              <w:t>环境质量</w:t>
            </w:r>
            <w:r>
              <w:rPr>
                <w:rFonts w:hint="eastAsia" w:cs="Times New Roman"/>
                <w:color w:val="auto"/>
                <w:spacing w:val="11"/>
                <w:position w:val="0"/>
                <w:sz w:val="24"/>
                <w:szCs w:val="22"/>
                <w:u w:val="single"/>
                <w:lang w:val="en-US" w:eastAsia="zh-CN"/>
              </w:rPr>
              <w:t>满足</w:t>
            </w:r>
            <w:r>
              <w:rPr>
                <w:rFonts w:hint="default" w:ascii="Times New Roman" w:hAnsi="Times New Roman" w:eastAsia="宋体" w:cs="Times New Roman"/>
                <w:color w:val="auto"/>
                <w:spacing w:val="11"/>
                <w:position w:val="0"/>
                <w:sz w:val="24"/>
                <w:szCs w:val="22"/>
                <w:u w:val="single"/>
                <w:lang w:val="en-US" w:eastAsia="zh-CN"/>
              </w:rPr>
              <w:t>《地下水质量环境》（GB/T 14848-2017）表1中Ⅲ类标准，由此，可判断项目所在区域地下水环境质量良好。</w:t>
            </w:r>
          </w:p>
          <w:p w14:paraId="77278B6F">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5、土壤环境</w:t>
            </w:r>
          </w:p>
          <w:p w14:paraId="6BC4432F">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根据《环境影响评价技术导则-土壤环境（试行）》（HJ 964-2018）附录A，本项目土壤环境影响评价项目类别为其他行业，属于Ⅲ类建设项目，不开展土壤环境影响评价。</w:t>
            </w:r>
          </w:p>
          <w:p w14:paraId="04D1F3ED">
            <w:pPr>
              <w:pageBreakBefore w:val="0"/>
              <w:widowControl w:val="0"/>
              <w:kinsoku/>
              <w:wordWrap/>
              <w:overflowPunct/>
              <w:topLinePunct w:val="0"/>
              <w:autoSpaceDE/>
              <w:autoSpaceDN/>
              <w:bidi w:val="0"/>
              <w:adjustRightInd w:val="0"/>
              <w:snapToGrid w:val="0"/>
              <w:spacing w:after="0" w:line="360" w:lineRule="auto"/>
              <w:jc w:val="both"/>
              <w:rPr>
                <w:rFonts w:hint="default" w:ascii="Times New Roman" w:hAnsi="Times New Roman" w:eastAsia="宋体" w:cs="Times New Roman"/>
                <w:b/>
                <w:bCs/>
                <w:color w:val="auto"/>
                <w:spacing w:val="11"/>
                <w:kern w:val="2"/>
                <w:position w:val="0"/>
                <w:sz w:val="24"/>
                <w:szCs w:val="22"/>
                <w:lang w:val="en-US" w:eastAsia="zh-CN" w:bidi="ar-SA"/>
              </w:rPr>
            </w:pPr>
            <w:r>
              <w:rPr>
                <w:rFonts w:hint="eastAsia" w:ascii="Times New Roman" w:hAnsi="Times New Roman" w:eastAsia="宋体" w:cs="Times New Roman"/>
                <w:b/>
                <w:bCs/>
                <w:color w:val="auto"/>
                <w:spacing w:val="11"/>
                <w:kern w:val="2"/>
                <w:position w:val="0"/>
                <w:sz w:val="24"/>
                <w:szCs w:val="22"/>
                <w:lang w:val="en-US" w:eastAsia="zh-CN" w:bidi="ar-SA"/>
              </w:rPr>
              <w:t>6、</w:t>
            </w:r>
            <w:r>
              <w:rPr>
                <w:rFonts w:hint="default" w:ascii="Times New Roman" w:hAnsi="Times New Roman" w:eastAsia="宋体" w:cs="Times New Roman"/>
                <w:b/>
                <w:bCs/>
                <w:color w:val="auto"/>
                <w:spacing w:val="11"/>
                <w:kern w:val="2"/>
                <w:position w:val="0"/>
                <w:sz w:val="24"/>
                <w:szCs w:val="22"/>
                <w:lang w:val="en-US" w:eastAsia="zh-CN" w:bidi="ar-SA"/>
              </w:rPr>
              <w:t>电磁辐射</w:t>
            </w:r>
          </w:p>
          <w:p w14:paraId="2AEDFF76">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本项目不涉及电磁辐射设备，不进行电磁辐射影响评价，因此无需进行电磁辐射环境现状调查。</w:t>
            </w:r>
          </w:p>
          <w:p w14:paraId="67688C88">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u w:val="single" w:color="auto"/>
                <w:lang w:val="en-US" w:eastAsia="zh-CN" w:bidi="ar-SA"/>
              </w:rPr>
            </w:pPr>
            <w:r>
              <w:rPr>
                <w:rFonts w:hint="eastAsia" w:ascii="Times New Roman" w:hAnsi="Times New Roman" w:eastAsia="宋体" w:cs="Times New Roman"/>
                <w:b/>
                <w:bCs/>
                <w:color w:val="auto"/>
                <w:spacing w:val="11"/>
                <w:kern w:val="2"/>
                <w:position w:val="0"/>
                <w:sz w:val="24"/>
                <w:szCs w:val="22"/>
                <w:u w:val="single" w:color="auto"/>
                <w:lang w:val="en-US" w:eastAsia="zh-CN" w:bidi="ar-SA"/>
              </w:rPr>
              <w:t>7</w:t>
            </w:r>
            <w:r>
              <w:rPr>
                <w:rFonts w:hint="default" w:ascii="Times New Roman" w:hAnsi="Times New Roman" w:eastAsia="宋体" w:cs="Times New Roman"/>
                <w:b/>
                <w:bCs/>
                <w:color w:val="auto"/>
                <w:spacing w:val="11"/>
                <w:kern w:val="2"/>
                <w:position w:val="0"/>
                <w:sz w:val="24"/>
                <w:szCs w:val="22"/>
                <w:u w:val="single" w:color="auto"/>
                <w:lang w:val="en-US" w:eastAsia="zh-CN" w:bidi="ar-SA"/>
              </w:rPr>
              <w:t>、生态环境质量现状</w:t>
            </w:r>
            <w:bookmarkEnd w:id="5"/>
          </w:p>
          <w:bookmarkEnd w:id="6"/>
          <w:p w14:paraId="51BA274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（1）主体功能区划和生态功能区划情况</w:t>
            </w:r>
          </w:p>
          <w:p w14:paraId="19373C7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全国主体功能区规划》，将国土空间划分为优化开发、重点开发、限制开发和禁止开发四类。《湖南省主体功能区规划》在对全省国土空间进行综合评价的基础上，以是否适宜或如何进行大规模高强度工业化城镇化为基础，以县级行政区为基本单元，按开发内容分为城市化地区、农产品主产区和重点生态功能区，按开发方式和强度分为重点开发区域、限制开发区域和禁止开发区域。</w:t>
            </w:r>
          </w:p>
          <w:p w14:paraId="0B0679C6">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新田县的功能定位属于重点生态功能区，重点生态功能区是指生态系统十分重要，关系到国家或省内较大范围的生态安全，资源环境承载能力较弱、大规模集聚经济和人口条件不够好，需要在国土空间开发中限制进行大规模高强度工业化城镇化开发，以保持并提高生态产品供给能力的区域。为限制开发区域，发展方向为涵养水源、保持水土、调蓄洪水、维护生物多样性，在不损害生态功能的前提下，因地制宜发展适度资源开采、农林产品生产加工等资源环境可承载的适宜产业，积极发展第三产业。严格限制高污染、高能耗、高物耗产业，淘汰污染环境、破坏生态、浪费资源的产业；合理布局城镇和产业园区，把城镇建设和工业开发严格限制在资源环境能够承受的特定区域，加大已有产业园区的提升改造。</w:t>
            </w:r>
          </w:p>
          <w:p w14:paraId="3B33544C">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本项目为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建筑石料</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开采项目，不属于大规模高强度工业化城镇化开发项目，不属于高污染、高能耗、高物耗产业，本项目建设与主体功能区规划要求不冲突。</w:t>
            </w:r>
          </w:p>
          <w:p w14:paraId="1A45AB85">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（2）区域土地利用现状</w:t>
            </w:r>
          </w:p>
          <w:p w14:paraId="08C375CA">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项目用地总面0.</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1018</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km</w:t>
            </w:r>
            <w:r>
              <w:rPr>
                <w:rFonts w:hint="default" w:ascii="Times New Roman" w:hAnsi="Times New Roman" w:eastAsia="宋体" w:cs="Times New Roman"/>
                <w:b w:val="0"/>
                <w:bCs w:val="0"/>
                <w:color w:val="000000"/>
                <w:spacing w:val="11"/>
                <w:position w:val="0"/>
                <w:sz w:val="24"/>
                <w:szCs w:val="24"/>
                <w:highlight w:val="none"/>
                <w:u w:val="single" w:color="auto"/>
                <w:vertAlign w:val="superscript"/>
                <w:lang w:val="en-US" w:eastAsia="zh-CN"/>
              </w:rPr>
              <w:t>2</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auto"/>
                <w:spacing w:val="11"/>
                <w:position w:val="0"/>
                <w:sz w:val="24"/>
                <w:szCs w:val="22"/>
                <w:u w:val="single" w:color="auto"/>
                <w:lang w:val="en-US" w:eastAsia="zh-CN"/>
              </w:rPr>
              <w:t>拟设采矿权范围内有林地0.022km</w:t>
            </w:r>
            <w:r>
              <w:rPr>
                <w:rFonts w:hint="default" w:ascii="Times New Roman" w:hAnsi="Times New Roman" w:eastAsia="宋体" w:cs="Times New Roman"/>
                <w:color w:val="auto"/>
                <w:spacing w:val="11"/>
                <w:position w:val="0"/>
                <w:sz w:val="24"/>
                <w:szCs w:val="22"/>
                <w:u w:val="single" w:color="auto"/>
                <w:vertAlign w:val="superscript"/>
                <w:lang w:val="en-US" w:eastAsia="zh-CN"/>
              </w:rPr>
              <w:t>2</w:t>
            </w:r>
            <w:r>
              <w:rPr>
                <w:rFonts w:hint="default" w:ascii="Times New Roman" w:hAnsi="Times New Roman" w:eastAsia="宋体" w:cs="Times New Roman"/>
                <w:color w:val="auto"/>
                <w:spacing w:val="11"/>
                <w:position w:val="0"/>
                <w:sz w:val="24"/>
                <w:szCs w:val="22"/>
                <w:u w:val="single" w:color="auto"/>
                <w:lang w:val="en-US" w:eastAsia="zh-CN"/>
              </w:rPr>
              <w:t>，在开采前，应按林业部门有关要求办理好相关手续</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p>
          <w:p w14:paraId="6B35F458">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（3）植物现状</w:t>
            </w:r>
          </w:p>
          <w:p w14:paraId="0811E67E">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位于湖南省永州市新田县龙泉街道周家洞村，属亚热带季风湿润气候，根据《中国植被》划分系统，项目所在地带为中亚热带常绿阔叶林北部亚，植被主要是常绿阔叶林、常绿针叶林和竹林，在山地上部和石灰岩山地为落叶阔叶-常绿阔叶混交林。</w:t>
            </w:r>
          </w:p>
          <w:p w14:paraId="623116F9">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现场勘查，场址周边因自然植被受人为活动干扰较重，地带性原生植被现存量较少，现状植被主要为次生灌木草丛为主，零星分布有少量乔木，矿区的植被绿化以桂花树、柏树为主，但其它植被也较为丰富。现场调查主要常见的林木有：杉木、马尾松、樟树、桂花、构树、油茶、杜英、春杜鹃、月月桂、红继木等，常见的灌草类植物有：毛竹、狗尾草、高羊茅、裂叶月见草、小蓬草、蕨灌草、苍耳草等，本项目占地范围内未见重点保护植物分布。</w:t>
            </w:r>
          </w:p>
          <w:p w14:paraId="0F4D72CF">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（4）动物现状</w:t>
            </w:r>
          </w:p>
          <w:p w14:paraId="30A9BFD4">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采取调研（《湖南野生动物》、《湖南陆栖脊椎动物分布名录》等资料、走访调查和现场踏勘等多种方法对沿线野生动物进行调查，重点对列入国家及地方野生保护名录动物及其生境进行调查。走访调查主要针对当地生境良好区域附近熟悉当地野生动物情况的本地居民。</w:t>
            </w:r>
          </w:p>
          <w:p w14:paraId="7D74DAE1">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现场勘查，评价范围内未发现有重要野生动物或鸟类的栖息或繁殖地，亦未发现有珍稀濒危野生动物或鸟类分布。由于人类开垦和密集的生产生活活动的深刻影响，可见的陆生动物主要为家庭喂养的禽畜，野生动物以蛙类、蛇类、雀形目鸟类和小型兽类为主，其它动物资源及生态分布相对贫乏。根据现场调查时走访，一般常见的野生动物兽类仅有鼠、蛙、蛇、鸟类常见，家畜家禽饲养猪、牛、羊、马、犬及鸡、鸭、鹅等；水生动物常见水虾、蚌壳、田螺、蛙类，鱼类则以四大家鱼为主。由于矿区人类活动频繁，野生动物罕见，矿区未见国家重点保护的野生动物物种，矿山范围界线不涉及河流和滩涂，不涉及鱼类三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鱼类产卵场、索饵场、越冬场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p>
          <w:p w14:paraId="53C5FC5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（5）</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生态环境现状结论</w:t>
            </w:r>
          </w:p>
          <w:p w14:paraId="3CDFE8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工程建设区域现状以农村环境为主</w:t>
            </w:r>
            <w:r>
              <w:rPr>
                <w:rFonts w:hint="eastAsia" w:cs="Times New Roman"/>
                <w:b w:val="0"/>
                <w:bCs w:val="0"/>
                <w:color w:val="000000"/>
                <w:spacing w:val="11"/>
                <w:position w:val="0"/>
                <w:sz w:val="24"/>
                <w:szCs w:val="24"/>
                <w:highlight w:val="none"/>
                <w:u w:val="single" w:color="auto"/>
                <w:lang w:val="en-US" w:eastAsia="zh-CN"/>
              </w:rPr>
              <w:t>，项目东北面为塘下水库，该水库不属于饮用水水源保护区</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，项目区域内未发现珍稀植物物种和古树，野生珍稀濒危动物种类，无风景名胜区、自然保护区、森林公园、</w:t>
            </w:r>
            <w:r>
              <w:rPr>
                <w:rFonts w:hint="default" w:ascii="Times New Roman" w:hAnsi="Times New Roman" w:eastAsia="宋体" w:cs="Times New Roman"/>
                <w:color w:val="auto"/>
                <w:spacing w:val="11"/>
                <w:kern w:val="0"/>
                <w:position w:val="0"/>
                <w:sz w:val="24"/>
                <w:szCs w:val="24"/>
                <w:u w:val="single" w:color="auto"/>
                <w:lang w:val="en-US" w:eastAsia="zh-CN" w:bidi="ar"/>
              </w:rPr>
              <w:t>世界文化和自然遗产等需要特殊保护的生态敏感区，无森林公园、地质公园、重要湿地等重要生态敏感区等特殊环境敏感目标。植被类型主要为灌木、杂草，植被覆盖率较高；由于人类活动的影响较大，该区动物种类及数量较少，并未发现珍稀动物、植物，区域内也没有发现大型野生动物，仅有如蛇类、鸟类，鼠类等小型动物出没。</w:t>
            </w:r>
            <w:r>
              <w:rPr>
                <w:rFonts w:hint="default" w:ascii="Times New Roman" w:hAnsi="Times New Roman" w:eastAsia="宋体" w:cs="Times New Roman"/>
                <w:color w:val="000000"/>
                <w:spacing w:val="11"/>
                <w:kern w:val="0"/>
                <w:position w:val="0"/>
                <w:sz w:val="24"/>
                <w:szCs w:val="24"/>
                <w:u w:val="single" w:color="auto"/>
                <w:lang w:val="en-US" w:eastAsia="zh-CN"/>
              </w:rPr>
              <w:t>生态</w:t>
            </w:r>
            <w:r>
              <w:rPr>
                <w:rFonts w:hint="default" w:ascii="Times New Roman" w:hAnsi="Times New Roman" w:eastAsia="宋体" w:cs="Times New Roman"/>
                <w:b w:val="0"/>
                <w:bCs w:val="0"/>
                <w:color w:val="000000"/>
                <w:spacing w:val="11"/>
                <w:kern w:val="0"/>
                <w:position w:val="0"/>
                <w:sz w:val="24"/>
                <w:szCs w:val="24"/>
                <w:u w:val="single" w:color="auto"/>
                <w:lang w:val="en-US" w:eastAsia="zh-CN"/>
              </w:rPr>
              <w:t>环境质量一般</w:t>
            </w:r>
            <w:r>
              <w:rPr>
                <w:rFonts w:hint="default" w:ascii="Times New Roman" w:hAnsi="Times New Roman" w:eastAsia="宋体" w:cs="Times New Roman"/>
                <w:b w:val="0"/>
                <w:bCs w:val="0"/>
                <w:color w:val="000000"/>
                <w:spacing w:val="11"/>
                <w:kern w:val="0"/>
                <w:position w:val="0"/>
                <w:sz w:val="24"/>
                <w:szCs w:val="24"/>
                <w:u w:val="single" w:color="auto"/>
              </w:rPr>
              <w:t>。</w:t>
            </w:r>
          </w:p>
        </w:tc>
      </w:tr>
      <w:tr w14:paraId="55B22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14:paraId="3A2ABD7E">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Cs/>
                <w:color w:val="auto"/>
                <w:spacing w:val="11"/>
                <w:position w:val="0"/>
                <w:sz w:val="24"/>
                <w:szCs w:val="24"/>
              </w:rPr>
              <w:t>与项目有关的原有环境污染和生态破坏问题</w:t>
            </w:r>
          </w:p>
        </w:tc>
        <w:tc>
          <w:tcPr>
            <w:tcW w:w="8213" w:type="dxa"/>
            <w:tcBorders>
              <w:tl2br w:val="nil"/>
              <w:tr2bl w:val="nil"/>
            </w:tcBorders>
            <w:noWrap w:val="0"/>
            <w:vAlign w:val="center"/>
          </w:tcPr>
          <w:p w14:paraId="404F506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eastAsia="zh-CN"/>
              </w:rPr>
            </w:pPr>
            <w:r>
              <w:rPr>
                <w:rFonts w:hint="default" w:ascii="Times New Roman" w:hAnsi="Times New Roman" w:eastAsia="宋体" w:cs="Times New Roman"/>
                <w:b/>
                <w:bCs/>
                <w:color w:val="auto"/>
                <w:spacing w:val="11"/>
                <w:kern w:val="0"/>
                <w:position w:val="0"/>
                <w:sz w:val="24"/>
                <w:szCs w:val="24"/>
                <w:lang w:val="en-US" w:eastAsia="zh-CN"/>
              </w:rPr>
              <w:t>1、现有工程概况</w:t>
            </w:r>
          </w:p>
          <w:p w14:paraId="4744D0A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2016年底，新田县国土局将龙泉矿区振新建筑石料用灰岩矿挂牌拍卖，新田县振新建材有限公司拍得标的，并于2017年6月获得采矿权许可证，证号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C4311282017057130144435，有效期至2022年6月2日，矿山面积0.0948km</w:t>
            </w:r>
            <w:r>
              <w:rPr>
                <w:rFonts w:hint="eastAsia" w:cs="Times New Roman"/>
                <w:color w:val="auto"/>
                <w:spacing w:val="11"/>
                <w:kern w:val="0"/>
                <w:position w:val="0"/>
                <w:sz w:val="24"/>
                <w:szCs w:val="24"/>
                <w:vertAlign w:val="superscript"/>
                <w:lang w:val="en-US" w:eastAsia="zh-CN"/>
              </w:rPr>
              <w:t>2</w:t>
            </w:r>
            <w:r>
              <w:rPr>
                <w:rFonts w:hint="default" w:ascii="Times New Roman" w:hAnsi="Times New Roman" w:eastAsia="宋体" w:cs="Times New Roman"/>
                <w:color w:val="auto"/>
                <w:spacing w:val="11"/>
                <w:kern w:val="0"/>
                <w:position w:val="0"/>
                <w:sz w:val="24"/>
                <w:szCs w:val="24"/>
                <w:lang w:val="en-US" w:eastAsia="zh-CN"/>
              </w:rPr>
              <w:t>，中心地理坐标</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东经112°08'26"~112°08'35"，北纬25°55'29"~25°55'39"，准采标高+340m至+300m，核定生产能力30万吨。矿山设计露天开采，台阶式采矿，公路-汽车运输方案。</w:t>
            </w:r>
          </w:p>
          <w:p w14:paraId="33FF8CD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新田县振新建材有限公司于2017年11月，委托湖南美景环保科技咨询服务有限公司编制完成了《新田县振新建材有限公司建筑石料用灰岩矿建设项目环境影响报告表》，并于2017年12月5日通过了原永州市环境保护局的审批</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文件号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永环评(2017)185号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202</w:t>
            </w:r>
            <w:r>
              <w:rPr>
                <w:rFonts w:hint="eastAsia" w:cs="Times New Roman"/>
                <w:color w:val="auto"/>
                <w:spacing w:val="11"/>
                <w:kern w:val="0"/>
                <w:position w:val="0"/>
                <w:sz w:val="24"/>
                <w:szCs w:val="24"/>
                <w:lang w:val="en-US" w:eastAsia="zh-CN"/>
              </w:rPr>
              <w:t>0</w:t>
            </w:r>
            <w:r>
              <w:rPr>
                <w:rFonts w:hint="default" w:ascii="Times New Roman" w:hAnsi="Times New Roman" w:eastAsia="宋体" w:cs="Times New Roman"/>
                <w:color w:val="auto"/>
                <w:spacing w:val="11"/>
                <w:kern w:val="0"/>
                <w:position w:val="0"/>
                <w:sz w:val="24"/>
                <w:szCs w:val="24"/>
                <w:lang w:val="en-US" w:eastAsia="zh-CN"/>
              </w:rPr>
              <w:t>年</w:t>
            </w:r>
            <w:r>
              <w:rPr>
                <w:rFonts w:hint="eastAsia" w:cs="Times New Roman"/>
                <w:color w:val="auto"/>
                <w:spacing w:val="11"/>
                <w:kern w:val="0"/>
                <w:position w:val="0"/>
                <w:sz w:val="24"/>
                <w:szCs w:val="24"/>
                <w:lang w:val="en-US" w:eastAsia="zh-CN"/>
              </w:rPr>
              <w:t>7</w:t>
            </w:r>
            <w:r>
              <w:rPr>
                <w:rFonts w:hint="default" w:ascii="Times New Roman" w:hAnsi="Times New Roman" w:eastAsia="宋体" w:cs="Times New Roman"/>
                <w:color w:val="auto"/>
                <w:spacing w:val="11"/>
                <w:kern w:val="0"/>
                <w:position w:val="0"/>
                <w:sz w:val="24"/>
                <w:szCs w:val="24"/>
                <w:lang w:val="en-US" w:eastAsia="zh-CN"/>
              </w:rPr>
              <w:t>月开展项目竣工环境保护自主验收工作，并编制《新田县振新建材有限公司建筑石料用灰岩矿建设项目竣工环境保护验收报告》。</w:t>
            </w:r>
          </w:p>
          <w:p w14:paraId="5F7C7E7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新田县振新建材有限公司于202</w:t>
            </w:r>
            <w:r>
              <w:rPr>
                <w:rFonts w:hint="eastAsia" w:cs="Times New Roman"/>
                <w:color w:val="auto"/>
                <w:spacing w:val="11"/>
                <w:kern w:val="0"/>
                <w:position w:val="0"/>
                <w:sz w:val="24"/>
                <w:szCs w:val="24"/>
                <w:lang w:val="en-US" w:eastAsia="zh-CN"/>
              </w:rPr>
              <w:t>0</w:t>
            </w:r>
            <w:r>
              <w:rPr>
                <w:rFonts w:hint="default" w:ascii="Times New Roman" w:hAnsi="Times New Roman" w:eastAsia="宋体" w:cs="Times New Roman"/>
                <w:color w:val="auto"/>
                <w:spacing w:val="11"/>
                <w:kern w:val="0"/>
                <w:position w:val="0"/>
                <w:sz w:val="24"/>
                <w:szCs w:val="24"/>
                <w:lang w:val="en-US" w:eastAsia="zh-CN"/>
              </w:rPr>
              <w:t>年</w:t>
            </w:r>
            <w:r>
              <w:rPr>
                <w:rFonts w:hint="eastAsia" w:cs="Times New Roman"/>
                <w:color w:val="auto"/>
                <w:spacing w:val="11"/>
                <w:kern w:val="0"/>
                <w:position w:val="0"/>
                <w:sz w:val="24"/>
                <w:szCs w:val="24"/>
                <w:lang w:val="en-US" w:eastAsia="zh-CN"/>
              </w:rPr>
              <w:t>4</w:t>
            </w:r>
            <w:r>
              <w:rPr>
                <w:rFonts w:hint="default" w:ascii="Times New Roman" w:hAnsi="Times New Roman" w:eastAsia="宋体" w:cs="Times New Roman"/>
                <w:color w:val="auto"/>
                <w:spacing w:val="11"/>
                <w:kern w:val="0"/>
                <w:position w:val="0"/>
                <w:sz w:val="24"/>
                <w:szCs w:val="24"/>
                <w:lang w:val="en-US" w:eastAsia="zh-CN"/>
              </w:rPr>
              <w:t>月办理排污登记管理，登记编号：91431128MA4M1QFW81001W。</w:t>
            </w:r>
          </w:p>
          <w:p w14:paraId="4581E9D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w:t>
            </w:r>
            <w:r>
              <w:rPr>
                <w:rFonts w:hint="eastAsia" w:cs="Times New Roman"/>
                <w:color w:val="auto"/>
                <w:spacing w:val="11"/>
                <w:kern w:val="0"/>
                <w:position w:val="0"/>
                <w:sz w:val="24"/>
                <w:szCs w:val="24"/>
                <w:lang w:val="en-US" w:eastAsia="zh-CN"/>
              </w:rPr>
              <w:t>目前</w:t>
            </w:r>
            <w:r>
              <w:rPr>
                <w:rFonts w:hint="default" w:ascii="Times New Roman" w:hAnsi="Times New Roman" w:eastAsia="宋体" w:cs="Times New Roman"/>
                <w:color w:val="auto"/>
                <w:spacing w:val="11"/>
                <w:kern w:val="0"/>
                <w:position w:val="0"/>
                <w:sz w:val="24"/>
                <w:szCs w:val="24"/>
                <w:lang w:val="en-US" w:eastAsia="zh-CN"/>
              </w:rPr>
              <w:t>因采矿证到期等因素停止生产，新田县振新建材有限公司自2022年6月起至今一直处于停产状态。</w:t>
            </w:r>
          </w:p>
          <w:p w14:paraId="45DDA33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p>
          <w:p w14:paraId="5EFE286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p w14:paraId="536480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eastAsia="zh-CN"/>
              </w:rPr>
            </w:pPr>
            <w:r>
              <w:rPr>
                <w:rFonts w:hint="eastAsia" w:cs="Times New Roman"/>
                <w:b/>
                <w:bCs/>
                <w:color w:val="auto"/>
                <w:spacing w:val="11"/>
                <w:kern w:val="0"/>
                <w:position w:val="0"/>
                <w:sz w:val="24"/>
                <w:szCs w:val="24"/>
                <w:lang w:val="en-US" w:eastAsia="zh-CN" w:bidi="ar-SA"/>
              </w:rPr>
              <w:t>2</w:t>
            </w:r>
            <w:r>
              <w:rPr>
                <w:rFonts w:hint="default" w:ascii="Times New Roman" w:hAnsi="Times New Roman" w:eastAsia="宋体" w:cs="Times New Roman"/>
                <w:b/>
                <w:bCs/>
                <w:color w:val="auto"/>
                <w:spacing w:val="11"/>
                <w:kern w:val="0"/>
                <w:position w:val="0"/>
                <w:sz w:val="24"/>
                <w:szCs w:val="24"/>
                <w:lang w:val="en-US" w:eastAsia="zh-CN" w:bidi="ar-SA"/>
              </w:rPr>
              <w:t>、</w:t>
            </w:r>
            <w:r>
              <w:rPr>
                <w:rFonts w:hint="default" w:ascii="Times New Roman" w:hAnsi="Times New Roman" w:eastAsia="宋体" w:cs="Times New Roman"/>
                <w:b/>
                <w:bCs/>
                <w:color w:val="auto"/>
                <w:spacing w:val="11"/>
                <w:kern w:val="0"/>
                <w:position w:val="0"/>
                <w:sz w:val="24"/>
                <w:szCs w:val="24"/>
                <w:lang w:val="en-US" w:eastAsia="zh-CN"/>
              </w:rPr>
              <w:t>现有工程生产工艺及产污环节</w:t>
            </w:r>
            <w:r>
              <w:rPr>
                <w:rFonts w:hint="eastAsia" w:cs="Times New Roman"/>
                <w:b/>
                <w:bCs/>
                <w:color w:val="auto"/>
                <w:spacing w:val="11"/>
                <w:kern w:val="0"/>
                <w:position w:val="0"/>
                <w:sz w:val="24"/>
                <w:szCs w:val="24"/>
                <w:lang w:val="en-US" w:eastAsia="zh-CN"/>
              </w:rPr>
              <w:t xml:space="preserve"> </w:t>
            </w:r>
          </w:p>
          <w:p w14:paraId="0DF23E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lang w:val="en-US"/>
              </w:rPr>
              <w:drawing>
                <wp:inline distT="0" distB="0" distL="114300" distR="114300">
                  <wp:extent cx="5048250" cy="3905250"/>
                  <wp:effectExtent l="0" t="0" r="11430" b="1143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48250" cy="3905250"/>
                          </a:xfrm>
                          <a:prstGeom prst="rect">
                            <a:avLst/>
                          </a:prstGeom>
                          <a:noFill/>
                          <a:ln>
                            <a:noFill/>
                          </a:ln>
                        </pic:spPr>
                      </pic:pic>
                    </a:graphicData>
                  </a:graphic>
                </wp:inline>
              </w:drawing>
            </w:r>
          </w:p>
          <w:p w14:paraId="3248501F">
            <w:pPr>
              <w:keepNext w:val="0"/>
              <w:keepLines w:val="0"/>
              <w:widowControl/>
              <w:suppressLineNumbers w:val="0"/>
              <w:spacing w:line="360" w:lineRule="auto"/>
              <w:jc w:val="center"/>
              <w:rPr>
                <w:spacing w:val="11"/>
                <w:position w:val="0"/>
                <w:sz w:val="21"/>
                <w:szCs w:val="21"/>
              </w:rPr>
            </w:pPr>
            <w:r>
              <w:rPr>
                <w:rFonts w:hint="eastAsia" w:ascii="宋体" w:hAnsi="宋体" w:eastAsia="宋体" w:cs="宋体"/>
                <w:b/>
                <w:bCs/>
                <w:color w:val="000000"/>
                <w:spacing w:val="11"/>
                <w:kern w:val="0"/>
                <w:position w:val="0"/>
                <w:sz w:val="21"/>
                <w:szCs w:val="21"/>
                <w:lang w:val="en-US" w:eastAsia="zh-CN" w:bidi="ar"/>
              </w:rPr>
              <w:t>图</w:t>
            </w:r>
            <w:r>
              <w:rPr>
                <w:rFonts w:hint="default" w:ascii="Times New Roman" w:hAnsi="Times New Roman" w:eastAsia="宋体" w:cs="Times New Roman"/>
                <w:b/>
                <w:bCs/>
                <w:color w:val="000000"/>
                <w:spacing w:val="11"/>
                <w:kern w:val="0"/>
                <w:position w:val="0"/>
                <w:sz w:val="21"/>
                <w:szCs w:val="21"/>
                <w:lang w:val="en-US" w:eastAsia="zh-CN" w:bidi="ar"/>
              </w:rPr>
              <w:t xml:space="preserve">3-2 </w:t>
            </w:r>
            <w:r>
              <w:rPr>
                <w:rFonts w:hint="eastAsia" w:ascii="宋体" w:hAnsi="宋体" w:eastAsia="宋体" w:cs="宋体"/>
                <w:b/>
                <w:bCs/>
                <w:color w:val="000000"/>
                <w:spacing w:val="11"/>
                <w:kern w:val="0"/>
                <w:position w:val="0"/>
                <w:sz w:val="21"/>
                <w:szCs w:val="21"/>
                <w:lang w:val="en-US" w:eastAsia="zh-CN" w:bidi="ar"/>
              </w:rPr>
              <w:t>生产工艺流程及产污节点图</w:t>
            </w:r>
          </w:p>
          <w:p w14:paraId="25184958">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rPr>
            </w:pPr>
            <w:r>
              <w:rPr>
                <w:rFonts w:hint="default" w:ascii="Times New Roman" w:hAnsi="Times New Roman" w:eastAsia="宋体" w:cs="Times New Roman"/>
                <w:b/>
                <w:bCs/>
                <w:color w:val="auto"/>
                <w:spacing w:val="11"/>
                <w:kern w:val="0"/>
                <w:position w:val="0"/>
                <w:sz w:val="24"/>
                <w:szCs w:val="24"/>
                <w:lang w:val="en-US" w:eastAsia="zh-CN"/>
              </w:rPr>
              <w:t xml:space="preserve">3、现有工程污染源分析 </w:t>
            </w:r>
          </w:p>
          <w:p w14:paraId="0DC26E8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（1）废水</w:t>
            </w:r>
          </w:p>
          <w:p w14:paraId="3DE4A9E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根据现有工程竣工环境保护自主验收报告，现有工程生产期间不直接产生生产废水，本项目设置</w:t>
            </w:r>
            <w:r>
              <w:rPr>
                <w:rFonts w:hint="eastAsia" w:cs="Times New Roman"/>
                <w:color w:val="auto"/>
                <w:spacing w:val="11"/>
                <w:kern w:val="0"/>
                <w:position w:val="0"/>
                <w:sz w:val="24"/>
                <w:szCs w:val="24"/>
                <w:lang w:val="en-US" w:eastAsia="zh-CN"/>
              </w:rPr>
              <w:t>化粪池</w:t>
            </w:r>
            <w:r>
              <w:rPr>
                <w:rFonts w:hint="default" w:ascii="Times New Roman" w:hAnsi="Times New Roman" w:eastAsia="宋体" w:cs="Times New Roman"/>
                <w:color w:val="auto"/>
                <w:spacing w:val="11"/>
                <w:kern w:val="0"/>
                <w:position w:val="0"/>
                <w:sz w:val="24"/>
                <w:szCs w:val="24"/>
                <w:lang w:val="en-US" w:eastAsia="zh-CN"/>
              </w:rPr>
              <w:t>，生活污水随员工入厕污物进入化粪池作为农肥，回用于周边农田。不会对地表水造成影响。本区地层包气带防污性能中等偏弱，正常情况下，矿区废水经沉淀池沉淀后全部回用，不外排。</w:t>
            </w:r>
          </w:p>
          <w:p w14:paraId="7FD2E0C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（2）废气</w:t>
            </w:r>
          </w:p>
          <w:p w14:paraId="7BFA6A2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现有工程采用自带收尘装置的钻机钻孔进行作业，减少粉尘的产生量，在</w:t>
            </w:r>
            <w:r>
              <w:rPr>
                <w:rFonts w:hint="eastAsia" w:eastAsia="宋体" w:cs="Times New Roman"/>
                <w:color w:val="auto"/>
                <w:spacing w:val="11"/>
                <w:kern w:val="0"/>
                <w:position w:val="0"/>
                <w:sz w:val="24"/>
                <w:szCs w:val="24"/>
                <w:lang w:val="en-US" w:eastAsia="zh-CN"/>
              </w:rPr>
              <w:t>爆</w:t>
            </w:r>
            <w:r>
              <w:rPr>
                <w:rFonts w:hint="default" w:ascii="Times New Roman" w:hAnsi="Times New Roman" w:eastAsia="宋体" w:cs="Times New Roman"/>
                <w:color w:val="auto"/>
                <w:spacing w:val="11"/>
                <w:kern w:val="0"/>
                <w:position w:val="0"/>
                <w:sz w:val="24"/>
                <w:szCs w:val="24"/>
                <w:lang w:val="en-US" w:eastAsia="zh-CN"/>
              </w:rPr>
              <w:t>破前采取湿棕垫覆盖，爆破后及时</w:t>
            </w:r>
            <w:r>
              <w:rPr>
                <w:rFonts w:hint="eastAsia" w:eastAsia="宋体" w:cs="Times New Roman"/>
                <w:color w:val="auto"/>
                <w:spacing w:val="11"/>
                <w:kern w:val="0"/>
                <w:position w:val="0"/>
                <w:sz w:val="24"/>
                <w:szCs w:val="24"/>
                <w:lang w:val="en-US" w:eastAsia="zh-CN"/>
              </w:rPr>
              <w:t>洒水</w:t>
            </w:r>
            <w:r>
              <w:rPr>
                <w:rFonts w:hint="default" w:ascii="Times New Roman" w:hAnsi="Times New Roman" w:eastAsia="宋体" w:cs="Times New Roman"/>
                <w:color w:val="auto"/>
                <w:spacing w:val="11"/>
                <w:kern w:val="0"/>
                <w:position w:val="0"/>
                <w:sz w:val="24"/>
                <w:szCs w:val="24"/>
                <w:lang w:val="en-US" w:eastAsia="zh-CN"/>
              </w:rPr>
              <w:t>降尘等措施，可大大减少燥破粉尘产生量，装卸区或采矿平台周围设置临时挡风设施，减小风速。对矿物及时清运，减少其堆放时间。通过控制车速和消扫路面，定期洒水控制运输扬尘产生</w:t>
            </w:r>
            <w:r>
              <w:rPr>
                <w:rFonts w:hint="eastAsia" w:eastAsia="宋体" w:cs="Times New Roman"/>
                <w:color w:val="auto"/>
                <w:spacing w:val="11"/>
                <w:kern w:val="0"/>
                <w:position w:val="0"/>
                <w:sz w:val="24"/>
                <w:szCs w:val="24"/>
                <w:lang w:val="en-US" w:eastAsia="zh-CN"/>
              </w:rPr>
              <w:t>。堆场设为四周围挡的半封闭式结构并进行洒水抑尘</w:t>
            </w:r>
            <w:r>
              <w:rPr>
                <w:rFonts w:hint="default" w:ascii="Times New Roman" w:hAnsi="Times New Roman" w:eastAsia="宋体" w:cs="Times New Roman"/>
                <w:color w:val="auto"/>
                <w:spacing w:val="11"/>
                <w:kern w:val="0"/>
                <w:position w:val="0"/>
                <w:sz w:val="24"/>
                <w:szCs w:val="24"/>
                <w:lang w:val="en-US" w:eastAsia="zh-CN"/>
              </w:rPr>
              <w:t>。设置破碎、筛分车间</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除进出料口不封闭外，其余部分均封闭</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，破碎、筛分车间各破碎机、筛分机均设置集气罩，经管道引至车间布袋除尘装置除尘处理后</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排气量为20000m</w:t>
            </w:r>
            <w:r>
              <w:rPr>
                <w:rFonts w:hint="eastAsia" w:eastAsia="宋体" w:cs="Times New Roman"/>
                <w:color w:val="auto"/>
                <w:spacing w:val="11"/>
                <w:kern w:val="0"/>
                <w:position w:val="0"/>
                <w:sz w:val="24"/>
                <w:szCs w:val="24"/>
                <w:vertAlign w:val="superscript"/>
                <w:lang w:val="en-US" w:eastAsia="zh-CN"/>
              </w:rPr>
              <w:t>3</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h</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除尘效率可达99%以上</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通过15m排气简高空排放。在胶带运输系统及下料口设置自动喷淋系统进行</w:t>
            </w:r>
            <w:r>
              <w:rPr>
                <w:rFonts w:hint="eastAsia" w:eastAsia="宋体" w:cs="Times New Roman"/>
                <w:color w:val="auto"/>
                <w:spacing w:val="11"/>
                <w:kern w:val="0"/>
                <w:position w:val="0"/>
                <w:sz w:val="24"/>
                <w:szCs w:val="24"/>
                <w:lang w:val="en-US" w:eastAsia="zh-CN"/>
              </w:rPr>
              <w:t>喷淋洒水</w:t>
            </w:r>
            <w:r>
              <w:rPr>
                <w:rFonts w:hint="default" w:ascii="Times New Roman" w:hAnsi="Times New Roman" w:eastAsia="宋体" w:cs="Times New Roman"/>
                <w:color w:val="auto"/>
                <w:spacing w:val="11"/>
                <w:kern w:val="0"/>
                <w:position w:val="0"/>
                <w:sz w:val="24"/>
                <w:szCs w:val="24"/>
                <w:lang w:val="en-US" w:eastAsia="zh-CN"/>
              </w:rPr>
              <w:t>降尘。</w:t>
            </w:r>
          </w:p>
          <w:p w14:paraId="72E8016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根据现有工程竣工环境保护自主验收报告，验收监测期间废气监测结果见表</w:t>
            </w:r>
            <w:r>
              <w:rPr>
                <w:rFonts w:hint="eastAsia" w:cs="Times New Roman"/>
                <w:color w:val="auto"/>
                <w:spacing w:val="11"/>
                <w:kern w:val="0"/>
                <w:position w:val="0"/>
                <w:sz w:val="24"/>
                <w:szCs w:val="24"/>
                <w:lang w:val="en-US" w:eastAsia="zh-CN"/>
              </w:rPr>
              <w:t>3-4</w:t>
            </w:r>
            <w:r>
              <w:rPr>
                <w:rFonts w:hint="default" w:ascii="Times New Roman" w:hAnsi="Times New Roman" w:eastAsia="宋体" w:cs="Times New Roman"/>
                <w:color w:val="auto"/>
                <w:spacing w:val="11"/>
                <w:kern w:val="0"/>
                <w:position w:val="0"/>
                <w:sz w:val="24"/>
                <w:szCs w:val="24"/>
                <w:lang w:val="en-US" w:eastAsia="zh-CN"/>
              </w:rPr>
              <w:t>、表</w:t>
            </w:r>
            <w:r>
              <w:rPr>
                <w:rFonts w:hint="eastAsia" w:cs="Times New Roman"/>
                <w:color w:val="auto"/>
                <w:spacing w:val="11"/>
                <w:kern w:val="0"/>
                <w:position w:val="0"/>
                <w:sz w:val="24"/>
                <w:szCs w:val="24"/>
                <w:lang w:val="en-US" w:eastAsia="zh-CN"/>
              </w:rPr>
              <w:t>3-5</w:t>
            </w:r>
            <w:r>
              <w:rPr>
                <w:rFonts w:hint="default" w:ascii="Times New Roman" w:hAnsi="Times New Roman"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C00000"/>
                <w:spacing w:val="11"/>
                <w:kern w:val="0"/>
                <w:position w:val="0"/>
                <w:sz w:val="24"/>
                <w:szCs w:val="24"/>
                <w:lang w:val="en-US" w:eastAsia="zh-CN"/>
              </w:rPr>
              <w:t>现有工程有组织</w:t>
            </w:r>
            <w:r>
              <w:rPr>
                <w:rFonts w:hint="eastAsia" w:cs="Times New Roman"/>
                <w:color w:val="C00000"/>
                <w:spacing w:val="11"/>
                <w:kern w:val="0"/>
                <w:position w:val="0"/>
                <w:sz w:val="24"/>
                <w:szCs w:val="24"/>
                <w:lang w:val="en-US" w:eastAsia="zh-CN"/>
              </w:rPr>
              <w:t>、无组织</w:t>
            </w:r>
            <w:r>
              <w:rPr>
                <w:rFonts w:hint="default" w:ascii="Times New Roman" w:hAnsi="Times New Roman" w:eastAsia="宋体" w:cs="Times New Roman"/>
                <w:color w:val="C00000"/>
                <w:spacing w:val="11"/>
                <w:kern w:val="0"/>
                <w:position w:val="0"/>
                <w:sz w:val="24"/>
                <w:szCs w:val="24"/>
                <w:lang w:val="en-US" w:eastAsia="zh-CN"/>
              </w:rPr>
              <w:t>颗粒物排放浓度满足《大气污染物综合排放标准》(GB16297-1996)中表2</w:t>
            </w:r>
            <w:r>
              <w:rPr>
                <w:rFonts w:hint="eastAsia" w:cs="Times New Roman"/>
                <w:color w:val="C00000"/>
                <w:spacing w:val="11"/>
                <w:kern w:val="0"/>
                <w:position w:val="0"/>
                <w:sz w:val="24"/>
                <w:szCs w:val="24"/>
                <w:lang w:val="en-US" w:eastAsia="zh-CN"/>
              </w:rPr>
              <w:t>中相关限值要求</w:t>
            </w:r>
            <w:r>
              <w:rPr>
                <w:rFonts w:hint="default" w:ascii="Times New Roman" w:hAnsi="Times New Roman" w:eastAsia="宋体" w:cs="Times New Roman"/>
                <w:color w:val="C00000"/>
                <w:spacing w:val="11"/>
                <w:kern w:val="0"/>
                <w:position w:val="0"/>
                <w:sz w:val="24"/>
                <w:szCs w:val="24"/>
                <w:lang w:val="en-US" w:eastAsia="zh-CN"/>
              </w:rPr>
              <w:t>。</w:t>
            </w:r>
          </w:p>
          <w:p w14:paraId="40EB8765">
            <w:pPr>
              <w:adjustRightInd w:val="0"/>
              <w:snapToGrid w:val="0"/>
              <w:spacing w:line="240" w:lineRule="auto"/>
              <w:ind w:firstLine="0" w:firstLineChars="0"/>
              <w:jc w:val="center"/>
              <w:rPr>
                <w:rFonts w:ascii="Times New Roman" w:hAnsi="Times New Roman" w:eastAsia="宋体" w:cs="Times New Roman"/>
                <w:b/>
                <w:spacing w:val="11"/>
                <w:position w:val="0"/>
                <w:sz w:val="21"/>
                <w:szCs w:val="24"/>
              </w:rPr>
            </w:pPr>
            <w:r>
              <w:rPr>
                <w:rFonts w:ascii="Times New Roman" w:hAnsi="Times New Roman" w:eastAsia="宋体" w:cs="Times New Roman"/>
                <w:b/>
                <w:spacing w:val="11"/>
                <w:position w:val="0"/>
                <w:sz w:val="21"/>
                <w:szCs w:val="24"/>
              </w:rPr>
              <w:t>表</w:t>
            </w:r>
            <w:r>
              <w:rPr>
                <w:rFonts w:hint="eastAsia" w:ascii="Times New Roman" w:hAnsi="Times New Roman" w:eastAsia="宋体" w:cs="Times New Roman"/>
                <w:b/>
                <w:spacing w:val="11"/>
                <w:position w:val="0"/>
                <w:sz w:val="21"/>
                <w:szCs w:val="24"/>
                <w:lang w:val="en-US" w:eastAsia="zh-CN"/>
              </w:rPr>
              <w:t>3-</w:t>
            </w:r>
            <w:r>
              <w:rPr>
                <w:rFonts w:hint="eastAsia" w:eastAsia="宋体" w:cs="Times New Roman"/>
                <w:b/>
                <w:spacing w:val="11"/>
                <w:position w:val="0"/>
                <w:sz w:val="21"/>
                <w:szCs w:val="24"/>
                <w:lang w:val="en-US" w:eastAsia="zh-CN"/>
              </w:rPr>
              <w:t>4</w:t>
            </w:r>
            <w:r>
              <w:rPr>
                <w:rFonts w:hint="eastAsia" w:ascii="Times New Roman" w:hAnsi="Times New Roman" w:eastAsia="宋体" w:cs="Times New Roman"/>
                <w:b/>
                <w:spacing w:val="11"/>
                <w:position w:val="0"/>
                <w:sz w:val="21"/>
                <w:szCs w:val="24"/>
              </w:rPr>
              <w:t xml:space="preserve">  </w:t>
            </w:r>
            <w:r>
              <w:rPr>
                <w:rFonts w:hint="eastAsia" w:ascii="Times New Roman" w:hAnsi="Times New Roman" w:eastAsia="宋体" w:cs="Times New Roman"/>
                <w:b/>
                <w:spacing w:val="11"/>
                <w:position w:val="0"/>
                <w:sz w:val="21"/>
                <w:szCs w:val="24"/>
                <w:lang w:val="en-US" w:eastAsia="zh-CN"/>
              </w:rPr>
              <w:t>现有工程无组织废气</w:t>
            </w:r>
            <w:r>
              <w:rPr>
                <w:rFonts w:hint="default" w:ascii="Times New Roman" w:hAnsi="Times New Roman" w:eastAsia="宋体" w:cs="Times New Roman"/>
                <w:b/>
                <w:spacing w:val="11"/>
                <w:position w:val="0"/>
                <w:sz w:val="21"/>
                <w:szCs w:val="24"/>
                <w:lang w:val="en-US" w:eastAsia="zh-CN"/>
              </w:rPr>
              <w:t>检测结果</w:t>
            </w:r>
          </w:p>
          <w:tbl>
            <w:tblPr>
              <w:tblStyle w:val="6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234"/>
              <w:gridCol w:w="1368"/>
              <w:gridCol w:w="943"/>
              <w:gridCol w:w="821"/>
              <w:gridCol w:w="825"/>
              <w:gridCol w:w="821"/>
              <w:gridCol w:w="825"/>
            </w:tblGrid>
            <w:tr w14:paraId="3C04A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restart"/>
                  <w:tcBorders>
                    <w:tl2br w:val="nil"/>
                    <w:tr2bl w:val="nil"/>
                  </w:tcBorders>
                  <w:vAlign w:val="center"/>
                </w:tcPr>
                <w:p w14:paraId="5A475F1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采样</w:t>
                  </w:r>
                  <w:r>
                    <w:rPr>
                      <w:rFonts w:hint="eastAsia" w:eastAsia="宋体" w:cs="Times New Roman"/>
                      <w:bCs/>
                      <w:kern w:val="0"/>
                      <w:sz w:val="21"/>
                      <w:szCs w:val="21"/>
                      <w:highlight w:val="none"/>
                      <w:u w:val="none" w:color="auto"/>
                      <w:lang w:val="en-US" w:eastAsia="zh-CN"/>
                    </w:rPr>
                    <w:t>日期</w:t>
                  </w:r>
                </w:p>
              </w:tc>
              <w:tc>
                <w:tcPr>
                  <w:tcW w:w="772" w:type="pct"/>
                  <w:vMerge w:val="restart"/>
                  <w:tcBorders>
                    <w:tl2br w:val="nil"/>
                    <w:tr2bl w:val="nil"/>
                  </w:tcBorders>
                  <w:vAlign w:val="center"/>
                </w:tcPr>
                <w:p w14:paraId="29F830C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点位</w:t>
                  </w:r>
                  <w:r>
                    <w:rPr>
                      <w:rFonts w:hint="eastAsia" w:eastAsia="宋体" w:cs="Times New Roman"/>
                      <w:bCs/>
                      <w:kern w:val="0"/>
                      <w:sz w:val="21"/>
                      <w:szCs w:val="21"/>
                      <w:highlight w:val="none"/>
                      <w:u w:val="none" w:color="auto"/>
                      <w:lang w:val="en-US" w:eastAsia="zh-CN"/>
                    </w:rPr>
                    <w:t>名称</w:t>
                  </w:r>
                </w:p>
              </w:tc>
              <w:tc>
                <w:tcPr>
                  <w:tcW w:w="856" w:type="pct"/>
                  <w:vMerge w:val="restart"/>
                  <w:tcBorders>
                    <w:tl2br w:val="nil"/>
                    <w:tr2bl w:val="nil"/>
                  </w:tcBorders>
                  <w:vAlign w:val="center"/>
                </w:tcPr>
                <w:p w14:paraId="628A492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检测项目</w:t>
                  </w:r>
                </w:p>
              </w:tc>
              <w:tc>
                <w:tcPr>
                  <w:tcW w:w="1620" w:type="pct"/>
                  <w:gridSpan w:val="3"/>
                  <w:tcBorders>
                    <w:tl2br w:val="nil"/>
                    <w:tr2bl w:val="nil"/>
                  </w:tcBorders>
                  <w:vAlign w:val="center"/>
                </w:tcPr>
                <w:p w14:paraId="424CD1D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检测结果（mg/m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514" w:type="pct"/>
                  <w:vMerge w:val="restart"/>
                  <w:tcBorders>
                    <w:tl2br w:val="nil"/>
                    <w:tr2bl w:val="nil"/>
                  </w:tcBorders>
                  <w:vAlign w:val="center"/>
                </w:tcPr>
                <w:p w14:paraId="0B91A16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标准限值</w:t>
                  </w:r>
                </w:p>
              </w:tc>
              <w:tc>
                <w:tcPr>
                  <w:tcW w:w="514" w:type="pct"/>
                  <w:vMerge w:val="restart"/>
                  <w:tcBorders>
                    <w:tl2br w:val="nil"/>
                    <w:tr2bl w:val="nil"/>
                  </w:tcBorders>
                  <w:vAlign w:val="center"/>
                </w:tcPr>
                <w:p w14:paraId="108CB4E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是否达标</w:t>
                  </w:r>
                </w:p>
              </w:tc>
            </w:tr>
            <w:tr w14:paraId="176B6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14:paraId="51A6174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vMerge w:val="continue"/>
                  <w:tcBorders>
                    <w:tl2br w:val="nil"/>
                    <w:tr2bl w:val="nil"/>
                  </w:tcBorders>
                  <w:vAlign w:val="center"/>
                </w:tcPr>
                <w:p w14:paraId="5C8DD25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856" w:type="pct"/>
                  <w:vMerge w:val="continue"/>
                  <w:tcBorders>
                    <w:tl2br w:val="nil"/>
                    <w:tr2bl w:val="nil"/>
                  </w:tcBorders>
                  <w:vAlign w:val="center"/>
                </w:tcPr>
                <w:p w14:paraId="7A723C2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90" w:type="pct"/>
                  <w:tcBorders>
                    <w:tl2br w:val="nil"/>
                    <w:tr2bl w:val="nil"/>
                  </w:tcBorders>
                  <w:vAlign w:val="center"/>
                </w:tcPr>
                <w:p w14:paraId="0AB198D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Ⅰ</w:t>
                  </w:r>
                </w:p>
              </w:tc>
              <w:tc>
                <w:tcPr>
                  <w:tcW w:w="514" w:type="pct"/>
                  <w:tcBorders>
                    <w:tl2br w:val="nil"/>
                    <w:tr2bl w:val="nil"/>
                  </w:tcBorders>
                  <w:vAlign w:val="center"/>
                </w:tcPr>
                <w:p w14:paraId="1B012B7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Ⅱ</w:t>
                  </w:r>
                </w:p>
              </w:tc>
              <w:tc>
                <w:tcPr>
                  <w:tcW w:w="516" w:type="pct"/>
                  <w:tcBorders>
                    <w:tl2br w:val="nil"/>
                    <w:tr2bl w:val="nil"/>
                  </w:tcBorders>
                  <w:vAlign w:val="center"/>
                </w:tcPr>
                <w:p w14:paraId="2BE7931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Ⅲ</w:t>
                  </w:r>
                </w:p>
              </w:tc>
              <w:tc>
                <w:tcPr>
                  <w:tcW w:w="514" w:type="pct"/>
                  <w:vMerge w:val="continue"/>
                  <w:tcBorders>
                    <w:tl2br w:val="nil"/>
                    <w:tr2bl w:val="nil"/>
                  </w:tcBorders>
                  <w:vAlign w:val="center"/>
                </w:tcPr>
                <w:p w14:paraId="0B821C9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4" w:type="pct"/>
                  <w:vMerge w:val="continue"/>
                  <w:tcBorders>
                    <w:tl2br w:val="nil"/>
                    <w:tr2bl w:val="nil"/>
                  </w:tcBorders>
                  <w:vAlign w:val="center"/>
                </w:tcPr>
                <w:p w14:paraId="34D323E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r>
            <w:tr w14:paraId="6DAB0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restart"/>
                  <w:tcBorders>
                    <w:tl2br w:val="nil"/>
                    <w:tr2bl w:val="nil"/>
                  </w:tcBorders>
                  <w:vAlign w:val="center"/>
                </w:tcPr>
                <w:p w14:paraId="1522C2E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2020.7.1</w:t>
                  </w:r>
                </w:p>
              </w:tc>
              <w:tc>
                <w:tcPr>
                  <w:tcW w:w="772" w:type="pct"/>
                  <w:tcBorders>
                    <w:tl2br w:val="nil"/>
                    <w:tr2bl w:val="nil"/>
                  </w:tcBorders>
                  <w:vAlign w:val="center"/>
                </w:tcPr>
                <w:p w14:paraId="69711F2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G1厂界上风向5m处</w:t>
                  </w:r>
                </w:p>
              </w:tc>
              <w:tc>
                <w:tcPr>
                  <w:tcW w:w="856" w:type="pct"/>
                  <w:tcBorders>
                    <w:tl2br w:val="nil"/>
                    <w:tr2bl w:val="nil"/>
                  </w:tcBorders>
                  <w:vAlign w:val="center"/>
                </w:tcPr>
                <w:p w14:paraId="647EBB6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5AB30BA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0.232</w:t>
                  </w:r>
                </w:p>
              </w:tc>
              <w:tc>
                <w:tcPr>
                  <w:tcW w:w="514" w:type="pct"/>
                  <w:tcBorders>
                    <w:tl2br w:val="nil"/>
                    <w:tr2bl w:val="nil"/>
                  </w:tcBorders>
                  <w:vAlign w:val="center"/>
                </w:tcPr>
                <w:p w14:paraId="5111148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0.213</w:t>
                  </w:r>
                </w:p>
              </w:tc>
              <w:tc>
                <w:tcPr>
                  <w:tcW w:w="516" w:type="pct"/>
                  <w:tcBorders>
                    <w:tl2br w:val="nil"/>
                    <w:tr2bl w:val="nil"/>
                  </w:tcBorders>
                  <w:vAlign w:val="center"/>
                </w:tcPr>
                <w:p w14:paraId="40CED3B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0.225</w:t>
                  </w:r>
                </w:p>
              </w:tc>
              <w:tc>
                <w:tcPr>
                  <w:tcW w:w="514" w:type="pct"/>
                  <w:tcBorders>
                    <w:tl2br w:val="nil"/>
                    <w:tr2bl w:val="nil"/>
                  </w:tcBorders>
                  <w:vAlign w:val="center"/>
                </w:tcPr>
                <w:p w14:paraId="6E74E81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514" w:type="pct"/>
                  <w:tcBorders>
                    <w:tl2br w:val="nil"/>
                    <w:tr2bl w:val="nil"/>
                  </w:tcBorders>
                  <w:vAlign w:val="center"/>
                </w:tcPr>
                <w:p w14:paraId="4150AA5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3E8D6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14:paraId="0AB5D4A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vAlign w:val="center"/>
                </w:tcPr>
                <w:p w14:paraId="2FFC49F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G2</w:t>
                  </w:r>
                  <w:r>
                    <w:rPr>
                      <w:rFonts w:hint="default" w:ascii="Times New Roman" w:hAnsi="Times New Roman" w:eastAsia="宋体" w:cs="Times New Roman"/>
                      <w:bCs/>
                      <w:kern w:val="0"/>
                      <w:sz w:val="21"/>
                      <w:szCs w:val="21"/>
                      <w:highlight w:val="none"/>
                      <w:u w:val="none" w:color="auto"/>
                      <w:lang w:val="en-US" w:eastAsia="zh-CN"/>
                    </w:rPr>
                    <w:t>厂界</w:t>
                  </w:r>
                  <w:r>
                    <w:rPr>
                      <w:rFonts w:hint="eastAsia" w:eastAsia="宋体" w:cs="Times New Roman"/>
                      <w:bCs/>
                      <w:kern w:val="0"/>
                      <w:sz w:val="21"/>
                      <w:szCs w:val="21"/>
                      <w:highlight w:val="none"/>
                      <w:u w:val="none" w:color="auto"/>
                      <w:lang w:val="en-US" w:eastAsia="zh-CN"/>
                    </w:rPr>
                    <w:t>下风向10m处</w:t>
                  </w:r>
                </w:p>
              </w:tc>
              <w:tc>
                <w:tcPr>
                  <w:tcW w:w="1435" w:type="dxa"/>
                  <w:tcBorders>
                    <w:tl2br w:val="nil"/>
                    <w:tr2bl w:val="nil"/>
                  </w:tcBorders>
                  <w:vAlign w:val="center"/>
                </w:tcPr>
                <w:p w14:paraId="0360299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55FD883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0.357</w:t>
                  </w:r>
                </w:p>
              </w:tc>
              <w:tc>
                <w:tcPr>
                  <w:tcW w:w="514" w:type="pct"/>
                  <w:tcBorders>
                    <w:tl2br w:val="nil"/>
                    <w:tr2bl w:val="nil"/>
                  </w:tcBorders>
                  <w:vAlign w:val="center"/>
                </w:tcPr>
                <w:p w14:paraId="4B97C39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0.364</w:t>
                  </w:r>
                </w:p>
              </w:tc>
              <w:tc>
                <w:tcPr>
                  <w:tcW w:w="516" w:type="pct"/>
                  <w:tcBorders>
                    <w:tl2br w:val="nil"/>
                    <w:tr2bl w:val="nil"/>
                  </w:tcBorders>
                  <w:vAlign w:val="center"/>
                </w:tcPr>
                <w:p w14:paraId="6071459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0.372</w:t>
                  </w:r>
                </w:p>
              </w:tc>
              <w:tc>
                <w:tcPr>
                  <w:tcW w:w="862" w:type="dxa"/>
                  <w:tcBorders>
                    <w:tl2br w:val="nil"/>
                    <w:tr2bl w:val="nil"/>
                  </w:tcBorders>
                  <w:vAlign w:val="center"/>
                </w:tcPr>
                <w:p w14:paraId="32FBDF1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14:paraId="7CBFD29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40F34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14:paraId="3D6FA17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vAlign w:val="center"/>
                </w:tcPr>
                <w:p w14:paraId="6C92D3F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G</w:t>
                  </w:r>
                  <w:r>
                    <w:rPr>
                      <w:rFonts w:hint="eastAsia" w:eastAsia="宋体" w:cs="Times New Roman"/>
                      <w:bCs/>
                      <w:kern w:val="0"/>
                      <w:sz w:val="21"/>
                      <w:szCs w:val="21"/>
                      <w:highlight w:val="none"/>
                      <w:u w:val="none" w:color="auto"/>
                      <w:lang w:val="en-US" w:eastAsia="zh-CN"/>
                    </w:rPr>
                    <w:t>3</w:t>
                  </w:r>
                  <w:r>
                    <w:rPr>
                      <w:rFonts w:hint="default" w:ascii="Times New Roman" w:hAnsi="Times New Roman" w:eastAsia="宋体" w:cs="Times New Roman"/>
                      <w:bCs/>
                      <w:kern w:val="0"/>
                      <w:sz w:val="21"/>
                      <w:szCs w:val="21"/>
                      <w:highlight w:val="none"/>
                      <w:u w:val="none" w:color="auto"/>
                      <w:lang w:val="en-US" w:eastAsia="zh-CN"/>
                    </w:rPr>
                    <w:t>厂界下风向10m处</w:t>
                  </w:r>
                </w:p>
              </w:tc>
              <w:tc>
                <w:tcPr>
                  <w:tcW w:w="1435" w:type="dxa"/>
                  <w:tcBorders>
                    <w:tl2br w:val="nil"/>
                    <w:tr2bl w:val="nil"/>
                  </w:tcBorders>
                  <w:vAlign w:val="center"/>
                </w:tcPr>
                <w:p w14:paraId="5B23FB1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0292229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0.368</w:t>
                  </w:r>
                </w:p>
              </w:tc>
              <w:tc>
                <w:tcPr>
                  <w:tcW w:w="514" w:type="pct"/>
                  <w:tcBorders>
                    <w:tl2br w:val="nil"/>
                    <w:tr2bl w:val="nil"/>
                  </w:tcBorders>
                  <w:vAlign w:val="center"/>
                </w:tcPr>
                <w:p w14:paraId="4BC1459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0.377</w:t>
                  </w:r>
                </w:p>
              </w:tc>
              <w:tc>
                <w:tcPr>
                  <w:tcW w:w="516" w:type="pct"/>
                  <w:tcBorders>
                    <w:tl2br w:val="nil"/>
                    <w:tr2bl w:val="nil"/>
                  </w:tcBorders>
                  <w:vAlign w:val="center"/>
                </w:tcPr>
                <w:p w14:paraId="7327595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0.361</w:t>
                  </w:r>
                </w:p>
              </w:tc>
              <w:tc>
                <w:tcPr>
                  <w:tcW w:w="862" w:type="dxa"/>
                  <w:tcBorders>
                    <w:tl2br w:val="nil"/>
                    <w:tr2bl w:val="nil"/>
                  </w:tcBorders>
                  <w:vAlign w:val="center"/>
                </w:tcPr>
                <w:p w14:paraId="69CD2E0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14:paraId="3BF63DE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6AECD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restart"/>
                  <w:tcBorders>
                    <w:tl2br w:val="nil"/>
                    <w:tr2bl w:val="nil"/>
                  </w:tcBorders>
                  <w:vAlign w:val="center"/>
                </w:tcPr>
                <w:p w14:paraId="256F6AF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2020.7.2</w:t>
                  </w:r>
                </w:p>
              </w:tc>
              <w:tc>
                <w:tcPr>
                  <w:tcW w:w="772" w:type="pct"/>
                  <w:tcBorders>
                    <w:tl2br w:val="nil"/>
                    <w:tr2bl w:val="nil"/>
                  </w:tcBorders>
                  <w:shd w:val="clear" w:color="auto" w:fill="auto"/>
                  <w:vAlign w:val="center"/>
                </w:tcPr>
                <w:p w14:paraId="3C57A87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G1厂界上风向5m处</w:t>
                  </w:r>
                </w:p>
              </w:tc>
              <w:tc>
                <w:tcPr>
                  <w:tcW w:w="1435" w:type="dxa"/>
                  <w:tcBorders>
                    <w:tl2br w:val="nil"/>
                    <w:tr2bl w:val="nil"/>
                  </w:tcBorders>
                  <w:vAlign w:val="center"/>
                </w:tcPr>
                <w:p w14:paraId="5351060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701B1AA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0.221</w:t>
                  </w:r>
                </w:p>
              </w:tc>
              <w:tc>
                <w:tcPr>
                  <w:tcW w:w="514" w:type="pct"/>
                  <w:tcBorders>
                    <w:tl2br w:val="nil"/>
                    <w:tr2bl w:val="nil"/>
                  </w:tcBorders>
                  <w:vAlign w:val="center"/>
                </w:tcPr>
                <w:p w14:paraId="57869AF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0.236</w:t>
                  </w:r>
                </w:p>
              </w:tc>
              <w:tc>
                <w:tcPr>
                  <w:tcW w:w="516" w:type="pct"/>
                  <w:tcBorders>
                    <w:tl2br w:val="nil"/>
                    <w:tr2bl w:val="nil"/>
                  </w:tcBorders>
                  <w:vAlign w:val="center"/>
                </w:tcPr>
                <w:p w14:paraId="75827D3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0.218</w:t>
                  </w:r>
                </w:p>
              </w:tc>
              <w:tc>
                <w:tcPr>
                  <w:tcW w:w="862" w:type="dxa"/>
                  <w:tcBorders>
                    <w:tl2br w:val="nil"/>
                    <w:tr2bl w:val="nil"/>
                  </w:tcBorders>
                  <w:vAlign w:val="center"/>
                </w:tcPr>
                <w:p w14:paraId="5DA50C1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14:paraId="6DA4D6A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3D1454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14:paraId="54B1432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shd w:val="clear" w:color="auto" w:fill="auto"/>
                  <w:vAlign w:val="center"/>
                </w:tcPr>
                <w:p w14:paraId="1E176EC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G2</w:t>
                  </w:r>
                  <w:r>
                    <w:rPr>
                      <w:rFonts w:hint="default" w:ascii="Times New Roman" w:hAnsi="Times New Roman" w:eastAsia="宋体" w:cs="Times New Roman"/>
                      <w:bCs/>
                      <w:kern w:val="0"/>
                      <w:sz w:val="21"/>
                      <w:szCs w:val="21"/>
                      <w:highlight w:val="none"/>
                      <w:u w:val="none" w:color="auto"/>
                      <w:lang w:val="en-US" w:eastAsia="zh-CN"/>
                    </w:rPr>
                    <w:t>厂界</w:t>
                  </w:r>
                  <w:r>
                    <w:rPr>
                      <w:rFonts w:hint="eastAsia" w:eastAsia="宋体" w:cs="Times New Roman"/>
                      <w:bCs/>
                      <w:kern w:val="0"/>
                      <w:sz w:val="21"/>
                      <w:szCs w:val="21"/>
                      <w:highlight w:val="none"/>
                      <w:u w:val="none" w:color="auto"/>
                      <w:lang w:val="en-US" w:eastAsia="zh-CN"/>
                    </w:rPr>
                    <w:t>下风向10m处</w:t>
                  </w:r>
                </w:p>
              </w:tc>
              <w:tc>
                <w:tcPr>
                  <w:tcW w:w="1435" w:type="dxa"/>
                  <w:tcBorders>
                    <w:tl2br w:val="nil"/>
                    <w:tr2bl w:val="nil"/>
                  </w:tcBorders>
                  <w:vAlign w:val="center"/>
                </w:tcPr>
                <w:p w14:paraId="6E9E6F6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1C5EAA1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0.305</w:t>
                  </w:r>
                </w:p>
              </w:tc>
              <w:tc>
                <w:tcPr>
                  <w:tcW w:w="514" w:type="pct"/>
                  <w:tcBorders>
                    <w:tl2br w:val="nil"/>
                    <w:tr2bl w:val="nil"/>
                  </w:tcBorders>
                  <w:vAlign w:val="center"/>
                </w:tcPr>
                <w:p w14:paraId="5F8879A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0.313</w:t>
                  </w:r>
                </w:p>
              </w:tc>
              <w:tc>
                <w:tcPr>
                  <w:tcW w:w="516" w:type="pct"/>
                  <w:tcBorders>
                    <w:tl2br w:val="nil"/>
                    <w:tr2bl w:val="nil"/>
                  </w:tcBorders>
                  <w:vAlign w:val="center"/>
                </w:tcPr>
                <w:p w14:paraId="123523F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0.322</w:t>
                  </w:r>
                </w:p>
              </w:tc>
              <w:tc>
                <w:tcPr>
                  <w:tcW w:w="862" w:type="dxa"/>
                  <w:tcBorders>
                    <w:tl2br w:val="nil"/>
                    <w:tr2bl w:val="nil"/>
                  </w:tcBorders>
                  <w:vAlign w:val="center"/>
                </w:tcPr>
                <w:p w14:paraId="72564D7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14:paraId="0BAFD45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07842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14:paraId="21FF05B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shd w:val="clear" w:color="auto" w:fill="auto"/>
                  <w:vAlign w:val="center"/>
                </w:tcPr>
                <w:p w14:paraId="1DF4F7A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default" w:ascii="Times New Roman" w:hAnsi="Times New Roman" w:eastAsia="宋体" w:cs="Times New Roman"/>
                      <w:bCs/>
                      <w:kern w:val="0"/>
                      <w:sz w:val="21"/>
                      <w:szCs w:val="21"/>
                      <w:highlight w:val="none"/>
                      <w:u w:val="none" w:color="auto"/>
                      <w:lang w:val="en-US" w:eastAsia="zh-CN"/>
                    </w:rPr>
                    <w:t>G</w:t>
                  </w:r>
                  <w:r>
                    <w:rPr>
                      <w:rFonts w:hint="eastAsia" w:eastAsia="宋体" w:cs="Times New Roman"/>
                      <w:bCs/>
                      <w:kern w:val="0"/>
                      <w:sz w:val="21"/>
                      <w:szCs w:val="21"/>
                      <w:highlight w:val="none"/>
                      <w:u w:val="none" w:color="auto"/>
                      <w:lang w:val="en-US" w:eastAsia="zh-CN"/>
                    </w:rPr>
                    <w:t>3</w:t>
                  </w:r>
                  <w:r>
                    <w:rPr>
                      <w:rFonts w:hint="default" w:ascii="Times New Roman" w:hAnsi="Times New Roman" w:eastAsia="宋体" w:cs="Times New Roman"/>
                      <w:bCs/>
                      <w:kern w:val="0"/>
                      <w:sz w:val="21"/>
                      <w:szCs w:val="21"/>
                      <w:highlight w:val="none"/>
                      <w:u w:val="none" w:color="auto"/>
                      <w:lang w:val="en-US" w:eastAsia="zh-CN"/>
                    </w:rPr>
                    <w:t>厂界下风向10m处</w:t>
                  </w:r>
                </w:p>
              </w:tc>
              <w:tc>
                <w:tcPr>
                  <w:tcW w:w="1435" w:type="dxa"/>
                  <w:tcBorders>
                    <w:tl2br w:val="nil"/>
                    <w:tr2bl w:val="nil"/>
                  </w:tcBorders>
                  <w:vAlign w:val="center"/>
                </w:tcPr>
                <w:p w14:paraId="54B237E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14:paraId="2937D27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0.315</w:t>
                  </w:r>
                </w:p>
              </w:tc>
              <w:tc>
                <w:tcPr>
                  <w:tcW w:w="514" w:type="pct"/>
                  <w:tcBorders>
                    <w:tl2br w:val="nil"/>
                    <w:tr2bl w:val="nil"/>
                  </w:tcBorders>
                  <w:vAlign w:val="center"/>
                </w:tcPr>
                <w:p w14:paraId="7EE9134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0.326</w:t>
                  </w:r>
                </w:p>
              </w:tc>
              <w:tc>
                <w:tcPr>
                  <w:tcW w:w="516" w:type="pct"/>
                  <w:tcBorders>
                    <w:tl2br w:val="nil"/>
                    <w:tr2bl w:val="nil"/>
                  </w:tcBorders>
                  <w:vAlign w:val="center"/>
                </w:tcPr>
                <w:p w14:paraId="6FA6DA4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0.309</w:t>
                  </w:r>
                </w:p>
              </w:tc>
              <w:tc>
                <w:tcPr>
                  <w:tcW w:w="862" w:type="dxa"/>
                  <w:tcBorders>
                    <w:tl2br w:val="nil"/>
                    <w:tr2bl w:val="nil"/>
                  </w:tcBorders>
                  <w:vAlign w:val="center"/>
                </w:tcPr>
                <w:p w14:paraId="10453ED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14:paraId="4157446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14:paraId="6FEB05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tcBorders>
                    <w:tl2br w:val="nil"/>
                    <w:tr2bl w:val="nil"/>
                  </w:tcBorders>
                  <w:vAlign w:val="center"/>
                </w:tcPr>
                <w:p w14:paraId="2C00A52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备注</w:t>
                  </w:r>
                </w:p>
              </w:tc>
              <w:tc>
                <w:tcPr>
                  <w:tcW w:w="4278" w:type="pct"/>
                  <w:gridSpan w:val="7"/>
                  <w:tcBorders>
                    <w:tl2br w:val="nil"/>
                    <w:tr2bl w:val="nil"/>
                  </w:tcBorders>
                  <w:vAlign w:val="center"/>
                </w:tcPr>
                <w:p w14:paraId="6E2FBDDF">
                  <w:pPr>
                    <w:adjustRightInd/>
                    <w:snapToGrid/>
                    <w:spacing w:line="240" w:lineRule="auto"/>
                    <w:ind w:firstLine="0" w:firstLineChars="0"/>
                    <w:jc w:val="left"/>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执行《大气污染物综合排放标准》(GB16297-1996)中2级无组织限值</w:t>
                  </w:r>
                </w:p>
              </w:tc>
            </w:tr>
          </w:tbl>
          <w:p w14:paraId="55420BF3">
            <w:pPr>
              <w:keepNext w:val="0"/>
              <w:keepLines w:val="0"/>
              <w:pageBreakBefore w:val="0"/>
              <w:widowControl w:val="0"/>
              <w:kinsoku/>
              <w:wordWrap/>
              <w:overflowPunct/>
              <w:topLinePunct w:val="0"/>
              <w:autoSpaceDE/>
              <w:autoSpaceDN/>
              <w:bidi w:val="0"/>
              <w:adjustRightInd w:val="0"/>
              <w:snapToGrid w:val="0"/>
              <w:spacing w:line="240" w:lineRule="auto"/>
              <w:ind w:firstLine="464" w:firstLineChars="200"/>
              <w:jc w:val="both"/>
              <w:textAlignment w:val="auto"/>
              <w:rPr>
                <w:rFonts w:hint="default" w:ascii="Times New Roman" w:hAnsi="Times New Roman" w:eastAsia="宋体" w:cs="Times New Roman"/>
                <w:color w:val="auto"/>
                <w:spacing w:val="11"/>
                <w:kern w:val="0"/>
                <w:position w:val="0"/>
                <w:sz w:val="21"/>
                <w:szCs w:val="21"/>
                <w:lang w:val="en-US" w:eastAsia="zh-CN"/>
              </w:rPr>
            </w:pPr>
          </w:p>
          <w:p w14:paraId="5ED86304">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表</w:t>
            </w:r>
            <w:r>
              <w:rPr>
                <w:rFonts w:hint="eastAsia" w:eastAsia="宋体" w:cs="Times New Roman"/>
                <w:b/>
                <w:bCs/>
                <w:color w:val="auto"/>
                <w:kern w:val="2"/>
                <w:sz w:val="21"/>
                <w:szCs w:val="21"/>
                <w:highlight w:val="none"/>
                <w:u w:val="none" w:color="auto"/>
                <w:lang w:val="en-US" w:eastAsia="zh-CN" w:bidi="ar-SA"/>
              </w:rPr>
              <w:t>3-5</w:t>
            </w:r>
            <w:r>
              <w:rPr>
                <w:rFonts w:hint="eastAsia" w:ascii="Times New Roman" w:hAnsi="Times New Roman" w:eastAsia="宋体" w:cs="Times New Roman"/>
                <w:b/>
                <w:bCs/>
                <w:color w:val="auto"/>
                <w:kern w:val="2"/>
                <w:sz w:val="21"/>
                <w:szCs w:val="21"/>
                <w:highlight w:val="none"/>
                <w:u w:val="none" w:color="auto"/>
                <w:lang w:val="en-US" w:eastAsia="zh-CN" w:bidi="ar-SA"/>
              </w:rPr>
              <w:t xml:space="preserve">  现有工程</w:t>
            </w:r>
            <w:r>
              <w:rPr>
                <w:rFonts w:hint="eastAsia" w:eastAsia="宋体" w:cs="Times New Roman"/>
                <w:b/>
                <w:bCs/>
                <w:color w:val="auto"/>
                <w:kern w:val="2"/>
                <w:sz w:val="21"/>
                <w:szCs w:val="21"/>
                <w:highlight w:val="none"/>
                <w:u w:val="none" w:color="auto"/>
                <w:lang w:val="en-US" w:eastAsia="zh-CN" w:bidi="ar-SA"/>
              </w:rPr>
              <w:t>有</w:t>
            </w:r>
            <w:r>
              <w:rPr>
                <w:rFonts w:hint="eastAsia" w:ascii="Times New Roman" w:hAnsi="Times New Roman" w:eastAsia="宋体" w:cs="Times New Roman"/>
                <w:b/>
                <w:bCs/>
                <w:color w:val="auto"/>
                <w:kern w:val="2"/>
                <w:sz w:val="21"/>
                <w:szCs w:val="21"/>
                <w:highlight w:val="none"/>
                <w:u w:val="none" w:color="auto"/>
                <w:lang w:val="en-US" w:eastAsia="zh-CN" w:bidi="ar-SA"/>
              </w:rPr>
              <w:t>组织废气</w:t>
            </w:r>
            <w:r>
              <w:rPr>
                <w:rFonts w:hint="default" w:ascii="Times New Roman" w:hAnsi="Times New Roman" w:eastAsia="宋体" w:cs="Times New Roman"/>
                <w:b/>
                <w:bCs/>
                <w:color w:val="auto"/>
                <w:kern w:val="2"/>
                <w:sz w:val="21"/>
                <w:szCs w:val="21"/>
                <w:highlight w:val="none"/>
                <w:u w:val="none" w:color="auto"/>
                <w:lang w:val="en-US" w:eastAsia="zh-CN" w:bidi="ar-SA"/>
              </w:rPr>
              <w:t>检测结果</w:t>
            </w:r>
          </w:p>
          <w:tbl>
            <w:tblPr>
              <w:tblStyle w:val="61"/>
              <w:tblW w:w="1247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78"/>
              <w:gridCol w:w="1151"/>
              <w:gridCol w:w="1276"/>
              <w:gridCol w:w="708"/>
              <w:gridCol w:w="753"/>
              <w:gridCol w:w="753"/>
              <w:gridCol w:w="753"/>
              <w:gridCol w:w="753"/>
              <w:gridCol w:w="766"/>
              <w:gridCol w:w="4486"/>
            </w:tblGrid>
            <w:tr w14:paraId="3EE128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1" w:type="pct"/>
                  <w:vMerge w:val="restart"/>
                  <w:tcBorders>
                    <w:tl2br w:val="nil"/>
                    <w:tr2bl w:val="nil"/>
                  </w:tcBorders>
                  <w:vAlign w:val="center"/>
                </w:tcPr>
                <w:p w14:paraId="3BC86C5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检测点位</w:t>
                  </w:r>
                </w:p>
              </w:tc>
              <w:tc>
                <w:tcPr>
                  <w:tcW w:w="972" w:type="pct"/>
                  <w:gridSpan w:val="2"/>
                  <w:vMerge w:val="restart"/>
                  <w:tcBorders>
                    <w:tl2br w:val="nil"/>
                    <w:tr2bl w:val="nil"/>
                  </w:tcBorders>
                  <w:vAlign w:val="center"/>
                </w:tcPr>
                <w:p w14:paraId="431B463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检测项目</w:t>
                  </w:r>
                </w:p>
              </w:tc>
              <w:tc>
                <w:tcPr>
                  <w:tcW w:w="1797" w:type="pct"/>
                  <w:gridSpan w:val="6"/>
                  <w:tcBorders>
                    <w:tl2br w:val="nil"/>
                    <w:tr2bl w:val="nil"/>
                  </w:tcBorders>
                  <w:vAlign w:val="center"/>
                </w:tcPr>
                <w:p w14:paraId="4E8131E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检测结果</w:t>
                  </w:r>
                </w:p>
              </w:tc>
              <w:tc>
                <w:tcPr>
                  <w:tcW w:w="1797" w:type="pct"/>
                  <w:tcBorders>
                    <w:tl2br w:val="nil"/>
                    <w:tr2bl w:val="nil"/>
                  </w:tcBorders>
                  <w:vAlign w:val="center"/>
                </w:tcPr>
                <w:p w14:paraId="1D31547C">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75E91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1" w:type="pct"/>
                  <w:vMerge w:val="continue"/>
                  <w:tcBorders>
                    <w:tl2br w:val="nil"/>
                    <w:tr2bl w:val="nil"/>
                  </w:tcBorders>
                  <w:vAlign w:val="center"/>
                </w:tcPr>
                <w:p w14:paraId="1306E10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vMerge w:val="continue"/>
                  <w:tcBorders>
                    <w:tl2br w:val="nil"/>
                    <w:tr2bl w:val="nil"/>
                  </w:tcBorders>
                  <w:vAlign w:val="center"/>
                </w:tcPr>
                <w:p w14:paraId="2146461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887" w:type="pct"/>
                  <w:gridSpan w:val="3"/>
                  <w:tcBorders>
                    <w:tl2br w:val="nil"/>
                    <w:tr2bl w:val="nil"/>
                  </w:tcBorders>
                  <w:vAlign w:val="center"/>
                </w:tcPr>
                <w:p w14:paraId="0CD2F16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2020.7.1</w:t>
                  </w:r>
                </w:p>
              </w:tc>
              <w:tc>
                <w:tcPr>
                  <w:tcW w:w="910" w:type="pct"/>
                  <w:gridSpan w:val="3"/>
                  <w:tcBorders>
                    <w:tl2br w:val="nil"/>
                    <w:tr2bl w:val="nil"/>
                  </w:tcBorders>
                  <w:vAlign w:val="center"/>
                </w:tcPr>
                <w:p w14:paraId="666E08F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2020.7.2</w:t>
                  </w:r>
                </w:p>
              </w:tc>
              <w:tc>
                <w:tcPr>
                  <w:tcW w:w="1797" w:type="pct"/>
                  <w:tcBorders>
                    <w:tl2br w:val="nil"/>
                    <w:tr2bl w:val="nil"/>
                  </w:tcBorders>
                  <w:vAlign w:val="center"/>
                </w:tcPr>
                <w:p w14:paraId="2A15E511">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5B919A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1" w:type="pct"/>
                  <w:vMerge w:val="continue"/>
                  <w:tcBorders>
                    <w:tl2br w:val="nil"/>
                    <w:tr2bl w:val="nil"/>
                  </w:tcBorders>
                  <w:vAlign w:val="center"/>
                </w:tcPr>
                <w:p w14:paraId="71E7A2F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vMerge w:val="continue"/>
                  <w:tcBorders>
                    <w:tl2br w:val="nil"/>
                    <w:tr2bl w:val="nil"/>
                  </w:tcBorders>
                  <w:vAlign w:val="center"/>
                </w:tcPr>
                <w:p w14:paraId="62EB59F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283" w:type="pct"/>
                  <w:tcBorders>
                    <w:tl2br w:val="nil"/>
                    <w:tr2bl w:val="nil"/>
                  </w:tcBorders>
                  <w:vAlign w:val="center"/>
                </w:tcPr>
                <w:p w14:paraId="109679E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第1次</w:t>
                  </w:r>
                </w:p>
              </w:tc>
              <w:tc>
                <w:tcPr>
                  <w:tcW w:w="301" w:type="pct"/>
                  <w:tcBorders>
                    <w:tl2br w:val="nil"/>
                    <w:tr2bl w:val="nil"/>
                  </w:tcBorders>
                  <w:vAlign w:val="center"/>
                </w:tcPr>
                <w:p w14:paraId="25756C6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第2次</w:t>
                  </w:r>
                </w:p>
              </w:tc>
              <w:tc>
                <w:tcPr>
                  <w:tcW w:w="301" w:type="pct"/>
                  <w:tcBorders>
                    <w:tl2br w:val="nil"/>
                    <w:tr2bl w:val="nil"/>
                  </w:tcBorders>
                  <w:vAlign w:val="center"/>
                </w:tcPr>
                <w:p w14:paraId="51CF597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第3次</w:t>
                  </w:r>
                </w:p>
              </w:tc>
              <w:tc>
                <w:tcPr>
                  <w:tcW w:w="301" w:type="pct"/>
                  <w:tcBorders>
                    <w:tl2br w:val="nil"/>
                    <w:tr2bl w:val="nil"/>
                  </w:tcBorders>
                  <w:shd w:val="clear" w:color="auto" w:fill="auto"/>
                  <w:vAlign w:val="center"/>
                </w:tcPr>
                <w:p w14:paraId="4971D4C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第1次</w:t>
                  </w:r>
                </w:p>
              </w:tc>
              <w:tc>
                <w:tcPr>
                  <w:tcW w:w="301" w:type="pct"/>
                  <w:tcBorders>
                    <w:tl2br w:val="nil"/>
                    <w:tr2bl w:val="nil"/>
                  </w:tcBorders>
                  <w:shd w:val="clear" w:color="auto" w:fill="auto"/>
                  <w:vAlign w:val="center"/>
                </w:tcPr>
                <w:p w14:paraId="5A235CA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第2次</w:t>
                  </w:r>
                </w:p>
              </w:tc>
              <w:tc>
                <w:tcPr>
                  <w:tcW w:w="306" w:type="pct"/>
                  <w:tcBorders>
                    <w:tl2br w:val="nil"/>
                    <w:tr2bl w:val="nil"/>
                  </w:tcBorders>
                  <w:shd w:val="clear" w:color="auto" w:fill="auto"/>
                  <w:vAlign w:val="center"/>
                </w:tcPr>
                <w:p w14:paraId="412037D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第3次</w:t>
                  </w:r>
                </w:p>
              </w:tc>
              <w:tc>
                <w:tcPr>
                  <w:tcW w:w="1797" w:type="pct"/>
                  <w:tcBorders>
                    <w:tl2br w:val="nil"/>
                    <w:tr2bl w:val="nil"/>
                  </w:tcBorders>
                  <w:shd w:val="clear" w:color="auto" w:fill="auto"/>
                  <w:vAlign w:val="center"/>
                </w:tcPr>
                <w:p w14:paraId="01921FFD">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2B5B69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restart"/>
                  <w:tcBorders>
                    <w:tl2br w:val="nil"/>
                    <w:tr2bl w:val="nil"/>
                  </w:tcBorders>
                  <w:vAlign w:val="center"/>
                </w:tcPr>
                <w:p w14:paraId="487C3F0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布袋除尘器处理设施进气口</w:t>
                  </w:r>
                </w:p>
              </w:tc>
              <w:tc>
                <w:tcPr>
                  <w:tcW w:w="972" w:type="pct"/>
                  <w:gridSpan w:val="2"/>
                  <w:tcBorders>
                    <w:tl2br w:val="nil"/>
                    <w:tr2bl w:val="nil"/>
                  </w:tcBorders>
                  <w:vAlign w:val="center"/>
                </w:tcPr>
                <w:p w14:paraId="5F7C2AE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14:paraId="5051D5C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2605</w:t>
                  </w:r>
                </w:p>
              </w:tc>
              <w:tc>
                <w:tcPr>
                  <w:tcW w:w="301" w:type="pct"/>
                  <w:tcBorders>
                    <w:tl2br w:val="nil"/>
                    <w:tr2bl w:val="nil"/>
                  </w:tcBorders>
                  <w:vAlign w:val="center"/>
                </w:tcPr>
                <w:p w14:paraId="6289837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2609</w:t>
                  </w:r>
                </w:p>
              </w:tc>
              <w:tc>
                <w:tcPr>
                  <w:tcW w:w="301" w:type="pct"/>
                  <w:tcBorders>
                    <w:tl2br w:val="nil"/>
                    <w:tr2bl w:val="nil"/>
                  </w:tcBorders>
                  <w:vAlign w:val="center"/>
                </w:tcPr>
                <w:p w14:paraId="4B26DA0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2611</w:t>
                  </w:r>
                </w:p>
              </w:tc>
              <w:tc>
                <w:tcPr>
                  <w:tcW w:w="301" w:type="pct"/>
                  <w:tcBorders>
                    <w:tl2br w:val="nil"/>
                    <w:tr2bl w:val="nil"/>
                  </w:tcBorders>
                  <w:vAlign w:val="center"/>
                </w:tcPr>
                <w:p w14:paraId="08C56EB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2601</w:t>
                  </w:r>
                </w:p>
              </w:tc>
              <w:tc>
                <w:tcPr>
                  <w:tcW w:w="301" w:type="pct"/>
                  <w:tcBorders>
                    <w:tl2br w:val="nil"/>
                    <w:tr2bl w:val="nil"/>
                  </w:tcBorders>
                  <w:vAlign w:val="center"/>
                </w:tcPr>
                <w:p w14:paraId="03333FA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2610</w:t>
                  </w:r>
                </w:p>
              </w:tc>
              <w:tc>
                <w:tcPr>
                  <w:tcW w:w="306" w:type="pct"/>
                  <w:tcBorders>
                    <w:tl2br w:val="nil"/>
                    <w:tr2bl w:val="nil"/>
                  </w:tcBorders>
                  <w:vAlign w:val="center"/>
                </w:tcPr>
                <w:p w14:paraId="7D57D8C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2608</w:t>
                  </w:r>
                </w:p>
              </w:tc>
              <w:tc>
                <w:tcPr>
                  <w:tcW w:w="1797" w:type="pct"/>
                  <w:tcBorders>
                    <w:tl2br w:val="nil"/>
                    <w:tr2bl w:val="nil"/>
                  </w:tcBorders>
                  <w:vAlign w:val="center"/>
                </w:tcPr>
                <w:p w14:paraId="77637265">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11975B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7DCF9C0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vAlign w:val="center"/>
                </w:tcPr>
                <w:p w14:paraId="36EB43F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vAlign w:val="center"/>
                </w:tcPr>
                <w:p w14:paraId="79FF48C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14:paraId="59D1654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132.0</w:t>
                  </w:r>
                </w:p>
              </w:tc>
              <w:tc>
                <w:tcPr>
                  <w:tcW w:w="301" w:type="pct"/>
                  <w:tcBorders>
                    <w:tl2br w:val="nil"/>
                    <w:tr2bl w:val="nil"/>
                  </w:tcBorders>
                  <w:vAlign w:val="center"/>
                </w:tcPr>
                <w:p w14:paraId="16E394F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118.0</w:t>
                  </w:r>
                </w:p>
              </w:tc>
              <w:tc>
                <w:tcPr>
                  <w:tcW w:w="301" w:type="pct"/>
                  <w:tcBorders>
                    <w:tl2br w:val="nil"/>
                    <w:tr2bl w:val="nil"/>
                  </w:tcBorders>
                  <w:vAlign w:val="center"/>
                </w:tcPr>
                <w:p w14:paraId="7D971CF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120.3</w:t>
                  </w:r>
                </w:p>
              </w:tc>
              <w:tc>
                <w:tcPr>
                  <w:tcW w:w="301" w:type="pct"/>
                  <w:tcBorders>
                    <w:tl2br w:val="nil"/>
                    <w:tr2bl w:val="nil"/>
                  </w:tcBorders>
                  <w:vAlign w:val="center"/>
                </w:tcPr>
                <w:p w14:paraId="6494555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119.0</w:t>
                  </w:r>
                </w:p>
              </w:tc>
              <w:tc>
                <w:tcPr>
                  <w:tcW w:w="301" w:type="pct"/>
                  <w:tcBorders>
                    <w:tl2br w:val="nil"/>
                    <w:tr2bl w:val="nil"/>
                  </w:tcBorders>
                  <w:vAlign w:val="center"/>
                </w:tcPr>
                <w:p w14:paraId="5D66C9B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122.7</w:t>
                  </w:r>
                </w:p>
              </w:tc>
              <w:tc>
                <w:tcPr>
                  <w:tcW w:w="306" w:type="pct"/>
                  <w:tcBorders>
                    <w:tl2br w:val="nil"/>
                    <w:tr2bl w:val="nil"/>
                  </w:tcBorders>
                  <w:vAlign w:val="center"/>
                </w:tcPr>
                <w:p w14:paraId="296FFC9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108.3</w:t>
                  </w:r>
                </w:p>
              </w:tc>
              <w:tc>
                <w:tcPr>
                  <w:tcW w:w="1797" w:type="pct"/>
                  <w:tcBorders>
                    <w:tl2br w:val="nil"/>
                    <w:tr2bl w:val="nil"/>
                  </w:tcBorders>
                  <w:vAlign w:val="center"/>
                </w:tcPr>
                <w:p w14:paraId="596CA679">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42D92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320E985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14:paraId="275ACD6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vAlign w:val="center"/>
                </w:tcPr>
                <w:p w14:paraId="0EFB128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14:paraId="6A2D031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0.34</w:t>
                  </w:r>
                </w:p>
              </w:tc>
              <w:tc>
                <w:tcPr>
                  <w:tcW w:w="301" w:type="pct"/>
                  <w:tcBorders>
                    <w:tl2br w:val="nil"/>
                    <w:tr2bl w:val="nil"/>
                  </w:tcBorders>
                  <w:vAlign w:val="center"/>
                </w:tcPr>
                <w:p w14:paraId="05A7923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14:paraId="3FFB44E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14:paraId="3BAEF11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14:paraId="4277C53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w:t>
                  </w:r>
                </w:p>
              </w:tc>
              <w:tc>
                <w:tcPr>
                  <w:tcW w:w="306" w:type="pct"/>
                  <w:tcBorders>
                    <w:tl2br w:val="nil"/>
                    <w:tr2bl w:val="nil"/>
                  </w:tcBorders>
                  <w:vAlign w:val="center"/>
                </w:tcPr>
                <w:p w14:paraId="251F645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0.28</w:t>
                  </w:r>
                </w:p>
              </w:tc>
              <w:tc>
                <w:tcPr>
                  <w:tcW w:w="1797" w:type="pct"/>
                  <w:tcBorders>
                    <w:tl2br w:val="nil"/>
                    <w:tr2bl w:val="nil"/>
                  </w:tcBorders>
                  <w:vAlign w:val="center"/>
                </w:tcPr>
                <w:p w14:paraId="56DECF67">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58F9F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restart"/>
                  <w:tcBorders>
                    <w:tl2br w:val="nil"/>
                    <w:tr2bl w:val="nil"/>
                  </w:tcBorders>
                  <w:vAlign w:val="center"/>
                </w:tcPr>
                <w:p w14:paraId="5D615DD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布袋除尘器处理设施</w:t>
                  </w:r>
                  <w:r>
                    <w:rPr>
                      <w:rFonts w:hint="eastAsia" w:eastAsia="宋体" w:cs="Times New Roman"/>
                      <w:bCs/>
                      <w:kern w:val="0"/>
                      <w:sz w:val="21"/>
                      <w:szCs w:val="21"/>
                      <w:highlight w:val="none"/>
                      <w:u w:val="none" w:color="auto"/>
                      <w:lang w:val="en-US" w:eastAsia="zh-CN"/>
                    </w:rPr>
                    <w:t>排气筒出口1#</w:t>
                  </w:r>
                </w:p>
              </w:tc>
              <w:tc>
                <w:tcPr>
                  <w:tcW w:w="972" w:type="pct"/>
                  <w:gridSpan w:val="2"/>
                  <w:tcBorders>
                    <w:tl2br w:val="nil"/>
                    <w:tr2bl w:val="nil"/>
                  </w:tcBorders>
                  <w:shd w:val="clear" w:color="auto" w:fill="auto"/>
                  <w:vAlign w:val="center"/>
                </w:tcPr>
                <w:p w14:paraId="6070A7B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14:paraId="02A1BAB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2625</w:t>
                  </w:r>
                </w:p>
              </w:tc>
              <w:tc>
                <w:tcPr>
                  <w:tcW w:w="301" w:type="pct"/>
                  <w:tcBorders>
                    <w:tl2br w:val="nil"/>
                    <w:tr2bl w:val="nil"/>
                  </w:tcBorders>
                  <w:vAlign w:val="center"/>
                </w:tcPr>
                <w:p w14:paraId="0010039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2628</w:t>
                  </w:r>
                </w:p>
              </w:tc>
              <w:tc>
                <w:tcPr>
                  <w:tcW w:w="301" w:type="pct"/>
                  <w:tcBorders>
                    <w:tl2br w:val="nil"/>
                    <w:tr2bl w:val="nil"/>
                  </w:tcBorders>
                  <w:vAlign w:val="center"/>
                </w:tcPr>
                <w:p w14:paraId="752A3ED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2632</w:t>
                  </w:r>
                </w:p>
              </w:tc>
              <w:tc>
                <w:tcPr>
                  <w:tcW w:w="301" w:type="pct"/>
                  <w:tcBorders>
                    <w:tl2br w:val="nil"/>
                    <w:tr2bl w:val="nil"/>
                  </w:tcBorders>
                  <w:vAlign w:val="center"/>
                </w:tcPr>
                <w:p w14:paraId="207DC49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2624</w:t>
                  </w:r>
                </w:p>
              </w:tc>
              <w:tc>
                <w:tcPr>
                  <w:tcW w:w="301" w:type="pct"/>
                  <w:tcBorders>
                    <w:tl2br w:val="nil"/>
                    <w:tr2bl w:val="nil"/>
                  </w:tcBorders>
                  <w:vAlign w:val="center"/>
                </w:tcPr>
                <w:p w14:paraId="36E1FEE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2636</w:t>
                  </w:r>
                </w:p>
              </w:tc>
              <w:tc>
                <w:tcPr>
                  <w:tcW w:w="306" w:type="pct"/>
                  <w:tcBorders>
                    <w:tl2br w:val="nil"/>
                    <w:tr2bl w:val="nil"/>
                  </w:tcBorders>
                  <w:vAlign w:val="center"/>
                </w:tcPr>
                <w:p w14:paraId="04BD132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2638</w:t>
                  </w:r>
                </w:p>
              </w:tc>
              <w:tc>
                <w:tcPr>
                  <w:tcW w:w="1797" w:type="pct"/>
                  <w:tcBorders>
                    <w:tl2br w:val="nil"/>
                    <w:tr2bl w:val="nil"/>
                  </w:tcBorders>
                  <w:vAlign w:val="center"/>
                </w:tcPr>
                <w:p w14:paraId="7CF7EE47">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3AB7A9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4B0D188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14:paraId="696F60C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14:paraId="4162CCC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14:paraId="5347480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39.6</w:t>
                  </w:r>
                </w:p>
              </w:tc>
              <w:tc>
                <w:tcPr>
                  <w:tcW w:w="301" w:type="pct"/>
                  <w:tcBorders>
                    <w:tl2br w:val="nil"/>
                    <w:tr2bl w:val="nil"/>
                  </w:tcBorders>
                  <w:vAlign w:val="center"/>
                </w:tcPr>
                <w:p w14:paraId="4759A46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35.4</w:t>
                  </w:r>
                </w:p>
              </w:tc>
              <w:tc>
                <w:tcPr>
                  <w:tcW w:w="301" w:type="pct"/>
                  <w:tcBorders>
                    <w:tl2br w:val="nil"/>
                    <w:tr2bl w:val="nil"/>
                  </w:tcBorders>
                  <w:vAlign w:val="center"/>
                </w:tcPr>
                <w:p w14:paraId="451F51D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36.1</w:t>
                  </w:r>
                </w:p>
              </w:tc>
              <w:tc>
                <w:tcPr>
                  <w:tcW w:w="301" w:type="pct"/>
                  <w:tcBorders>
                    <w:tl2br w:val="nil"/>
                    <w:tr2bl w:val="nil"/>
                  </w:tcBorders>
                  <w:vAlign w:val="center"/>
                </w:tcPr>
                <w:p w14:paraId="4E48964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35.7</w:t>
                  </w:r>
                </w:p>
              </w:tc>
              <w:tc>
                <w:tcPr>
                  <w:tcW w:w="301" w:type="pct"/>
                  <w:tcBorders>
                    <w:tl2br w:val="nil"/>
                    <w:tr2bl w:val="nil"/>
                  </w:tcBorders>
                  <w:vAlign w:val="center"/>
                </w:tcPr>
                <w:p w14:paraId="2EF986C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36.8</w:t>
                  </w:r>
                </w:p>
              </w:tc>
              <w:tc>
                <w:tcPr>
                  <w:tcW w:w="306" w:type="pct"/>
                  <w:tcBorders>
                    <w:tl2br w:val="nil"/>
                    <w:tr2bl w:val="nil"/>
                  </w:tcBorders>
                  <w:vAlign w:val="center"/>
                </w:tcPr>
                <w:p w14:paraId="5523ADD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32.5</w:t>
                  </w:r>
                </w:p>
              </w:tc>
              <w:tc>
                <w:tcPr>
                  <w:tcW w:w="1797" w:type="pct"/>
                  <w:tcBorders>
                    <w:tl2br w:val="nil"/>
                    <w:tr2bl w:val="nil"/>
                  </w:tcBorders>
                  <w:vAlign w:val="center"/>
                </w:tcPr>
                <w:p w14:paraId="11C2E1F4">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13691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106C2EE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14:paraId="395CEC8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14:paraId="47AAB93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14:paraId="1FEC073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0.104</w:t>
                  </w:r>
                </w:p>
              </w:tc>
              <w:tc>
                <w:tcPr>
                  <w:tcW w:w="301" w:type="pct"/>
                  <w:tcBorders>
                    <w:tl2br w:val="nil"/>
                    <w:tr2bl w:val="nil"/>
                  </w:tcBorders>
                  <w:vAlign w:val="center"/>
                </w:tcPr>
                <w:p w14:paraId="63E11FD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0.093</w:t>
                  </w:r>
                </w:p>
              </w:tc>
              <w:tc>
                <w:tcPr>
                  <w:tcW w:w="301" w:type="pct"/>
                  <w:tcBorders>
                    <w:tl2br w:val="nil"/>
                    <w:tr2bl w:val="nil"/>
                  </w:tcBorders>
                  <w:vAlign w:val="center"/>
                </w:tcPr>
                <w:p w14:paraId="3FBE53C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0.095</w:t>
                  </w:r>
                </w:p>
              </w:tc>
              <w:tc>
                <w:tcPr>
                  <w:tcW w:w="301" w:type="pct"/>
                  <w:tcBorders>
                    <w:tl2br w:val="nil"/>
                    <w:tr2bl w:val="nil"/>
                  </w:tcBorders>
                  <w:vAlign w:val="center"/>
                </w:tcPr>
                <w:p w14:paraId="2BFB2E9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0.094</w:t>
                  </w:r>
                </w:p>
              </w:tc>
              <w:tc>
                <w:tcPr>
                  <w:tcW w:w="301" w:type="pct"/>
                  <w:tcBorders>
                    <w:tl2br w:val="nil"/>
                    <w:tr2bl w:val="nil"/>
                  </w:tcBorders>
                  <w:vAlign w:val="center"/>
                </w:tcPr>
                <w:p w14:paraId="2E3F785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0.097</w:t>
                  </w:r>
                </w:p>
              </w:tc>
              <w:tc>
                <w:tcPr>
                  <w:tcW w:w="306" w:type="pct"/>
                  <w:tcBorders>
                    <w:tl2br w:val="nil"/>
                    <w:tr2bl w:val="nil"/>
                  </w:tcBorders>
                  <w:vAlign w:val="center"/>
                </w:tcPr>
                <w:p w14:paraId="61D19FF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0.086</w:t>
                  </w:r>
                </w:p>
              </w:tc>
              <w:tc>
                <w:tcPr>
                  <w:tcW w:w="1797" w:type="pct"/>
                  <w:tcBorders>
                    <w:tl2br w:val="nil"/>
                    <w:tr2bl w:val="nil"/>
                  </w:tcBorders>
                  <w:vAlign w:val="center"/>
                </w:tcPr>
                <w:p w14:paraId="64342500">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0CE42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restart"/>
                  <w:tcBorders>
                    <w:tl2br w:val="nil"/>
                    <w:tr2bl w:val="nil"/>
                  </w:tcBorders>
                  <w:shd w:val="clear" w:color="auto" w:fill="auto"/>
                  <w:vAlign w:val="center"/>
                </w:tcPr>
                <w:p w14:paraId="33166E3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布袋除尘器处理设施进气口</w:t>
                  </w:r>
                </w:p>
                <w:p w14:paraId="005C157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tcBorders>
                    <w:tl2br w:val="nil"/>
                    <w:tr2bl w:val="nil"/>
                  </w:tcBorders>
                  <w:shd w:val="clear" w:color="auto" w:fill="auto"/>
                  <w:vAlign w:val="center"/>
                </w:tcPr>
                <w:p w14:paraId="00AC720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14:paraId="5B06212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2604</w:t>
                  </w:r>
                </w:p>
              </w:tc>
              <w:tc>
                <w:tcPr>
                  <w:tcW w:w="301" w:type="pct"/>
                  <w:tcBorders>
                    <w:tl2br w:val="nil"/>
                    <w:tr2bl w:val="nil"/>
                  </w:tcBorders>
                  <w:vAlign w:val="center"/>
                </w:tcPr>
                <w:p w14:paraId="7D73CF4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2607</w:t>
                  </w:r>
                </w:p>
              </w:tc>
              <w:tc>
                <w:tcPr>
                  <w:tcW w:w="301" w:type="pct"/>
                  <w:tcBorders>
                    <w:tl2br w:val="nil"/>
                    <w:tr2bl w:val="nil"/>
                  </w:tcBorders>
                  <w:vAlign w:val="center"/>
                </w:tcPr>
                <w:p w14:paraId="50694F8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2605</w:t>
                  </w:r>
                </w:p>
              </w:tc>
              <w:tc>
                <w:tcPr>
                  <w:tcW w:w="301" w:type="pct"/>
                  <w:tcBorders>
                    <w:tl2br w:val="nil"/>
                    <w:tr2bl w:val="nil"/>
                  </w:tcBorders>
                  <w:vAlign w:val="center"/>
                </w:tcPr>
                <w:p w14:paraId="669DFFF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2604</w:t>
                  </w:r>
                </w:p>
              </w:tc>
              <w:tc>
                <w:tcPr>
                  <w:tcW w:w="301" w:type="pct"/>
                  <w:tcBorders>
                    <w:tl2br w:val="nil"/>
                    <w:tr2bl w:val="nil"/>
                  </w:tcBorders>
                  <w:vAlign w:val="center"/>
                </w:tcPr>
                <w:p w14:paraId="04B5C5E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2611</w:t>
                  </w:r>
                </w:p>
              </w:tc>
              <w:tc>
                <w:tcPr>
                  <w:tcW w:w="306" w:type="pct"/>
                  <w:tcBorders>
                    <w:tl2br w:val="nil"/>
                    <w:tr2bl w:val="nil"/>
                  </w:tcBorders>
                  <w:vAlign w:val="center"/>
                </w:tcPr>
                <w:p w14:paraId="1B11017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2603</w:t>
                  </w:r>
                </w:p>
              </w:tc>
              <w:tc>
                <w:tcPr>
                  <w:tcW w:w="1797" w:type="pct"/>
                  <w:tcBorders>
                    <w:tl2br w:val="nil"/>
                    <w:tr2bl w:val="nil"/>
                  </w:tcBorders>
                  <w:vAlign w:val="center"/>
                </w:tcPr>
                <w:p w14:paraId="73800012">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3108B2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501F5E8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14:paraId="394A0DD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14:paraId="0B0C201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14:paraId="72722F9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119.0</w:t>
                  </w:r>
                </w:p>
              </w:tc>
              <w:tc>
                <w:tcPr>
                  <w:tcW w:w="301" w:type="pct"/>
                  <w:tcBorders>
                    <w:tl2br w:val="nil"/>
                    <w:tr2bl w:val="nil"/>
                  </w:tcBorders>
                  <w:vAlign w:val="center"/>
                </w:tcPr>
                <w:p w14:paraId="5F33CA4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112.0</w:t>
                  </w:r>
                </w:p>
              </w:tc>
              <w:tc>
                <w:tcPr>
                  <w:tcW w:w="301" w:type="pct"/>
                  <w:tcBorders>
                    <w:tl2br w:val="nil"/>
                    <w:tr2bl w:val="nil"/>
                  </w:tcBorders>
                  <w:vAlign w:val="center"/>
                </w:tcPr>
                <w:p w14:paraId="786D088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116.0</w:t>
                  </w:r>
                </w:p>
              </w:tc>
              <w:tc>
                <w:tcPr>
                  <w:tcW w:w="301" w:type="pct"/>
                  <w:tcBorders>
                    <w:tl2br w:val="nil"/>
                    <w:tr2bl w:val="nil"/>
                  </w:tcBorders>
                  <w:vAlign w:val="center"/>
                </w:tcPr>
                <w:p w14:paraId="24714CA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109.7</w:t>
                  </w:r>
                </w:p>
              </w:tc>
              <w:tc>
                <w:tcPr>
                  <w:tcW w:w="301" w:type="pct"/>
                  <w:tcBorders>
                    <w:tl2br w:val="nil"/>
                    <w:tr2bl w:val="nil"/>
                  </w:tcBorders>
                  <w:vAlign w:val="center"/>
                </w:tcPr>
                <w:p w14:paraId="12FC66A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117.0</w:t>
                  </w:r>
                </w:p>
              </w:tc>
              <w:tc>
                <w:tcPr>
                  <w:tcW w:w="306" w:type="pct"/>
                  <w:tcBorders>
                    <w:tl2br w:val="nil"/>
                    <w:tr2bl w:val="nil"/>
                  </w:tcBorders>
                  <w:vAlign w:val="center"/>
                </w:tcPr>
                <w:p w14:paraId="70E8B55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121.0</w:t>
                  </w:r>
                </w:p>
              </w:tc>
              <w:tc>
                <w:tcPr>
                  <w:tcW w:w="1797" w:type="pct"/>
                  <w:tcBorders>
                    <w:tl2br w:val="nil"/>
                    <w:tr2bl w:val="nil"/>
                  </w:tcBorders>
                  <w:vAlign w:val="center"/>
                </w:tcPr>
                <w:p w14:paraId="44AC8A55">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48CF4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05CD626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14:paraId="0440576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14:paraId="1BF1080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14:paraId="2D6C111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14:paraId="239B326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0.29</w:t>
                  </w:r>
                </w:p>
              </w:tc>
              <w:tc>
                <w:tcPr>
                  <w:tcW w:w="301" w:type="pct"/>
                  <w:tcBorders>
                    <w:tl2br w:val="nil"/>
                    <w:tr2bl w:val="nil"/>
                  </w:tcBorders>
                  <w:vAlign w:val="center"/>
                </w:tcPr>
                <w:p w14:paraId="48899A58">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w:t>
                  </w:r>
                </w:p>
              </w:tc>
              <w:tc>
                <w:tcPr>
                  <w:tcW w:w="301" w:type="pct"/>
                  <w:tcBorders>
                    <w:tl2br w:val="nil"/>
                    <w:tr2bl w:val="nil"/>
                  </w:tcBorders>
                  <w:vAlign w:val="center"/>
                </w:tcPr>
                <w:p w14:paraId="63FEECC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0.29</w:t>
                  </w:r>
                </w:p>
              </w:tc>
              <w:tc>
                <w:tcPr>
                  <w:tcW w:w="301" w:type="pct"/>
                  <w:tcBorders>
                    <w:tl2br w:val="nil"/>
                    <w:tr2bl w:val="nil"/>
                  </w:tcBorders>
                  <w:vAlign w:val="center"/>
                </w:tcPr>
                <w:p w14:paraId="51CB361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6" w:type="pct"/>
                  <w:tcBorders>
                    <w:tl2br w:val="nil"/>
                    <w:tr2bl w:val="nil"/>
                  </w:tcBorders>
                  <w:vAlign w:val="center"/>
                </w:tcPr>
                <w:p w14:paraId="29CE86F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1797" w:type="pct"/>
                  <w:tcBorders>
                    <w:tl2br w:val="nil"/>
                    <w:tr2bl w:val="nil"/>
                  </w:tcBorders>
                  <w:vAlign w:val="center"/>
                </w:tcPr>
                <w:p w14:paraId="0E56F751">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1622FA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restart"/>
                  <w:tcBorders>
                    <w:tl2br w:val="nil"/>
                    <w:tr2bl w:val="nil"/>
                  </w:tcBorders>
                  <w:shd w:val="clear" w:color="auto" w:fill="auto"/>
                  <w:vAlign w:val="center"/>
                </w:tcPr>
                <w:p w14:paraId="7AFE63F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default" w:ascii="Times New Roman" w:hAnsi="Times New Roman" w:eastAsia="宋体" w:cs="Times New Roman"/>
                      <w:bCs/>
                      <w:kern w:val="0"/>
                      <w:sz w:val="21"/>
                      <w:szCs w:val="21"/>
                      <w:highlight w:val="none"/>
                      <w:u w:val="none" w:color="auto"/>
                      <w:lang w:val="en-US" w:eastAsia="zh-CN"/>
                    </w:rPr>
                    <w:t>布袋除尘器处理设施</w:t>
                  </w:r>
                  <w:r>
                    <w:rPr>
                      <w:rFonts w:hint="eastAsia" w:eastAsia="宋体" w:cs="Times New Roman"/>
                      <w:bCs/>
                      <w:kern w:val="0"/>
                      <w:sz w:val="21"/>
                      <w:szCs w:val="21"/>
                      <w:highlight w:val="none"/>
                      <w:u w:val="none" w:color="auto"/>
                      <w:lang w:val="en-US" w:eastAsia="zh-CN"/>
                    </w:rPr>
                    <w:t>排气筒出口2#</w:t>
                  </w:r>
                </w:p>
              </w:tc>
              <w:tc>
                <w:tcPr>
                  <w:tcW w:w="972" w:type="pct"/>
                  <w:gridSpan w:val="2"/>
                  <w:tcBorders>
                    <w:tl2br w:val="nil"/>
                    <w:tr2bl w:val="nil"/>
                  </w:tcBorders>
                  <w:shd w:val="clear" w:color="auto" w:fill="auto"/>
                  <w:vAlign w:val="center"/>
                </w:tcPr>
                <w:p w14:paraId="66EF9924">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14:paraId="5A08AED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2638</w:t>
                  </w:r>
                </w:p>
              </w:tc>
              <w:tc>
                <w:tcPr>
                  <w:tcW w:w="301" w:type="pct"/>
                  <w:tcBorders>
                    <w:tl2br w:val="nil"/>
                    <w:tr2bl w:val="nil"/>
                  </w:tcBorders>
                  <w:vAlign w:val="center"/>
                </w:tcPr>
                <w:p w14:paraId="448B233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2641</w:t>
                  </w:r>
                </w:p>
              </w:tc>
              <w:tc>
                <w:tcPr>
                  <w:tcW w:w="301" w:type="pct"/>
                  <w:tcBorders>
                    <w:tl2br w:val="nil"/>
                    <w:tr2bl w:val="nil"/>
                  </w:tcBorders>
                  <w:vAlign w:val="center"/>
                </w:tcPr>
                <w:p w14:paraId="09F7AB4C">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2632</w:t>
                  </w:r>
                </w:p>
              </w:tc>
              <w:tc>
                <w:tcPr>
                  <w:tcW w:w="301" w:type="pct"/>
                  <w:tcBorders>
                    <w:tl2br w:val="nil"/>
                    <w:tr2bl w:val="nil"/>
                  </w:tcBorders>
                  <w:vAlign w:val="center"/>
                </w:tcPr>
                <w:p w14:paraId="1CD5D0B0">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2625</w:t>
                  </w:r>
                </w:p>
              </w:tc>
              <w:tc>
                <w:tcPr>
                  <w:tcW w:w="301" w:type="pct"/>
                  <w:tcBorders>
                    <w:tl2br w:val="nil"/>
                    <w:tr2bl w:val="nil"/>
                  </w:tcBorders>
                  <w:vAlign w:val="center"/>
                </w:tcPr>
                <w:p w14:paraId="60CD3AD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2629</w:t>
                  </w:r>
                </w:p>
              </w:tc>
              <w:tc>
                <w:tcPr>
                  <w:tcW w:w="306" w:type="pct"/>
                  <w:tcBorders>
                    <w:tl2br w:val="nil"/>
                    <w:tr2bl w:val="nil"/>
                  </w:tcBorders>
                  <w:vAlign w:val="center"/>
                </w:tcPr>
                <w:p w14:paraId="6E747273">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2630</w:t>
                  </w:r>
                </w:p>
              </w:tc>
              <w:tc>
                <w:tcPr>
                  <w:tcW w:w="1797" w:type="pct"/>
                  <w:tcBorders>
                    <w:tl2br w:val="nil"/>
                    <w:tr2bl w:val="nil"/>
                  </w:tcBorders>
                  <w:vAlign w:val="center"/>
                </w:tcPr>
                <w:p w14:paraId="78873953">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0FAAE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7A5950B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14:paraId="202EA0D5">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14:paraId="6AA0590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14:paraId="7E9A4E3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35.7</w:t>
                  </w:r>
                </w:p>
              </w:tc>
              <w:tc>
                <w:tcPr>
                  <w:tcW w:w="301" w:type="pct"/>
                  <w:tcBorders>
                    <w:tl2br w:val="nil"/>
                    <w:tr2bl w:val="nil"/>
                  </w:tcBorders>
                  <w:vAlign w:val="center"/>
                </w:tcPr>
                <w:p w14:paraId="7E9B27D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33.6</w:t>
                  </w:r>
                </w:p>
              </w:tc>
              <w:tc>
                <w:tcPr>
                  <w:tcW w:w="301" w:type="pct"/>
                  <w:tcBorders>
                    <w:tl2br w:val="nil"/>
                    <w:tr2bl w:val="nil"/>
                  </w:tcBorders>
                  <w:vAlign w:val="center"/>
                </w:tcPr>
                <w:p w14:paraId="47C08422">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34.8</w:t>
                  </w:r>
                </w:p>
              </w:tc>
              <w:tc>
                <w:tcPr>
                  <w:tcW w:w="301" w:type="pct"/>
                  <w:tcBorders>
                    <w:tl2br w:val="nil"/>
                    <w:tr2bl w:val="nil"/>
                  </w:tcBorders>
                  <w:vAlign w:val="center"/>
                </w:tcPr>
                <w:p w14:paraId="0585B98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32.9</w:t>
                  </w:r>
                </w:p>
              </w:tc>
              <w:tc>
                <w:tcPr>
                  <w:tcW w:w="301" w:type="pct"/>
                  <w:tcBorders>
                    <w:tl2br w:val="nil"/>
                    <w:tr2bl w:val="nil"/>
                  </w:tcBorders>
                  <w:vAlign w:val="center"/>
                </w:tcPr>
                <w:p w14:paraId="2780FA1B">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35.1</w:t>
                  </w:r>
                </w:p>
              </w:tc>
              <w:tc>
                <w:tcPr>
                  <w:tcW w:w="306" w:type="pct"/>
                  <w:tcBorders>
                    <w:tl2br w:val="nil"/>
                    <w:tr2bl w:val="nil"/>
                  </w:tcBorders>
                  <w:vAlign w:val="center"/>
                </w:tcPr>
                <w:p w14:paraId="3C825FC1">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36.3</w:t>
                  </w:r>
                </w:p>
              </w:tc>
              <w:tc>
                <w:tcPr>
                  <w:tcW w:w="1797" w:type="pct"/>
                  <w:tcBorders>
                    <w:tl2br w:val="nil"/>
                    <w:tr2bl w:val="nil"/>
                  </w:tcBorders>
                  <w:vAlign w:val="center"/>
                </w:tcPr>
                <w:p w14:paraId="73EC87C2">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14:paraId="5FBEBB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1" w:type="pct"/>
                  <w:vMerge w:val="continue"/>
                  <w:tcBorders>
                    <w:tl2br w:val="nil"/>
                    <w:tr2bl w:val="nil"/>
                  </w:tcBorders>
                  <w:vAlign w:val="center"/>
                </w:tcPr>
                <w:p w14:paraId="61D7AD3F">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14:paraId="6AFC2E77">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14:paraId="52AA72B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14:paraId="67C13A89">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0.094</w:t>
                  </w:r>
                </w:p>
              </w:tc>
              <w:tc>
                <w:tcPr>
                  <w:tcW w:w="301" w:type="pct"/>
                  <w:tcBorders>
                    <w:tl2br w:val="nil"/>
                    <w:tr2bl w:val="nil"/>
                  </w:tcBorders>
                  <w:vAlign w:val="center"/>
                </w:tcPr>
                <w:p w14:paraId="1FCE0CB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0.089</w:t>
                  </w:r>
                </w:p>
              </w:tc>
              <w:tc>
                <w:tcPr>
                  <w:tcW w:w="301" w:type="pct"/>
                  <w:tcBorders>
                    <w:tl2br w:val="nil"/>
                    <w:tr2bl w:val="nil"/>
                  </w:tcBorders>
                  <w:vAlign w:val="center"/>
                </w:tcPr>
                <w:p w14:paraId="75AB94EE">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0.092</w:t>
                  </w:r>
                </w:p>
              </w:tc>
              <w:tc>
                <w:tcPr>
                  <w:tcW w:w="301" w:type="pct"/>
                  <w:tcBorders>
                    <w:tl2br w:val="nil"/>
                    <w:tr2bl w:val="nil"/>
                  </w:tcBorders>
                  <w:vAlign w:val="center"/>
                </w:tcPr>
                <w:p w14:paraId="29AAFAE6">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0.086</w:t>
                  </w:r>
                </w:p>
              </w:tc>
              <w:tc>
                <w:tcPr>
                  <w:tcW w:w="301" w:type="pct"/>
                  <w:tcBorders>
                    <w:tl2br w:val="nil"/>
                    <w:tr2bl w:val="nil"/>
                  </w:tcBorders>
                  <w:vAlign w:val="center"/>
                </w:tcPr>
                <w:p w14:paraId="5552BC6D">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0.092</w:t>
                  </w:r>
                </w:p>
              </w:tc>
              <w:tc>
                <w:tcPr>
                  <w:tcW w:w="306" w:type="pct"/>
                  <w:tcBorders>
                    <w:tl2br w:val="nil"/>
                    <w:tr2bl w:val="nil"/>
                  </w:tcBorders>
                  <w:vAlign w:val="center"/>
                </w:tcPr>
                <w:p w14:paraId="7EABD23A">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0.095</w:t>
                  </w:r>
                </w:p>
              </w:tc>
              <w:tc>
                <w:tcPr>
                  <w:tcW w:w="1797" w:type="pct"/>
                  <w:tcBorders>
                    <w:tl2br w:val="nil"/>
                    <w:tr2bl w:val="nil"/>
                  </w:tcBorders>
                  <w:vAlign w:val="center"/>
                </w:tcPr>
                <w:p w14:paraId="20C7ED66">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bl>
          <w:p w14:paraId="3912984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（3）噪声</w:t>
            </w:r>
          </w:p>
          <w:p w14:paraId="387D3AF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现有项目营运期噪声主要来自爆破和破碎工程。新田县振新建材有限公司</w:t>
            </w:r>
            <w:r>
              <w:rPr>
                <w:rFonts w:hint="eastAsia" w:eastAsia="宋体" w:cs="Times New Roman"/>
                <w:color w:val="000000"/>
                <w:spacing w:val="11"/>
                <w:position w:val="0"/>
                <w:sz w:val="24"/>
                <w:szCs w:val="24"/>
                <w:highlight w:val="none"/>
                <w:u w:val="none" w:color="auto"/>
                <w:lang w:val="en-US" w:eastAsia="zh-CN"/>
              </w:rPr>
              <w:t>通过</w:t>
            </w:r>
            <w:r>
              <w:rPr>
                <w:rFonts w:hint="default" w:ascii="Times New Roman" w:hAnsi="Times New Roman" w:eastAsia="宋体" w:cs="Times New Roman"/>
                <w:color w:val="000000"/>
                <w:spacing w:val="11"/>
                <w:position w:val="0"/>
                <w:sz w:val="24"/>
                <w:szCs w:val="24"/>
                <w:highlight w:val="none"/>
                <w:u w:val="none" w:color="auto"/>
                <w:lang w:val="en-US" w:eastAsia="zh-CN"/>
              </w:rPr>
              <w:t>对高噪声设备</w:t>
            </w:r>
            <w:r>
              <w:rPr>
                <w:rFonts w:hint="eastAsia" w:eastAsia="宋体" w:cs="Times New Roman"/>
                <w:color w:val="000000"/>
                <w:spacing w:val="11"/>
                <w:position w:val="0"/>
                <w:sz w:val="24"/>
                <w:szCs w:val="24"/>
                <w:highlight w:val="none"/>
                <w:u w:val="none" w:color="auto"/>
                <w:lang w:val="en-US" w:eastAsia="zh-CN"/>
              </w:rPr>
              <w:t>采取</w:t>
            </w:r>
            <w:r>
              <w:rPr>
                <w:rFonts w:hint="default" w:ascii="Times New Roman" w:hAnsi="Times New Roman" w:eastAsia="宋体" w:cs="Times New Roman"/>
                <w:color w:val="000000"/>
                <w:spacing w:val="11"/>
                <w:position w:val="0"/>
                <w:sz w:val="24"/>
                <w:szCs w:val="24"/>
                <w:highlight w:val="none"/>
                <w:u w:val="none" w:color="auto"/>
                <w:lang w:val="en-US" w:eastAsia="zh-CN"/>
              </w:rPr>
              <w:t>封闭隔音，加强</w:t>
            </w:r>
            <w:r>
              <w:rPr>
                <w:rFonts w:hint="eastAsia" w:eastAsia="宋体" w:cs="Times New Roman"/>
                <w:color w:val="000000"/>
                <w:spacing w:val="11"/>
                <w:position w:val="0"/>
                <w:sz w:val="24"/>
                <w:szCs w:val="24"/>
                <w:highlight w:val="none"/>
                <w:u w:val="none" w:color="auto"/>
                <w:lang w:val="en-US" w:eastAsia="zh-CN"/>
              </w:rPr>
              <w:t>爆破</w:t>
            </w:r>
            <w:r>
              <w:rPr>
                <w:rFonts w:hint="default" w:ascii="Times New Roman" w:hAnsi="Times New Roman" w:eastAsia="宋体" w:cs="Times New Roman"/>
                <w:color w:val="000000"/>
                <w:spacing w:val="11"/>
                <w:position w:val="0"/>
                <w:sz w:val="24"/>
                <w:szCs w:val="24"/>
                <w:highlight w:val="none"/>
                <w:u w:val="none" w:color="auto"/>
                <w:lang w:val="en-US" w:eastAsia="zh-CN"/>
              </w:rPr>
              <w:t>、运输、破碎管理，对运行设备、机具进行维护保养，运输车辆禁止鸣笛，合理布设厂区布局</w:t>
            </w:r>
            <w:r>
              <w:rPr>
                <w:rFonts w:hint="eastAsia" w:eastAsia="宋体" w:cs="Times New Roman"/>
                <w:color w:val="000000"/>
                <w:spacing w:val="11"/>
                <w:position w:val="0"/>
                <w:sz w:val="24"/>
                <w:szCs w:val="24"/>
                <w:highlight w:val="none"/>
                <w:u w:val="none" w:color="auto"/>
                <w:lang w:val="en-US" w:eastAsia="zh-CN"/>
              </w:rPr>
              <w:t>等措施降低对</w:t>
            </w:r>
            <w:r>
              <w:rPr>
                <w:rFonts w:hint="default" w:ascii="Times New Roman" w:hAnsi="Times New Roman" w:eastAsia="宋体" w:cs="Times New Roman"/>
                <w:color w:val="000000"/>
                <w:spacing w:val="11"/>
                <w:position w:val="0"/>
                <w:sz w:val="24"/>
                <w:szCs w:val="24"/>
                <w:highlight w:val="none"/>
                <w:u w:val="none" w:color="auto"/>
                <w:lang w:val="en-US" w:eastAsia="zh-CN"/>
              </w:rPr>
              <w:t>周边声环境</w:t>
            </w:r>
            <w:r>
              <w:rPr>
                <w:rFonts w:hint="eastAsia" w:eastAsia="宋体" w:cs="Times New Roman"/>
                <w:color w:val="000000"/>
                <w:spacing w:val="11"/>
                <w:position w:val="0"/>
                <w:sz w:val="24"/>
                <w:szCs w:val="24"/>
                <w:highlight w:val="none"/>
                <w:u w:val="none" w:color="auto"/>
                <w:lang w:val="en-US" w:eastAsia="zh-CN"/>
              </w:rPr>
              <w:t>的</w:t>
            </w:r>
            <w:r>
              <w:rPr>
                <w:rFonts w:hint="default" w:ascii="Times New Roman" w:hAnsi="Times New Roman" w:eastAsia="宋体" w:cs="Times New Roman"/>
                <w:color w:val="000000"/>
                <w:spacing w:val="11"/>
                <w:position w:val="0"/>
                <w:sz w:val="24"/>
                <w:szCs w:val="24"/>
                <w:highlight w:val="none"/>
                <w:u w:val="none" w:color="auto"/>
                <w:lang w:val="en-US" w:eastAsia="zh-CN"/>
              </w:rPr>
              <w:t>影响。</w:t>
            </w:r>
          </w:p>
          <w:p w14:paraId="12F1B20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根据现有工程竣工环境保护自主验收报告，验收监测期间，厂界四周昼、夜间噪声均满足《工业企业厂界环境噪声排放标准》（GB12348-2008）中2类标准限值要求</w:t>
            </w:r>
            <w:r>
              <w:rPr>
                <w:rFonts w:hint="eastAsia" w:eastAsia="宋体" w:cs="Times New Roman"/>
                <w:color w:val="000000"/>
                <w:spacing w:val="11"/>
                <w:position w:val="0"/>
                <w:sz w:val="24"/>
                <w:szCs w:val="24"/>
                <w:highlight w:val="none"/>
                <w:u w:val="none" w:color="auto"/>
                <w:lang w:val="en-US" w:eastAsia="zh-CN"/>
              </w:rPr>
              <w:t>，监测结果详见表3-6。</w:t>
            </w:r>
          </w:p>
          <w:p w14:paraId="43C1D5F4">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eastAsia" w:eastAsia="宋体" w:cs="Times New Roman"/>
                <w:b/>
                <w:bCs/>
                <w:color w:val="auto"/>
                <w:sz w:val="21"/>
                <w:szCs w:val="21"/>
                <w:highlight w:val="none"/>
                <w:u w:val="none" w:color="auto"/>
                <w:lang w:val="en-US" w:eastAsia="zh-CN"/>
              </w:rPr>
              <w:t>3-6</w:t>
            </w:r>
            <w:r>
              <w:rPr>
                <w:rFonts w:hint="eastAsia" w:ascii="Times New Roman" w:hAnsi="Times New Roman" w:eastAsia="宋体" w:cs="Times New Roman"/>
                <w:b/>
                <w:bCs/>
                <w:color w:val="auto"/>
                <w:sz w:val="21"/>
                <w:szCs w:val="21"/>
                <w:highlight w:val="none"/>
                <w:u w:val="none" w:color="auto"/>
                <w:lang w:val="en-US" w:eastAsia="zh-CN"/>
              </w:rPr>
              <w:t xml:space="preserve">  现有工程噪声</w:t>
            </w:r>
            <w:r>
              <w:rPr>
                <w:rFonts w:hint="default" w:ascii="Times New Roman" w:hAnsi="Times New Roman" w:eastAsia="宋体" w:cs="Times New Roman"/>
                <w:b/>
                <w:bCs/>
                <w:color w:val="auto"/>
                <w:sz w:val="21"/>
                <w:szCs w:val="21"/>
                <w:highlight w:val="none"/>
                <w:u w:val="none" w:color="auto"/>
                <w:lang w:val="en-US" w:eastAsia="zh-CN"/>
              </w:rPr>
              <w:t>检测</w:t>
            </w:r>
            <w:r>
              <w:rPr>
                <w:rFonts w:hint="default" w:ascii="Times New Roman" w:hAnsi="Times New Roman" w:eastAsia="宋体" w:cs="Times New Roman"/>
                <w:b/>
                <w:bCs/>
                <w:color w:val="auto"/>
                <w:sz w:val="21"/>
                <w:szCs w:val="21"/>
                <w:highlight w:val="none"/>
                <w:u w:val="none" w:color="auto"/>
              </w:rPr>
              <w:t>结果</w:t>
            </w:r>
          </w:p>
          <w:tbl>
            <w:tblPr>
              <w:tblStyle w:val="6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1542"/>
              <w:gridCol w:w="1267"/>
              <w:gridCol w:w="1267"/>
              <w:gridCol w:w="924"/>
              <w:gridCol w:w="928"/>
              <w:gridCol w:w="821"/>
            </w:tblGrid>
            <w:tr w14:paraId="36DD6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restart"/>
                  <w:tcBorders>
                    <w:tl2br w:val="nil"/>
                    <w:tr2bl w:val="nil"/>
                  </w:tcBorders>
                  <w:vAlign w:val="center"/>
                </w:tcPr>
                <w:p w14:paraId="7BB06E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检测日期</w:t>
                  </w:r>
                </w:p>
              </w:tc>
              <w:tc>
                <w:tcPr>
                  <w:tcW w:w="965" w:type="pct"/>
                  <w:vMerge w:val="restart"/>
                  <w:tcBorders>
                    <w:tl2br w:val="nil"/>
                    <w:tr2bl w:val="nil"/>
                  </w:tcBorders>
                  <w:vAlign w:val="center"/>
                </w:tcPr>
                <w:p w14:paraId="16190F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检测点位</w:t>
                  </w:r>
                </w:p>
              </w:tc>
              <w:tc>
                <w:tcPr>
                  <w:tcW w:w="793" w:type="pct"/>
                  <w:vMerge w:val="restart"/>
                  <w:tcBorders>
                    <w:tl2br w:val="nil"/>
                    <w:tr2bl w:val="nil"/>
                  </w:tcBorders>
                  <w:vAlign w:val="center"/>
                </w:tcPr>
                <w:p w14:paraId="61B556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昼间</w:t>
                  </w:r>
                  <w:r>
                    <w:rPr>
                      <w:rFonts w:hint="eastAsia" w:eastAsia="宋体" w:cs="Times New Roman"/>
                      <w:color w:val="auto"/>
                      <w:kern w:val="0"/>
                      <w:sz w:val="21"/>
                      <w:szCs w:val="21"/>
                      <w:u w:val="none" w:color="auto"/>
                      <w:lang w:val="en-US" w:eastAsia="zh-CN"/>
                    </w:rPr>
                    <w:t>dB（A）</w:t>
                  </w:r>
                </w:p>
              </w:tc>
              <w:tc>
                <w:tcPr>
                  <w:tcW w:w="793" w:type="pct"/>
                  <w:vMerge w:val="restart"/>
                  <w:tcBorders>
                    <w:tl2br w:val="nil"/>
                    <w:tr2bl w:val="nil"/>
                  </w:tcBorders>
                  <w:vAlign w:val="center"/>
                </w:tcPr>
                <w:p w14:paraId="18688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夜间dB（A）</w:t>
                  </w:r>
                </w:p>
              </w:tc>
              <w:tc>
                <w:tcPr>
                  <w:tcW w:w="1159" w:type="pct"/>
                  <w:gridSpan w:val="2"/>
                  <w:tcBorders>
                    <w:tl2br w:val="nil"/>
                    <w:tr2bl w:val="nil"/>
                  </w:tcBorders>
                  <w:vAlign w:val="center"/>
                </w:tcPr>
                <w:p w14:paraId="0D3124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标准限值dB（A）</w:t>
                  </w:r>
                </w:p>
              </w:tc>
              <w:tc>
                <w:tcPr>
                  <w:tcW w:w="513" w:type="pct"/>
                  <w:vMerge w:val="restart"/>
                  <w:tcBorders>
                    <w:tl2br w:val="nil"/>
                    <w:tr2bl w:val="nil"/>
                  </w:tcBorders>
                  <w:vAlign w:val="center"/>
                </w:tcPr>
                <w:p w14:paraId="373653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是否达标</w:t>
                  </w:r>
                </w:p>
              </w:tc>
            </w:tr>
            <w:tr w14:paraId="11C99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continue"/>
                  <w:tcBorders>
                    <w:tl2br w:val="nil"/>
                    <w:tr2bl w:val="nil"/>
                  </w:tcBorders>
                  <w:vAlign w:val="center"/>
                </w:tcPr>
                <w:p w14:paraId="4F5A66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vMerge w:val="continue"/>
                  <w:tcBorders>
                    <w:tl2br w:val="nil"/>
                    <w:tr2bl w:val="nil"/>
                  </w:tcBorders>
                  <w:vAlign w:val="center"/>
                </w:tcPr>
                <w:p w14:paraId="35CD9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793" w:type="pct"/>
                  <w:vMerge w:val="continue"/>
                  <w:tcBorders>
                    <w:tl2br w:val="nil"/>
                    <w:tr2bl w:val="nil"/>
                  </w:tcBorders>
                  <w:vAlign w:val="center"/>
                </w:tcPr>
                <w:p w14:paraId="0D8D7F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793" w:type="pct"/>
                  <w:vMerge w:val="continue"/>
                  <w:tcBorders>
                    <w:tl2br w:val="nil"/>
                    <w:tr2bl w:val="nil"/>
                  </w:tcBorders>
                  <w:vAlign w:val="center"/>
                </w:tcPr>
                <w:p w14:paraId="137649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578" w:type="pct"/>
                  <w:tcBorders>
                    <w:tl2br w:val="nil"/>
                    <w:tr2bl w:val="nil"/>
                  </w:tcBorders>
                  <w:shd w:val="clear" w:color="auto" w:fill="auto"/>
                  <w:vAlign w:val="center"/>
                </w:tcPr>
                <w:p w14:paraId="67967E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昼间</w:t>
                  </w:r>
                </w:p>
              </w:tc>
              <w:tc>
                <w:tcPr>
                  <w:tcW w:w="581" w:type="pct"/>
                  <w:tcBorders>
                    <w:tl2br w:val="nil"/>
                    <w:tr2bl w:val="nil"/>
                  </w:tcBorders>
                  <w:shd w:val="clear" w:color="auto" w:fill="auto"/>
                  <w:vAlign w:val="center"/>
                </w:tcPr>
                <w:p w14:paraId="0F8FC6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夜间</w:t>
                  </w:r>
                </w:p>
              </w:tc>
              <w:tc>
                <w:tcPr>
                  <w:tcW w:w="513" w:type="pct"/>
                  <w:vMerge w:val="continue"/>
                  <w:tcBorders>
                    <w:tl2br w:val="nil"/>
                    <w:tr2bl w:val="nil"/>
                  </w:tcBorders>
                  <w:vAlign w:val="center"/>
                </w:tcPr>
                <w:p w14:paraId="313540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r>
            <w:tr w14:paraId="22D2F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restart"/>
                  <w:tcBorders>
                    <w:tl2br w:val="nil"/>
                    <w:tr2bl w:val="nil"/>
                  </w:tcBorders>
                  <w:vAlign w:val="center"/>
                </w:tcPr>
                <w:p w14:paraId="1F70C3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2020.7.1</w:t>
                  </w:r>
                </w:p>
              </w:tc>
              <w:tc>
                <w:tcPr>
                  <w:tcW w:w="965" w:type="pct"/>
                  <w:tcBorders>
                    <w:tl2br w:val="nil"/>
                    <w:tr2bl w:val="nil"/>
                  </w:tcBorders>
                  <w:vAlign w:val="center"/>
                </w:tcPr>
                <w:p w14:paraId="254970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厂界东</w:t>
                  </w:r>
                </w:p>
              </w:tc>
              <w:tc>
                <w:tcPr>
                  <w:tcW w:w="793" w:type="pct"/>
                  <w:tcBorders>
                    <w:tl2br w:val="nil"/>
                    <w:tr2bl w:val="nil"/>
                  </w:tcBorders>
                  <w:vAlign w:val="center"/>
                </w:tcPr>
                <w:p w14:paraId="24F215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57.8</w:t>
                  </w:r>
                </w:p>
              </w:tc>
              <w:tc>
                <w:tcPr>
                  <w:tcW w:w="793" w:type="pct"/>
                  <w:tcBorders>
                    <w:tl2br w:val="nil"/>
                    <w:tr2bl w:val="nil"/>
                  </w:tcBorders>
                  <w:vAlign w:val="center"/>
                </w:tcPr>
                <w:p w14:paraId="10314D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42.9</w:t>
                  </w:r>
                </w:p>
              </w:tc>
              <w:tc>
                <w:tcPr>
                  <w:tcW w:w="578" w:type="pct"/>
                  <w:tcBorders>
                    <w:tl2br w:val="nil"/>
                    <w:tr2bl w:val="nil"/>
                  </w:tcBorders>
                  <w:vAlign w:val="center"/>
                </w:tcPr>
                <w:p w14:paraId="0400AF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581" w:type="pct"/>
                  <w:tcBorders>
                    <w:tl2br w:val="nil"/>
                    <w:tr2bl w:val="nil"/>
                  </w:tcBorders>
                  <w:vAlign w:val="center"/>
                </w:tcPr>
                <w:p w14:paraId="75A15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513" w:type="pct"/>
                  <w:tcBorders>
                    <w:tl2br w:val="nil"/>
                    <w:tr2bl w:val="nil"/>
                  </w:tcBorders>
                  <w:vAlign w:val="center"/>
                </w:tcPr>
                <w:p w14:paraId="34D76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52AA51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continue"/>
                  <w:tcBorders>
                    <w:tl2br w:val="nil"/>
                    <w:tr2bl w:val="nil"/>
                  </w:tcBorders>
                  <w:vAlign w:val="center"/>
                </w:tcPr>
                <w:p w14:paraId="54014E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14:paraId="6B7BD1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厂界南</w:t>
                  </w:r>
                </w:p>
              </w:tc>
              <w:tc>
                <w:tcPr>
                  <w:tcW w:w="793" w:type="pct"/>
                  <w:tcBorders>
                    <w:tl2br w:val="nil"/>
                    <w:tr2bl w:val="nil"/>
                  </w:tcBorders>
                  <w:vAlign w:val="center"/>
                </w:tcPr>
                <w:p w14:paraId="134F94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58.5</w:t>
                  </w:r>
                </w:p>
              </w:tc>
              <w:tc>
                <w:tcPr>
                  <w:tcW w:w="793" w:type="pct"/>
                  <w:tcBorders>
                    <w:tl2br w:val="nil"/>
                    <w:tr2bl w:val="nil"/>
                  </w:tcBorders>
                  <w:vAlign w:val="center"/>
                </w:tcPr>
                <w:p w14:paraId="4A6DD2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43.3</w:t>
                  </w:r>
                </w:p>
              </w:tc>
              <w:tc>
                <w:tcPr>
                  <w:tcW w:w="969" w:type="dxa"/>
                  <w:tcBorders>
                    <w:tl2br w:val="nil"/>
                    <w:tr2bl w:val="nil"/>
                  </w:tcBorders>
                  <w:vAlign w:val="center"/>
                </w:tcPr>
                <w:p w14:paraId="65E5A0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2EA47D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110F17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4ECC7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continue"/>
                  <w:tcBorders>
                    <w:tl2br w:val="nil"/>
                    <w:tr2bl w:val="nil"/>
                  </w:tcBorders>
                  <w:vAlign w:val="center"/>
                </w:tcPr>
                <w:p w14:paraId="24391A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14:paraId="14728B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厂界西</w:t>
                  </w:r>
                </w:p>
              </w:tc>
              <w:tc>
                <w:tcPr>
                  <w:tcW w:w="793" w:type="pct"/>
                  <w:tcBorders>
                    <w:tl2br w:val="nil"/>
                    <w:tr2bl w:val="nil"/>
                  </w:tcBorders>
                  <w:vAlign w:val="center"/>
                </w:tcPr>
                <w:p w14:paraId="160A70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58.1</w:t>
                  </w:r>
                </w:p>
              </w:tc>
              <w:tc>
                <w:tcPr>
                  <w:tcW w:w="793" w:type="pct"/>
                  <w:tcBorders>
                    <w:tl2br w:val="nil"/>
                    <w:tr2bl w:val="nil"/>
                  </w:tcBorders>
                  <w:vAlign w:val="center"/>
                </w:tcPr>
                <w:p w14:paraId="6D63DC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43.5</w:t>
                  </w:r>
                </w:p>
              </w:tc>
              <w:tc>
                <w:tcPr>
                  <w:tcW w:w="969" w:type="dxa"/>
                  <w:tcBorders>
                    <w:tl2br w:val="nil"/>
                    <w:tr2bl w:val="nil"/>
                  </w:tcBorders>
                  <w:vAlign w:val="center"/>
                </w:tcPr>
                <w:p w14:paraId="109D6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5E386B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7393C5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0768A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continue"/>
                  <w:tcBorders>
                    <w:tl2br w:val="nil"/>
                    <w:tr2bl w:val="nil"/>
                  </w:tcBorders>
                  <w:vAlign w:val="center"/>
                </w:tcPr>
                <w:p w14:paraId="01CEDB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14:paraId="3160F3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厂界北</w:t>
                  </w:r>
                </w:p>
              </w:tc>
              <w:tc>
                <w:tcPr>
                  <w:tcW w:w="793" w:type="pct"/>
                  <w:tcBorders>
                    <w:tl2br w:val="nil"/>
                    <w:tr2bl w:val="nil"/>
                  </w:tcBorders>
                  <w:vAlign w:val="center"/>
                </w:tcPr>
                <w:p w14:paraId="7E3B4F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56.3</w:t>
                  </w:r>
                </w:p>
              </w:tc>
              <w:tc>
                <w:tcPr>
                  <w:tcW w:w="793" w:type="pct"/>
                  <w:tcBorders>
                    <w:tl2br w:val="nil"/>
                    <w:tr2bl w:val="nil"/>
                  </w:tcBorders>
                  <w:vAlign w:val="center"/>
                </w:tcPr>
                <w:p w14:paraId="74CEF2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45.8</w:t>
                  </w:r>
                </w:p>
              </w:tc>
              <w:tc>
                <w:tcPr>
                  <w:tcW w:w="969" w:type="dxa"/>
                  <w:tcBorders>
                    <w:tl2br w:val="nil"/>
                    <w:tr2bl w:val="nil"/>
                  </w:tcBorders>
                  <w:vAlign w:val="center"/>
                </w:tcPr>
                <w:p w14:paraId="1F8FD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4953B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3DB0CB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52F01D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75" w:type="pct"/>
                  <w:vMerge w:val="restart"/>
                  <w:tcBorders>
                    <w:tl2br w:val="nil"/>
                    <w:tr2bl w:val="nil"/>
                  </w:tcBorders>
                  <w:vAlign w:val="center"/>
                </w:tcPr>
                <w:p w14:paraId="700A5A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2020.7.2</w:t>
                  </w:r>
                </w:p>
              </w:tc>
              <w:tc>
                <w:tcPr>
                  <w:tcW w:w="965" w:type="pct"/>
                  <w:tcBorders>
                    <w:tl2br w:val="nil"/>
                    <w:tr2bl w:val="nil"/>
                  </w:tcBorders>
                  <w:shd w:val="clear" w:color="auto" w:fill="auto"/>
                  <w:vAlign w:val="center"/>
                </w:tcPr>
                <w:p w14:paraId="539552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厂界东</w:t>
                  </w:r>
                </w:p>
              </w:tc>
              <w:tc>
                <w:tcPr>
                  <w:tcW w:w="793" w:type="pct"/>
                  <w:tcBorders>
                    <w:tl2br w:val="nil"/>
                    <w:tr2bl w:val="nil"/>
                  </w:tcBorders>
                  <w:vAlign w:val="center"/>
                </w:tcPr>
                <w:p w14:paraId="2E6B2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57.5</w:t>
                  </w:r>
                </w:p>
              </w:tc>
              <w:tc>
                <w:tcPr>
                  <w:tcW w:w="793" w:type="pct"/>
                  <w:tcBorders>
                    <w:tl2br w:val="nil"/>
                    <w:tr2bl w:val="nil"/>
                  </w:tcBorders>
                  <w:vAlign w:val="center"/>
                </w:tcPr>
                <w:p w14:paraId="161AA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43.0</w:t>
                  </w:r>
                </w:p>
              </w:tc>
              <w:tc>
                <w:tcPr>
                  <w:tcW w:w="969" w:type="dxa"/>
                  <w:tcBorders>
                    <w:tl2br w:val="nil"/>
                    <w:tr2bl w:val="nil"/>
                  </w:tcBorders>
                  <w:vAlign w:val="center"/>
                </w:tcPr>
                <w:p w14:paraId="232A17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4DEB5D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23FAF2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2B41C9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75" w:type="pct"/>
                  <w:vMerge w:val="continue"/>
                  <w:tcBorders>
                    <w:tl2br w:val="nil"/>
                    <w:tr2bl w:val="nil"/>
                  </w:tcBorders>
                  <w:vAlign w:val="center"/>
                </w:tcPr>
                <w:p w14:paraId="21CC1F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14:paraId="66763D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厂界南</w:t>
                  </w:r>
                </w:p>
              </w:tc>
              <w:tc>
                <w:tcPr>
                  <w:tcW w:w="793" w:type="pct"/>
                  <w:tcBorders>
                    <w:tl2br w:val="nil"/>
                    <w:tr2bl w:val="nil"/>
                  </w:tcBorders>
                  <w:vAlign w:val="center"/>
                </w:tcPr>
                <w:p w14:paraId="47C8C0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58.8</w:t>
                  </w:r>
                </w:p>
              </w:tc>
              <w:tc>
                <w:tcPr>
                  <w:tcW w:w="793" w:type="pct"/>
                  <w:tcBorders>
                    <w:tl2br w:val="nil"/>
                    <w:tr2bl w:val="nil"/>
                  </w:tcBorders>
                  <w:vAlign w:val="center"/>
                </w:tcPr>
                <w:p w14:paraId="6482DD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43.2</w:t>
                  </w:r>
                </w:p>
              </w:tc>
              <w:tc>
                <w:tcPr>
                  <w:tcW w:w="969" w:type="dxa"/>
                  <w:tcBorders>
                    <w:tl2br w:val="nil"/>
                    <w:tr2bl w:val="nil"/>
                  </w:tcBorders>
                  <w:vAlign w:val="center"/>
                </w:tcPr>
                <w:p w14:paraId="359939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10EC6D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6D5A40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5FDEF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75" w:type="pct"/>
                  <w:vMerge w:val="continue"/>
                  <w:tcBorders>
                    <w:tl2br w:val="nil"/>
                    <w:tr2bl w:val="nil"/>
                  </w:tcBorders>
                  <w:vAlign w:val="center"/>
                </w:tcPr>
                <w:p w14:paraId="033ED3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14:paraId="458F97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厂界西</w:t>
                  </w:r>
                </w:p>
              </w:tc>
              <w:tc>
                <w:tcPr>
                  <w:tcW w:w="793" w:type="pct"/>
                  <w:tcBorders>
                    <w:tl2br w:val="nil"/>
                    <w:tr2bl w:val="nil"/>
                  </w:tcBorders>
                  <w:vAlign w:val="center"/>
                </w:tcPr>
                <w:p w14:paraId="63F7C1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58.3</w:t>
                  </w:r>
                </w:p>
              </w:tc>
              <w:tc>
                <w:tcPr>
                  <w:tcW w:w="793" w:type="pct"/>
                  <w:tcBorders>
                    <w:tl2br w:val="nil"/>
                    <w:tr2bl w:val="nil"/>
                  </w:tcBorders>
                  <w:vAlign w:val="center"/>
                </w:tcPr>
                <w:p w14:paraId="3A46F6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43.7</w:t>
                  </w:r>
                </w:p>
              </w:tc>
              <w:tc>
                <w:tcPr>
                  <w:tcW w:w="969" w:type="dxa"/>
                  <w:tcBorders>
                    <w:tl2br w:val="nil"/>
                    <w:tr2bl w:val="nil"/>
                  </w:tcBorders>
                  <w:vAlign w:val="center"/>
                </w:tcPr>
                <w:p w14:paraId="4CBC4F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43D15C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4FAAD7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5B03F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75" w:type="pct"/>
                  <w:vMerge w:val="continue"/>
                  <w:tcBorders>
                    <w:tl2br w:val="nil"/>
                    <w:tr2bl w:val="nil"/>
                  </w:tcBorders>
                  <w:vAlign w:val="center"/>
                </w:tcPr>
                <w:p w14:paraId="127A6A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14:paraId="287E6A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厂界北</w:t>
                  </w:r>
                </w:p>
              </w:tc>
              <w:tc>
                <w:tcPr>
                  <w:tcW w:w="793" w:type="pct"/>
                  <w:tcBorders>
                    <w:tl2br w:val="nil"/>
                    <w:tr2bl w:val="nil"/>
                  </w:tcBorders>
                  <w:vAlign w:val="center"/>
                </w:tcPr>
                <w:p w14:paraId="3CB3CC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56.6</w:t>
                  </w:r>
                </w:p>
              </w:tc>
              <w:tc>
                <w:tcPr>
                  <w:tcW w:w="793" w:type="pct"/>
                  <w:tcBorders>
                    <w:tl2br w:val="nil"/>
                    <w:tr2bl w:val="nil"/>
                  </w:tcBorders>
                  <w:vAlign w:val="center"/>
                </w:tcPr>
                <w:p w14:paraId="04701D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45.6</w:t>
                  </w:r>
                </w:p>
              </w:tc>
              <w:tc>
                <w:tcPr>
                  <w:tcW w:w="969" w:type="dxa"/>
                  <w:tcBorders>
                    <w:tl2br w:val="nil"/>
                    <w:tr2bl w:val="nil"/>
                  </w:tcBorders>
                  <w:vAlign w:val="center"/>
                </w:tcPr>
                <w:p w14:paraId="0940CD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14:paraId="7BFB04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14:paraId="0D907C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14:paraId="55C97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75" w:type="pct"/>
                  <w:tcBorders>
                    <w:tl2br w:val="nil"/>
                    <w:tr2bl w:val="nil"/>
                  </w:tcBorders>
                  <w:vAlign w:val="center"/>
                </w:tcPr>
                <w:p w14:paraId="701BE4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备注</w:t>
                  </w:r>
                </w:p>
              </w:tc>
              <w:tc>
                <w:tcPr>
                  <w:tcW w:w="4224" w:type="pct"/>
                  <w:gridSpan w:val="6"/>
                  <w:tcBorders>
                    <w:tl2br w:val="nil"/>
                    <w:tr2bl w:val="nil"/>
                  </w:tcBorders>
                  <w:vAlign w:val="center"/>
                </w:tcPr>
                <w:p w14:paraId="5640D74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执行《工业企业厂界环境噪声排放标准》（GB12348-2008）中2类标准限值</w:t>
                  </w:r>
                </w:p>
              </w:tc>
            </w:tr>
          </w:tbl>
          <w:p w14:paraId="70C05DBE">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eastAsia" w:ascii="Times New Roman" w:hAnsi="Times New Roman" w:eastAsia="宋体" w:cs="Times New Roman"/>
                <w:color w:val="000000"/>
                <w:spacing w:val="11"/>
                <w:position w:val="0"/>
                <w:sz w:val="24"/>
                <w:szCs w:val="24"/>
                <w:highlight w:val="none"/>
                <w:u w:val="none" w:color="auto"/>
                <w:lang w:val="en-US" w:eastAsia="zh-CN"/>
              </w:rPr>
              <w:t>（4）固体废物</w:t>
            </w:r>
          </w:p>
          <w:p w14:paraId="715BD3D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现有工程运营期产生的主要固体废物为生活垃圾、剥离表土及废石、</w:t>
            </w:r>
            <w:r>
              <w:rPr>
                <w:rFonts w:hint="eastAsia" w:cs="Times New Roman"/>
                <w:color w:val="auto"/>
                <w:spacing w:val="11"/>
                <w:kern w:val="0"/>
                <w:position w:val="0"/>
                <w:sz w:val="24"/>
                <w:szCs w:val="24"/>
                <w:lang w:val="en-US" w:eastAsia="zh-CN"/>
              </w:rPr>
              <w:t>沉淀池沉渣</w:t>
            </w:r>
            <w:r>
              <w:rPr>
                <w:rFonts w:hint="default" w:ascii="Times New Roman" w:hAnsi="Times New Roman" w:eastAsia="宋体" w:cs="Times New Roman"/>
                <w:color w:val="auto"/>
                <w:spacing w:val="11"/>
                <w:kern w:val="0"/>
                <w:position w:val="0"/>
                <w:sz w:val="24"/>
                <w:szCs w:val="24"/>
                <w:lang w:val="en-US" w:eastAsia="zh-CN"/>
              </w:rPr>
              <w:t>等。</w:t>
            </w:r>
          </w:p>
          <w:p w14:paraId="37E0572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根据现有工程竣工环境保护自主验收报告，运营期剥离的表土临时分区堆放于排土场，表土用于复垦，剥离废夹石前期几乎全部用于矿区内建设运输便道，后期可用作普通建筑材料或碎石，未用完部分用于闭矿期回填矿坑；</w:t>
            </w:r>
            <w:r>
              <w:rPr>
                <w:rFonts w:hint="default" w:ascii="Times New Roman" w:hAnsi="Times New Roman" w:eastAsia="宋体" w:cs="Times New Roman"/>
                <w:color w:val="auto"/>
                <w:spacing w:val="11"/>
                <w:kern w:val="0"/>
                <w:position w:val="0"/>
                <w:sz w:val="24"/>
                <w:szCs w:val="24"/>
                <w:lang w:val="en-US" w:eastAsia="zh-CN"/>
              </w:rPr>
              <w:t>采场、排土场、工业场地沉淀池底泥经</w:t>
            </w:r>
            <w:r>
              <w:rPr>
                <w:rFonts w:hint="eastAsia" w:cs="Times New Roman"/>
                <w:color w:val="auto"/>
                <w:spacing w:val="11"/>
                <w:kern w:val="0"/>
                <w:position w:val="0"/>
                <w:sz w:val="24"/>
                <w:szCs w:val="24"/>
                <w:lang w:val="en-US" w:eastAsia="zh-CN"/>
              </w:rPr>
              <w:t>干</w:t>
            </w:r>
            <w:r>
              <w:rPr>
                <w:rFonts w:hint="default" w:ascii="Times New Roman" w:hAnsi="Times New Roman" w:eastAsia="宋体" w:cs="Times New Roman"/>
                <w:color w:val="auto"/>
                <w:spacing w:val="11"/>
                <w:kern w:val="0"/>
                <w:position w:val="0"/>
                <w:sz w:val="24"/>
                <w:szCs w:val="24"/>
                <w:lang w:val="en-US" w:eastAsia="zh-CN"/>
              </w:rPr>
              <w:t>化后直接排入</w:t>
            </w:r>
            <w:r>
              <w:rPr>
                <w:rFonts w:hint="eastAsia" w:cs="Times New Roman"/>
                <w:color w:val="auto"/>
                <w:spacing w:val="11"/>
                <w:kern w:val="0"/>
                <w:position w:val="0"/>
                <w:sz w:val="24"/>
                <w:szCs w:val="24"/>
                <w:lang w:val="en-US" w:eastAsia="zh-CN"/>
              </w:rPr>
              <w:t>附近</w:t>
            </w:r>
            <w:r>
              <w:rPr>
                <w:rFonts w:hint="default" w:ascii="Times New Roman" w:hAnsi="Times New Roman" w:eastAsia="宋体" w:cs="Times New Roman"/>
                <w:color w:val="auto"/>
                <w:spacing w:val="11"/>
                <w:kern w:val="0"/>
                <w:position w:val="0"/>
                <w:sz w:val="24"/>
                <w:szCs w:val="24"/>
                <w:lang w:val="en-US" w:eastAsia="zh-CN"/>
              </w:rPr>
              <w:t>采坑回填</w:t>
            </w:r>
            <w:r>
              <w:rPr>
                <w:rFonts w:hint="eastAsia" w:cs="Times New Roman"/>
                <w:color w:val="auto"/>
                <w:spacing w:val="11"/>
                <w:kern w:val="0"/>
                <w:position w:val="0"/>
                <w:sz w:val="24"/>
                <w:szCs w:val="24"/>
                <w:lang w:val="en-US" w:eastAsia="zh-CN"/>
              </w:rPr>
              <w:t>；生活垃圾经收集后由当地环卫部门统一清运。</w:t>
            </w:r>
          </w:p>
          <w:p w14:paraId="0CE8A11C">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none" w:color="auto"/>
                <w:lang w:val="en-US" w:eastAsia="zh-CN"/>
              </w:rPr>
            </w:pPr>
            <w:r>
              <w:rPr>
                <w:rFonts w:hint="eastAsia" w:eastAsia="宋体" w:cs="Times New Roman"/>
                <w:b/>
                <w:bCs/>
                <w:color w:val="000000"/>
                <w:spacing w:val="11"/>
                <w:position w:val="0"/>
                <w:sz w:val="24"/>
                <w:szCs w:val="24"/>
                <w:highlight w:val="none"/>
                <w:u w:val="none" w:color="auto"/>
                <w:lang w:val="en-US" w:eastAsia="zh-CN"/>
              </w:rPr>
              <w:t>3、</w:t>
            </w:r>
            <w:r>
              <w:rPr>
                <w:rFonts w:hint="default" w:ascii="Times New Roman" w:hAnsi="Times New Roman" w:eastAsia="宋体" w:cs="Times New Roman"/>
                <w:b/>
                <w:bCs/>
                <w:color w:val="000000"/>
                <w:spacing w:val="11"/>
                <w:position w:val="0"/>
                <w:sz w:val="24"/>
                <w:szCs w:val="24"/>
                <w:highlight w:val="none"/>
                <w:u w:val="none" w:color="auto"/>
                <w:lang w:val="en-US" w:eastAsia="zh-CN"/>
              </w:rPr>
              <w:t>环境风险</w:t>
            </w:r>
          </w:p>
          <w:p w14:paraId="219D8778">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新田县振新建材有限公司于202</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年编制突发环境事件应急预案，并于202</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年</w:t>
            </w:r>
            <w:r>
              <w:rPr>
                <w:rFonts w:hint="eastAsia" w:eastAsia="宋体" w:cs="Times New Roman"/>
                <w:color w:val="000000"/>
                <w:spacing w:val="11"/>
                <w:position w:val="0"/>
                <w:sz w:val="24"/>
                <w:szCs w:val="24"/>
                <w:highlight w:val="none"/>
                <w:u w:val="none" w:color="auto"/>
                <w:lang w:val="en-US" w:eastAsia="zh-CN"/>
              </w:rPr>
              <w:t>7</w:t>
            </w:r>
            <w:r>
              <w:rPr>
                <w:rFonts w:hint="default" w:ascii="Times New Roman" w:hAnsi="Times New Roman" w:eastAsia="宋体" w:cs="Times New Roman"/>
                <w:color w:val="000000"/>
                <w:spacing w:val="11"/>
                <w:position w:val="0"/>
                <w:sz w:val="24"/>
                <w:szCs w:val="24"/>
                <w:highlight w:val="none"/>
                <w:u w:val="none" w:color="auto"/>
                <w:lang w:val="en-US" w:eastAsia="zh-CN"/>
              </w:rPr>
              <w:t>月</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1日在</w:t>
            </w:r>
            <w:r>
              <w:rPr>
                <w:rFonts w:hint="eastAsia" w:eastAsia="宋体" w:cs="Times New Roman"/>
                <w:color w:val="000000"/>
                <w:spacing w:val="11"/>
                <w:position w:val="0"/>
                <w:sz w:val="24"/>
                <w:szCs w:val="24"/>
                <w:highlight w:val="none"/>
                <w:u w:val="none" w:color="auto"/>
                <w:lang w:val="en-US" w:eastAsia="zh-CN"/>
              </w:rPr>
              <w:t>永州市</w:t>
            </w:r>
            <w:r>
              <w:rPr>
                <w:rFonts w:hint="default" w:ascii="Times New Roman" w:hAnsi="Times New Roman" w:eastAsia="宋体" w:cs="Times New Roman"/>
                <w:color w:val="000000"/>
                <w:spacing w:val="11"/>
                <w:position w:val="0"/>
                <w:sz w:val="24"/>
                <w:szCs w:val="24"/>
                <w:highlight w:val="none"/>
                <w:u w:val="none" w:color="auto"/>
                <w:lang w:val="en-US" w:eastAsia="zh-CN"/>
              </w:rPr>
              <w:t>生态环境局</w:t>
            </w:r>
            <w:r>
              <w:rPr>
                <w:rFonts w:hint="eastAsia" w:eastAsia="宋体" w:cs="Times New Roman"/>
                <w:color w:val="000000"/>
                <w:spacing w:val="11"/>
                <w:position w:val="0"/>
                <w:sz w:val="24"/>
                <w:szCs w:val="24"/>
                <w:highlight w:val="none"/>
                <w:u w:val="none" w:color="auto"/>
                <w:lang w:val="en-US" w:eastAsia="zh-CN"/>
              </w:rPr>
              <w:t>新田分局</w:t>
            </w:r>
            <w:r>
              <w:rPr>
                <w:rFonts w:hint="default" w:ascii="Times New Roman" w:hAnsi="Times New Roman" w:eastAsia="宋体" w:cs="Times New Roman"/>
                <w:color w:val="000000"/>
                <w:spacing w:val="11"/>
                <w:position w:val="0"/>
                <w:sz w:val="24"/>
                <w:szCs w:val="24"/>
                <w:highlight w:val="none"/>
                <w:u w:val="none" w:color="auto"/>
                <w:lang w:val="en-US" w:eastAsia="zh-CN"/>
              </w:rPr>
              <w:t>备案（备案号：</w:t>
            </w:r>
            <w:r>
              <w:rPr>
                <w:rFonts w:hint="eastAsia" w:eastAsia="宋体" w:cs="Times New Roman"/>
                <w:color w:val="000000"/>
                <w:spacing w:val="11"/>
                <w:position w:val="0"/>
                <w:sz w:val="24"/>
                <w:szCs w:val="24"/>
                <w:highlight w:val="none"/>
                <w:u w:val="none" w:color="auto"/>
                <w:lang w:val="en-US" w:eastAsia="zh-CN"/>
              </w:rPr>
              <w:t>431128-2022-035</w:t>
            </w:r>
            <w:r>
              <w:rPr>
                <w:rFonts w:hint="default" w:ascii="Times New Roman" w:hAnsi="Times New Roman" w:eastAsia="宋体" w:cs="Times New Roman"/>
                <w:color w:val="000000"/>
                <w:spacing w:val="11"/>
                <w:position w:val="0"/>
                <w:sz w:val="24"/>
                <w:szCs w:val="24"/>
                <w:highlight w:val="none"/>
                <w:u w:val="none" w:color="auto"/>
                <w:lang w:val="en-US" w:eastAsia="zh-CN"/>
              </w:rPr>
              <w:t>-</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w:t>
            </w:r>
            <w:r>
              <w:rPr>
                <w:rFonts w:hint="eastAsia" w:eastAsia="宋体" w:cs="Times New Roman"/>
                <w:color w:val="000000"/>
                <w:spacing w:val="11"/>
                <w:position w:val="0"/>
                <w:sz w:val="24"/>
                <w:szCs w:val="24"/>
                <w:highlight w:val="none"/>
                <w:u w:val="none" w:color="auto"/>
                <w:lang w:val="en-US" w:eastAsia="zh-CN"/>
              </w:rPr>
              <w:t>详见附件</w:t>
            </w:r>
            <w:r>
              <w:rPr>
                <w:rFonts w:hint="eastAsia" w:cs="Times New Roman"/>
                <w:color w:val="000000"/>
                <w:spacing w:val="11"/>
                <w:position w:val="0"/>
                <w:sz w:val="24"/>
                <w:szCs w:val="24"/>
                <w:highlight w:val="none"/>
                <w:u w:val="none" w:color="auto"/>
                <w:lang w:val="en-US" w:eastAsia="zh-CN"/>
              </w:rPr>
              <w:t>11</w:t>
            </w:r>
            <w:r>
              <w:rPr>
                <w:rFonts w:hint="default" w:ascii="Times New Roman" w:hAnsi="Times New Roman" w:eastAsia="宋体" w:cs="Times New Roman"/>
                <w:color w:val="000000"/>
                <w:spacing w:val="11"/>
                <w:position w:val="0"/>
                <w:sz w:val="24"/>
                <w:szCs w:val="24"/>
                <w:highlight w:val="none"/>
                <w:u w:val="none" w:color="auto"/>
                <w:lang w:val="en-US" w:eastAsia="zh-CN"/>
              </w:rPr>
              <w:t>。</w:t>
            </w:r>
          </w:p>
          <w:p w14:paraId="23AF96B7">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none" w:color="auto"/>
                <w:lang w:val="en-US" w:eastAsia="zh-CN"/>
              </w:rPr>
            </w:pPr>
            <w:r>
              <w:rPr>
                <w:rFonts w:hint="eastAsia" w:eastAsia="宋体" w:cs="Times New Roman"/>
                <w:b/>
                <w:bCs/>
                <w:color w:val="000000"/>
                <w:spacing w:val="11"/>
                <w:position w:val="0"/>
                <w:sz w:val="24"/>
                <w:szCs w:val="24"/>
                <w:highlight w:val="none"/>
                <w:u w:val="none" w:color="auto"/>
                <w:lang w:val="en-US" w:eastAsia="zh-CN"/>
              </w:rPr>
              <w:t>4、现有工程排放情况</w:t>
            </w:r>
          </w:p>
          <w:p w14:paraId="40E00FC1">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现有工程污染物排放汇总见下表。</w:t>
            </w:r>
          </w:p>
          <w:p w14:paraId="41342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2"/>
                <w:sz w:val="21"/>
                <w:szCs w:val="24"/>
                <w:u w:val="none" w:color="auto"/>
                <w:lang w:val="en-US" w:eastAsia="zh-CN" w:bidi="ar-SA"/>
              </w:rPr>
            </w:pPr>
            <w:r>
              <w:rPr>
                <w:rFonts w:ascii="Times New Roman" w:hAnsi="Times New Roman" w:eastAsia="宋体" w:cs="Times New Roman"/>
                <w:b/>
                <w:bCs/>
                <w:color w:val="000000"/>
                <w:kern w:val="2"/>
                <w:sz w:val="21"/>
                <w:szCs w:val="24"/>
                <w:u w:val="none" w:color="auto"/>
                <w:lang w:val="en-US" w:eastAsia="zh-CN" w:bidi="ar-SA"/>
              </w:rPr>
              <w:t>表</w:t>
            </w:r>
            <w:r>
              <w:rPr>
                <w:rFonts w:hint="eastAsia" w:eastAsia="宋体" w:cs="Times New Roman"/>
                <w:b/>
                <w:bCs/>
                <w:color w:val="000000"/>
                <w:kern w:val="2"/>
                <w:sz w:val="21"/>
                <w:szCs w:val="24"/>
                <w:u w:val="none" w:color="auto"/>
                <w:lang w:val="en-US" w:eastAsia="zh-CN" w:bidi="ar-SA"/>
              </w:rPr>
              <w:t>3-7</w:t>
            </w:r>
            <w:r>
              <w:rPr>
                <w:rFonts w:hint="eastAsia" w:ascii="Times New Roman" w:hAnsi="Times New Roman" w:eastAsia="宋体" w:cs="Times New Roman"/>
                <w:b/>
                <w:bCs/>
                <w:color w:val="000000"/>
                <w:kern w:val="2"/>
                <w:sz w:val="21"/>
                <w:szCs w:val="24"/>
                <w:u w:val="none" w:color="auto"/>
                <w:lang w:val="en-US" w:eastAsia="zh-CN" w:bidi="ar-SA"/>
              </w:rPr>
              <w:t xml:space="preserve">  现有工程</w:t>
            </w:r>
            <w:r>
              <w:rPr>
                <w:rFonts w:ascii="Times New Roman" w:hAnsi="Times New Roman" w:eastAsia="宋体" w:cs="Times New Roman"/>
                <w:b/>
                <w:bCs/>
                <w:color w:val="000000"/>
                <w:kern w:val="2"/>
                <w:sz w:val="21"/>
                <w:szCs w:val="24"/>
                <w:u w:val="none" w:color="auto"/>
                <w:lang w:val="en-US" w:eastAsia="zh-CN" w:bidi="ar-SA"/>
              </w:rPr>
              <w:t>污染物排放情况汇总一览表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412"/>
              <w:gridCol w:w="1091"/>
              <w:gridCol w:w="1022"/>
              <w:gridCol w:w="3009"/>
              <w:gridCol w:w="843"/>
            </w:tblGrid>
            <w:tr w14:paraId="76ACC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l2br w:val="nil"/>
                    <w:tr2bl w:val="nil"/>
                  </w:tcBorders>
                  <w:noWrap w:val="0"/>
                  <w:vAlign w:val="center"/>
                </w:tcPr>
                <w:p w14:paraId="61D1C29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内容类型</w:t>
                  </w:r>
                </w:p>
              </w:tc>
              <w:tc>
                <w:tcPr>
                  <w:tcW w:w="883" w:type="pct"/>
                  <w:tcBorders>
                    <w:tl2br w:val="nil"/>
                    <w:tr2bl w:val="nil"/>
                  </w:tcBorders>
                  <w:noWrap w:val="0"/>
                  <w:vAlign w:val="center"/>
                </w:tcPr>
                <w:p w14:paraId="631B8B9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排放源</w:t>
                  </w:r>
                </w:p>
              </w:tc>
              <w:tc>
                <w:tcPr>
                  <w:tcW w:w="682" w:type="pct"/>
                  <w:tcBorders>
                    <w:tl2br w:val="nil"/>
                    <w:tr2bl w:val="nil"/>
                  </w:tcBorders>
                  <w:noWrap w:val="0"/>
                  <w:vAlign w:val="center"/>
                </w:tcPr>
                <w:p w14:paraId="3F3CB09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污染物名称</w:t>
                  </w:r>
                </w:p>
              </w:tc>
              <w:tc>
                <w:tcPr>
                  <w:tcW w:w="639" w:type="pct"/>
                  <w:tcBorders>
                    <w:tl2br w:val="nil"/>
                    <w:tr2bl w:val="nil"/>
                  </w:tcBorders>
                  <w:noWrap w:val="0"/>
                  <w:vAlign w:val="center"/>
                </w:tcPr>
                <w:p w14:paraId="2A5FA1FA">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排放量</w:t>
                  </w:r>
                </w:p>
              </w:tc>
              <w:tc>
                <w:tcPr>
                  <w:tcW w:w="1882" w:type="pct"/>
                  <w:tcBorders>
                    <w:tl2br w:val="nil"/>
                    <w:tr2bl w:val="nil"/>
                  </w:tcBorders>
                  <w:noWrap w:val="0"/>
                  <w:vAlign w:val="center"/>
                </w:tcPr>
                <w:p w14:paraId="38B1BA8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yellow"/>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防治措施</w:t>
                  </w:r>
                </w:p>
              </w:tc>
              <w:tc>
                <w:tcPr>
                  <w:tcW w:w="527" w:type="pct"/>
                  <w:tcBorders>
                    <w:tl2br w:val="nil"/>
                    <w:tr2bl w:val="nil"/>
                  </w:tcBorders>
                  <w:noWrap w:val="0"/>
                  <w:vAlign w:val="center"/>
                </w:tcPr>
                <w:p w14:paraId="552F5D0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数据来源</w:t>
                  </w:r>
                </w:p>
              </w:tc>
            </w:tr>
            <w:tr w14:paraId="22E60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85" w:type="pct"/>
                  <w:vMerge w:val="restart"/>
                  <w:tcBorders>
                    <w:tl2br w:val="nil"/>
                    <w:tr2bl w:val="nil"/>
                  </w:tcBorders>
                  <w:noWrap w:val="0"/>
                  <w:vAlign w:val="center"/>
                </w:tcPr>
                <w:p w14:paraId="481EE55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废气</w:t>
                  </w:r>
                </w:p>
              </w:tc>
              <w:tc>
                <w:tcPr>
                  <w:tcW w:w="883" w:type="pct"/>
                  <w:tcBorders>
                    <w:tl2br w:val="nil"/>
                    <w:tr2bl w:val="nil"/>
                  </w:tcBorders>
                  <w:shd w:val="clear" w:color="auto" w:fill="auto"/>
                  <w:noWrap w:val="0"/>
                  <w:vAlign w:val="center"/>
                </w:tcPr>
                <w:p w14:paraId="02A3613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kern w:val="2"/>
                      <w:sz w:val="21"/>
                      <w:szCs w:val="24"/>
                      <w:highlight w:val="none"/>
                      <w:u w:val="none" w:color="auto"/>
                      <w:lang w:val="en-US" w:eastAsia="zh-CN" w:bidi="ar-SA"/>
                    </w:rPr>
                    <w:t>开采工作面</w:t>
                  </w:r>
                </w:p>
              </w:tc>
              <w:tc>
                <w:tcPr>
                  <w:tcW w:w="682" w:type="pct"/>
                  <w:tcBorders>
                    <w:tl2br w:val="nil"/>
                    <w:tr2bl w:val="nil"/>
                  </w:tcBorders>
                  <w:shd w:val="clear" w:color="auto" w:fill="auto"/>
                  <w:noWrap w:val="0"/>
                  <w:vAlign w:val="center"/>
                </w:tcPr>
                <w:p w14:paraId="1A513E0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noWrap w:val="0"/>
                  <w:vAlign w:val="center"/>
                </w:tcPr>
                <w:p w14:paraId="1FCE803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2.5t/a</w:t>
                  </w:r>
                </w:p>
              </w:tc>
              <w:tc>
                <w:tcPr>
                  <w:tcW w:w="1882" w:type="pct"/>
                  <w:tcBorders>
                    <w:tl2br w:val="nil"/>
                    <w:tr2bl w:val="nil"/>
                  </w:tcBorders>
                  <w:noWrap w:val="0"/>
                  <w:vAlign w:val="center"/>
                </w:tcPr>
                <w:p w14:paraId="50C2434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hint="eastAsia" w:ascii="Times New Roman" w:hAnsi="Times New Roman" w:eastAsia="宋体" w:cs="Times New Roman"/>
                      <w:b w:val="0"/>
                      <w:bCs w:val="0"/>
                      <w:color w:val="000000"/>
                      <w:sz w:val="21"/>
                      <w:szCs w:val="21"/>
                      <w:highlight w:val="none"/>
                      <w:u w:val="none" w:color="auto"/>
                      <w:lang w:val="en-US" w:eastAsia="zh-CN"/>
                    </w:rPr>
                    <w:t>采用自带收尘装置的钻机钻孔进行作业</w:t>
                  </w:r>
                  <w:r>
                    <w:rPr>
                      <w:rFonts w:hint="eastAsia" w:eastAsia="宋体" w:cs="Times New Roman"/>
                      <w:b w:val="0"/>
                      <w:bCs w:val="0"/>
                      <w:color w:val="000000"/>
                      <w:sz w:val="21"/>
                      <w:szCs w:val="21"/>
                      <w:highlight w:val="none"/>
                      <w:u w:val="none" w:color="auto"/>
                      <w:lang w:val="en-US" w:eastAsia="zh-CN"/>
                    </w:rPr>
                    <w:t>；爆破前采取湿棕垫覆盖，爆破后及时洒水降尘等措施；设置临时挡风设施；及时清运矿物；控制车速和消扫路面，定期洒水</w:t>
                  </w:r>
                </w:p>
              </w:tc>
              <w:tc>
                <w:tcPr>
                  <w:tcW w:w="527" w:type="pct"/>
                  <w:vMerge w:val="restart"/>
                  <w:tcBorders>
                    <w:tl2br w:val="nil"/>
                    <w:tr2bl w:val="nil"/>
                  </w:tcBorders>
                  <w:noWrap w:val="0"/>
                  <w:vAlign w:val="center"/>
                </w:tcPr>
                <w:p w14:paraId="5A2AFAF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现有工程环评审批资料</w:t>
                  </w:r>
                </w:p>
              </w:tc>
            </w:tr>
            <w:tr w14:paraId="60465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85" w:type="pct"/>
                  <w:vMerge w:val="continue"/>
                  <w:tcBorders>
                    <w:tl2br w:val="nil"/>
                    <w:tr2bl w:val="nil"/>
                  </w:tcBorders>
                  <w:noWrap w:val="0"/>
                  <w:vAlign w:val="center"/>
                </w:tcPr>
                <w:p w14:paraId="613E6C0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shd w:val="clear" w:color="auto" w:fill="auto"/>
                  <w:noWrap w:val="0"/>
                  <w:vAlign w:val="center"/>
                </w:tcPr>
                <w:p w14:paraId="73D7334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产品堆场</w:t>
                  </w:r>
                </w:p>
              </w:tc>
              <w:tc>
                <w:tcPr>
                  <w:tcW w:w="682" w:type="pct"/>
                  <w:tcBorders>
                    <w:tl2br w:val="nil"/>
                    <w:tr2bl w:val="nil"/>
                  </w:tcBorders>
                  <w:shd w:val="clear" w:color="auto" w:fill="auto"/>
                  <w:noWrap w:val="0"/>
                  <w:vAlign w:val="center"/>
                </w:tcPr>
                <w:p w14:paraId="7C29BBA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shd w:val="clear" w:color="auto" w:fill="auto"/>
                  <w:noWrap w:val="0"/>
                  <w:vAlign w:val="center"/>
                </w:tcPr>
                <w:p w14:paraId="6D06EB1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1.892t/a</w:t>
                  </w:r>
                </w:p>
              </w:tc>
              <w:tc>
                <w:tcPr>
                  <w:tcW w:w="1882" w:type="pct"/>
                  <w:tcBorders>
                    <w:tl2br w:val="nil"/>
                    <w:tr2bl w:val="nil"/>
                  </w:tcBorders>
                  <w:shd w:val="clear" w:color="auto" w:fill="auto"/>
                  <w:noWrap w:val="0"/>
                  <w:vAlign w:val="center"/>
                </w:tcPr>
                <w:p w14:paraId="0F1C0F5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color="auto"/>
                      <w:lang w:val="en-US" w:eastAsia="zh-CN"/>
                    </w:rPr>
                    <w:t>堆场设为四周围挡的半封闭式结构</w:t>
                  </w:r>
                  <w:r>
                    <w:rPr>
                      <w:rFonts w:hint="eastAsia" w:eastAsia="宋体" w:cs="Times New Roman"/>
                      <w:b w:val="0"/>
                      <w:bCs w:val="0"/>
                      <w:color w:val="000000"/>
                      <w:sz w:val="21"/>
                      <w:szCs w:val="21"/>
                      <w:highlight w:val="none"/>
                      <w:u w:val="none" w:color="auto"/>
                      <w:lang w:val="en-US" w:eastAsia="zh-CN"/>
                    </w:rPr>
                    <w:t>；洒水抑尘</w:t>
                  </w:r>
                </w:p>
              </w:tc>
              <w:tc>
                <w:tcPr>
                  <w:tcW w:w="527" w:type="pct"/>
                  <w:vMerge w:val="continue"/>
                  <w:tcBorders>
                    <w:tl2br w:val="nil"/>
                    <w:tr2bl w:val="nil"/>
                  </w:tcBorders>
                  <w:noWrap w:val="0"/>
                  <w:vAlign w:val="center"/>
                </w:tcPr>
                <w:p w14:paraId="113EBFE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14:paraId="6438B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385" w:type="pct"/>
                  <w:vMerge w:val="continue"/>
                  <w:tcBorders>
                    <w:tl2br w:val="nil"/>
                    <w:tr2bl w:val="nil"/>
                  </w:tcBorders>
                  <w:noWrap w:val="0"/>
                  <w:vAlign w:val="center"/>
                </w:tcPr>
                <w:p w14:paraId="7F505FDA">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shd w:val="clear" w:color="auto" w:fill="auto"/>
                  <w:noWrap w:val="0"/>
                  <w:vAlign w:val="center"/>
                </w:tcPr>
                <w:p w14:paraId="359BCB9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开采区、排土场</w:t>
                  </w:r>
                </w:p>
              </w:tc>
              <w:tc>
                <w:tcPr>
                  <w:tcW w:w="682" w:type="pct"/>
                  <w:tcBorders>
                    <w:tl2br w:val="nil"/>
                    <w:tr2bl w:val="nil"/>
                  </w:tcBorders>
                  <w:shd w:val="clear" w:color="auto" w:fill="auto"/>
                  <w:noWrap w:val="0"/>
                  <w:vAlign w:val="center"/>
                </w:tcPr>
                <w:p w14:paraId="1BCC381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shd w:val="clear" w:color="auto" w:fill="auto"/>
                  <w:noWrap w:val="0"/>
                  <w:vAlign w:val="center"/>
                </w:tcPr>
                <w:p w14:paraId="43E5EE4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较少</w:t>
                  </w:r>
                </w:p>
              </w:tc>
              <w:tc>
                <w:tcPr>
                  <w:tcW w:w="1882" w:type="pct"/>
                  <w:tcBorders>
                    <w:tl2br w:val="nil"/>
                    <w:tr2bl w:val="nil"/>
                  </w:tcBorders>
                  <w:shd w:val="clear" w:color="auto" w:fill="auto"/>
                  <w:noWrap w:val="0"/>
                  <w:vAlign w:val="center"/>
                </w:tcPr>
                <w:p w14:paraId="34AD13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color="auto"/>
                      <w:lang w:val="en-US" w:eastAsia="zh-CN"/>
                    </w:rPr>
                    <w:t>洒水抑尘</w:t>
                  </w:r>
                </w:p>
              </w:tc>
              <w:tc>
                <w:tcPr>
                  <w:tcW w:w="527" w:type="pct"/>
                  <w:vMerge w:val="continue"/>
                  <w:tcBorders>
                    <w:tl2br w:val="nil"/>
                    <w:tr2bl w:val="nil"/>
                  </w:tcBorders>
                  <w:noWrap w:val="0"/>
                  <w:vAlign w:val="center"/>
                </w:tcPr>
                <w:p w14:paraId="08A22F2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14:paraId="2CD25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385" w:type="pct"/>
                  <w:vMerge w:val="continue"/>
                  <w:tcBorders>
                    <w:tl2br w:val="nil"/>
                    <w:tr2bl w:val="nil"/>
                  </w:tcBorders>
                  <w:noWrap w:val="0"/>
                  <w:vAlign w:val="center"/>
                </w:tcPr>
                <w:p w14:paraId="3CC663B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restart"/>
                  <w:tcBorders>
                    <w:tl2br w:val="nil"/>
                    <w:tr2bl w:val="nil"/>
                  </w:tcBorders>
                  <w:shd w:val="clear" w:color="auto" w:fill="auto"/>
                  <w:noWrap w:val="0"/>
                  <w:vAlign w:val="center"/>
                </w:tcPr>
                <w:p w14:paraId="0F4A56C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机械尾气</w:t>
                  </w:r>
                </w:p>
              </w:tc>
              <w:tc>
                <w:tcPr>
                  <w:tcW w:w="682" w:type="pct"/>
                  <w:tcBorders>
                    <w:tl2br w:val="nil"/>
                    <w:tr2bl w:val="nil"/>
                  </w:tcBorders>
                  <w:shd w:val="clear" w:color="auto" w:fill="auto"/>
                  <w:noWrap w:val="0"/>
                  <w:vAlign w:val="center"/>
                </w:tcPr>
                <w:p w14:paraId="78F6688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SO</w:t>
                  </w:r>
                  <w:r>
                    <w:rPr>
                      <w:rFonts w:hint="eastAsia" w:eastAsia="宋体" w:cs="Times New Roman"/>
                      <w:color w:val="000000"/>
                      <w:sz w:val="21"/>
                      <w:szCs w:val="24"/>
                      <w:highlight w:val="none"/>
                      <w:u w:val="none" w:color="auto"/>
                      <w:vertAlign w:val="subscript"/>
                      <w:lang w:val="en-US" w:eastAsia="zh-CN"/>
                    </w:rPr>
                    <w:t>2</w:t>
                  </w:r>
                </w:p>
              </w:tc>
              <w:tc>
                <w:tcPr>
                  <w:tcW w:w="639" w:type="pct"/>
                  <w:tcBorders>
                    <w:tl2br w:val="nil"/>
                    <w:tr2bl w:val="nil"/>
                  </w:tcBorders>
                  <w:shd w:val="clear" w:color="auto" w:fill="auto"/>
                  <w:noWrap w:val="0"/>
                  <w:vAlign w:val="center"/>
                </w:tcPr>
                <w:p w14:paraId="2A1412E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4.704t/a</w:t>
                  </w:r>
                </w:p>
              </w:tc>
              <w:tc>
                <w:tcPr>
                  <w:tcW w:w="1882" w:type="pct"/>
                  <w:vMerge w:val="restart"/>
                  <w:tcBorders>
                    <w:tl2br w:val="nil"/>
                    <w:tr2bl w:val="nil"/>
                  </w:tcBorders>
                  <w:shd w:val="clear" w:color="auto" w:fill="auto"/>
                  <w:noWrap w:val="0"/>
                  <w:vAlign w:val="center"/>
                </w:tcPr>
                <w:p w14:paraId="0911541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自然扩散；定期对设备进行维护</w:t>
                  </w:r>
                </w:p>
              </w:tc>
              <w:tc>
                <w:tcPr>
                  <w:tcW w:w="527" w:type="pct"/>
                  <w:vMerge w:val="continue"/>
                  <w:tcBorders>
                    <w:tl2br w:val="nil"/>
                    <w:tr2bl w:val="nil"/>
                  </w:tcBorders>
                  <w:noWrap w:val="0"/>
                  <w:vAlign w:val="center"/>
                </w:tcPr>
                <w:p w14:paraId="35F0A82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14:paraId="15B53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385" w:type="pct"/>
                  <w:vMerge w:val="continue"/>
                  <w:tcBorders>
                    <w:tl2br w:val="nil"/>
                    <w:tr2bl w:val="nil"/>
                  </w:tcBorders>
                  <w:noWrap w:val="0"/>
                  <w:vAlign w:val="center"/>
                </w:tcPr>
                <w:p w14:paraId="70615CB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shd w:val="clear" w:color="auto" w:fill="auto"/>
                  <w:noWrap w:val="0"/>
                  <w:vAlign w:val="center"/>
                </w:tcPr>
                <w:p w14:paraId="161A4C5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none" w:color="auto"/>
                      <w:lang w:val="en-US" w:eastAsia="zh-CN"/>
                    </w:rPr>
                  </w:pPr>
                </w:p>
              </w:tc>
              <w:tc>
                <w:tcPr>
                  <w:tcW w:w="682" w:type="pct"/>
                  <w:tcBorders>
                    <w:tl2br w:val="nil"/>
                    <w:tr2bl w:val="nil"/>
                  </w:tcBorders>
                  <w:shd w:val="clear" w:color="auto" w:fill="auto"/>
                  <w:noWrap w:val="0"/>
                  <w:vAlign w:val="center"/>
                </w:tcPr>
                <w:p w14:paraId="1307131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NO</w:t>
                  </w:r>
                  <w:r>
                    <w:rPr>
                      <w:rFonts w:hint="eastAsia" w:eastAsia="宋体" w:cs="Times New Roman"/>
                      <w:color w:val="000000"/>
                      <w:sz w:val="21"/>
                      <w:szCs w:val="24"/>
                      <w:highlight w:val="none"/>
                      <w:u w:val="none" w:color="auto"/>
                      <w:vertAlign w:val="subscript"/>
                      <w:lang w:val="en-US" w:eastAsia="zh-CN"/>
                    </w:rPr>
                    <w:t>2</w:t>
                  </w:r>
                </w:p>
              </w:tc>
              <w:tc>
                <w:tcPr>
                  <w:tcW w:w="639" w:type="pct"/>
                  <w:tcBorders>
                    <w:tl2br w:val="nil"/>
                    <w:tr2bl w:val="nil"/>
                  </w:tcBorders>
                  <w:shd w:val="clear" w:color="auto" w:fill="auto"/>
                  <w:noWrap w:val="0"/>
                  <w:vAlign w:val="center"/>
                </w:tcPr>
                <w:p w14:paraId="6A6CB2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4.031t/a</w:t>
                  </w:r>
                </w:p>
              </w:tc>
              <w:tc>
                <w:tcPr>
                  <w:tcW w:w="1882" w:type="pct"/>
                  <w:vMerge w:val="continue"/>
                  <w:tcBorders>
                    <w:tl2br w:val="nil"/>
                    <w:tr2bl w:val="nil"/>
                  </w:tcBorders>
                  <w:shd w:val="clear" w:color="auto" w:fill="auto"/>
                  <w:noWrap w:val="0"/>
                  <w:vAlign w:val="center"/>
                </w:tcPr>
                <w:p w14:paraId="357124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highlight w:val="yellow"/>
                      <w:u w:val="none" w:color="auto"/>
                      <w:lang w:val="en-US" w:eastAsia="zh-CN"/>
                    </w:rPr>
                  </w:pPr>
                </w:p>
              </w:tc>
              <w:tc>
                <w:tcPr>
                  <w:tcW w:w="527" w:type="pct"/>
                  <w:vMerge w:val="continue"/>
                  <w:tcBorders>
                    <w:tl2br w:val="nil"/>
                    <w:tr2bl w:val="nil"/>
                  </w:tcBorders>
                  <w:noWrap w:val="0"/>
                  <w:vAlign w:val="center"/>
                </w:tcPr>
                <w:p w14:paraId="065D1B7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14:paraId="3FF9C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5" w:type="pct"/>
                  <w:vMerge w:val="continue"/>
                  <w:tcBorders>
                    <w:tl2br w:val="nil"/>
                    <w:tr2bl w:val="nil"/>
                  </w:tcBorders>
                  <w:noWrap w:val="0"/>
                  <w:vAlign w:val="center"/>
                </w:tcPr>
                <w:p w14:paraId="0546269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883" w:type="pct"/>
                  <w:tcBorders>
                    <w:tl2br w:val="nil"/>
                    <w:tr2bl w:val="nil"/>
                  </w:tcBorders>
                  <w:shd w:val="clear" w:color="auto" w:fill="auto"/>
                  <w:noWrap w:val="0"/>
                  <w:vAlign w:val="center"/>
                </w:tcPr>
                <w:p w14:paraId="7A716FA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破碎筛分区</w:t>
                  </w:r>
                </w:p>
              </w:tc>
              <w:tc>
                <w:tcPr>
                  <w:tcW w:w="682" w:type="pct"/>
                  <w:tcBorders>
                    <w:tl2br w:val="nil"/>
                    <w:tr2bl w:val="nil"/>
                  </w:tcBorders>
                  <w:shd w:val="clear" w:color="auto" w:fill="auto"/>
                  <w:noWrap w:val="0"/>
                  <w:vAlign w:val="center"/>
                </w:tcPr>
                <w:p w14:paraId="515C8DE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noWrap w:val="0"/>
                  <w:vAlign w:val="center"/>
                </w:tcPr>
                <w:p w14:paraId="664F074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4"/>
                      <w:position w:val="-28"/>
                      <w:sz w:val="21"/>
                      <w:szCs w:val="21"/>
                      <w:highlight w:val="none"/>
                      <w:u w:val="none" w:color="auto"/>
                      <w:lang w:val="en-US" w:eastAsia="zh-CN"/>
                    </w:rPr>
                  </w:pPr>
                  <w:r>
                    <w:rPr>
                      <w:rFonts w:hint="eastAsia" w:eastAsia="宋体" w:cs="Times New Roman"/>
                      <w:b w:val="0"/>
                      <w:bCs w:val="0"/>
                      <w:color w:val="000000"/>
                      <w:kern w:val="24"/>
                      <w:position w:val="-28"/>
                      <w:sz w:val="21"/>
                      <w:szCs w:val="21"/>
                      <w:highlight w:val="none"/>
                      <w:u w:val="none" w:color="auto"/>
                      <w:lang w:val="en-US" w:eastAsia="zh-CN"/>
                    </w:rPr>
                    <w:t>0.2234t/a</w:t>
                  </w:r>
                </w:p>
              </w:tc>
              <w:tc>
                <w:tcPr>
                  <w:tcW w:w="1882" w:type="pct"/>
                  <w:tcBorders>
                    <w:tl2br w:val="nil"/>
                    <w:tr2bl w:val="nil"/>
                  </w:tcBorders>
                  <w:noWrap w:val="0"/>
                  <w:vAlign w:val="center"/>
                </w:tcPr>
                <w:p w14:paraId="4255A1C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集气罩</w:t>
                  </w:r>
                  <w:r>
                    <w:rPr>
                      <w:rFonts w:hint="eastAsia" w:eastAsia="宋体" w:cs="Times New Roman"/>
                      <w:b w:val="0"/>
                      <w:bCs w:val="0"/>
                      <w:color w:val="000000"/>
                      <w:sz w:val="21"/>
                      <w:szCs w:val="21"/>
                      <w:highlight w:val="none"/>
                      <w:u w:val="none" w:color="auto"/>
                      <w:lang w:val="en-US" w:eastAsia="zh-CN"/>
                    </w:rPr>
                    <w:t>+布袋除尘装置；设置自动喷淋系统</w:t>
                  </w:r>
                </w:p>
              </w:tc>
              <w:tc>
                <w:tcPr>
                  <w:tcW w:w="527" w:type="pct"/>
                  <w:tcBorders>
                    <w:tl2br w:val="nil"/>
                    <w:tr2bl w:val="nil"/>
                  </w:tcBorders>
                  <w:noWrap w:val="0"/>
                  <w:vAlign w:val="center"/>
                </w:tcPr>
                <w:p w14:paraId="0C184E9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rPr>
                  </w:pPr>
                  <w:r>
                    <w:rPr>
                      <w:rFonts w:hint="eastAsia" w:eastAsia="宋体" w:cs="Times New Roman"/>
                      <w:b w:val="0"/>
                      <w:bCs w:val="0"/>
                      <w:color w:val="000000"/>
                      <w:sz w:val="21"/>
                      <w:szCs w:val="21"/>
                      <w:highlight w:val="none"/>
                      <w:u w:val="none" w:color="auto"/>
                      <w:lang w:val="en-US" w:eastAsia="zh-CN"/>
                    </w:rPr>
                    <w:t>现有工程验收监测数据核算</w:t>
                  </w:r>
                </w:p>
              </w:tc>
            </w:tr>
            <w:tr w14:paraId="4104C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85" w:type="pct"/>
                  <w:vMerge w:val="restart"/>
                  <w:tcBorders>
                    <w:tl2br w:val="nil"/>
                    <w:tr2bl w:val="nil"/>
                  </w:tcBorders>
                  <w:noWrap w:val="0"/>
                  <w:vAlign w:val="center"/>
                </w:tcPr>
                <w:p w14:paraId="1C9BDAC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废水</w:t>
                  </w:r>
                </w:p>
              </w:tc>
              <w:tc>
                <w:tcPr>
                  <w:tcW w:w="883" w:type="pct"/>
                  <w:vMerge w:val="restart"/>
                  <w:tcBorders>
                    <w:tl2br w:val="nil"/>
                    <w:tr2bl w:val="nil"/>
                  </w:tcBorders>
                  <w:noWrap w:val="0"/>
                  <w:vAlign w:val="center"/>
                </w:tcPr>
                <w:p w14:paraId="2E6DE3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hint="eastAsia" w:eastAsia="宋体" w:cs="Times New Roman"/>
                      <w:b w:val="0"/>
                      <w:bCs w:val="0"/>
                      <w:color w:val="000000"/>
                      <w:kern w:val="2"/>
                      <w:sz w:val="21"/>
                      <w:szCs w:val="21"/>
                      <w:highlight w:val="none"/>
                      <w:u w:val="none" w:color="auto"/>
                      <w:lang w:val="en-US" w:eastAsia="zh-CN" w:bidi="ar-SA"/>
                    </w:rPr>
                    <w:t>生活污水</w:t>
                  </w:r>
                  <w:r>
                    <w:rPr>
                      <w:rFonts w:hint="eastAsia" w:eastAsia="宋体" w:cs="Times New Roman"/>
                      <w:b w:val="0"/>
                      <w:bCs w:val="0"/>
                      <w:color w:val="000000"/>
                      <w:sz w:val="21"/>
                      <w:szCs w:val="21"/>
                      <w:highlight w:val="none"/>
                      <w:u w:val="none" w:color="auto"/>
                      <w:lang w:val="en-US" w:eastAsia="zh-CN"/>
                    </w:rPr>
                    <w:t>229.5m</w:t>
                  </w:r>
                  <w:r>
                    <w:rPr>
                      <w:rFonts w:hint="eastAsia" w:eastAsia="宋体" w:cs="Times New Roman"/>
                      <w:b w:val="0"/>
                      <w:bCs w:val="0"/>
                      <w:color w:val="000000"/>
                      <w:sz w:val="21"/>
                      <w:szCs w:val="21"/>
                      <w:highlight w:val="none"/>
                      <w:u w:val="none" w:color="auto"/>
                      <w:vertAlign w:val="superscript"/>
                      <w:lang w:val="en-US" w:eastAsia="zh-CN"/>
                    </w:rPr>
                    <w:t>3</w:t>
                  </w:r>
                  <w:r>
                    <w:rPr>
                      <w:rFonts w:ascii="Times New Roman" w:hAnsi="Times New Roman" w:eastAsia="宋体" w:cs="Times New Roman"/>
                      <w:b w:val="0"/>
                      <w:bCs w:val="0"/>
                      <w:color w:val="000000"/>
                      <w:sz w:val="21"/>
                      <w:szCs w:val="21"/>
                      <w:highlight w:val="none"/>
                      <w:u w:val="none" w:color="auto"/>
                    </w:rPr>
                    <w:t>/a</w:t>
                  </w:r>
                </w:p>
              </w:tc>
              <w:tc>
                <w:tcPr>
                  <w:tcW w:w="682" w:type="pct"/>
                  <w:tcBorders>
                    <w:tl2br w:val="nil"/>
                    <w:tr2bl w:val="nil"/>
                  </w:tcBorders>
                  <w:shd w:val="clear" w:color="auto" w:fill="auto"/>
                  <w:noWrap w:val="0"/>
                  <w:vAlign w:val="center"/>
                </w:tcPr>
                <w:p w14:paraId="57AEA0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COD</w:t>
                  </w:r>
                  <w:r>
                    <w:rPr>
                      <w:rFonts w:ascii="Times New Roman" w:hAnsi="Times New Roman" w:eastAsia="宋体" w:cs="Times New Roman"/>
                      <w:b w:val="0"/>
                      <w:bCs w:val="0"/>
                      <w:color w:val="000000"/>
                      <w:sz w:val="21"/>
                      <w:szCs w:val="21"/>
                      <w:highlight w:val="none"/>
                      <w:u w:val="none" w:color="auto"/>
                      <w:vertAlign w:val="subscript"/>
                    </w:rPr>
                    <w:t>Cr</w:t>
                  </w:r>
                </w:p>
              </w:tc>
              <w:tc>
                <w:tcPr>
                  <w:tcW w:w="639" w:type="pct"/>
                  <w:tcBorders>
                    <w:tl2br w:val="nil"/>
                    <w:tr2bl w:val="nil"/>
                  </w:tcBorders>
                  <w:noWrap w:val="0"/>
                  <w:vAlign w:val="center"/>
                </w:tcPr>
                <w:p w14:paraId="3B5159F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0.057t/a</w:t>
                  </w:r>
                </w:p>
              </w:tc>
              <w:tc>
                <w:tcPr>
                  <w:tcW w:w="1882" w:type="pct"/>
                  <w:vMerge w:val="restart"/>
                  <w:tcBorders>
                    <w:tl2br w:val="nil"/>
                    <w:tr2bl w:val="nil"/>
                  </w:tcBorders>
                  <w:noWrap w:val="0"/>
                  <w:vAlign w:val="center"/>
                </w:tcPr>
                <w:p w14:paraId="76B7FBFA">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sz w:val="21"/>
                      <w:szCs w:val="21"/>
                      <w:highlight w:val="yellow"/>
                      <w:u w:val="none" w:color="auto"/>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化粪池</w:t>
                  </w:r>
                </w:p>
              </w:tc>
              <w:tc>
                <w:tcPr>
                  <w:tcW w:w="527" w:type="pct"/>
                  <w:vMerge w:val="restart"/>
                  <w:tcBorders>
                    <w:tl2br w:val="nil"/>
                    <w:tr2bl w:val="nil"/>
                  </w:tcBorders>
                  <w:noWrap w:val="0"/>
                  <w:vAlign w:val="center"/>
                </w:tcPr>
                <w:p w14:paraId="44C77CD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现有工程环评审批资料</w:t>
                  </w:r>
                </w:p>
              </w:tc>
            </w:tr>
            <w:tr w14:paraId="57695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85" w:type="pct"/>
                  <w:vMerge w:val="continue"/>
                  <w:tcBorders>
                    <w:tl2br w:val="nil"/>
                    <w:tr2bl w:val="nil"/>
                  </w:tcBorders>
                  <w:noWrap w:val="0"/>
                  <w:vAlign w:val="center"/>
                </w:tcPr>
                <w:p w14:paraId="3ABD79A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14:paraId="4EF55CE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kern w:val="2"/>
                      <w:sz w:val="21"/>
                      <w:szCs w:val="21"/>
                      <w:highlight w:val="none"/>
                      <w:u w:val="none" w:color="auto"/>
                      <w:lang w:val="en-US" w:eastAsia="zh-CN" w:bidi="ar-SA"/>
                    </w:rPr>
                  </w:pPr>
                </w:p>
              </w:tc>
              <w:tc>
                <w:tcPr>
                  <w:tcW w:w="682" w:type="pct"/>
                  <w:tcBorders>
                    <w:tl2br w:val="nil"/>
                    <w:tr2bl w:val="nil"/>
                  </w:tcBorders>
                  <w:shd w:val="clear" w:color="auto" w:fill="auto"/>
                  <w:noWrap w:val="0"/>
                  <w:vAlign w:val="center"/>
                </w:tcPr>
                <w:p w14:paraId="05F8D4D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ascii="Times New Roman" w:hAnsi="Times New Roman" w:eastAsia="宋体" w:cs="Times New Roman"/>
                      <w:b w:val="0"/>
                      <w:bCs w:val="0"/>
                      <w:color w:val="000000"/>
                      <w:sz w:val="21"/>
                      <w:szCs w:val="21"/>
                      <w:highlight w:val="none"/>
                      <w:u w:val="none" w:color="auto"/>
                    </w:rPr>
                    <w:t>BOD</w:t>
                  </w:r>
                  <w:r>
                    <w:rPr>
                      <w:rFonts w:ascii="Times New Roman" w:hAnsi="Times New Roman" w:eastAsia="宋体" w:cs="Times New Roman"/>
                      <w:b w:val="0"/>
                      <w:bCs w:val="0"/>
                      <w:color w:val="000000"/>
                      <w:sz w:val="21"/>
                      <w:szCs w:val="21"/>
                      <w:highlight w:val="none"/>
                      <w:u w:val="none" w:color="auto"/>
                      <w:vertAlign w:val="subscript"/>
                    </w:rPr>
                    <w:t>5</w:t>
                  </w:r>
                </w:p>
              </w:tc>
              <w:tc>
                <w:tcPr>
                  <w:tcW w:w="639" w:type="pct"/>
                  <w:tcBorders>
                    <w:tl2br w:val="nil"/>
                    <w:tr2bl w:val="nil"/>
                  </w:tcBorders>
                  <w:noWrap w:val="0"/>
                  <w:vAlign w:val="center"/>
                </w:tcPr>
                <w:p w14:paraId="2DAA1F1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0.041t/a</w:t>
                  </w:r>
                </w:p>
              </w:tc>
              <w:tc>
                <w:tcPr>
                  <w:tcW w:w="1882" w:type="pct"/>
                  <w:vMerge w:val="continue"/>
                  <w:tcBorders>
                    <w:tl2br w:val="nil"/>
                    <w:tr2bl w:val="nil"/>
                  </w:tcBorders>
                  <w:noWrap w:val="0"/>
                  <w:vAlign w:val="center"/>
                </w:tcPr>
                <w:p w14:paraId="5173C99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yellow"/>
                      <w:u w:val="none" w:color="auto"/>
                      <w:lang w:val="en-US" w:eastAsia="zh-CN" w:bidi="ar-SA"/>
                    </w:rPr>
                  </w:pPr>
                </w:p>
              </w:tc>
              <w:tc>
                <w:tcPr>
                  <w:tcW w:w="527" w:type="pct"/>
                  <w:vMerge w:val="continue"/>
                  <w:tcBorders>
                    <w:tl2br w:val="nil"/>
                    <w:tr2bl w:val="nil"/>
                  </w:tcBorders>
                  <w:noWrap w:val="0"/>
                  <w:vAlign w:val="center"/>
                </w:tcPr>
                <w:p w14:paraId="233D138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14:paraId="198C2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85" w:type="pct"/>
                  <w:vMerge w:val="continue"/>
                  <w:tcBorders>
                    <w:tl2br w:val="nil"/>
                    <w:tr2bl w:val="nil"/>
                  </w:tcBorders>
                  <w:noWrap w:val="0"/>
                  <w:vAlign w:val="center"/>
                </w:tcPr>
                <w:p w14:paraId="178ACC8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14:paraId="13CEFC4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682" w:type="pct"/>
                  <w:tcBorders>
                    <w:tl2br w:val="nil"/>
                    <w:tr2bl w:val="nil"/>
                  </w:tcBorders>
                  <w:shd w:val="clear" w:color="auto" w:fill="auto"/>
                  <w:noWrap w:val="0"/>
                  <w:vAlign w:val="center"/>
                </w:tcPr>
                <w:p w14:paraId="05DD323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NH</w:t>
                  </w:r>
                  <w:r>
                    <w:rPr>
                      <w:rFonts w:ascii="Times New Roman" w:hAnsi="Times New Roman" w:eastAsia="宋体" w:cs="Times New Roman"/>
                      <w:b w:val="0"/>
                      <w:bCs w:val="0"/>
                      <w:color w:val="000000"/>
                      <w:sz w:val="21"/>
                      <w:szCs w:val="21"/>
                      <w:highlight w:val="none"/>
                      <w:u w:val="none" w:color="auto"/>
                      <w:vertAlign w:val="subscript"/>
                    </w:rPr>
                    <w:t>3</w:t>
                  </w:r>
                  <w:r>
                    <w:rPr>
                      <w:rFonts w:ascii="Times New Roman" w:hAnsi="Times New Roman" w:eastAsia="宋体" w:cs="Times New Roman"/>
                      <w:b w:val="0"/>
                      <w:bCs w:val="0"/>
                      <w:color w:val="000000"/>
                      <w:sz w:val="21"/>
                      <w:szCs w:val="21"/>
                      <w:highlight w:val="none"/>
                      <w:u w:val="none" w:color="auto"/>
                    </w:rPr>
                    <w:t>-N</w:t>
                  </w:r>
                </w:p>
              </w:tc>
              <w:tc>
                <w:tcPr>
                  <w:tcW w:w="639" w:type="pct"/>
                  <w:tcBorders>
                    <w:tl2br w:val="nil"/>
                    <w:tr2bl w:val="nil"/>
                  </w:tcBorders>
                  <w:noWrap w:val="0"/>
                  <w:vAlign w:val="center"/>
                </w:tcPr>
                <w:p w14:paraId="573F81E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0.006t/a</w:t>
                  </w:r>
                </w:p>
              </w:tc>
              <w:tc>
                <w:tcPr>
                  <w:tcW w:w="1882" w:type="pct"/>
                  <w:vMerge w:val="continue"/>
                  <w:tcBorders>
                    <w:tl2br w:val="nil"/>
                    <w:tr2bl w:val="nil"/>
                  </w:tcBorders>
                  <w:noWrap w:val="0"/>
                  <w:vAlign w:val="center"/>
                </w:tcPr>
                <w:p w14:paraId="77F8EC3C">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14:paraId="760C423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14:paraId="0079A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85" w:type="pct"/>
                  <w:vMerge w:val="continue"/>
                  <w:tcBorders>
                    <w:tl2br w:val="nil"/>
                    <w:tr2bl w:val="nil"/>
                  </w:tcBorders>
                  <w:noWrap w:val="0"/>
                  <w:vAlign w:val="center"/>
                </w:tcPr>
                <w:p w14:paraId="42C177B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14:paraId="0E92DED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682" w:type="pct"/>
                  <w:tcBorders>
                    <w:tl2br w:val="nil"/>
                    <w:tr2bl w:val="nil"/>
                  </w:tcBorders>
                  <w:shd w:val="clear" w:color="auto" w:fill="auto"/>
                  <w:noWrap w:val="0"/>
                  <w:vAlign w:val="center"/>
                </w:tcPr>
                <w:p w14:paraId="212A456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SS</w:t>
                  </w:r>
                </w:p>
              </w:tc>
              <w:tc>
                <w:tcPr>
                  <w:tcW w:w="639" w:type="pct"/>
                  <w:tcBorders>
                    <w:tl2br w:val="nil"/>
                    <w:tr2bl w:val="nil"/>
                  </w:tcBorders>
                  <w:noWrap w:val="0"/>
                  <w:vAlign w:val="center"/>
                </w:tcPr>
                <w:p w14:paraId="68A6958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0.046t/a</w:t>
                  </w:r>
                </w:p>
              </w:tc>
              <w:tc>
                <w:tcPr>
                  <w:tcW w:w="1882" w:type="pct"/>
                  <w:vMerge w:val="continue"/>
                  <w:tcBorders>
                    <w:tl2br w:val="nil"/>
                    <w:tr2bl w:val="nil"/>
                  </w:tcBorders>
                  <w:noWrap w:val="0"/>
                  <w:vAlign w:val="center"/>
                </w:tcPr>
                <w:p w14:paraId="6939826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14:paraId="7A004C4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14:paraId="06FDE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85" w:type="pct"/>
                  <w:vMerge w:val="restart"/>
                  <w:tcBorders>
                    <w:tl2br w:val="nil"/>
                    <w:tr2bl w:val="nil"/>
                  </w:tcBorders>
                  <w:noWrap w:val="0"/>
                  <w:vAlign w:val="center"/>
                </w:tcPr>
                <w:p w14:paraId="46FA990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固体废物</w:t>
                  </w:r>
                </w:p>
              </w:tc>
              <w:tc>
                <w:tcPr>
                  <w:tcW w:w="883" w:type="pct"/>
                  <w:tcBorders>
                    <w:tl2br w:val="nil"/>
                    <w:tr2bl w:val="nil"/>
                  </w:tcBorders>
                  <w:noWrap w:val="0"/>
                  <w:vAlign w:val="center"/>
                </w:tcPr>
                <w:p w14:paraId="59A1ED8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职工生活产生</w:t>
                  </w:r>
                </w:p>
              </w:tc>
              <w:tc>
                <w:tcPr>
                  <w:tcW w:w="682" w:type="pct"/>
                  <w:tcBorders>
                    <w:tl2br w:val="nil"/>
                    <w:tr2bl w:val="nil"/>
                  </w:tcBorders>
                  <w:shd w:val="clear" w:color="auto" w:fill="auto"/>
                  <w:noWrap w:val="0"/>
                  <w:vAlign w:val="center"/>
                </w:tcPr>
                <w:p w14:paraId="68E91BC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生活垃圾</w:t>
                  </w:r>
                </w:p>
              </w:tc>
              <w:tc>
                <w:tcPr>
                  <w:tcW w:w="639" w:type="pct"/>
                  <w:tcBorders>
                    <w:tl2br w:val="nil"/>
                    <w:tr2bl w:val="nil"/>
                  </w:tcBorders>
                  <w:noWrap w:val="0"/>
                  <w:vAlign w:val="center"/>
                </w:tcPr>
                <w:p w14:paraId="087A92EB">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6t/a</w:t>
                  </w:r>
                </w:p>
              </w:tc>
              <w:tc>
                <w:tcPr>
                  <w:tcW w:w="1882" w:type="pct"/>
                  <w:tcBorders>
                    <w:tl2br w:val="nil"/>
                    <w:tr2bl w:val="nil"/>
                  </w:tcBorders>
                  <w:noWrap w:val="0"/>
                  <w:vAlign w:val="center"/>
                </w:tcPr>
                <w:p w14:paraId="54F44BC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收集后交由当地环卫部门定时</w:t>
                  </w:r>
                  <w:r>
                    <w:rPr>
                      <w:rFonts w:hint="eastAsia" w:eastAsia="宋体" w:cs="Times New Roman"/>
                      <w:b w:val="0"/>
                      <w:bCs w:val="0"/>
                      <w:color w:val="000000"/>
                      <w:kern w:val="2"/>
                      <w:sz w:val="21"/>
                      <w:szCs w:val="21"/>
                      <w:highlight w:val="none"/>
                      <w:u w:val="none" w:color="auto"/>
                      <w:lang w:val="en-US" w:eastAsia="zh-CN" w:bidi="ar-SA"/>
                    </w:rPr>
                    <w:t>清运</w:t>
                  </w:r>
                </w:p>
              </w:tc>
              <w:tc>
                <w:tcPr>
                  <w:tcW w:w="527" w:type="pct"/>
                  <w:vMerge w:val="restart"/>
                  <w:tcBorders>
                    <w:tl2br w:val="nil"/>
                    <w:tr2bl w:val="nil"/>
                  </w:tcBorders>
                  <w:noWrap w:val="0"/>
                  <w:vAlign w:val="center"/>
                </w:tcPr>
                <w:p w14:paraId="0DE2333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现有工程竣工环境保护自主验收报告</w:t>
                  </w:r>
                </w:p>
              </w:tc>
            </w:tr>
            <w:tr w14:paraId="424CD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385" w:type="pct"/>
                  <w:vMerge w:val="continue"/>
                  <w:tcBorders>
                    <w:tl2br w:val="nil"/>
                    <w:tr2bl w:val="nil"/>
                  </w:tcBorders>
                  <w:noWrap w:val="0"/>
                  <w:vAlign w:val="center"/>
                </w:tcPr>
                <w:p w14:paraId="1F61179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restart"/>
                  <w:tcBorders>
                    <w:tl2br w:val="nil"/>
                    <w:tr2bl w:val="nil"/>
                  </w:tcBorders>
                  <w:noWrap w:val="0"/>
                  <w:vAlign w:val="center"/>
                </w:tcPr>
                <w:p w14:paraId="376450D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采场岩土剥离</w:t>
                  </w:r>
                </w:p>
              </w:tc>
              <w:tc>
                <w:tcPr>
                  <w:tcW w:w="682" w:type="pct"/>
                  <w:tcBorders>
                    <w:tl2br w:val="nil"/>
                    <w:tr2bl w:val="nil"/>
                  </w:tcBorders>
                  <w:shd w:val="clear" w:color="auto" w:fill="auto"/>
                  <w:noWrap w:val="0"/>
                  <w:vAlign w:val="center"/>
                </w:tcPr>
                <w:p w14:paraId="2ACB545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表土</w:t>
                  </w:r>
                </w:p>
              </w:tc>
              <w:tc>
                <w:tcPr>
                  <w:tcW w:w="639" w:type="pct"/>
                  <w:tcBorders>
                    <w:tl2br w:val="nil"/>
                    <w:tr2bl w:val="nil"/>
                  </w:tcBorders>
                  <w:noWrap w:val="0"/>
                  <w:vAlign w:val="center"/>
                </w:tcPr>
                <w:p w14:paraId="6B5DF3F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17.1万m</w:t>
                  </w:r>
                  <w:r>
                    <w:rPr>
                      <w:rFonts w:hint="eastAsia" w:eastAsia="宋体" w:cs="Times New Roman"/>
                      <w:b w:val="0"/>
                      <w:bCs w:val="0"/>
                      <w:color w:val="000000"/>
                      <w:sz w:val="21"/>
                      <w:szCs w:val="21"/>
                      <w:highlight w:val="none"/>
                      <w:u w:val="none" w:color="auto"/>
                      <w:vertAlign w:val="superscript"/>
                      <w:lang w:val="en-US" w:eastAsia="zh-CN"/>
                    </w:rPr>
                    <w:t>3</w:t>
                  </w:r>
                </w:p>
              </w:tc>
              <w:tc>
                <w:tcPr>
                  <w:tcW w:w="1882" w:type="pct"/>
                  <w:vMerge w:val="restart"/>
                  <w:tcBorders>
                    <w:tl2br w:val="nil"/>
                    <w:tr2bl w:val="nil"/>
                  </w:tcBorders>
                  <w:noWrap w:val="0"/>
                  <w:vAlign w:val="center"/>
                </w:tcPr>
                <w:p w14:paraId="64715AC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default" w:ascii="Times New Roman" w:hAnsi="Times New Roman" w:eastAsia="宋体" w:cs="Times New Roman"/>
                      <w:b w:val="0"/>
                      <w:bCs w:val="0"/>
                      <w:color w:val="000000"/>
                      <w:kern w:val="2"/>
                      <w:sz w:val="21"/>
                      <w:szCs w:val="21"/>
                      <w:highlight w:val="none"/>
                      <w:u w:val="none" w:color="auto"/>
                      <w:lang w:val="en-US" w:eastAsia="zh-CN" w:bidi="ar-SA"/>
                    </w:rPr>
                    <w:t>剥离的表土临时分区堆放于排土场，表土用于复垦，剥离废夹石前期几乎全部用于矿区内建设运输便道，后期可用作普通建筑材料或碎石，未用完部分用于闭矿期回填矿坑。</w:t>
                  </w:r>
                </w:p>
              </w:tc>
              <w:tc>
                <w:tcPr>
                  <w:tcW w:w="527" w:type="pct"/>
                  <w:vMerge w:val="continue"/>
                  <w:tcBorders>
                    <w:tl2br w:val="nil"/>
                    <w:tr2bl w:val="nil"/>
                  </w:tcBorders>
                  <w:noWrap w:val="0"/>
                  <w:vAlign w:val="center"/>
                </w:tcPr>
                <w:p w14:paraId="2B0307B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p>
              </w:tc>
            </w:tr>
            <w:tr w14:paraId="7DE72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85" w:type="pct"/>
                  <w:vMerge w:val="continue"/>
                  <w:tcBorders>
                    <w:tl2br w:val="nil"/>
                    <w:tr2bl w:val="nil"/>
                  </w:tcBorders>
                  <w:noWrap w:val="0"/>
                  <w:vAlign w:val="center"/>
                </w:tcPr>
                <w:p w14:paraId="5D28030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14:paraId="474742B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682" w:type="pct"/>
                  <w:tcBorders>
                    <w:tl2br w:val="nil"/>
                    <w:tr2bl w:val="nil"/>
                  </w:tcBorders>
                  <w:shd w:val="clear" w:color="auto" w:fill="auto"/>
                  <w:noWrap w:val="0"/>
                  <w:vAlign w:val="center"/>
                </w:tcPr>
                <w:p w14:paraId="719D04C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废土石方</w:t>
                  </w:r>
                </w:p>
              </w:tc>
              <w:tc>
                <w:tcPr>
                  <w:tcW w:w="639" w:type="pct"/>
                  <w:tcBorders>
                    <w:tl2br w:val="nil"/>
                    <w:tr2bl w:val="nil"/>
                  </w:tcBorders>
                  <w:noWrap w:val="0"/>
                  <w:vAlign w:val="center"/>
                </w:tcPr>
                <w:p w14:paraId="7EEEE76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34.32万t/a</w:t>
                  </w:r>
                </w:p>
              </w:tc>
              <w:tc>
                <w:tcPr>
                  <w:tcW w:w="1882" w:type="pct"/>
                  <w:vMerge w:val="continue"/>
                  <w:tcBorders>
                    <w:tl2br w:val="nil"/>
                    <w:tr2bl w:val="nil"/>
                  </w:tcBorders>
                  <w:noWrap w:val="0"/>
                  <w:vAlign w:val="center"/>
                </w:tcPr>
                <w:p w14:paraId="6DC2B79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14:paraId="0F5A5C3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14:paraId="06DD9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85" w:type="pct"/>
                  <w:vMerge w:val="continue"/>
                  <w:tcBorders>
                    <w:tl2br w:val="nil"/>
                    <w:tr2bl w:val="nil"/>
                  </w:tcBorders>
                  <w:noWrap w:val="0"/>
                  <w:vAlign w:val="center"/>
                </w:tcPr>
                <w:p w14:paraId="0D5F872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noWrap w:val="0"/>
                  <w:vAlign w:val="center"/>
                </w:tcPr>
                <w:p w14:paraId="5CD4ADD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生产过程</w:t>
                  </w:r>
                </w:p>
              </w:tc>
              <w:tc>
                <w:tcPr>
                  <w:tcW w:w="682" w:type="pct"/>
                  <w:tcBorders>
                    <w:tl2br w:val="nil"/>
                    <w:tr2bl w:val="nil"/>
                  </w:tcBorders>
                  <w:shd w:val="clear" w:color="auto" w:fill="auto"/>
                  <w:noWrap w:val="0"/>
                  <w:vAlign w:val="center"/>
                </w:tcPr>
                <w:p w14:paraId="1AF5221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沉淀池沉渣</w:t>
                  </w:r>
                </w:p>
              </w:tc>
              <w:tc>
                <w:tcPr>
                  <w:tcW w:w="639" w:type="pct"/>
                  <w:tcBorders>
                    <w:tl2br w:val="nil"/>
                    <w:tr2bl w:val="nil"/>
                  </w:tcBorders>
                  <w:noWrap w:val="0"/>
                  <w:vAlign w:val="center"/>
                </w:tcPr>
                <w:p w14:paraId="09E2C71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2.1t/a</w:t>
                  </w:r>
                </w:p>
              </w:tc>
              <w:tc>
                <w:tcPr>
                  <w:tcW w:w="1882" w:type="pct"/>
                  <w:tcBorders>
                    <w:tl2br w:val="nil"/>
                    <w:tr2bl w:val="nil"/>
                  </w:tcBorders>
                  <w:noWrap w:val="0"/>
                  <w:vAlign w:val="center"/>
                </w:tcPr>
                <w:p w14:paraId="7E960EA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采场、排土场、工业场地沉淀池底泥经干化后直接排入</w:t>
                  </w:r>
                  <w:r>
                    <w:rPr>
                      <w:rFonts w:hint="eastAsia" w:eastAsia="宋体" w:cs="Times New Roman"/>
                      <w:b w:val="0"/>
                      <w:bCs w:val="0"/>
                      <w:color w:val="000000"/>
                      <w:kern w:val="2"/>
                      <w:sz w:val="21"/>
                      <w:szCs w:val="21"/>
                      <w:highlight w:val="none"/>
                      <w:u w:val="none" w:color="auto"/>
                      <w:lang w:val="en-US" w:eastAsia="zh-CN" w:bidi="ar-SA"/>
                    </w:rPr>
                    <w:t>附近</w:t>
                  </w:r>
                  <w:r>
                    <w:rPr>
                      <w:rFonts w:hint="eastAsia" w:ascii="Times New Roman" w:hAnsi="Times New Roman" w:eastAsia="宋体" w:cs="Times New Roman"/>
                      <w:b w:val="0"/>
                      <w:bCs w:val="0"/>
                      <w:color w:val="000000"/>
                      <w:kern w:val="2"/>
                      <w:sz w:val="21"/>
                      <w:szCs w:val="21"/>
                      <w:highlight w:val="none"/>
                      <w:u w:val="none" w:color="auto"/>
                      <w:lang w:val="en-US" w:eastAsia="zh-CN" w:bidi="ar-SA"/>
                    </w:rPr>
                    <w:t>采坑回填</w:t>
                  </w:r>
                </w:p>
              </w:tc>
              <w:tc>
                <w:tcPr>
                  <w:tcW w:w="527" w:type="pct"/>
                  <w:vMerge w:val="continue"/>
                  <w:tcBorders>
                    <w:tl2br w:val="nil"/>
                    <w:tr2bl w:val="nil"/>
                  </w:tcBorders>
                  <w:noWrap w:val="0"/>
                  <w:vAlign w:val="center"/>
                </w:tcPr>
                <w:p w14:paraId="5FB623E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p>
              </w:tc>
            </w:tr>
          </w:tbl>
          <w:p w14:paraId="1560C522">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single" w:color="auto"/>
                <w:lang w:val="en-US" w:eastAsia="zh-CN"/>
              </w:rPr>
            </w:pPr>
            <w:r>
              <w:rPr>
                <w:rFonts w:hint="eastAsia" w:eastAsia="宋体" w:cs="Times New Roman"/>
                <w:b/>
                <w:bCs/>
                <w:color w:val="000000"/>
                <w:spacing w:val="11"/>
                <w:position w:val="0"/>
                <w:sz w:val="24"/>
                <w:szCs w:val="24"/>
                <w:highlight w:val="none"/>
                <w:u w:val="single" w:color="auto"/>
                <w:lang w:val="en-US" w:eastAsia="zh-CN"/>
              </w:rPr>
              <w:t>5</w:t>
            </w:r>
            <w:r>
              <w:rPr>
                <w:rFonts w:hint="default" w:ascii="Times New Roman" w:hAnsi="Times New Roman" w:eastAsia="宋体" w:cs="Times New Roman"/>
                <w:b/>
                <w:bCs/>
                <w:color w:val="000000"/>
                <w:spacing w:val="11"/>
                <w:position w:val="0"/>
                <w:sz w:val="24"/>
                <w:szCs w:val="24"/>
                <w:highlight w:val="none"/>
                <w:u w:val="single" w:color="auto"/>
                <w:lang w:val="en-US" w:eastAsia="zh-CN"/>
              </w:rPr>
              <w:t>、现有工程存在主要环境问题</w:t>
            </w:r>
          </w:p>
          <w:p w14:paraId="3707CC1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（1）</w:t>
            </w:r>
            <w:r>
              <w:rPr>
                <w:rFonts w:hint="default" w:ascii="Times New Roman" w:hAnsi="Times New Roman" w:eastAsia="宋体" w:cs="Times New Roman"/>
                <w:color w:val="000000"/>
                <w:spacing w:val="11"/>
                <w:position w:val="0"/>
                <w:sz w:val="24"/>
                <w:szCs w:val="24"/>
                <w:highlight w:val="none"/>
                <w:u w:val="single" w:color="auto"/>
                <w:lang w:val="en-US" w:eastAsia="zh-CN"/>
              </w:rPr>
              <w:t>露天采坑处浑圆状山丘，经多年开采形成四壁陡峭的采坑，直接破坏了原始地形地貌景观。</w:t>
            </w:r>
          </w:p>
          <w:p w14:paraId="0CDBA98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en-US" w:eastAsia="zh-CN"/>
              </w:rPr>
              <w:t>未建设危废暂存间。</w:t>
            </w:r>
          </w:p>
          <w:p w14:paraId="2ACABFB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（3）</w:t>
            </w:r>
            <w:r>
              <w:rPr>
                <w:rFonts w:hint="default" w:ascii="Times New Roman" w:hAnsi="Times New Roman" w:eastAsia="宋体" w:cs="Times New Roman"/>
                <w:color w:val="000000"/>
                <w:spacing w:val="11"/>
                <w:position w:val="0"/>
                <w:sz w:val="24"/>
                <w:szCs w:val="24"/>
                <w:highlight w:val="none"/>
                <w:u w:val="single" w:color="auto"/>
                <w:lang w:val="en-US" w:eastAsia="zh-CN"/>
              </w:rPr>
              <w:t>矿区开采范围内防洪工程不完善，防洪沟建设不完善。</w:t>
            </w:r>
          </w:p>
          <w:p w14:paraId="00CF56B5">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u w:val="single" w:color="auto"/>
                <w:lang w:val="en-US"/>
              </w:rPr>
            </w:pPr>
            <w:r>
              <w:rPr>
                <w:rFonts w:hint="eastAsia" w:eastAsia="宋体" w:cs="Times New Roman"/>
                <w:b/>
                <w:bCs/>
                <w:color w:val="auto"/>
                <w:spacing w:val="11"/>
                <w:kern w:val="0"/>
                <w:position w:val="0"/>
                <w:sz w:val="24"/>
                <w:szCs w:val="24"/>
                <w:u w:val="single" w:color="auto"/>
                <w:lang w:val="en-US" w:eastAsia="zh-CN"/>
              </w:rPr>
              <w:t>6</w:t>
            </w:r>
            <w:r>
              <w:rPr>
                <w:rFonts w:hint="default" w:ascii="Times New Roman" w:hAnsi="Times New Roman" w:eastAsia="宋体" w:cs="Times New Roman"/>
                <w:b/>
                <w:bCs/>
                <w:color w:val="auto"/>
                <w:spacing w:val="11"/>
                <w:kern w:val="0"/>
                <w:position w:val="0"/>
                <w:sz w:val="24"/>
                <w:szCs w:val="24"/>
                <w:u w:val="single" w:color="auto"/>
                <w:lang w:val="en-US" w:eastAsia="zh-CN"/>
              </w:rPr>
              <w:t>、</w:t>
            </w:r>
            <w:r>
              <w:rPr>
                <w:rFonts w:hint="eastAsia" w:ascii="宋体" w:hAnsi="宋体" w:eastAsia="宋体" w:cs="宋体"/>
                <w:b/>
                <w:bCs/>
                <w:color w:val="auto"/>
                <w:spacing w:val="11"/>
                <w:kern w:val="0"/>
                <w:position w:val="0"/>
                <w:sz w:val="24"/>
                <w:szCs w:val="24"/>
                <w:u w:val="single" w:color="auto"/>
                <w:lang w:val="en-US" w:eastAsia="zh-CN"/>
              </w:rPr>
              <w:t>“以新带老”措</w:t>
            </w:r>
            <w:r>
              <w:rPr>
                <w:rFonts w:hint="default" w:ascii="Times New Roman" w:hAnsi="Times New Roman" w:eastAsia="宋体" w:cs="Times New Roman"/>
                <w:b/>
                <w:bCs/>
                <w:color w:val="auto"/>
                <w:spacing w:val="11"/>
                <w:kern w:val="0"/>
                <w:position w:val="0"/>
                <w:sz w:val="24"/>
                <w:szCs w:val="24"/>
                <w:u w:val="single" w:color="auto"/>
                <w:lang w:val="en-US" w:eastAsia="zh-CN"/>
              </w:rPr>
              <w:t xml:space="preserve">施 </w:t>
            </w:r>
          </w:p>
          <w:p w14:paraId="24165AB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rPr>
            </w:pPr>
            <w:r>
              <w:rPr>
                <w:rFonts w:hint="eastAsia" w:eastAsia="宋体" w:cs="Times New Roman"/>
                <w:color w:val="auto"/>
                <w:spacing w:val="11"/>
                <w:kern w:val="0"/>
                <w:position w:val="0"/>
                <w:sz w:val="24"/>
                <w:szCs w:val="24"/>
                <w:u w:val="single" w:color="auto"/>
                <w:lang w:val="en-US" w:eastAsia="zh-CN"/>
              </w:rPr>
              <w:t>（1）</w:t>
            </w:r>
            <w:r>
              <w:rPr>
                <w:rFonts w:hint="default" w:ascii="Times New Roman" w:hAnsi="Times New Roman" w:eastAsia="宋体" w:cs="Times New Roman"/>
                <w:color w:val="auto"/>
                <w:spacing w:val="11"/>
                <w:kern w:val="0"/>
                <w:position w:val="0"/>
                <w:sz w:val="24"/>
                <w:szCs w:val="24"/>
                <w:u w:val="single" w:color="auto"/>
                <w:lang w:val="en-US" w:eastAsia="zh-CN"/>
              </w:rPr>
              <w:t xml:space="preserve">开采过程严格限制作业范围，尽可能减少对原有地表植被和土壤的破坏，严格落实《矿山生态保护修复方案》，对已完成开采或形成终了边坡的开采区域实施边开采边修复，恢复土地原有功能，矿山服务期满后复垦以及种植乔、灌木绿化，确保矿山损毁土地复垦率达到100%，地质环境治理恢复率达到100%。 </w:t>
            </w:r>
          </w:p>
          <w:p w14:paraId="34BB592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rPr>
            </w:pPr>
            <w:r>
              <w:rPr>
                <w:rFonts w:hint="eastAsia" w:eastAsia="宋体" w:cs="Times New Roman"/>
                <w:color w:val="auto"/>
                <w:spacing w:val="11"/>
                <w:kern w:val="0"/>
                <w:position w:val="0"/>
                <w:sz w:val="24"/>
                <w:szCs w:val="24"/>
                <w:u w:val="single" w:color="auto"/>
                <w:lang w:val="en-US" w:eastAsia="zh-CN"/>
              </w:rPr>
              <w:t>（2）</w:t>
            </w:r>
            <w:r>
              <w:rPr>
                <w:rFonts w:hint="default" w:ascii="Times New Roman" w:hAnsi="Times New Roman" w:eastAsia="宋体" w:cs="Times New Roman"/>
                <w:color w:val="auto"/>
                <w:spacing w:val="11"/>
                <w:kern w:val="0"/>
                <w:position w:val="0"/>
                <w:sz w:val="24"/>
                <w:szCs w:val="24"/>
                <w:u w:val="single" w:color="auto"/>
                <w:lang w:val="en-US" w:eastAsia="zh-CN"/>
              </w:rPr>
              <w:t>本环评要求建设单位按照《危险废物贮存污染控制标准》（GB18597-2023）相关要求建设危废暂存间，并张贴相关标识标牌。</w:t>
            </w:r>
          </w:p>
          <w:p w14:paraId="45F0E6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eastAsia" w:eastAsia="宋体" w:cs="Times New Roman"/>
                <w:color w:val="auto"/>
                <w:spacing w:val="11"/>
                <w:kern w:val="0"/>
                <w:position w:val="0"/>
                <w:sz w:val="24"/>
                <w:szCs w:val="24"/>
                <w:u w:val="single" w:color="auto"/>
                <w:lang w:val="en-US" w:eastAsia="zh-CN"/>
              </w:rPr>
              <w:t>（3）</w:t>
            </w:r>
            <w:r>
              <w:rPr>
                <w:rFonts w:hint="default" w:ascii="Times New Roman" w:hAnsi="Times New Roman" w:eastAsia="宋体" w:cs="Times New Roman"/>
                <w:color w:val="auto"/>
                <w:spacing w:val="11"/>
                <w:kern w:val="0"/>
                <w:position w:val="0"/>
                <w:sz w:val="24"/>
                <w:szCs w:val="24"/>
                <w:u w:val="single" w:color="auto"/>
                <w:lang w:val="en-US" w:eastAsia="zh-CN"/>
              </w:rPr>
              <w:t>按照开发利用方案完善截排水沟。</w:t>
            </w:r>
          </w:p>
          <w:p w14:paraId="5A6DF20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u w:val="single" w:color="auto"/>
                <w:lang w:val="en-US" w:eastAsia="zh-CN"/>
              </w:rPr>
              <w:t>以上现有工程存在的环境问题建设单位应在环境保护工程竣工验收之前整改完成。</w:t>
            </w:r>
          </w:p>
        </w:tc>
      </w:tr>
      <w:tr w14:paraId="1AF39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14:paraId="7B95DD73">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生态环境保护目标</w:t>
            </w:r>
          </w:p>
        </w:tc>
        <w:tc>
          <w:tcPr>
            <w:tcW w:w="8213" w:type="dxa"/>
            <w:tcBorders>
              <w:tl2br w:val="nil"/>
              <w:tr2bl w:val="nil"/>
            </w:tcBorders>
            <w:noWrap w:val="0"/>
            <w:vAlign w:val="center"/>
          </w:tcPr>
          <w:p w14:paraId="440013D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lang w:val="en-US" w:eastAsia="zh-CN"/>
              </w:rPr>
              <w:t>本项目所有废水均可实现有效利用，不外排，结合现场调查结果，项目周边水体主要为塘下水库，位于项目的东北面，项目风险外溢单元为该水库，项目周边不涉及饮用水源保护单元，本次评价将该水库纳入水环境保护目标。</w:t>
            </w:r>
          </w:p>
          <w:p w14:paraId="4ABE073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u w:val="single"/>
                <w:lang w:eastAsia="zh-CN"/>
              </w:rPr>
            </w:pPr>
            <w:r>
              <w:rPr>
                <w:rFonts w:hint="default" w:ascii="Times New Roman" w:hAnsi="Times New Roman" w:eastAsia="宋体" w:cs="Times New Roman"/>
                <w:color w:val="auto"/>
                <w:spacing w:val="11"/>
                <w:position w:val="0"/>
                <w:sz w:val="24"/>
                <w:szCs w:val="24"/>
                <w:u w:val="single"/>
              </w:rPr>
              <w:t>根据现场调查，</w:t>
            </w:r>
            <w:r>
              <w:rPr>
                <w:rFonts w:hint="default" w:ascii="Times New Roman" w:hAnsi="Times New Roman" w:eastAsia="宋体" w:cs="Times New Roman"/>
                <w:color w:val="auto"/>
                <w:spacing w:val="11"/>
                <w:position w:val="0"/>
                <w:sz w:val="24"/>
                <w:szCs w:val="24"/>
                <w:u w:val="single"/>
                <w:lang w:val="en-US" w:eastAsia="zh-CN"/>
              </w:rPr>
              <w:t>项目厂界外500m</w:t>
            </w:r>
            <w:r>
              <w:rPr>
                <w:rFonts w:hint="default" w:ascii="Times New Roman" w:hAnsi="Times New Roman" w:eastAsia="宋体" w:cs="Times New Roman"/>
                <w:color w:val="auto"/>
                <w:spacing w:val="11"/>
                <w:position w:val="0"/>
                <w:sz w:val="24"/>
                <w:szCs w:val="24"/>
                <w:u w:val="single"/>
              </w:rPr>
              <w:t>区域内无自然保护区、风景名胜区、居住区、文化区和农村地区中人群较集中的区域等。本项目主要环保目标见表3-</w:t>
            </w:r>
            <w:r>
              <w:rPr>
                <w:rFonts w:hint="eastAsia" w:cs="Times New Roman"/>
                <w:color w:val="auto"/>
                <w:spacing w:val="11"/>
                <w:position w:val="0"/>
                <w:sz w:val="24"/>
                <w:szCs w:val="24"/>
                <w:u w:val="single"/>
                <w:lang w:val="en-US" w:eastAsia="zh-CN"/>
              </w:rPr>
              <w:t>8</w:t>
            </w:r>
            <w:r>
              <w:rPr>
                <w:rFonts w:hint="default" w:ascii="Times New Roman" w:hAnsi="Times New Roman" w:eastAsia="宋体" w:cs="Times New Roman"/>
                <w:color w:val="auto"/>
                <w:spacing w:val="11"/>
                <w:position w:val="0"/>
                <w:sz w:val="24"/>
                <w:szCs w:val="24"/>
                <w:u w:val="single"/>
              </w:rPr>
              <w:t>所示，环保目标分布见附图</w:t>
            </w:r>
            <w:r>
              <w:rPr>
                <w:rFonts w:hint="default" w:ascii="Times New Roman" w:hAnsi="Times New Roman" w:eastAsia="宋体" w:cs="Times New Roman"/>
                <w:color w:val="auto"/>
                <w:spacing w:val="11"/>
                <w:position w:val="0"/>
                <w:sz w:val="24"/>
                <w:szCs w:val="24"/>
                <w:u w:val="single"/>
                <w:lang w:eastAsia="zh-CN"/>
              </w:rPr>
              <w:t>。</w:t>
            </w:r>
          </w:p>
          <w:p w14:paraId="3C312B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11"/>
                <w:position w:val="0"/>
                <w:sz w:val="21"/>
                <w:szCs w:val="21"/>
                <w:u w:val="single"/>
              </w:rPr>
            </w:pPr>
            <w:r>
              <w:rPr>
                <w:rFonts w:hint="default" w:ascii="Times New Roman" w:hAnsi="Times New Roman" w:eastAsia="宋体" w:cs="Times New Roman"/>
                <w:b/>
                <w:bCs/>
                <w:color w:val="auto"/>
                <w:spacing w:val="11"/>
                <w:position w:val="0"/>
                <w:sz w:val="21"/>
                <w:szCs w:val="21"/>
                <w:u w:val="single"/>
              </w:rPr>
              <w:t>表</w:t>
            </w:r>
            <w:r>
              <w:rPr>
                <w:rFonts w:hint="default" w:ascii="Times New Roman" w:hAnsi="Times New Roman" w:eastAsia="宋体" w:cs="Times New Roman"/>
                <w:b/>
                <w:bCs/>
                <w:color w:val="auto"/>
                <w:spacing w:val="11"/>
                <w:position w:val="0"/>
                <w:sz w:val="21"/>
                <w:szCs w:val="21"/>
                <w:u w:val="single"/>
                <w:lang w:val="en-US" w:eastAsia="zh-CN"/>
              </w:rPr>
              <w:t>3-</w:t>
            </w:r>
            <w:r>
              <w:rPr>
                <w:rFonts w:hint="eastAsia" w:cs="Times New Roman"/>
                <w:b/>
                <w:bCs/>
                <w:color w:val="auto"/>
                <w:spacing w:val="11"/>
                <w:position w:val="0"/>
                <w:sz w:val="21"/>
                <w:szCs w:val="21"/>
                <w:u w:val="single"/>
                <w:lang w:val="en-US" w:eastAsia="zh-CN"/>
              </w:rPr>
              <w:t>8</w:t>
            </w:r>
            <w:r>
              <w:rPr>
                <w:rFonts w:hint="default" w:ascii="Times New Roman" w:hAnsi="Times New Roman" w:eastAsia="宋体" w:cs="Times New Roman"/>
                <w:b/>
                <w:bCs/>
                <w:color w:val="auto"/>
                <w:spacing w:val="11"/>
                <w:position w:val="0"/>
                <w:sz w:val="21"/>
                <w:szCs w:val="21"/>
                <w:u w:val="single"/>
              </w:rPr>
              <w:t xml:space="preserve">  主要环境保护目标</w:t>
            </w:r>
          </w:p>
          <w:tbl>
            <w:tblPr>
              <w:tblStyle w:val="33"/>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742"/>
              <w:gridCol w:w="590"/>
              <w:gridCol w:w="1249"/>
              <w:gridCol w:w="820"/>
              <w:gridCol w:w="121"/>
              <w:gridCol w:w="229"/>
              <w:gridCol w:w="366"/>
              <w:gridCol w:w="688"/>
              <w:gridCol w:w="490"/>
              <w:gridCol w:w="495"/>
              <w:gridCol w:w="1251"/>
            </w:tblGrid>
            <w:tr w14:paraId="35542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1C192EE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bookmarkStart w:id="7" w:name="_Hlk118402374"/>
                  <w:r>
                    <w:rPr>
                      <w:rFonts w:hint="default" w:ascii="Times New Roman" w:hAnsi="Times New Roman" w:eastAsia="宋体" w:cs="Times New Roman"/>
                      <w:b w:val="0"/>
                      <w:bCs w:val="0"/>
                      <w:color w:val="auto"/>
                      <w:spacing w:val="11"/>
                      <w:position w:val="0"/>
                      <w:sz w:val="21"/>
                      <w:szCs w:val="21"/>
                      <w:u w:val="single"/>
                    </w:rPr>
                    <w:t>一、环境空气保护目标</w:t>
                  </w:r>
                </w:p>
              </w:tc>
            </w:tr>
            <w:tr w14:paraId="4365D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vMerge w:val="restart"/>
                  <w:tcBorders>
                    <w:tl2br w:val="nil"/>
                    <w:tr2bl w:val="nil"/>
                  </w:tcBorders>
                  <w:noWrap w:val="0"/>
                  <w:vAlign w:val="center"/>
                </w:tcPr>
                <w:p w14:paraId="70C9147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bookmarkStart w:id="8" w:name="_Hlk118402277"/>
                  <w:r>
                    <w:rPr>
                      <w:rFonts w:hint="default" w:ascii="Times New Roman" w:hAnsi="Times New Roman" w:eastAsia="宋体" w:cs="Times New Roman"/>
                      <w:b w:val="0"/>
                      <w:bCs w:val="0"/>
                      <w:color w:val="auto"/>
                      <w:spacing w:val="11"/>
                      <w:position w:val="0"/>
                      <w:sz w:val="21"/>
                      <w:szCs w:val="21"/>
                      <w:u w:val="single"/>
                    </w:rPr>
                    <w:t>名称</w:t>
                  </w:r>
                </w:p>
              </w:tc>
              <w:tc>
                <w:tcPr>
                  <w:tcW w:w="1621" w:type="pct"/>
                  <w:gridSpan w:val="3"/>
                  <w:tcBorders>
                    <w:tl2br w:val="nil"/>
                    <w:tr2bl w:val="nil"/>
                  </w:tcBorders>
                  <w:noWrap w:val="0"/>
                  <w:vAlign w:val="center"/>
                </w:tcPr>
                <w:p w14:paraId="15FAF6DF">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经纬坐标</w:t>
                  </w:r>
                </w:p>
              </w:tc>
              <w:tc>
                <w:tcPr>
                  <w:tcW w:w="591" w:type="pct"/>
                  <w:gridSpan w:val="2"/>
                  <w:vMerge w:val="restart"/>
                  <w:tcBorders>
                    <w:tl2br w:val="nil"/>
                    <w:tr2bl w:val="nil"/>
                  </w:tcBorders>
                  <w:noWrap w:val="0"/>
                  <w:vAlign w:val="center"/>
                </w:tcPr>
                <w:p w14:paraId="3B5A1BF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373" w:type="pct"/>
                  <w:gridSpan w:val="2"/>
                  <w:vMerge w:val="restart"/>
                  <w:tcBorders>
                    <w:tl2br w:val="nil"/>
                    <w:tr2bl w:val="nil"/>
                  </w:tcBorders>
                  <w:noWrap w:val="0"/>
                  <w:vAlign w:val="center"/>
                </w:tcPr>
                <w:p w14:paraId="200B300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保护内容</w:t>
                  </w:r>
                </w:p>
              </w:tc>
              <w:tc>
                <w:tcPr>
                  <w:tcW w:w="432" w:type="pct"/>
                  <w:vMerge w:val="restart"/>
                  <w:tcBorders>
                    <w:tl2br w:val="nil"/>
                    <w:tr2bl w:val="nil"/>
                  </w:tcBorders>
                  <w:noWrap w:val="0"/>
                  <w:vAlign w:val="center"/>
                </w:tcPr>
                <w:p w14:paraId="74EAA17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环境功能区</w:t>
                  </w:r>
                </w:p>
              </w:tc>
              <w:tc>
                <w:tcPr>
                  <w:tcW w:w="618" w:type="pct"/>
                  <w:gridSpan w:val="2"/>
                  <w:vMerge w:val="restart"/>
                  <w:tcBorders>
                    <w:tl2br w:val="nil"/>
                    <w:tr2bl w:val="nil"/>
                  </w:tcBorders>
                  <w:noWrap w:val="0"/>
                  <w:vAlign w:val="center"/>
                </w:tcPr>
                <w:p w14:paraId="6AC73C8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相对方位</w:t>
                  </w:r>
                </w:p>
              </w:tc>
              <w:tc>
                <w:tcPr>
                  <w:tcW w:w="786" w:type="pct"/>
                  <w:vMerge w:val="restart"/>
                  <w:tcBorders>
                    <w:tl2br w:val="nil"/>
                    <w:tr2bl w:val="nil"/>
                  </w:tcBorders>
                  <w:noWrap w:val="0"/>
                  <w:vAlign w:val="center"/>
                </w:tcPr>
                <w:p w14:paraId="76D00BC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相对</w:t>
                  </w:r>
                </w:p>
                <w:p w14:paraId="6A341027">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距离</w:t>
                  </w:r>
                </w:p>
              </w:tc>
            </w:tr>
            <w:tr w14:paraId="051CC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vMerge w:val="continue"/>
                  <w:tcBorders>
                    <w:tl2br w:val="nil"/>
                    <w:tr2bl w:val="nil"/>
                  </w:tcBorders>
                  <w:noWrap w:val="0"/>
                  <w:vAlign w:val="center"/>
                </w:tcPr>
                <w:p w14:paraId="16805E6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836" w:type="pct"/>
                  <w:gridSpan w:val="2"/>
                  <w:tcBorders>
                    <w:tl2br w:val="nil"/>
                    <w:tr2bl w:val="nil"/>
                  </w:tcBorders>
                  <w:noWrap w:val="0"/>
                  <w:vAlign w:val="center"/>
                </w:tcPr>
                <w:p w14:paraId="65B156E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E</w:t>
                  </w:r>
                </w:p>
              </w:tc>
              <w:tc>
                <w:tcPr>
                  <w:tcW w:w="784" w:type="pct"/>
                  <w:tcBorders>
                    <w:tl2br w:val="nil"/>
                    <w:tr2bl w:val="nil"/>
                  </w:tcBorders>
                  <w:noWrap w:val="0"/>
                  <w:vAlign w:val="center"/>
                </w:tcPr>
                <w:p w14:paraId="54290A87">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N</w:t>
                  </w:r>
                </w:p>
              </w:tc>
              <w:tc>
                <w:tcPr>
                  <w:tcW w:w="591" w:type="pct"/>
                  <w:gridSpan w:val="2"/>
                  <w:vMerge w:val="continue"/>
                  <w:tcBorders>
                    <w:tl2br w:val="nil"/>
                    <w:tr2bl w:val="nil"/>
                  </w:tcBorders>
                  <w:noWrap w:val="0"/>
                  <w:vAlign w:val="center"/>
                </w:tcPr>
                <w:p w14:paraId="584E6BD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373" w:type="pct"/>
                  <w:gridSpan w:val="2"/>
                  <w:vMerge w:val="continue"/>
                  <w:tcBorders>
                    <w:tl2br w:val="nil"/>
                    <w:tr2bl w:val="nil"/>
                  </w:tcBorders>
                  <w:noWrap w:val="0"/>
                  <w:vAlign w:val="center"/>
                </w:tcPr>
                <w:p w14:paraId="3474642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14:paraId="43104E4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vMerge w:val="continue"/>
                  <w:tcBorders>
                    <w:tl2br w:val="nil"/>
                    <w:tr2bl w:val="nil"/>
                  </w:tcBorders>
                  <w:noWrap w:val="0"/>
                  <w:vAlign w:val="center"/>
                </w:tcPr>
                <w:p w14:paraId="04390F0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786" w:type="pct"/>
                  <w:vMerge w:val="continue"/>
                  <w:tcBorders>
                    <w:tl2br w:val="nil"/>
                    <w:tr2bl w:val="nil"/>
                  </w:tcBorders>
                  <w:noWrap w:val="0"/>
                  <w:vAlign w:val="center"/>
                </w:tcPr>
                <w:p w14:paraId="4ACB6059">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r>
            <w:bookmarkEnd w:id="8"/>
            <w:tr w14:paraId="18B9A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14:paraId="49AD72A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蜂头岭</w:t>
                  </w:r>
                </w:p>
              </w:tc>
              <w:tc>
                <w:tcPr>
                  <w:tcW w:w="836" w:type="pct"/>
                  <w:gridSpan w:val="2"/>
                  <w:tcBorders>
                    <w:tl2br w:val="nil"/>
                    <w:tr2bl w:val="nil"/>
                  </w:tcBorders>
                  <w:noWrap w:val="0"/>
                  <w:vAlign w:val="center"/>
                </w:tcPr>
                <w:p w14:paraId="6D27E9B0">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112.140576</w:t>
                  </w:r>
                </w:p>
              </w:tc>
              <w:tc>
                <w:tcPr>
                  <w:tcW w:w="784" w:type="pct"/>
                  <w:tcBorders>
                    <w:tl2br w:val="nil"/>
                    <w:tr2bl w:val="nil"/>
                  </w:tcBorders>
                  <w:noWrap w:val="0"/>
                  <w:vAlign w:val="center"/>
                </w:tcPr>
                <w:p w14:paraId="2B8BE40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25.931400</w:t>
                  </w:r>
                </w:p>
              </w:tc>
              <w:tc>
                <w:tcPr>
                  <w:tcW w:w="591" w:type="pct"/>
                  <w:gridSpan w:val="2"/>
                  <w:tcBorders>
                    <w:tl2br w:val="nil"/>
                    <w:tr2bl w:val="nil"/>
                  </w:tcBorders>
                  <w:noWrap w:val="0"/>
                  <w:vAlign w:val="center"/>
                </w:tcPr>
                <w:p w14:paraId="4B1B574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约5户15人</w:t>
                  </w:r>
                </w:p>
              </w:tc>
              <w:tc>
                <w:tcPr>
                  <w:tcW w:w="373" w:type="pct"/>
                  <w:gridSpan w:val="2"/>
                  <w:vMerge w:val="restart"/>
                  <w:tcBorders>
                    <w:tl2br w:val="nil"/>
                    <w:tr2bl w:val="nil"/>
                  </w:tcBorders>
                  <w:noWrap w:val="0"/>
                  <w:vAlign w:val="center"/>
                </w:tcPr>
                <w:p w14:paraId="02198C2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人群健康</w:t>
                  </w:r>
                </w:p>
              </w:tc>
              <w:tc>
                <w:tcPr>
                  <w:tcW w:w="432" w:type="pct"/>
                  <w:vMerge w:val="restart"/>
                  <w:tcBorders>
                    <w:tl2br w:val="nil"/>
                    <w:tr2bl w:val="nil"/>
                  </w:tcBorders>
                  <w:noWrap w:val="0"/>
                  <w:vAlign w:val="center"/>
                </w:tcPr>
                <w:p w14:paraId="0BA940D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二类功能区</w:t>
                  </w:r>
                </w:p>
              </w:tc>
              <w:tc>
                <w:tcPr>
                  <w:tcW w:w="618" w:type="pct"/>
                  <w:gridSpan w:val="2"/>
                  <w:tcBorders>
                    <w:tl2br w:val="nil"/>
                    <w:tr2bl w:val="nil"/>
                  </w:tcBorders>
                  <w:noWrap w:val="0"/>
                  <w:vAlign w:val="center"/>
                </w:tcPr>
                <w:p w14:paraId="20B47D72">
                  <w:pPr>
                    <w:pStyle w:val="63"/>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西北</w:t>
                  </w:r>
                </w:p>
              </w:tc>
              <w:tc>
                <w:tcPr>
                  <w:tcW w:w="786" w:type="pct"/>
                  <w:tcBorders>
                    <w:tl2br w:val="nil"/>
                    <w:tr2bl w:val="nil"/>
                  </w:tcBorders>
                  <w:noWrap w:val="0"/>
                  <w:vAlign w:val="center"/>
                </w:tcPr>
                <w:p w14:paraId="32DED33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310-406m</w:t>
                  </w:r>
                </w:p>
              </w:tc>
            </w:tr>
            <w:tr w14:paraId="2FBFE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14:paraId="1FB0EBC0">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会冲</w:t>
                  </w:r>
                </w:p>
              </w:tc>
              <w:tc>
                <w:tcPr>
                  <w:tcW w:w="836" w:type="pct"/>
                  <w:gridSpan w:val="2"/>
                  <w:tcBorders>
                    <w:tl2br w:val="nil"/>
                    <w:tr2bl w:val="nil"/>
                  </w:tcBorders>
                  <w:noWrap w:val="0"/>
                  <w:vAlign w:val="center"/>
                </w:tcPr>
                <w:p w14:paraId="1F2EEB69">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112.137046</w:t>
                  </w:r>
                </w:p>
              </w:tc>
              <w:tc>
                <w:tcPr>
                  <w:tcW w:w="784" w:type="pct"/>
                  <w:tcBorders>
                    <w:tl2br w:val="nil"/>
                    <w:tr2bl w:val="nil"/>
                  </w:tcBorders>
                  <w:noWrap w:val="0"/>
                  <w:vAlign w:val="center"/>
                </w:tcPr>
                <w:p w14:paraId="1F673F04">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25.92935</w:t>
                  </w:r>
                  <w:r>
                    <w:rPr>
                      <w:rFonts w:hint="eastAsia" w:cs="Times New Roman"/>
                      <w:b w:val="0"/>
                      <w:bCs w:val="0"/>
                      <w:color w:val="auto"/>
                      <w:spacing w:val="11"/>
                      <w:position w:val="0"/>
                      <w:sz w:val="21"/>
                      <w:szCs w:val="21"/>
                      <w:u w:val="single"/>
                      <w:lang w:val="en-US" w:eastAsia="zh-CN"/>
                    </w:rPr>
                    <w:t>0</w:t>
                  </w:r>
                </w:p>
              </w:tc>
              <w:tc>
                <w:tcPr>
                  <w:tcW w:w="591" w:type="pct"/>
                  <w:gridSpan w:val="2"/>
                  <w:tcBorders>
                    <w:tl2br w:val="nil"/>
                    <w:tr2bl w:val="nil"/>
                  </w:tcBorders>
                  <w:noWrap w:val="0"/>
                  <w:vAlign w:val="center"/>
                </w:tcPr>
                <w:p w14:paraId="6147DCBA">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约</w:t>
                  </w:r>
                  <w:r>
                    <w:rPr>
                      <w:rFonts w:hint="eastAsia" w:cs="Times New Roman"/>
                      <w:b w:val="0"/>
                      <w:bCs w:val="0"/>
                      <w:color w:val="auto"/>
                      <w:spacing w:val="11"/>
                      <w:position w:val="0"/>
                      <w:sz w:val="21"/>
                      <w:szCs w:val="21"/>
                      <w:u w:val="single"/>
                      <w:lang w:val="en-US" w:eastAsia="zh-CN"/>
                    </w:rPr>
                    <w:t>22</w:t>
                  </w:r>
                  <w:r>
                    <w:rPr>
                      <w:rFonts w:hint="default" w:ascii="Times New Roman" w:hAnsi="Times New Roman" w:eastAsia="宋体" w:cs="Times New Roman"/>
                      <w:b w:val="0"/>
                      <w:bCs w:val="0"/>
                      <w:color w:val="auto"/>
                      <w:spacing w:val="11"/>
                      <w:position w:val="0"/>
                      <w:sz w:val="21"/>
                      <w:szCs w:val="21"/>
                      <w:u w:val="single"/>
                      <w:lang w:val="en-US" w:eastAsia="zh-CN"/>
                    </w:rPr>
                    <w:t>户</w:t>
                  </w:r>
                  <w:r>
                    <w:rPr>
                      <w:rFonts w:hint="eastAsia" w:cs="Times New Roman"/>
                      <w:b w:val="0"/>
                      <w:bCs w:val="0"/>
                      <w:color w:val="auto"/>
                      <w:spacing w:val="11"/>
                      <w:position w:val="0"/>
                      <w:sz w:val="21"/>
                      <w:szCs w:val="21"/>
                      <w:u w:val="single"/>
                      <w:lang w:val="en-US" w:eastAsia="zh-CN"/>
                    </w:rPr>
                    <w:t>66</w:t>
                  </w:r>
                  <w:r>
                    <w:rPr>
                      <w:rFonts w:hint="default" w:ascii="Times New Roman" w:hAnsi="Times New Roman" w:eastAsia="宋体" w:cs="Times New Roman"/>
                      <w:b w:val="0"/>
                      <w:bCs w:val="0"/>
                      <w:color w:val="auto"/>
                      <w:spacing w:val="11"/>
                      <w:position w:val="0"/>
                      <w:sz w:val="21"/>
                      <w:szCs w:val="21"/>
                      <w:u w:val="single"/>
                      <w:lang w:val="en-US" w:eastAsia="zh-CN"/>
                    </w:rPr>
                    <w:t>人</w:t>
                  </w:r>
                </w:p>
              </w:tc>
              <w:tc>
                <w:tcPr>
                  <w:tcW w:w="373" w:type="pct"/>
                  <w:gridSpan w:val="2"/>
                  <w:vMerge w:val="continue"/>
                  <w:tcBorders>
                    <w:tl2br w:val="nil"/>
                    <w:tr2bl w:val="nil"/>
                  </w:tcBorders>
                  <w:noWrap w:val="0"/>
                  <w:vAlign w:val="center"/>
                </w:tcPr>
                <w:p w14:paraId="280B692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14:paraId="2D3D3C1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tcBorders>
                    <w:tl2br w:val="nil"/>
                    <w:tr2bl w:val="nil"/>
                  </w:tcBorders>
                  <w:noWrap w:val="0"/>
                  <w:vAlign w:val="center"/>
                </w:tcPr>
                <w:p w14:paraId="081BA259">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西北</w:t>
                  </w:r>
                </w:p>
              </w:tc>
              <w:tc>
                <w:tcPr>
                  <w:tcW w:w="786" w:type="pct"/>
                  <w:tcBorders>
                    <w:tl2br w:val="nil"/>
                    <w:tr2bl w:val="nil"/>
                  </w:tcBorders>
                  <w:noWrap w:val="0"/>
                  <w:vAlign w:val="center"/>
                </w:tcPr>
                <w:p w14:paraId="06EA161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313-469m</w:t>
                  </w:r>
                </w:p>
              </w:tc>
            </w:tr>
            <w:tr w14:paraId="7A023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14:paraId="75CA58D5">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周家洞</w:t>
                  </w:r>
                </w:p>
              </w:tc>
              <w:tc>
                <w:tcPr>
                  <w:tcW w:w="836" w:type="pct"/>
                  <w:gridSpan w:val="2"/>
                  <w:tcBorders>
                    <w:tl2br w:val="nil"/>
                    <w:tr2bl w:val="nil"/>
                  </w:tcBorders>
                  <w:noWrap w:val="0"/>
                  <w:vAlign w:val="center"/>
                </w:tcPr>
                <w:p w14:paraId="4CE9D22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112.148204</w:t>
                  </w:r>
                </w:p>
              </w:tc>
              <w:tc>
                <w:tcPr>
                  <w:tcW w:w="784" w:type="pct"/>
                  <w:tcBorders>
                    <w:tl2br w:val="nil"/>
                    <w:tr2bl w:val="nil"/>
                  </w:tcBorders>
                  <w:noWrap w:val="0"/>
                  <w:vAlign w:val="center"/>
                </w:tcPr>
                <w:p w14:paraId="10C6F095">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25.923374</w:t>
                  </w:r>
                </w:p>
              </w:tc>
              <w:tc>
                <w:tcPr>
                  <w:tcW w:w="591" w:type="pct"/>
                  <w:gridSpan w:val="2"/>
                  <w:tcBorders>
                    <w:tl2br w:val="nil"/>
                    <w:tr2bl w:val="nil"/>
                  </w:tcBorders>
                  <w:noWrap w:val="0"/>
                  <w:vAlign w:val="center"/>
                </w:tcPr>
                <w:p w14:paraId="5EBA9EE7">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约5户15人</w:t>
                  </w:r>
                </w:p>
              </w:tc>
              <w:tc>
                <w:tcPr>
                  <w:tcW w:w="373" w:type="pct"/>
                  <w:gridSpan w:val="2"/>
                  <w:vMerge w:val="continue"/>
                  <w:tcBorders>
                    <w:tl2br w:val="nil"/>
                    <w:tr2bl w:val="nil"/>
                  </w:tcBorders>
                  <w:noWrap w:val="0"/>
                  <w:vAlign w:val="center"/>
                </w:tcPr>
                <w:p w14:paraId="7299D91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14:paraId="17847EF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tcBorders>
                    <w:tl2br w:val="nil"/>
                    <w:tr2bl w:val="nil"/>
                  </w:tcBorders>
                  <w:noWrap w:val="0"/>
                  <w:vAlign w:val="center"/>
                </w:tcPr>
                <w:p w14:paraId="27B9BE6C">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东南</w:t>
                  </w:r>
                </w:p>
              </w:tc>
              <w:tc>
                <w:tcPr>
                  <w:tcW w:w="786" w:type="pct"/>
                  <w:tcBorders>
                    <w:tl2br w:val="nil"/>
                    <w:tr2bl w:val="nil"/>
                  </w:tcBorders>
                  <w:noWrap w:val="0"/>
                  <w:vAlign w:val="center"/>
                </w:tcPr>
                <w:p w14:paraId="33DD9C0E">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345-500m</w:t>
                  </w:r>
                </w:p>
              </w:tc>
            </w:tr>
            <w:tr w14:paraId="51E81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351DCCA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二</w:t>
                  </w:r>
                  <w:r>
                    <w:rPr>
                      <w:rFonts w:hint="default" w:ascii="Times New Roman" w:hAnsi="Times New Roman" w:eastAsia="宋体" w:cs="Times New Roman"/>
                      <w:b w:val="0"/>
                      <w:bCs w:val="0"/>
                      <w:color w:val="auto"/>
                      <w:spacing w:val="11"/>
                      <w:position w:val="0"/>
                      <w:sz w:val="21"/>
                      <w:szCs w:val="21"/>
                      <w:u w:val="single"/>
                    </w:rPr>
                    <w:t>、地表水环境保护目标</w:t>
                  </w:r>
                </w:p>
              </w:tc>
            </w:tr>
            <w:tr w14:paraId="22FCE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7BC9509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eastAsia="zh-CN"/>
                    </w:rPr>
                  </w:pPr>
                  <w:r>
                    <w:rPr>
                      <w:rFonts w:hint="default" w:ascii="Times New Roman" w:hAnsi="Times New Roman" w:eastAsia="宋体" w:cs="Times New Roman"/>
                      <w:b w:val="0"/>
                      <w:bCs w:val="0"/>
                      <w:color w:val="auto"/>
                      <w:spacing w:val="11"/>
                      <w:position w:val="0"/>
                      <w:sz w:val="21"/>
                      <w:szCs w:val="21"/>
                      <w:u w:val="single"/>
                    </w:rPr>
                    <w:t>保护对象</w:t>
                  </w:r>
                </w:p>
              </w:tc>
              <w:tc>
                <w:tcPr>
                  <w:tcW w:w="1670" w:type="pct"/>
                  <w:gridSpan w:val="3"/>
                  <w:tcBorders>
                    <w:tl2br w:val="nil"/>
                    <w:tr2bl w:val="nil"/>
                  </w:tcBorders>
                  <w:noWrap w:val="0"/>
                  <w:vAlign w:val="center"/>
                </w:tcPr>
                <w:p w14:paraId="5399906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功能及规模</w:t>
                  </w:r>
                </w:p>
              </w:tc>
              <w:tc>
                <w:tcPr>
                  <w:tcW w:w="1190" w:type="pct"/>
                  <w:gridSpan w:val="5"/>
                  <w:tcBorders>
                    <w:tl2br w:val="nil"/>
                    <w:tr2bl w:val="nil"/>
                  </w:tcBorders>
                  <w:noWrap w:val="0"/>
                  <w:vAlign w:val="center"/>
                </w:tcPr>
                <w:p w14:paraId="258BF299">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方位与厂区边界最近距离/m</w:t>
                  </w:r>
                </w:p>
              </w:tc>
              <w:tc>
                <w:tcPr>
                  <w:tcW w:w="1097" w:type="pct"/>
                  <w:gridSpan w:val="2"/>
                  <w:tcBorders>
                    <w:tl2br w:val="nil"/>
                    <w:tr2bl w:val="nil"/>
                  </w:tcBorders>
                  <w:noWrap w:val="0"/>
                  <w:vAlign w:val="center"/>
                </w:tcPr>
                <w:p w14:paraId="15F88A8E">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执行标准</w:t>
                  </w:r>
                </w:p>
              </w:tc>
            </w:tr>
            <w:tr w14:paraId="75F8B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516A533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highlight w:val="none"/>
                      <w:u w:val="single"/>
                      <w:lang w:val="en-US" w:eastAsia="zh-CN"/>
                    </w:rPr>
                    <w:t>塘下水库</w:t>
                  </w:r>
                </w:p>
              </w:tc>
              <w:tc>
                <w:tcPr>
                  <w:tcW w:w="1670" w:type="pct"/>
                  <w:gridSpan w:val="3"/>
                  <w:tcBorders>
                    <w:tl2br w:val="nil"/>
                    <w:tr2bl w:val="nil"/>
                  </w:tcBorders>
                  <w:noWrap w:val="0"/>
                  <w:vAlign w:val="center"/>
                </w:tcPr>
                <w:p w14:paraId="7740FCF5">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rPr>
                  </w:pPr>
                  <w:r>
                    <w:rPr>
                      <w:rFonts w:hint="eastAsia" w:cs="Times New Roman"/>
                      <w:b w:val="0"/>
                      <w:bCs w:val="0"/>
                      <w:color w:val="auto"/>
                      <w:spacing w:val="11"/>
                      <w:position w:val="0"/>
                      <w:sz w:val="21"/>
                      <w:szCs w:val="21"/>
                      <w:u w:val="single"/>
                      <w:lang w:val="en-US" w:eastAsia="zh-CN"/>
                    </w:rPr>
                    <w:t>小（一）型水库</w:t>
                  </w:r>
                </w:p>
              </w:tc>
              <w:tc>
                <w:tcPr>
                  <w:tcW w:w="1190" w:type="pct"/>
                  <w:gridSpan w:val="5"/>
                  <w:tcBorders>
                    <w:tl2br w:val="nil"/>
                    <w:tr2bl w:val="nil"/>
                  </w:tcBorders>
                  <w:noWrap w:val="0"/>
                  <w:vAlign w:val="center"/>
                </w:tcPr>
                <w:p w14:paraId="7CC05F3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东北面，78m</w:t>
                  </w:r>
                </w:p>
              </w:tc>
              <w:tc>
                <w:tcPr>
                  <w:tcW w:w="1097" w:type="pct"/>
                  <w:gridSpan w:val="2"/>
                  <w:tcBorders>
                    <w:tl2br w:val="nil"/>
                    <w:tr2bl w:val="nil"/>
                  </w:tcBorders>
                  <w:noWrap w:val="0"/>
                  <w:vAlign w:val="center"/>
                </w:tcPr>
                <w:p w14:paraId="18C5BA3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GB3838-2002</w:t>
                  </w:r>
                </w:p>
                <w:p w14:paraId="4F3725E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中Ⅲ类标准</w:t>
                  </w:r>
                </w:p>
              </w:tc>
            </w:tr>
            <w:tr w14:paraId="7FCB5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5C3BB7E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三</w:t>
                  </w:r>
                  <w:r>
                    <w:rPr>
                      <w:rFonts w:hint="default" w:ascii="Times New Roman" w:hAnsi="Times New Roman" w:eastAsia="宋体" w:cs="Times New Roman"/>
                      <w:b w:val="0"/>
                      <w:bCs w:val="0"/>
                      <w:color w:val="auto"/>
                      <w:spacing w:val="11"/>
                      <w:position w:val="0"/>
                      <w:sz w:val="21"/>
                      <w:szCs w:val="21"/>
                      <w:u w:val="single"/>
                    </w:rPr>
                    <w:t>、地下水环境保护目标</w:t>
                  </w:r>
                </w:p>
              </w:tc>
            </w:tr>
            <w:tr w14:paraId="3DDCA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4E7A83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1670" w:type="pct"/>
                  <w:gridSpan w:val="3"/>
                  <w:tcBorders>
                    <w:tl2br w:val="nil"/>
                    <w:tr2bl w:val="nil"/>
                  </w:tcBorders>
                  <w:noWrap w:val="0"/>
                  <w:vAlign w:val="center"/>
                </w:tcPr>
                <w:p w14:paraId="4603EB2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功能及规模</w:t>
                  </w:r>
                </w:p>
              </w:tc>
              <w:tc>
                <w:tcPr>
                  <w:tcW w:w="1190" w:type="pct"/>
                  <w:gridSpan w:val="5"/>
                  <w:tcBorders>
                    <w:tl2br w:val="nil"/>
                    <w:tr2bl w:val="nil"/>
                  </w:tcBorders>
                  <w:noWrap w:val="0"/>
                  <w:vAlign w:val="center"/>
                </w:tcPr>
                <w:p w14:paraId="6D0CE55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方位与厂区边界最近距离/m</w:t>
                  </w:r>
                </w:p>
              </w:tc>
              <w:tc>
                <w:tcPr>
                  <w:tcW w:w="1097" w:type="pct"/>
                  <w:gridSpan w:val="2"/>
                  <w:tcBorders>
                    <w:tl2br w:val="nil"/>
                    <w:tr2bl w:val="nil"/>
                  </w:tcBorders>
                  <w:noWrap w:val="0"/>
                  <w:vAlign w:val="center"/>
                </w:tcPr>
                <w:p w14:paraId="1BA8173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执行标准</w:t>
                  </w:r>
                </w:p>
              </w:tc>
            </w:tr>
            <w:tr w14:paraId="22458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391FC2FF">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区域地下水</w:t>
                  </w:r>
                </w:p>
              </w:tc>
              <w:tc>
                <w:tcPr>
                  <w:tcW w:w="1670" w:type="pct"/>
                  <w:gridSpan w:val="3"/>
                  <w:tcBorders>
                    <w:tl2br w:val="nil"/>
                    <w:tr2bl w:val="nil"/>
                  </w:tcBorders>
                  <w:noWrap w:val="0"/>
                  <w:vAlign w:val="center"/>
                </w:tcPr>
                <w:p w14:paraId="59A53BE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Ⅲ类水体</w:t>
                  </w:r>
                </w:p>
              </w:tc>
              <w:tc>
                <w:tcPr>
                  <w:tcW w:w="1190" w:type="pct"/>
                  <w:gridSpan w:val="5"/>
                  <w:tcBorders>
                    <w:tl2br w:val="nil"/>
                    <w:tr2bl w:val="nil"/>
                  </w:tcBorders>
                  <w:noWrap w:val="0"/>
                  <w:vAlign w:val="center"/>
                </w:tcPr>
                <w:p w14:paraId="187DD0A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项目所在周边</w:t>
                  </w:r>
                </w:p>
              </w:tc>
              <w:tc>
                <w:tcPr>
                  <w:tcW w:w="1097" w:type="pct"/>
                  <w:gridSpan w:val="2"/>
                  <w:tcBorders>
                    <w:tl2br w:val="nil"/>
                    <w:tr2bl w:val="nil"/>
                  </w:tcBorders>
                  <w:noWrap w:val="0"/>
                  <w:vAlign w:val="center"/>
                </w:tcPr>
                <w:p w14:paraId="4C1584D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GB/T14848-2017</w:t>
                  </w:r>
                </w:p>
                <w:p w14:paraId="5EAABB15">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中Ⅲ类标准</w:t>
                  </w:r>
                </w:p>
              </w:tc>
            </w:tr>
            <w:tr w14:paraId="5FEBD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590BEAE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eastAsia" w:cs="Times New Roman"/>
                      <w:b w:val="0"/>
                      <w:bCs w:val="0"/>
                      <w:color w:val="auto"/>
                      <w:spacing w:val="11"/>
                      <w:position w:val="0"/>
                      <w:sz w:val="21"/>
                      <w:szCs w:val="21"/>
                      <w:u w:val="single"/>
                      <w:lang w:val="en-US" w:eastAsia="zh-CN"/>
                    </w:rPr>
                    <w:t>四</w:t>
                  </w:r>
                  <w:r>
                    <w:rPr>
                      <w:rFonts w:hint="default" w:ascii="Times New Roman" w:hAnsi="Times New Roman" w:eastAsia="宋体" w:cs="Times New Roman"/>
                      <w:b w:val="0"/>
                      <w:bCs w:val="0"/>
                      <w:color w:val="auto"/>
                      <w:spacing w:val="11"/>
                      <w:position w:val="0"/>
                      <w:sz w:val="21"/>
                      <w:szCs w:val="21"/>
                      <w:u w:val="single"/>
                    </w:rPr>
                    <w:t>、生态环境保护目标</w:t>
                  </w:r>
                </w:p>
              </w:tc>
            </w:tr>
            <w:tr w14:paraId="7C967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059100B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1890" w:type="pct"/>
                  <w:gridSpan w:val="5"/>
                  <w:tcBorders>
                    <w:tl2br w:val="nil"/>
                    <w:tr2bl w:val="nil"/>
                  </w:tcBorders>
                  <w:noWrap w:val="0"/>
                  <w:vAlign w:val="center"/>
                </w:tcPr>
                <w:p w14:paraId="4C9E24B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保护内容</w:t>
                  </w:r>
                </w:p>
              </w:tc>
              <w:tc>
                <w:tcPr>
                  <w:tcW w:w="2067" w:type="pct"/>
                  <w:gridSpan w:val="5"/>
                  <w:tcBorders>
                    <w:tl2br w:val="nil"/>
                    <w:tr2bl w:val="nil"/>
                  </w:tcBorders>
                  <w:noWrap w:val="0"/>
                  <w:vAlign w:val="center"/>
                </w:tcPr>
                <w:p w14:paraId="5854452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保护目标</w:t>
                  </w:r>
                </w:p>
              </w:tc>
            </w:tr>
            <w:tr w14:paraId="607E5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639FD7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土壤环境</w:t>
                  </w:r>
                </w:p>
              </w:tc>
              <w:tc>
                <w:tcPr>
                  <w:tcW w:w="1890" w:type="pct"/>
                  <w:gridSpan w:val="5"/>
                  <w:tcBorders>
                    <w:tl2br w:val="nil"/>
                    <w:tr2bl w:val="nil"/>
                  </w:tcBorders>
                  <w:noWrap w:val="0"/>
                  <w:vAlign w:val="center"/>
                </w:tcPr>
                <w:p w14:paraId="75CCF7C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水土流失</w:t>
                  </w:r>
                </w:p>
              </w:tc>
              <w:tc>
                <w:tcPr>
                  <w:tcW w:w="2067" w:type="pct"/>
                  <w:gridSpan w:val="5"/>
                  <w:tcBorders>
                    <w:tl2br w:val="nil"/>
                    <w:tr2bl w:val="nil"/>
                  </w:tcBorders>
                  <w:noWrap w:val="0"/>
                  <w:vAlign w:val="center"/>
                </w:tcPr>
                <w:p w14:paraId="6D57831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减小对工程段水土流失的影响</w:t>
                  </w:r>
                </w:p>
              </w:tc>
            </w:tr>
            <w:tr w14:paraId="7C89F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5EE9CCA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陆生生态环境</w:t>
                  </w:r>
                </w:p>
              </w:tc>
              <w:tc>
                <w:tcPr>
                  <w:tcW w:w="1890" w:type="pct"/>
                  <w:gridSpan w:val="5"/>
                  <w:tcBorders>
                    <w:tl2br w:val="nil"/>
                    <w:tr2bl w:val="nil"/>
                  </w:tcBorders>
                  <w:noWrap w:val="0"/>
                  <w:vAlign w:val="center"/>
                </w:tcPr>
                <w:p w14:paraId="367C00D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工程影响范围内的原生植被、野生动物及鸟类等</w:t>
                  </w:r>
                </w:p>
              </w:tc>
              <w:tc>
                <w:tcPr>
                  <w:tcW w:w="2067" w:type="pct"/>
                  <w:gridSpan w:val="5"/>
                  <w:tcBorders>
                    <w:tl2br w:val="nil"/>
                    <w:tr2bl w:val="nil"/>
                  </w:tcBorders>
                  <w:noWrap w:val="0"/>
                  <w:vAlign w:val="center"/>
                </w:tcPr>
                <w:p w14:paraId="64BD39C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陆生生态完整性，减小对工程段附近陆生生态的影响</w:t>
                  </w:r>
                </w:p>
              </w:tc>
            </w:tr>
            <w:tr w14:paraId="37B2B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14:paraId="09DB77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水生生态环境</w:t>
                  </w:r>
                </w:p>
              </w:tc>
              <w:tc>
                <w:tcPr>
                  <w:tcW w:w="1890" w:type="pct"/>
                  <w:gridSpan w:val="5"/>
                  <w:tcBorders>
                    <w:tl2br w:val="nil"/>
                    <w:tr2bl w:val="nil"/>
                  </w:tcBorders>
                  <w:noWrap w:val="0"/>
                  <w:vAlign w:val="center"/>
                </w:tcPr>
                <w:p w14:paraId="5824921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涉及河段水生生态系统</w:t>
                  </w:r>
                </w:p>
              </w:tc>
              <w:tc>
                <w:tcPr>
                  <w:tcW w:w="2067" w:type="pct"/>
                  <w:gridSpan w:val="5"/>
                  <w:tcBorders>
                    <w:tl2br w:val="nil"/>
                    <w:tr2bl w:val="nil"/>
                  </w:tcBorders>
                  <w:noWrap w:val="0"/>
                  <w:vAlign w:val="center"/>
                </w:tcPr>
                <w:p w14:paraId="1A80DE3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水生生态完整性，减小对工程段附近水生生态的影响</w:t>
                  </w:r>
                </w:p>
              </w:tc>
            </w:tr>
            <w:bookmarkEnd w:id="7"/>
          </w:tbl>
          <w:p w14:paraId="37023FA0">
            <w:pPr>
              <w:adjustRightInd w:val="0"/>
              <w:snapToGrid w:val="0"/>
              <w:rPr>
                <w:rFonts w:hint="default" w:ascii="Times New Roman" w:hAnsi="Times New Roman" w:eastAsia="宋体" w:cs="Times New Roman"/>
                <w:color w:val="auto"/>
                <w:spacing w:val="11"/>
                <w:kern w:val="0"/>
                <w:position w:val="0"/>
                <w:sz w:val="24"/>
                <w:szCs w:val="24"/>
              </w:rPr>
            </w:pPr>
          </w:p>
        </w:tc>
      </w:tr>
      <w:tr w14:paraId="56A4E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14:paraId="23183F30">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评价</w:t>
            </w:r>
          </w:p>
          <w:p w14:paraId="5B2DB48E">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标准</w:t>
            </w:r>
          </w:p>
        </w:tc>
        <w:tc>
          <w:tcPr>
            <w:tcW w:w="8213" w:type="dxa"/>
            <w:tcBorders>
              <w:tl2br w:val="nil"/>
              <w:tr2bl w:val="nil"/>
            </w:tcBorders>
            <w:noWrap w:val="0"/>
            <w:vAlign w:val="center"/>
          </w:tcPr>
          <w:p w14:paraId="14E88BA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4"/>
                <w:highlight w:val="none"/>
                <w:lang w:val="en-US" w:eastAsia="zh-CN"/>
              </w:rPr>
            </w:pPr>
            <w:r>
              <w:rPr>
                <w:rFonts w:hint="eastAsia" w:ascii="Times New Roman" w:hAnsi="Times New Roman" w:eastAsia="宋体" w:cs="Times New Roman"/>
                <w:b/>
                <w:bCs/>
                <w:color w:val="auto"/>
                <w:spacing w:val="11"/>
                <w:position w:val="0"/>
                <w:sz w:val="24"/>
                <w:szCs w:val="24"/>
                <w:highlight w:val="none"/>
                <w:lang w:val="en-US" w:eastAsia="zh-CN"/>
              </w:rPr>
              <w:t>1、</w:t>
            </w:r>
            <w:r>
              <w:rPr>
                <w:rFonts w:hint="default" w:ascii="Times New Roman" w:hAnsi="Times New Roman" w:eastAsia="宋体" w:cs="Times New Roman"/>
                <w:b/>
                <w:bCs/>
                <w:color w:val="auto"/>
                <w:spacing w:val="11"/>
                <w:position w:val="0"/>
                <w:sz w:val="24"/>
                <w:szCs w:val="24"/>
                <w:highlight w:val="none"/>
                <w:lang w:val="en-US" w:eastAsia="zh-CN"/>
              </w:rPr>
              <w:t>环境质量标准</w:t>
            </w:r>
          </w:p>
          <w:p w14:paraId="02ADCAB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1</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大气环境：执行《环境空气质量标准》（</w:t>
            </w:r>
            <w:r>
              <w:rPr>
                <w:rFonts w:hint="default" w:ascii="Times New Roman" w:hAnsi="Times New Roman" w:eastAsia="Times New Roman" w:cs="Times New Roman"/>
                <w:color w:val="auto"/>
                <w:spacing w:val="11"/>
                <w:position w:val="0"/>
                <w:sz w:val="24"/>
                <w:szCs w:val="20"/>
                <w:highlight w:val="none"/>
              </w:rPr>
              <w:t>GB3095-2012</w:t>
            </w:r>
            <w:r>
              <w:rPr>
                <w:rFonts w:hint="default" w:ascii="Times New Roman" w:hAnsi="Times New Roman" w:eastAsia="宋体" w:cs="Times New Roman"/>
                <w:color w:val="auto"/>
                <w:spacing w:val="11"/>
                <w:position w:val="0"/>
                <w:sz w:val="24"/>
                <w:szCs w:val="20"/>
                <w:highlight w:val="none"/>
              </w:rPr>
              <w:t>）中的二级标准，具体标准值见表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9</w:t>
            </w:r>
            <w:r>
              <w:rPr>
                <w:rFonts w:hint="default" w:ascii="Times New Roman" w:hAnsi="Times New Roman" w:eastAsia="宋体" w:cs="Times New Roman"/>
                <w:color w:val="auto"/>
                <w:spacing w:val="11"/>
                <w:position w:val="0"/>
                <w:sz w:val="24"/>
                <w:szCs w:val="20"/>
                <w:highlight w:val="none"/>
              </w:rPr>
              <w:t>。</w:t>
            </w:r>
          </w:p>
          <w:p w14:paraId="25F8C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13"/>
                <w:highlight w:val="none"/>
              </w:rPr>
            </w:pPr>
            <w:r>
              <w:rPr>
                <w:rFonts w:hint="default" w:ascii="Times New Roman" w:hAnsi="Times New Roman" w:eastAsia="宋体" w:cs="Times New Roman"/>
                <w:b/>
                <w:color w:val="auto"/>
                <w:spacing w:val="11"/>
                <w:position w:val="0"/>
                <w:sz w:val="21"/>
                <w:szCs w:val="13"/>
                <w:highlight w:val="none"/>
              </w:rPr>
              <w:t>表</w:t>
            </w:r>
            <w:r>
              <w:rPr>
                <w:rFonts w:hint="default" w:ascii="Times New Roman" w:hAnsi="Times New Roman" w:eastAsia="宋体" w:cs="Times New Roman"/>
                <w:b/>
                <w:color w:val="auto"/>
                <w:spacing w:val="11"/>
                <w:position w:val="0"/>
                <w:sz w:val="21"/>
                <w:szCs w:val="13"/>
                <w:highlight w:val="none"/>
                <w:lang w:val="en-US" w:eastAsia="zh-CN"/>
              </w:rPr>
              <w:t>3-</w:t>
            </w:r>
            <w:r>
              <w:rPr>
                <w:rFonts w:hint="eastAsia" w:cs="Times New Roman"/>
                <w:b/>
                <w:color w:val="auto"/>
                <w:spacing w:val="11"/>
                <w:position w:val="0"/>
                <w:sz w:val="21"/>
                <w:szCs w:val="13"/>
                <w:highlight w:val="none"/>
                <w:lang w:val="en-US" w:eastAsia="zh-CN"/>
              </w:rPr>
              <w:t xml:space="preserve">9 </w:t>
            </w:r>
            <w:r>
              <w:rPr>
                <w:rFonts w:hint="default" w:ascii="Times New Roman" w:hAnsi="Times New Roman" w:eastAsia="宋体" w:cs="Times New Roman"/>
                <w:b/>
                <w:color w:val="auto"/>
                <w:spacing w:val="11"/>
                <w:position w:val="0"/>
                <w:sz w:val="21"/>
                <w:szCs w:val="13"/>
                <w:highlight w:val="none"/>
              </w:rPr>
              <w:t xml:space="preserve"> 《环境空气质量标准》（GB3095-2012）</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08"/>
              <w:gridCol w:w="2947"/>
              <w:gridCol w:w="2663"/>
            </w:tblGrid>
            <w:tr w14:paraId="0980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tcBorders>
                    <w:tl2br w:val="nil"/>
                    <w:tr2bl w:val="nil"/>
                  </w:tcBorders>
                  <w:noWrap w:val="0"/>
                  <w:vAlign w:val="center"/>
                </w:tcPr>
                <w:p w14:paraId="5F2C5F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污染物</w:t>
                  </w:r>
                </w:p>
              </w:tc>
              <w:tc>
                <w:tcPr>
                  <w:tcW w:w="943" w:type="pct"/>
                  <w:tcBorders>
                    <w:tl2br w:val="nil"/>
                    <w:tr2bl w:val="nil"/>
                  </w:tcBorders>
                  <w:noWrap w:val="0"/>
                  <w:vAlign w:val="center"/>
                </w:tcPr>
                <w:p w14:paraId="426A81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取值时间</w:t>
                  </w:r>
                </w:p>
              </w:tc>
              <w:tc>
                <w:tcPr>
                  <w:tcW w:w="1843" w:type="pct"/>
                  <w:tcBorders>
                    <w:tl2br w:val="nil"/>
                    <w:tr2bl w:val="nil"/>
                  </w:tcBorders>
                  <w:noWrap w:val="0"/>
                  <w:vAlign w:val="center"/>
                </w:tcPr>
                <w:p w14:paraId="2618E9C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二级标准浓度限值(μg/m</w:t>
                  </w:r>
                  <w:r>
                    <w:rPr>
                      <w:rFonts w:hint="default" w:ascii="Times New Roman" w:hAnsi="Times New Roman" w:eastAsia="宋体" w:cs="Times New Roman"/>
                      <w:color w:val="auto"/>
                      <w:spacing w:val="11"/>
                      <w:kern w:val="0"/>
                      <w:position w:val="0"/>
                      <w:sz w:val="21"/>
                      <w:szCs w:val="21"/>
                      <w:highlight w:val="none"/>
                      <w:u w:val="none" w:color="auto"/>
                      <w:vertAlign w:val="superscript"/>
                    </w:rPr>
                    <w:t>3</w:t>
                  </w:r>
                  <w:r>
                    <w:rPr>
                      <w:rFonts w:hint="default" w:ascii="Times New Roman" w:hAnsi="Times New Roman" w:eastAsia="宋体" w:cs="Times New Roman"/>
                      <w:color w:val="auto"/>
                      <w:spacing w:val="11"/>
                      <w:kern w:val="0"/>
                      <w:position w:val="0"/>
                      <w:sz w:val="21"/>
                      <w:szCs w:val="21"/>
                      <w:highlight w:val="none"/>
                      <w:u w:val="none" w:color="auto"/>
                    </w:rPr>
                    <w:t>)</w:t>
                  </w:r>
                </w:p>
              </w:tc>
              <w:tc>
                <w:tcPr>
                  <w:tcW w:w="1665" w:type="pct"/>
                  <w:tcBorders>
                    <w:tl2br w:val="nil"/>
                    <w:tr2bl w:val="nil"/>
                  </w:tcBorders>
                  <w:noWrap w:val="0"/>
                  <w:vAlign w:val="center"/>
                </w:tcPr>
                <w:p w14:paraId="4E6B08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依  据</w:t>
                  </w:r>
                </w:p>
              </w:tc>
            </w:tr>
            <w:tr w14:paraId="1404E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48" w:type="pct"/>
                  <w:vMerge w:val="restart"/>
                  <w:tcBorders>
                    <w:tl2br w:val="nil"/>
                    <w:tr2bl w:val="nil"/>
                  </w:tcBorders>
                  <w:noWrap w:val="0"/>
                  <w:vAlign w:val="center"/>
                </w:tcPr>
                <w:p w14:paraId="34FECC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SO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14:paraId="6C07E55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21184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60</w:t>
                  </w:r>
                </w:p>
              </w:tc>
              <w:tc>
                <w:tcPr>
                  <w:tcW w:w="1665" w:type="pct"/>
                  <w:vMerge w:val="restart"/>
                  <w:tcBorders>
                    <w:tl2br w:val="nil"/>
                    <w:tr2bl w:val="nil"/>
                  </w:tcBorders>
                  <w:noWrap w:val="0"/>
                  <w:vAlign w:val="center"/>
                </w:tcPr>
                <w:p w14:paraId="15E401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《环境空气质量标准》（GB3095-2012）</w:t>
                  </w:r>
                </w:p>
              </w:tc>
            </w:tr>
            <w:tr w14:paraId="49CD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48" w:type="pct"/>
                  <w:vMerge w:val="continue"/>
                  <w:tcBorders>
                    <w:tl2br w:val="nil"/>
                    <w:tr2bl w:val="nil"/>
                  </w:tcBorders>
                  <w:noWrap w:val="0"/>
                  <w:vAlign w:val="center"/>
                </w:tcPr>
                <w:p w14:paraId="7420406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6FFA3B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0BD956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14:paraId="2F51F0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42585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68B537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7A7E26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5E07AE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500</w:t>
                  </w:r>
                </w:p>
              </w:tc>
              <w:tc>
                <w:tcPr>
                  <w:tcW w:w="1665" w:type="pct"/>
                  <w:vMerge w:val="continue"/>
                  <w:tcBorders>
                    <w:tl2br w:val="nil"/>
                    <w:tr2bl w:val="nil"/>
                  </w:tcBorders>
                  <w:noWrap w:val="0"/>
                  <w:vAlign w:val="center"/>
                </w:tcPr>
                <w:p w14:paraId="5952B1B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C2D4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60D3FBD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NO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14:paraId="3F2EC4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6C9BF0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40</w:t>
                  </w:r>
                </w:p>
              </w:tc>
              <w:tc>
                <w:tcPr>
                  <w:tcW w:w="1665" w:type="pct"/>
                  <w:vMerge w:val="continue"/>
                  <w:tcBorders>
                    <w:tl2br w:val="nil"/>
                    <w:tr2bl w:val="nil"/>
                  </w:tcBorders>
                  <w:noWrap w:val="0"/>
                  <w:vAlign w:val="center"/>
                </w:tcPr>
                <w:p w14:paraId="6CB5C7B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2E99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08F4681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15AEAEB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2744568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80</w:t>
                  </w:r>
                </w:p>
              </w:tc>
              <w:tc>
                <w:tcPr>
                  <w:tcW w:w="1665" w:type="pct"/>
                  <w:vMerge w:val="continue"/>
                  <w:tcBorders>
                    <w:tl2br w:val="nil"/>
                    <w:tr2bl w:val="nil"/>
                  </w:tcBorders>
                  <w:noWrap w:val="0"/>
                  <w:vAlign w:val="center"/>
                </w:tcPr>
                <w:p w14:paraId="59077B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ECD7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48" w:type="pct"/>
                  <w:vMerge w:val="continue"/>
                  <w:tcBorders>
                    <w:tl2br w:val="nil"/>
                    <w:tr2bl w:val="nil"/>
                  </w:tcBorders>
                  <w:noWrap w:val="0"/>
                  <w:vAlign w:val="center"/>
                </w:tcPr>
                <w:p w14:paraId="4A79AC9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3FBD558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1EA7AA9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14:paraId="4CD911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548F6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00666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10</w:t>
                  </w:r>
                </w:p>
              </w:tc>
              <w:tc>
                <w:tcPr>
                  <w:tcW w:w="943" w:type="pct"/>
                  <w:tcBorders>
                    <w:tl2br w:val="nil"/>
                    <w:tr2bl w:val="nil"/>
                  </w:tcBorders>
                  <w:noWrap w:val="0"/>
                  <w:vAlign w:val="center"/>
                </w:tcPr>
                <w:p w14:paraId="241A20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4F667F4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70</w:t>
                  </w:r>
                </w:p>
              </w:tc>
              <w:tc>
                <w:tcPr>
                  <w:tcW w:w="1665" w:type="pct"/>
                  <w:vMerge w:val="continue"/>
                  <w:tcBorders>
                    <w:tl2br w:val="nil"/>
                    <w:tr2bl w:val="nil"/>
                  </w:tcBorders>
                  <w:noWrap w:val="0"/>
                  <w:vAlign w:val="center"/>
                </w:tcPr>
                <w:p w14:paraId="2D8E701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2541A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77C635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6DF69D2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424033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14:paraId="3FA381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A20D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61266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2.5</w:t>
                  </w:r>
                </w:p>
              </w:tc>
              <w:tc>
                <w:tcPr>
                  <w:tcW w:w="943" w:type="pct"/>
                  <w:tcBorders>
                    <w:tl2br w:val="nil"/>
                    <w:tr2bl w:val="nil"/>
                  </w:tcBorders>
                  <w:noWrap w:val="0"/>
                  <w:vAlign w:val="center"/>
                </w:tcPr>
                <w:p w14:paraId="463922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7904FD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35</w:t>
                  </w:r>
                </w:p>
              </w:tc>
              <w:tc>
                <w:tcPr>
                  <w:tcW w:w="1665" w:type="pct"/>
                  <w:vMerge w:val="continue"/>
                  <w:tcBorders>
                    <w:tl2br w:val="nil"/>
                    <w:tr2bl w:val="nil"/>
                  </w:tcBorders>
                  <w:noWrap w:val="0"/>
                  <w:vAlign w:val="center"/>
                </w:tcPr>
                <w:p w14:paraId="6A853BB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79C78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7784B8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0243753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015F0D9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75</w:t>
                  </w:r>
                </w:p>
              </w:tc>
              <w:tc>
                <w:tcPr>
                  <w:tcW w:w="1665" w:type="pct"/>
                  <w:vMerge w:val="continue"/>
                  <w:tcBorders>
                    <w:tl2br w:val="nil"/>
                    <w:tr2bl w:val="nil"/>
                  </w:tcBorders>
                  <w:noWrap w:val="0"/>
                  <w:vAlign w:val="center"/>
                </w:tcPr>
                <w:p w14:paraId="4DD8D2D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B2B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53BC6B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TSP</w:t>
                  </w:r>
                </w:p>
              </w:tc>
              <w:tc>
                <w:tcPr>
                  <w:tcW w:w="943" w:type="pct"/>
                  <w:tcBorders>
                    <w:tl2br w:val="nil"/>
                    <w:tr2bl w:val="nil"/>
                  </w:tcBorders>
                  <w:noWrap w:val="0"/>
                  <w:vAlign w:val="center"/>
                </w:tcPr>
                <w:p w14:paraId="2E8FB7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E95151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14:paraId="2C24D8C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9B65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07BA26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41A2D17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177D208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300</w:t>
                  </w:r>
                </w:p>
              </w:tc>
              <w:tc>
                <w:tcPr>
                  <w:tcW w:w="1665" w:type="pct"/>
                  <w:vMerge w:val="continue"/>
                  <w:tcBorders>
                    <w:tl2br w:val="nil"/>
                    <w:tr2bl w:val="nil"/>
                  </w:tcBorders>
                  <w:noWrap w:val="0"/>
                  <w:vAlign w:val="center"/>
                </w:tcPr>
                <w:p w14:paraId="326115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6633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EA00C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lang w:val="en-US" w:eastAsia="zh-CN"/>
                    </w:rPr>
                  </w:pPr>
                  <w:r>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t>O</w:t>
                  </w:r>
                  <w:r>
                    <w:rPr>
                      <w:rFonts w:hint="default" w:ascii="Times New Roman" w:hAnsi="Times New Roman" w:eastAsia="宋体" w:cs="Times New Roman"/>
                      <w:b w:val="0"/>
                      <w:bCs w:val="0"/>
                      <w:color w:val="auto"/>
                      <w:spacing w:val="11"/>
                      <w:kern w:val="0"/>
                      <w:position w:val="0"/>
                      <w:sz w:val="21"/>
                      <w:szCs w:val="21"/>
                      <w:highlight w:val="none"/>
                      <w:u w:val="none" w:color="auto"/>
                      <w:vertAlign w:val="subscript"/>
                      <w:lang w:val="en-US" w:eastAsia="zh-CN"/>
                    </w:rPr>
                    <w:t>3</w:t>
                  </w:r>
                </w:p>
              </w:tc>
              <w:tc>
                <w:tcPr>
                  <w:tcW w:w="943" w:type="pct"/>
                  <w:tcBorders>
                    <w:tl2br w:val="nil"/>
                    <w:tr2bl w:val="nil"/>
                  </w:tcBorders>
                  <w:noWrap w:val="0"/>
                  <w:vAlign w:val="center"/>
                </w:tcPr>
                <w:p w14:paraId="52829E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lang w:eastAsia="zh-CN"/>
                    </w:rPr>
                    <w:t>日最大8小时平均</w:t>
                  </w:r>
                </w:p>
              </w:tc>
              <w:tc>
                <w:tcPr>
                  <w:tcW w:w="1843" w:type="pct"/>
                  <w:tcBorders>
                    <w:tl2br w:val="nil"/>
                    <w:tr2bl w:val="nil"/>
                  </w:tcBorders>
                  <w:noWrap w:val="0"/>
                  <w:vAlign w:val="center"/>
                </w:tcPr>
                <w:p w14:paraId="7ADA000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160</w:t>
                  </w:r>
                </w:p>
              </w:tc>
              <w:tc>
                <w:tcPr>
                  <w:tcW w:w="1665" w:type="pct"/>
                  <w:vMerge w:val="continue"/>
                  <w:tcBorders>
                    <w:tl2br w:val="nil"/>
                    <w:tr2bl w:val="nil"/>
                  </w:tcBorders>
                  <w:noWrap w:val="0"/>
                  <w:vAlign w:val="center"/>
                </w:tcPr>
                <w:p w14:paraId="4A3BD6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73CF1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12C53D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pPr>
                </w:p>
              </w:tc>
              <w:tc>
                <w:tcPr>
                  <w:tcW w:w="943" w:type="pct"/>
                  <w:tcBorders>
                    <w:tl2br w:val="nil"/>
                    <w:tr2bl w:val="nil"/>
                  </w:tcBorders>
                  <w:noWrap w:val="0"/>
                  <w:vAlign w:val="center"/>
                </w:tcPr>
                <w:p w14:paraId="469AB2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5479367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200</w:t>
                  </w:r>
                </w:p>
              </w:tc>
              <w:tc>
                <w:tcPr>
                  <w:tcW w:w="1665" w:type="pct"/>
                  <w:vMerge w:val="continue"/>
                  <w:tcBorders>
                    <w:tl2br w:val="nil"/>
                    <w:tr2bl w:val="nil"/>
                  </w:tcBorders>
                  <w:noWrap w:val="0"/>
                  <w:vAlign w:val="center"/>
                </w:tcPr>
                <w:p w14:paraId="25939D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bl>
          <w:p w14:paraId="6815AAE6">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2"/>
                <w:highlight w:val="none"/>
                <w:lang w:val="en-US" w:eastAsia="zh-CN"/>
              </w:rPr>
            </w:pPr>
            <w:r>
              <w:rPr>
                <w:rFonts w:hint="default" w:ascii="Times New Roman" w:hAnsi="Times New Roman" w:eastAsia="宋体" w:cs="Times New Roman"/>
                <w:color w:val="auto"/>
                <w:spacing w:val="11"/>
                <w:position w:val="0"/>
                <w:sz w:val="24"/>
                <w:szCs w:val="22"/>
                <w:highlight w:val="none"/>
              </w:rPr>
              <w:t>地表水环境：</w:t>
            </w:r>
            <w:bookmarkStart w:id="9" w:name="OLE_LINK37"/>
            <w:r>
              <w:rPr>
                <w:rFonts w:hint="default" w:ascii="Times New Roman" w:hAnsi="Times New Roman" w:eastAsia="宋体" w:cs="Times New Roman"/>
                <w:color w:val="auto"/>
                <w:spacing w:val="11"/>
                <w:position w:val="0"/>
                <w:sz w:val="24"/>
                <w:szCs w:val="22"/>
                <w:highlight w:val="none"/>
              </w:rPr>
              <w:t>执行</w:t>
            </w:r>
            <w:r>
              <w:rPr>
                <w:rFonts w:hint="default" w:ascii="Times New Roman" w:hAnsi="Times New Roman" w:eastAsia="宋体" w:cs="Times New Roman"/>
                <w:color w:val="auto"/>
                <w:spacing w:val="11"/>
                <w:position w:val="0"/>
                <w:sz w:val="24"/>
                <w:szCs w:val="22"/>
                <w:highlight w:val="none"/>
                <w:lang w:eastAsia="zh-CN"/>
              </w:rPr>
              <w:t>《地表水环境质量标准》(GB3838-2002)Ⅲ</w:t>
            </w:r>
            <w:r>
              <w:rPr>
                <w:rFonts w:hint="default" w:ascii="Times New Roman" w:hAnsi="Times New Roman" w:eastAsia="宋体" w:cs="Times New Roman"/>
                <w:color w:val="auto"/>
                <w:spacing w:val="11"/>
                <w:position w:val="0"/>
                <w:sz w:val="24"/>
                <w:szCs w:val="22"/>
                <w:highlight w:val="none"/>
                <w:lang w:val="en-US" w:eastAsia="zh-CN"/>
              </w:rPr>
              <w:t>类标准，具体标准值见表3-</w:t>
            </w:r>
            <w:r>
              <w:rPr>
                <w:rFonts w:hint="eastAsia" w:cs="Times New Roman"/>
                <w:color w:val="auto"/>
                <w:spacing w:val="11"/>
                <w:position w:val="0"/>
                <w:sz w:val="24"/>
                <w:szCs w:val="22"/>
                <w:highlight w:val="none"/>
                <w:lang w:val="en-US" w:eastAsia="zh-CN"/>
              </w:rPr>
              <w:t>10。</w:t>
            </w:r>
          </w:p>
          <w:p w14:paraId="68C74713">
            <w:pPr>
              <w:adjustRightInd w:val="0"/>
              <w:snapToGrid w:val="0"/>
              <w:spacing w:line="271" w:lineRule="auto"/>
              <w:ind w:firstLine="0" w:firstLineChars="0"/>
              <w:jc w:val="center"/>
              <w:rPr>
                <w:b/>
                <w:color w:val="auto"/>
                <w:spacing w:val="11"/>
                <w:position w:val="0"/>
                <w:sz w:val="21"/>
                <w:szCs w:val="21"/>
                <w:highlight w:val="none"/>
              </w:rPr>
            </w:pPr>
            <w:r>
              <w:rPr>
                <w:b/>
                <w:color w:val="auto"/>
                <w:spacing w:val="11"/>
                <w:position w:val="0"/>
                <w:sz w:val="21"/>
                <w:szCs w:val="21"/>
                <w:highlight w:val="none"/>
              </w:rPr>
              <w:t>表</w:t>
            </w:r>
            <w:r>
              <w:rPr>
                <w:rFonts w:hint="eastAsia"/>
                <w:b/>
                <w:color w:val="auto"/>
                <w:spacing w:val="11"/>
                <w:position w:val="0"/>
                <w:sz w:val="21"/>
                <w:szCs w:val="21"/>
                <w:highlight w:val="none"/>
                <w:lang w:val="en-US" w:eastAsia="zh-CN"/>
              </w:rPr>
              <w:t>3-10</w:t>
            </w:r>
            <w:r>
              <w:rPr>
                <w:b/>
                <w:color w:val="auto"/>
                <w:spacing w:val="11"/>
                <w:position w:val="0"/>
                <w:sz w:val="21"/>
                <w:szCs w:val="21"/>
                <w:highlight w:val="none"/>
              </w:rPr>
              <w:t xml:space="preserve">  《地表水环境质量标准》（GB3838-2002）</w:t>
            </w:r>
          </w:p>
          <w:tbl>
            <w:tblPr>
              <w:tblStyle w:val="33"/>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66"/>
              <w:gridCol w:w="5298"/>
            </w:tblGrid>
            <w:tr w14:paraId="3CE44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7D8D82D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序号</w:t>
                  </w:r>
                </w:p>
              </w:tc>
              <w:tc>
                <w:tcPr>
                  <w:tcW w:w="1104" w:type="pct"/>
                  <w:tcBorders>
                    <w:tl2br w:val="nil"/>
                    <w:tr2bl w:val="nil"/>
                  </w:tcBorders>
                  <w:vAlign w:val="center"/>
                </w:tcPr>
                <w:p w14:paraId="6FC416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项目</w:t>
                  </w:r>
                </w:p>
              </w:tc>
              <w:tc>
                <w:tcPr>
                  <w:tcW w:w="3313" w:type="pct"/>
                  <w:tcBorders>
                    <w:tl2br w:val="nil"/>
                    <w:tr2bl w:val="nil"/>
                  </w:tcBorders>
                  <w:vAlign w:val="center"/>
                </w:tcPr>
                <w:p w14:paraId="78BCD8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标准值</w:t>
                  </w:r>
                </w:p>
              </w:tc>
            </w:tr>
            <w:tr w14:paraId="10854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2D347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1</w:t>
                  </w:r>
                </w:p>
              </w:tc>
              <w:tc>
                <w:tcPr>
                  <w:tcW w:w="1104" w:type="pct"/>
                  <w:tcBorders>
                    <w:tl2br w:val="nil"/>
                    <w:tr2bl w:val="nil"/>
                  </w:tcBorders>
                  <w:vAlign w:val="center"/>
                </w:tcPr>
                <w:p w14:paraId="3D8F32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水温</w:t>
                  </w:r>
                </w:p>
              </w:tc>
              <w:tc>
                <w:tcPr>
                  <w:tcW w:w="3313" w:type="pct"/>
                  <w:tcBorders>
                    <w:tl2br w:val="nil"/>
                    <w:tr2bl w:val="nil"/>
                  </w:tcBorders>
                  <w:vAlign w:val="center"/>
                </w:tcPr>
                <w:p w14:paraId="7D0A16E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人为造成的环境水温变化应限制在：周平均最大温升≤1；周平均最大温降≤2</w:t>
                  </w:r>
                </w:p>
              </w:tc>
            </w:tr>
            <w:tr w14:paraId="72F89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0C4CAA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2</w:t>
                  </w:r>
                </w:p>
              </w:tc>
              <w:tc>
                <w:tcPr>
                  <w:tcW w:w="1104" w:type="pct"/>
                  <w:tcBorders>
                    <w:tl2br w:val="nil"/>
                    <w:tr2bl w:val="nil"/>
                  </w:tcBorders>
                  <w:vAlign w:val="center"/>
                </w:tcPr>
                <w:p w14:paraId="55C80E5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pH</w:t>
                  </w:r>
                </w:p>
              </w:tc>
              <w:tc>
                <w:tcPr>
                  <w:tcW w:w="3313" w:type="pct"/>
                  <w:tcBorders>
                    <w:tl2br w:val="nil"/>
                    <w:tr2bl w:val="nil"/>
                  </w:tcBorders>
                  <w:vAlign w:val="center"/>
                </w:tcPr>
                <w:p w14:paraId="4D5636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6-9</w:t>
                  </w:r>
                </w:p>
              </w:tc>
            </w:tr>
            <w:tr w14:paraId="23C89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7ECE3C3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3</w:t>
                  </w:r>
                </w:p>
              </w:tc>
              <w:tc>
                <w:tcPr>
                  <w:tcW w:w="1104" w:type="pct"/>
                  <w:tcBorders>
                    <w:tl2br w:val="nil"/>
                    <w:tr2bl w:val="nil"/>
                  </w:tcBorders>
                  <w:vAlign w:val="center"/>
                </w:tcPr>
                <w:p w14:paraId="524A35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COD</w:t>
                  </w:r>
                </w:p>
              </w:tc>
              <w:tc>
                <w:tcPr>
                  <w:tcW w:w="3313" w:type="pct"/>
                  <w:tcBorders>
                    <w:tl2br w:val="nil"/>
                    <w:tr2bl w:val="nil"/>
                  </w:tcBorders>
                  <w:vAlign w:val="center"/>
                </w:tcPr>
                <w:p w14:paraId="63F6D0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20</w:t>
                  </w:r>
                  <w:r>
                    <w:rPr>
                      <w:rFonts w:hint="default"/>
                      <w:color w:val="auto"/>
                      <w:spacing w:val="11"/>
                      <w:position w:val="0"/>
                      <w:sz w:val="21"/>
                      <w:szCs w:val="21"/>
                      <w:highlight w:val="none"/>
                    </w:rPr>
                    <w:t>mg/L</w:t>
                  </w:r>
                </w:p>
              </w:tc>
            </w:tr>
            <w:tr w14:paraId="4799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C9C30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4</w:t>
                  </w:r>
                </w:p>
              </w:tc>
              <w:tc>
                <w:tcPr>
                  <w:tcW w:w="1104" w:type="pct"/>
                  <w:tcBorders>
                    <w:tl2br w:val="nil"/>
                    <w:tr2bl w:val="nil"/>
                  </w:tcBorders>
                  <w:vAlign w:val="center"/>
                </w:tcPr>
                <w:p w14:paraId="31EBB9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氨氮</w:t>
                  </w:r>
                </w:p>
              </w:tc>
              <w:tc>
                <w:tcPr>
                  <w:tcW w:w="3313" w:type="pct"/>
                  <w:tcBorders>
                    <w:tl2br w:val="nil"/>
                    <w:tr2bl w:val="nil"/>
                  </w:tcBorders>
                  <w:vAlign w:val="center"/>
                </w:tcPr>
                <w:p w14:paraId="5AF3DA4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mg/L</w:t>
                  </w:r>
                </w:p>
              </w:tc>
            </w:tr>
            <w:tr w14:paraId="75F9A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252EA9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5</w:t>
                  </w:r>
                </w:p>
              </w:tc>
              <w:tc>
                <w:tcPr>
                  <w:tcW w:w="1104" w:type="pct"/>
                  <w:tcBorders>
                    <w:tl2br w:val="nil"/>
                    <w:tr2bl w:val="nil"/>
                  </w:tcBorders>
                  <w:vAlign w:val="center"/>
                </w:tcPr>
                <w:p w14:paraId="5B5FCF8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BOD</w:t>
                  </w:r>
                  <w:r>
                    <w:rPr>
                      <w:rFonts w:hint="default"/>
                      <w:color w:val="auto"/>
                      <w:spacing w:val="11"/>
                      <w:position w:val="0"/>
                      <w:sz w:val="21"/>
                      <w:szCs w:val="21"/>
                      <w:highlight w:val="none"/>
                      <w:vertAlign w:val="subscript"/>
                    </w:rPr>
                    <w:t>5</w:t>
                  </w:r>
                </w:p>
              </w:tc>
              <w:tc>
                <w:tcPr>
                  <w:tcW w:w="3313" w:type="pct"/>
                  <w:tcBorders>
                    <w:tl2br w:val="nil"/>
                    <w:tr2bl w:val="nil"/>
                  </w:tcBorders>
                  <w:vAlign w:val="center"/>
                </w:tcPr>
                <w:p w14:paraId="272E2E5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4</w:t>
                  </w:r>
                  <w:r>
                    <w:rPr>
                      <w:rFonts w:hint="default"/>
                      <w:color w:val="auto"/>
                      <w:spacing w:val="11"/>
                      <w:position w:val="0"/>
                      <w:sz w:val="21"/>
                      <w:szCs w:val="21"/>
                      <w:highlight w:val="none"/>
                    </w:rPr>
                    <w:t>mg/L</w:t>
                  </w:r>
                </w:p>
              </w:tc>
            </w:tr>
            <w:tr w14:paraId="43352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42374E9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6</w:t>
                  </w:r>
                </w:p>
              </w:tc>
              <w:tc>
                <w:tcPr>
                  <w:tcW w:w="1104" w:type="pct"/>
                  <w:tcBorders>
                    <w:tl2br w:val="nil"/>
                    <w:tr2bl w:val="nil"/>
                  </w:tcBorders>
                  <w:vAlign w:val="center"/>
                </w:tcPr>
                <w:p w14:paraId="2BB8507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TN</w:t>
                  </w:r>
                </w:p>
              </w:tc>
              <w:tc>
                <w:tcPr>
                  <w:tcW w:w="3313" w:type="pct"/>
                  <w:tcBorders>
                    <w:tl2br w:val="nil"/>
                    <w:tr2bl w:val="nil"/>
                  </w:tcBorders>
                  <w:vAlign w:val="center"/>
                </w:tcPr>
                <w:p w14:paraId="0F377A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mg/L</w:t>
                  </w:r>
                </w:p>
              </w:tc>
            </w:tr>
            <w:tr w14:paraId="5D6DE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5E86506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7</w:t>
                  </w:r>
                </w:p>
              </w:tc>
              <w:tc>
                <w:tcPr>
                  <w:tcW w:w="1104" w:type="pct"/>
                  <w:tcBorders>
                    <w:tl2br w:val="nil"/>
                    <w:tr2bl w:val="nil"/>
                  </w:tcBorders>
                  <w:vAlign w:val="center"/>
                </w:tcPr>
                <w:p w14:paraId="2EF76ED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TP</w:t>
                  </w:r>
                </w:p>
              </w:tc>
              <w:tc>
                <w:tcPr>
                  <w:tcW w:w="3313" w:type="pct"/>
                  <w:tcBorders>
                    <w:tl2br w:val="nil"/>
                    <w:tr2bl w:val="nil"/>
                  </w:tcBorders>
                  <w:vAlign w:val="center"/>
                </w:tcPr>
                <w:p w14:paraId="5707B11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湖、库≤0.0</w:t>
                  </w:r>
                  <w:r>
                    <w:rPr>
                      <w:rFonts w:hint="eastAsia"/>
                      <w:color w:val="auto"/>
                      <w:spacing w:val="11"/>
                      <w:position w:val="0"/>
                      <w:sz w:val="21"/>
                      <w:szCs w:val="21"/>
                      <w:highlight w:val="none"/>
                      <w:lang w:val="en-US" w:eastAsia="zh-CN"/>
                    </w:rPr>
                    <w:t>5</w:t>
                  </w:r>
                  <w:r>
                    <w:rPr>
                      <w:rFonts w:hint="default"/>
                      <w:color w:val="auto"/>
                      <w:spacing w:val="11"/>
                      <w:position w:val="0"/>
                      <w:sz w:val="21"/>
                      <w:szCs w:val="21"/>
                      <w:highlight w:val="none"/>
                    </w:rPr>
                    <w:t>mg/L</w:t>
                  </w:r>
                </w:p>
              </w:tc>
            </w:tr>
            <w:tr w14:paraId="363D1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9667D9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8</w:t>
                  </w:r>
                </w:p>
              </w:tc>
              <w:tc>
                <w:tcPr>
                  <w:tcW w:w="1104" w:type="pct"/>
                  <w:tcBorders>
                    <w:tl2br w:val="nil"/>
                    <w:tr2bl w:val="nil"/>
                  </w:tcBorders>
                  <w:vAlign w:val="center"/>
                </w:tcPr>
                <w:p w14:paraId="04CB2CC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粪大肠菌群</w:t>
                  </w:r>
                </w:p>
              </w:tc>
              <w:tc>
                <w:tcPr>
                  <w:tcW w:w="3313" w:type="pct"/>
                  <w:tcBorders>
                    <w:tl2br w:val="nil"/>
                    <w:tr2bl w:val="nil"/>
                  </w:tcBorders>
                  <w:vAlign w:val="center"/>
                </w:tcPr>
                <w:p w14:paraId="1A2FB8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000个/L</w:t>
                  </w:r>
                </w:p>
              </w:tc>
            </w:tr>
          </w:tbl>
          <w:p w14:paraId="23006128">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3</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声环境：执行《声环境质量标准》（GB3096-2008）中的2类标准</w:t>
            </w:r>
            <w:bookmarkEnd w:id="9"/>
            <w:r>
              <w:rPr>
                <w:rFonts w:hint="default" w:ascii="Times New Roman" w:hAnsi="Times New Roman" w:eastAsia="宋体" w:cs="Times New Roman"/>
                <w:color w:val="auto"/>
                <w:spacing w:val="11"/>
                <w:position w:val="0"/>
                <w:sz w:val="24"/>
                <w:szCs w:val="20"/>
                <w:highlight w:val="none"/>
              </w:rPr>
              <w:t>，具体标准见表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11</w:t>
            </w:r>
            <w:r>
              <w:rPr>
                <w:rFonts w:hint="default" w:ascii="Times New Roman" w:hAnsi="Times New Roman" w:eastAsia="宋体" w:cs="Times New Roman"/>
                <w:color w:val="auto"/>
                <w:spacing w:val="11"/>
                <w:position w:val="0"/>
                <w:sz w:val="24"/>
                <w:szCs w:val="20"/>
                <w:highlight w:val="none"/>
              </w:rPr>
              <w:t>。</w:t>
            </w:r>
          </w:p>
          <w:p w14:paraId="5125E57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auto"/>
                <w:spacing w:val="11"/>
                <w:kern w:val="0"/>
                <w:position w:val="0"/>
                <w:sz w:val="21"/>
                <w:szCs w:val="21"/>
                <w:highlight w:val="none"/>
              </w:rPr>
            </w:pPr>
            <w:r>
              <w:rPr>
                <w:rFonts w:hint="default" w:ascii="Times New Roman" w:hAnsi="Times New Roman" w:eastAsia="宋体" w:cs="Times New Roman"/>
                <w:b/>
                <w:color w:val="auto"/>
                <w:spacing w:val="11"/>
                <w:position w:val="0"/>
                <w:sz w:val="21"/>
                <w:szCs w:val="21"/>
                <w:highlight w:val="none"/>
              </w:rPr>
              <w:t>表</w:t>
            </w:r>
            <w:r>
              <w:rPr>
                <w:rFonts w:hint="eastAsia" w:ascii="Times New Roman" w:hAnsi="Times New Roman" w:eastAsia="宋体" w:cs="Times New Roman"/>
                <w:b/>
                <w:color w:val="auto"/>
                <w:spacing w:val="11"/>
                <w:position w:val="0"/>
                <w:sz w:val="21"/>
                <w:szCs w:val="21"/>
                <w:highlight w:val="none"/>
                <w:lang w:val="en-US" w:eastAsia="zh-CN"/>
              </w:rPr>
              <w:t>3-</w:t>
            </w:r>
            <w:r>
              <w:rPr>
                <w:rFonts w:hint="eastAsia" w:cs="Times New Roman"/>
                <w:b/>
                <w:color w:val="auto"/>
                <w:spacing w:val="11"/>
                <w:position w:val="0"/>
                <w:sz w:val="21"/>
                <w:szCs w:val="21"/>
                <w:highlight w:val="none"/>
                <w:lang w:val="en-US" w:eastAsia="zh-CN"/>
              </w:rPr>
              <w:t>11</w:t>
            </w:r>
            <w:r>
              <w:rPr>
                <w:rFonts w:hint="default" w:ascii="Times New Roman" w:hAnsi="Times New Roman" w:eastAsia="宋体" w:cs="Times New Roman"/>
                <w:b/>
                <w:color w:val="auto"/>
                <w:spacing w:val="11"/>
                <w:position w:val="0"/>
                <w:sz w:val="21"/>
                <w:szCs w:val="21"/>
                <w:highlight w:val="none"/>
              </w:rPr>
              <w:t xml:space="preserve"> 《声环境质量标准》（GB3096-2008） 单位：dB（A）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6"/>
              <w:gridCol w:w="2666"/>
            </w:tblGrid>
            <w:tr w14:paraId="7169C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14:paraId="7024ABE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声环境功能区类别</w:t>
                  </w:r>
                </w:p>
              </w:tc>
              <w:tc>
                <w:tcPr>
                  <w:tcW w:w="1666" w:type="pct"/>
                  <w:tcBorders>
                    <w:tl2br w:val="nil"/>
                    <w:tr2bl w:val="nil"/>
                  </w:tcBorders>
                  <w:noWrap w:val="0"/>
                  <w:tcMar>
                    <w:left w:w="57" w:type="dxa"/>
                    <w:right w:w="57" w:type="dxa"/>
                  </w:tcMar>
                  <w:vAlign w:val="center"/>
                </w:tcPr>
                <w:p w14:paraId="3DA4C53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昼  间</w:t>
                  </w:r>
                </w:p>
              </w:tc>
              <w:tc>
                <w:tcPr>
                  <w:tcW w:w="1666" w:type="pct"/>
                  <w:tcBorders>
                    <w:tl2br w:val="nil"/>
                    <w:tr2bl w:val="nil"/>
                  </w:tcBorders>
                  <w:noWrap w:val="0"/>
                  <w:tcMar>
                    <w:left w:w="57" w:type="dxa"/>
                    <w:right w:w="57" w:type="dxa"/>
                  </w:tcMar>
                  <w:vAlign w:val="center"/>
                </w:tcPr>
                <w:p w14:paraId="4578600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夜  间</w:t>
                  </w:r>
                </w:p>
              </w:tc>
            </w:tr>
            <w:tr w14:paraId="1565A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14:paraId="22BC603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2类</w:t>
                  </w:r>
                </w:p>
              </w:tc>
              <w:tc>
                <w:tcPr>
                  <w:tcW w:w="1666" w:type="pct"/>
                  <w:tcBorders>
                    <w:tl2br w:val="nil"/>
                    <w:tr2bl w:val="nil"/>
                  </w:tcBorders>
                  <w:noWrap w:val="0"/>
                  <w:tcMar>
                    <w:left w:w="57" w:type="dxa"/>
                    <w:right w:w="57" w:type="dxa"/>
                  </w:tcMar>
                  <w:vAlign w:val="center"/>
                </w:tcPr>
                <w:p w14:paraId="6416DB6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60</w:t>
                  </w:r>
                </w:p>
              </w:tc>
              <w:tc>
                <w:tcPr>
                  <w:tcW w:w="1666" w:type="pct"/>
                  <w:tcBorders>
                    <w:tl2br w:val="nil"/>
                    <w:tr2bl w:val="nil"/>
                  </w:tcBorders>
                  <w:noWrap w:val="0"/>
                  <w:tcMar>
                    <w:left w:w="57" w:type="dxa"/>
                    <w:right w:w="57" w:type="dxa"/>
                  </w:tcMar>
                  <w:vAlign w:val="center"/>
                </w:tcPr>
                <w:p w14:paraId="65991A9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50</w:t>
                  </w:r>
                </w:p>
              </w:tc>
            </w:tr>
          </w:tbl>
          <w:p w14:paraId="37B8F1D9">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jc w:val="both"/>
              <w:textAlignment w:val="auto"/>
              <w:rPr>
                <w:rFonts w:hint="default" w:ascii="Times New Roman" w:hAnsi="Times New Roman" w:cs="Times New Roman"/>
                <w:b/>
                <w:bCs/>
                <w:color w:val="auto"/>
                <w:spacing w:val="11"/>
                <w:position w:val="0"/>
                <w:sz w:val="24"/>
                <w:szCs w:val="24"/>
                <w:highlight w:val="none"/>
                <w:lang w:val="en-US" w:eastAsia="zh-CN"/>
              </w:rPr>
            </w:pPr>
            <w:r>
              <w:rPr>
                <w:rFonts w:hint="default" w:ascii="Times New Roman" w:hAnsi="Times New Roman" w:cs="Times New Roman"/>
                <w:b/>
                <w:bCs/>
                <w:color w:val="auto"/>
                <w:spacing w:val="11"/>
                <w:position w:val="0"/>
                <w:sz w:val="24"/>
                <w:szCs w:val="24"/>
                <w:highlight w:val="none"/>
                <w:lang w:val="en-US" w:eastAsia="zh-CN"/>
              </w:rPr>
              <w:t>2、污染物排放标准</w:t>
            </w:r>
          </w:p>
          <w:p w14:paraId="510ABA88">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（1）</w:t>
            </w:r>
            <w:r>
              <w:rPr>
                <w:rFonts w:hint="default" w:ascii="Times New Roman" w:hAnsi="Times New Roman" w:cs="Times New Roman"/>
                <w:color w:val="auto"/>
                <w:spacing w:val="11"/>
                <w:position w:val="0"/>
                <w:sz w:val="24"/>
                <w:szCs w:val="24"/>
                <w:highlight w:val="none"/>
                <w:lang w:val="en-US" w:eastAsia="zh-CN"/>
              </w:rPr>
              <w:t>废水</w:t>
            </w:r>
          </w:p>
          <w:p w14:paraId="380E4E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本项目施工废水经沉淀处理后用于洒水抑尘不外排；</w:t>
            </w:r>
            <w:r>
              <w:rPr>
                <w:rFonts w:hint="default" w:ascii="Times New Roman" w:hAnsi="Times New Roman" w:cs="Times New Roman"/>
                <w:color w:val="auto"/>
                <w:spacing w:val="11"/>
                <w:position w:val="0"/>
                <w:sz w:val="24"/>
                <w:szCs w:val="24"/>
                <w:highlight w:val="none"/>
                <w:lang w:val="en-US" w:eastAsia="zh-CN"/>
              </w:rPr>
              <w:t>项目</w:t>
            </w:r>
            <w:r>
              <w:rPr>
                <w:rFonts w:hint="eastAsia" w:cs="Times New Roman"/>
                <w:color w:val="auto"/>
                <w:spacing w:val="11"/>
                <w:position w:val="0"/>
                <w:sz w:val="24"/>
                <w:szCs w:val="24"/>
                <w:highlight w:val="none"/>
                <w:lang w:val="en-US" w:eastAsia="zh-CN"/>
              </w:rPr>
              <w:t>运营期</w:t>
            </w:r>
            <w:r>
              <w:rPr>
                <w:rFonts w:hint="default" w:ascii="Times New Roman" w:hAnsi="Times New Roman" w:cs="Times New Roman"/>
                <w:color w:val="auto"/>
                <w:spacing w:val="11"/>
                <w:position w:val="0"/>
                <w:sz w:val="24"/>
                <w:szCs w:val="24"/>
                <w:highlight w:val="none"/>
                <w:lang w:val="en-US" w:eastAsia="zh-CN"/>
              </w:rPr>
              <w:t>生活污水经化粪池处理后用于矿区周边农田施肥；车辆清洗废水暂存</w:t>
            </w:r>
            <w:r>
              <w:rPr>
                <w:rFonts w:hint="eastAsia" w:cs="Times New Roman"/>
                <w:color w:val="auto"/>
                <w:spacing w:val="11"/>
                <w:position w:val="0"/>
                <w:sz w:val="24"/>
                <w:szCs w:val="24"/>
                <w:highlight w:val="none"/>
                <w:lang w:val="en-US" w:eastAsia="zh-CN"/>
              </w:rPr>
              <w:t>于</w:t>
            </w:r>
            <w:r>
              <w:rPr>
                <w:rFonts w:hint="default" w:ascii="Times New Roman" w:hAnsi="Times New Roman" w:cs="Times New Roman"/>
                <w:color w:val="auto"/>
                <w:spacing w:val="11"/>
                <w:position w:val="0"/>
                <w:sz w:val="24"/>
                <w:szCs w:val="24"/>
                <w:highlight w:val="none"/>
                <w:lang w:val="en-US" w:eastAsia="zh-CN"/>
              </w:rPr>
              <w:t>车辆过水池，循环用水不外排；初期雨水经</w:t>
            </w:r>
            <w:r>
              <w:rPr>
                <w:rFonts w:hint="eastAsia" w:cs="Times New Roman"/>
                <w:color w:val="auto"/>
                <w:spacing w:val="11"/>
                <w:position w:val="0"/>
                <w:sz w:val="24"/>
                <w:szCs w:val="24"/>
                <w:highlight w:val="none"/>
                <w:lang w:val="en-US" w:eastAsia="zh-CN"/>
              </w:rPr>
              <w:t>雨水沟</w:t>
            </w:r>
            <w:r>
              <w:rPr>
                <w:rFonts w:hint="default" w:ascii="Times New Roman" w:hAnsi="Times New Roman" w:cs="Times New Roman"/>
                <w:color w:val="auto"/>
                <w:spacing w:val="11"/>
                <w:position w:val="0"/>
                <w:sz w:val="24"/>
                <w:szCs w:val="24"/>
                <w:highlight w:val="none"/>
                <w:lang w:val="en-US" w:eastAsia="zh-CN"/>
              </w:rPr>
              <w:t>收集再沉淀处理后回用于生产或降尘。</w:t>
            </w:r>
          </w:p>
          <w:p w14:paraId="58753A1C">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（2）</w:t>
            </w:r>
            <w:r>
              <w:rPr>
                <w:rFonts w:hint="default" w:ascii="Times New Roman" w:hAnsi="Times New Roman" w:cs="Times New Roman"/>
                <w:color w:val="auto"/>
                <w:spacing w:val="11"/>
                <w:position w:val="0"/>
                <w:sz w:val="24"/>
                <w:szCs w:val="24"/>
                <w:highlight w:val="none"/>
                <w:lang w:val="en-US" w:eastAsia="zh-CN"/>
              </w:rPr>
              <w:t>废气</w:t>
            </w:r>
          </w:p>
          <w:p w14:paraId="4607EF2B">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eastAsia" w:ascii="Times New Roman" w:cs="Times New Roman"/>
                <w:color w:val="auto"/>
                <w:spacing w:val="11"/>
                <w:position w:val="0"/>
                <w:sz w:val="24"/>
                <w:szCs w:val="24"/>
                <w:highlight w:val="none"/>
                <w:lang w:val="en-US" w:eastAsia="zh-CN"/>
              </w:rPr>
            </w:pPr>
            <w:r>
              <w:rPr>
                <w:rFonts w:hint="eastAsia" w:ascii="Times New Roman" w:cs="Times New Roman"/>
                <w:color w:val="auto"/>
                <w:spacing w:val="11"/>
                <w:position w:val="0"/>
                <w:sz w:val="24"/>
                <w:szCs w:val="24"/>
                <w:highlight w:val="none"/>
                <w:lang w:val="en-US" w:eastAsia="zh-CN"/>
              </w:rPr>
              <w:t>项目施工期扬尘执行《大气污染物综合排放标准》（GB16297-1996）表2中颗粒物无组织排放标准。</w:t>
            </w:r>
          </w:p>
          <w:p w14:paraId="2E8AC0D1">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cs="Times New Roman"/>
                <w:color w:val="auto"/>
                <w:spacing w:val="11"/>
                <w:position w:val="0"/>
                <w:sz w:val="24"/>
                <w:szCs w:val="24"/>
                <w:highlight w:val="none"/>
                <w:lang w:val="en-US" w:eastAsia="zh-CN"/>
              </w:rPr>
              <w:t>项目运营</w:t>
            </w:r>
            <w:r>
              <w:rPr>
                <w:rFonts w:hint="default" w:ascii="Times New Roman" w:hAnsi="Times New Roman" w:cs="Times New Roman"/>
                <w:color w:val="auto"/>
                <w:spacing w:val="11"/>
                <w:position w:val="0"/>
                <w:sz w:val="24"/>
                <w:szCs w:val="24"/>
                <w:highlight w:val="none"/>
                <w:lang w:val="en-US" w:eastAsia="zh-CN"/>
              </w:rPr>
              <w:t>过程中</w:t>
            </w:r>
            <w:r>
              <w:rPr>
                <w:rFonts w:hint="eastAsia" w:ascii="Times New Roman" w:cs="Times New Roman"/>
                <w:color w:val="auto"/>
                <w:spacing w:val="11"/>
                <w:position w:val="0"/>
                <w:sz w:val="24"/>
                <w:szCs w:val="24"/>
                <w:highlight w:val="none"/>
                <w:lang w:val="en-US" w:eastAsia="zh-CN"/>
              </w:rPr>
              <w:t>产生的</w:t>
            </w:r>
            <w:r>
              <w:rPr>
                <w:rFonts w:hint="default" w:ascii="Times New Roman" w:hAnsi="Times New Roman" w:cs="Times New Roman"/>
                <w:color w:val="auto"/>
                <w:spacing w:val="11"/>
                <w:position w:val="0"/>
                <w:sz w:val="24"/>
                <w:szCs w:val="24"/>
                <w:highlight w:val="none"/>
                <w:lang w:val="en-US" w:eastAsia="zh-CN"/>
              </w:rPr>
              <w:t>大气污染物排放执行《大气污染物综合排放标准》（GB16297-1996）中表2</w:t>
            </w:r>
            <w:r>
              <w:rPr>
                <w:rFonts w:hint="eastAsia" w:ascii="Times New Roman" w:cs="Times New Roman"/>
                <w:color w:val="auto"/>
                <w:spacing w:val="11"/>
                <w:position w:val="0"/>
                <w:sz w:val="24"/>
                <w:szCs w:val="24"/>
                <w:highlight w:val="none"/>
                <w:lang w:val="en-US" w:eastAsia="zh-CN"/>
              </w:rPr>
              <w:t>中相关浓度限值</w:t>
            </w:r>
            <w:r>
              <w:rPr>
                <w:rFonts w:hint="default" w:ascii="Times New Roman" w:hAnsi="Times New Roman" w:cs="Times New Roman"/>
                <w:color w:val="auto"/>
                <w:spacing w:val="11"/>
                <w:position w:val="0"/>
                <w:sz w:val="24"/>
                <w:szCs w:val="24"/>
                <w:highlight w:val="none"/>
                <w:lang w:val="en-US" w:eastAsia="zh-CN"/>
              </w:rPr>
              <w:t>。</w:t>
            </w:r>
          </w:p>
          <w:p w14:paraId="1589D4BA">
            <w:pPr>
              <w:keepNext w:val="0"/>
              <w:keepLines w:val="0"/>
              <w:pageBreakBefore w:val="0"/>
              <w:widowControl w:val="0"/>
              <w:tabs>
                <w:tab w:val="left" w:pos="1260"/>
              </w:tabs>
              <w:kinsoku/>
              <w:wordWrap/>
              <w:overflowPunct/>
              <w:topLinePunct w:val="0"/>
              <w:autoSpaceDE/>
              <w:autoSpaceDN/>
              <w:bidi w:val="0"/>
              <w:adjustRightInd w:val="0"/>
              <w:snapToGrid w:val="0"/>
              <w:jc w:val="center"/>
              <w:textAlignment w:val="auto"/>
              <w:rPr>
                <w:rFonts w:ascii="Times New Roman" w:hAnsi="Times New Roman" w:eastAsia="宋体" w:cs="Times New Roman"/>
                <w:b/>
                <w:color w:val="auto"/>
                <w:spacing w:val="11"/>
                <w:position w:val="0"/>
                <w:szCs w:val="21"/>
              </w:rPr>
            </w:pPr>
            <w:r>
              <w:rPr>
                <w:rFonts w:ascii="Times New Roman" w:hAnsi="Times New Roman" w:eastAsia="宋体" w:cs="Times New Roman"/>
                <w:b/>
                <w:color w:val="auto"/>
                <w:spacing w:val="11"/>
                <w:position w:val="0"/>
                <w:szCs w:val="21"/>
              </w:rPr>
              <w:t>表</w:t>
            </w:r>
            <w:r>
              <w:rPr>
                <w:rFonts w:hint="eastAsia" w:ascii="Times New Roman" w:hAnsi="Times New Roman" w:eastAsia="宋体" w:cs="Times New Roman"/>
                <w:b/>
                <w:color w:val="auto"/>
                <w:spacing w:val="11"/>
                <w:position w:val="0"/>
                <w:szCs w:val="21"/>
              </w:rPr>
              <w:t>3</w:t>
            </w:r>
            <w:r>
              <w:rPr>
                <w:rFonts w:ascii="Times New Roman" w:hAnsi="Times New Roman" w:eastAsia="宋体" w:cs="Times New Roman"/>
                <w:b/>
                <w:color w:val="auto"/>
                <w:spacing w:val="11"/>
                <w:position w:val="0"/>
                <w:szCs w:val="21"/>
              </w:rPr>
              <w:t>-</w:t>
            </w:r>
            <w:r>
              <w:rPr>
                <w:rFonts w:hint="eastAsia" w:cs="Times New Roman"/>
                <w:b/>
                <w:color w:val="auto"/>
                <w:spacing w:val="11"/>
                <w:position w:val="0"/>
                <w:szCs w:val="21"/>
                <w:lang w:val="en-US" w:eastAsia="zh-CN"/>
              </w:rPr>
              <w:t xml:space="preserve">12 </w:t>
            </w:r>
            <w:r>
              <w:rPr>
                <w:rFonts w:hint="eastAsia" w:ascii="Times New Roman" w:hAnsi="Times New Roman" w:eastAsia="宋体" w:cs="Times New Roman"/>
                <w:b/>
                <w:color w:val="auto"/>
                <w:spacing w:val="11"/>
                <w:position w:val="0"/>
                <w:szCs w:val="21"/>
                <w:lang w:val="en-US" w:eastAsia="zh-CN"/>
              </w:rPr>
              <w:t xml:space="preserve"> </w:t>
            </w:r>
            <w:r>
              <w:rPr>
                <w:rFonts w:ascii="Times New Roman" w:hAnsi="Times New Roman" w:eastAsia="宋体" w:cs="Times New Roman"/>
                <w:b/>
                <w:bCs/>
                <w:color w:val="auto"/>
                <w:spacing w:val="11"/>
                <w:position w:val="0"/>
                <w:szCs w:val="21"/>
              </w:rPr>
              <w:t>《大气污染物综合排放标准》（GB16297-1996）</w:t>
            </w:r>
          </w:p>
          <w:tbl>
            <w:tblPr>
              <w:tblStyle w:val="33"/>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98"/>
              <w:gridCol w:w="2066"/>
              <w:gridCol w:w="2618"/>
              <w:gridCol w:w="2113"/>
            </w:tblGrid>
            <w:tr w14:paraId="1D9C5E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9" w:type="pct"/>
                  <w:vMerge w:val="restart"/>
                  <w:tcBorders>
                    <w:tl2br w:val="nil"/>
                    <w:tr2bl w:val="nil"/>
                  </w:tcBorders>
                  <w:noWrap w:val="0"/>
                  <w:vAlign w:val="center"/>
                </w:tcPr>
                <w:p w14:paraId="12B7266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污染物</w:t>
                  </w:r>
                </w:p>
              </w:tc>
              <w:tc>
                <w:tcPr>
                  <w:tcW w:w="1292" w:type="pct"/>
                  <w:vMerge w:val="restart"/>
                  <w:tcBorders>
                    <w:tl2br w:val="nil"/>
                    <w:tr2bl w:val="nil"/>
                  </w:tcBorders>
                  <w:noWrap w:val="0"/>
                  <w:vAlign w:val="center"/>
                </w:tcPr>
                <w:p w14:paraId="651BC35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最高允许排放</w:t>
                  </w:r>
                </w:p>
                <w:p w14:paraId="7F32AF8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浓度（mg/m</w:t>
                  </w:r>
                  <w:r>
                    <w:rPr>
                      <w:rFonts w:ascii="Times New Roman" w:hAnsi="Times New Roman" w:eastAsia="宋体" w:cs="Times New Roman"/>
                      <w:b w:val="0"/>
                      <w:bCs/>
                      <w:color w:val="auto"/>
                      <w:spacing w:val="11"/>
                      <w:position w:val="0"/>
                      <w:sz w:val="21"/>
                      <w:szCs w:val="21"/>
                      <w:vertAlign w:val="superscript"/>
                    </w:rPr>
                    <w:t>3</w:t>
                  </w:r>
                  <w:r>
                    <w:rPr>
                      <w:rFonts w:ascii="Times New Roman" w:hAnsi="Times New Roman" w:eastAsia="宋体" w:cs="Times New Roman"/>
                      <w:b w:val="0"/>
                      <w:bCs/>
                      <w:color w:val="auto"/>
                      <w:spacing w:val="11"/>
                      <w:position w:val="0"/>
                      <w:sz w:val="21"/>
                      <w:szCs w:val="21"/>
                    </w:rPr>
                    <w:t>）</w:t>
                  </w:r>
                </w:p>
              </w:tc>
              <w:tc>
                <w:tcPr>
                  <w:tcW w:w="2958" w:type="pct"/>
                  <w:gridSpan w:val="2"/>
                  <w:tcBorders>
                    <w:tl2br w:val="nil"/>
                    <w:tr2bl w:val="nil"/>
                  </w:tcBorders>
                  <w:noWrap w:val="0"/>
                  <w:vAlign w:val="center"/>
                </w:tcPr>
                <w:p w14:paraId="7CB0B4D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无组织排放监控浓度限值</w:t>
                  </w:r>
                </w:p>
              </w:tc>
            </w:tr>
            <w:tr w14:paraId="33159F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749" w:type="pct"/>
                  <w:vMerge w:val="continue"/>
                  <w:tcBorders>
                    <w:tl2br w:val="nil"/>
                    <w:tr2bl w:val="nil"/>
                  </w:tcBorders>
                  <w:noWrap w:val="0"/>
                  <w:vAlign w:val="center"/>
                </w:tcPr>
                <w:p w14:paraId="5016AB6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p>
              </w:tc>
              <w:tc>
                <w:tcPr>
                  <w:tcW w:w="1292" w:type="pct"/>
                  <w:vMerge w:val="continue"/>
                  <w:tcBorders>
                    <w:tl2br w:val="nil"/>
                    <w:tr2bl w:val="nil"/>
                  </w:tcBorders>
                  <w:noWrap w:val="0"/>
                  <w:vAlign w:val="center"/>
                </w:tcPr>
                <w:p w14:paraId="7ED44B5B">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p>
              </w:tc>
              <w:tc>
                <w:tcPr>
                  <w:tcW w:w="1637" w:type="pct"/>
                  <w:tcBorders>
                    <w:tl2br w:val="nil"/>
                    <w:tr2bl w:val="nil"/>
                  </w:tcBorders>
                  <w:noWrap w:val="0"/>
                  <w:vAlign w:val="center"/>
                </w:tcPr>
                <w:p w14:paraId="312D022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监控点</w:t>
                  </w:r>
                </w:p>
              </w:tc>
              <w:tc>
                <w:tcPr>
                  <w:tcW w:w="1320" w:type="pct"/>
                  <w:tcBorders>
                    <w:tl2br w:val="nil"/>
                    <w:tr2bl w:val="nil"/>
                  </w:tcBorders>
                  <w:noWrap w:val="0"/>
                  <w:vAlign w:val="center"/>
                </w:tcPr>
                <w:p w14:paraId="372C161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浓度（mg /m</w:t>
                  </w:r>
                  <w:r>
                    <w:rPr>
                      <w:rFonts w:ascii="Times New Roman" w:hAnsi="Times New Roman" w:eastAsia="宋体" w:cs="Times New Roman"/>
                      <w:b w:val="0"/>
                      <w:bCs/>
                      <w:color w:val="auto"/>
                      <w:spacing w:val="11"/>
                      <w:position w:val="0"/>
                      <w:sz w:val="21"/>
                      <w:szCs w:val="21"/>
                      <w:vertAlign w:val="superscript"/>
                    </w:rPr>
                    <w:t>3</w:t>
                  </w:r>
                  <w:r>
                    <w:rPr>
                      <w:rFonts w:ascii="Times New Roman" w:hAnsi="Times New Roman" w:eastAsia="宋体" w:cs="Times New Roman"/>
                      <w:b w:val="0"/>
                      <w:bCs/>
                      <w:color w:val="auto"/>
                      <w:spacing w:val="11"/>
                      <w:position w:val="0"/>
                      <w:sz w:val="21"/>
                      <w:szCs w:val="21"/>
                    </w:rPr>
                    <w:t>）</w:t>
                  </w:r>
                </w:p>
              </w:tc>
            </w:tr>
            <w:tr w14:paraId="648384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749" w:type="pct"/>
                  <w:tcBorders>
                    <w:tl2br w:val="nil"/>
                    <w:tr2bl w:val="nil"/>
                  </w:tcBorders>
                  <w:noWrap w:val="0"/>
                  <w:vAlign w:val="center"/>
                </w:tcPr>
                <w:p w14:paraId="669AB669">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kern w:val="0"/>
                      <w:position w:val="0"/>
                      <w:sz w:val="21"/>
                      <w:szCs w:val="21"/>
                    </w:rPr>
                    <w:t>颗粒物</w:t>
                  </w:r>
                </w:p>
              </w:tc>
              <w:tc>
                <w:tcPr>
                  <w:tcW w:w="1292" w:type="pct"/>
                  <w:tcBorders>
                    <w:tl2br w:val="nil"/>
                    <w:tr2bl w:val="nil"/>
                  </w:tcBorders>
                  <w:noWrap w:val="0"/>
                  <w:vAlign w:val="center"/>
                </w:tcPr>
                <w:p w14:paraId="40C07F0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120</w:t>
                  </w:r>
                </w:p>
              </w:tc>
              <w:tc>
                <w:tcPr>
                  <w:tcW w:w="1637" w:type="pct"/>
                  <w:tcBorders>
                    <w:tl2br w:val="nil"/>
                    <w:tr2bl w:val="nil"/>
                  </w:tcBorders>
                  <w:noWrap w:val="0"/>
                  <w:vAlign w:val="center"/>
                </w:tcPr>
                <w:p w14:paraId="36841EE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周界外浓度最高点</w:t>
                  </w:r>
                </w:p>
              </w:tc>
              <w:tc>
                <w:tcPr>
                  <w:tcW w:w="1320" w:type="pct"/>
                  <w:tcBorders>
                    <w:tl2br w:val="nil"/>
                    <w:tr2bl w:val="nil"/>
                  </w:tcBorders>
                  <w:noWrap w:val="0"/>
                  <w:vAlign w:val="center"/>
                </w:tcPr>
                <w:p w14:paraId="34FA4FC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1.0</w:t>
                  </w:r>
                </w:p>
              </w:tc>
            </w:tr>
          </w:tbl>
          <w:p w14:paraId="2A4BCFCF">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（3）</w:t>
            </w:r>
            <w:r>
              <w:rPr>
                <w:rFonts w:hint="default" w:ascii="Times New Roman" w:hAnsi="Times New Roman" w:cs="Times New Roman"/>
                <w:color w:val="auto"/>
                <w:spacing w:val="11"/>
                <w:position w:val="0"/>
                <w:sz w:val="24"/>
                <w:szCs w:val="24"/>
                <w:highlight w:val="none"/>
                <w:lang w:val="en-US" w:eastAsia="zh-CN"/>
              </w:rPr>
              <w:t>噪声</w:t>
            </w:r>
          </w:p>
          <w:p w14:paraId="37DF6A96">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施工期建筑施工场界噪声排放执行《建筑施工场界环境噪声排放标准》（GB12523-2011）标准限值</w:t>
            </w:r>
            <w:r>
              <w:rPr>
                <w:rFonts w:hint="eastAsia" w:ascii="Times New Roman" w:cs="Times New Roman"/>
                <w:color w:val="auto"/>
                <w:spacing w:val="11"/>
                <w:position w:val="0"/>
                <w:sz w:val="24"/>
                <w:szCs w:val="24"/>
                <w:highlight w:val="none"/>
                <w:lang w:val="en-US" w:eastAsia="zh-CN"/>
              </w:rPr>
              <w:t>，</w:t>
            </w:r>
            <w:r>
              <w:rPr>
                <w:rFonts w:hint="default" w:ascii="Times New Roman" w:hAnsi="Times New Roman" w:cs="Times New Roman"/>
                <w:color w:val="auto"/>
                <w:spacing w:val="11"/>
                <w:position w:val="0"/>
                <w:sz w:val="24"/>
                <w:szCs w:val="24"/>
                <w:highlight w:val="none"/>
                <w:lang w:val="en-US" w:eastAsia="zh-CN"/>
              </w:rPr>
              <w:t>夜间不进行作业；营运期噪声执行《工业企业厂界环境噪声排放标准》（GB12348-2008）2类标准要求。</w:t>
            </w:r>
          </w:p>
          <w:p w14:paraId="55895690">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pacing w:val="11"/>
                <w:position w:val="0"/>
                <w:sz w:val="21"/>
                <w:szCs w:val="21"/>
                <w:highlight w:val="none"/>
                <w:lang w:val="en-US" w:eastAsia="zh-CN"/>
              </w:rPr>
            </w:pPr>
            <w:r>
              <w:rPr>
                <w:rFonts w:hint="default" w:ascii="Times New Roman" w:hAnsi="Times New Roman" w:cs="Times New Roman"/>
                <w:b/>
                <w:bCs/>
                <w:color w:val="auto"/>
                <w:spacing w:val="11"/>
                <w:position w:val="0"/>
                <w:sz w:val="21"/>
                <w:szCs w:val="21"/>
                <w:highlight w:val="none"/>
                <w:lang w:val="en-US" w:eastAsia="zh-CN"/>
              </w:rPr>
              <w:t>表</w:t>
            </w:r>
            <w:r>
              <w:rPr>
                <w:rFonts w:hint="eastAsia" w:ascii="Times New Roman" w:hAnsi="Times New Roman" w:cs="Times New Roman"/>
                <w:b/>
                <w:bCs/>
                <w:color w:val="auto"/>
                <w:spacing w:val="11"/>
                <w:position w:val="0"/>
                <w:sz w:val="21"/>
                <w:szCs w:val="21"/>
                <w:highlight w:val="none"/>
                <w:lang w:val="en-US" w:eastAsia="zh-CN"/>
              </w:rPr>
              <w:t>3-</w:t>
            </w:r>
            <w:r>
              <w:rPr>
                <w:rFonts w:hint="eastAsia" w:ascii="Times New Roman" w:cs="Times New Roman"/>
                <w:b/>
                <w:bCs/>
                <w:color w:val="auto"/>
                <w:spacing w:val="11"/>
                <w:position w:val="0"/>
                <w:sz w:val="21"/>
                <w:szCs w:val="21"/>
                <w:highlight w:val="none"/>
                <w:lang w:val="en-US" w:eastAsia="zh-CN"/>
              </w:rPr>
              <w:t>13</w:t>
            </w:r>
            <w:r>
              <w:rPr>
                <w:rFonts w:hint="default" w:ascii="Times New Roman" w:hAnsi="Times New Roman" w:cs="Times New Roman"/>
                <w:b/>
                <w:bCs/>
                <w:color w:val="auto"/>
                <w:spacing w:val="11"/>
                <w:position w:val="0"/>
                <w:sz w:val="21"/>
                <w:szCs w:val="21"/>
                <w:highlight w:val="none"/>
                <w:lang w:val="en-US" w:eastAsia="zh-CN"/>
              </w:rPr>
              <w:t xml:space="preserve">  噪声排放标准 单位：dB（A）</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97"/>
              <w:gridCol w:w="2691"/>
              <w:gridCol w:w="2685"/>
            </w:tblGrid>
            <w:tr w14:paraId="3986B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noWrap w:val="0"/>
                  <w:vAlign w:val="center"/>
                </w:tcPr>
                <w:p w14:paraId="420F3898">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类别</w:t>
                  </w:r>
                </w:p>
              </w:tc>
              <w:tc>
                <w:tcPr>
                  <w:tcW w:w="1683" w:type="pct"/>
                  <w:tcBorders>
                    <w:tl2br w:val="nil"/>
                    <w:tr2bl w:val="nil"/>
                  </w:tcBorders>
                  <w:noWrap w:val="0"/>
                  <w:vAlign w:val="center"/>
                </w:tcPr>
                <w:p w14:paraId="09EED9A8">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昼间</w:t>
                  </w:r>
                </w:p>
              </w:tc>
              <w:tc>
                <w:tcPr>
                  <w:tcW w:w="1679" w:type="pct"/>
                  <w:tcBorders>
                    <w:tl2br w:val="nil"/>
                    <w:tr2bl w:val="nil"/>
                  </w:tcBorders>
                  <w:noWrap w:val="0"/>
                  <w:vAlign w:val="center"/>
                </w:tcPr>
                <w:p w14:paraId="4D39C441">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夜间</w:t>
                  </w:r>
                </w:p>
              </w:tc>
            </w:tr>
            <w:tr w14:paraId="4301E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noWrap w:val="0"/>
                  <w:vAlign w:val="center"/>
                </w:tcPr>
                <w:p w14:paraId="5414A2D2">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施工期</w:t>
                  </w:r>
                </w:p>
              </w:tc>
              <w:tc>
                <w:tcPr>
                  <w:tcW w:w="1683" w:type="pct"/>
                  <w:tcBorders>
                    <w:tl2br w:val="nil"/>
                    <w:tr2bl w:val="nil"/>
                  </w:tcBorders>
                  <w:noWrap w:val="0"/>
                  <w:vAlign w:val="center"/>
                </w:tcPr>
                <w:p w14:paraId="0912EE74">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70</w:t>
                  </w:r>
                </w:p>
              </w:tc>
              <w:tc>
                <w:tcPr>
                  <w:tcW w:w="1679" w:type="pct"/>
                  <w:tcBorders>
                    <w:tl2br w:val="nil"/>
                    <w:tr2bl w:val="nil"/>
                  </w:tcBorders>
                  <w:noWrap w:val="0"/>
                  <w:vAlign w:val="center"/>
                </w:tcPr>
                <w:p w14:paraId="4DF23229">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w:t>
                  </w:r>
                </w:p>
              </w:tc>
            </w:tr>
            <w:tr w14:paraId="373B5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14:paraId="347FA164">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运营期</w:t>
                  </w:r>
                </w:p>
              </w:tc>
              <w:tc>
                <w:tcPr>
                  <w:tcW w:w="1060" w:type="pct"/>
                  <w:tcBorders>
                    <w:tl2br w:val="nil"/>
                    <w:tr2bl w:val="nil"/>
                  </w:tcBorders>
                  <w:noWrap w:val="0"/>
                  <w:vAlign w:val="center"/>
                </w:tcPr>
                <w:p w14:paraId="2DC4C6AC">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2类</w:t>
                  </w:r>
                </w:p>
              </w:tc>
              <w:tc>
                <w:tcPr>
                  <w:tcW w:w="1683" w:type="pct"/>
                  <w:tcBorders>
                    <w:tl2br w:val="nil"/>
                    <w:tr2bl w:val="nil"/>
                  </w:tcBorders>
                  <w:noWrap w:val="0"/>
                  <w:vAlign w:val="center"/>
                </w:tcPr>
                <w:p w14:paraId="24A1EE77">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60</w:t>
                  </w:r>
                </w:p>
              </w:tc>
              <w:tc>
                <w:tcPr>
                  <w:tcW w:w="1679" w:type="pct"/>
                  <w:tcBorders>
                    <w:tl2br w:val="nil"/>
                    <w:tr2bl w:val="nil"/>
                  </w:tcBorders>
                  <w:noWrap w:val="0"/>
                  <w:vAlign w:val="center"/>
                </w:tcPr>
                <w:p w14:paraId="694000BE">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50</w:t>
                  </w:r>
                </w:p>
              </w:tc>
            </w:tr>
          </w:tbl>
          <w:p w14:paraId="6DB519DB">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（4）</w:t>
            </w:r>
            <w:r>
              <w:rPr>
                <w:rFonts w:hint="default" w:ascii="Times New Roman" w:hAnsi="Times New Roman" w:cs="Times New Roman"/>
                <w:color w:val="auto"/>
                <w:spacing w:val="11"/>
                <w:position w:val="0"/>
                <w:sz w:val="24"/>
                <w:szCs w:val="24"/>
                <w:highlight w:val="none"/>
                <w:lang w:val="en-US" w:eastAsia="zh-CN"/>
              </w:rPr>
              <w:t>固体废物</w:t>
            </w:r>
          </w:p>
          <w:p w14:paraId="1DE35AB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cs="Times New Roman"/>
                <w:color w:val="auto"/>
                <w:spacing w:val="11"/>
                <w:position w:val="0"/>
                <w:sz w:val="24"/>
                <w:szCs w:val="24"/>
                <w:highlight w:val="none"/>
                <w:lang w:val="en-US" w:eastAsia="zh-CN"/>
              </w:rPr>
              <w:t>项目运营期一般固体废物执行《一般工业固体废物贮存和填埋污染控制标准》（GB 18599-2020）；危险废物执行《危险废物贮存污染控制标准》（GB18597-2023）的要求；生活垃圾</w:t>
            </w:r>
            <w:r>
              <w:rPr>
                <w:rFonts w:hint="eastAsia" w:cs="Times New Roman"/>
                <w:color w:val="auto"/>
                <w:spacing w:val="11"/>
                <w:position w:val="0"/>
                <w:sz w:val="24"/>
                <w:szCs w:val="24"/>
                <w:highlight w:val="none"/>
                <w:lang w:val="en-US" w:eastAsia="zh-CN"/>
              </w:rPr>
              <w:t>交由环卫部门统一清运</w:t>
            </w:r>
            <w:r>
              <w:rPr>
                <w:rFonts w:hint="default" w:ascii="Times New Roman" w:hAnsi="Times New Roman" w:cs="Times New Roman"/>
                <w:color w:val="auto"/>
                <w:spacing w:val="11"/>
                <w:position w:val="0"/>
                <w:sz w:val="24"/>
                <w:szCs w:val="24"/>
                <w:highlight w:val="none"/>
                <w:lang w:val="en-US" w:eastAsia="zh-CN"/>
              </w:rPr>
              <w:t>。</w:t>
            </w:r>
          </w:p>
        </w:tc>
      </w:tr>
      <w:tr w14:paraId="5E35C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14:paraId="5CEF4E49">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其他</w:t>
            </w:r>
          </w:p>
        </w:tc>
        <w:tc>
          <w:tcPr>
            <w:tcW w:w="8213" w:type="dxa"/>
            <w:tcBorders>
              <w:tl2br w:val="nil"/>
              <w:tr2bl w:val="nil"/>
            </w:tcBorders>
            <w:noWrap w:val="0"/>
            <w:vAlign w:val="center"/>
          </w:tcPr>
          <w:p w14:paraId="4ADD7D6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rPr>
              <w:t>1、水污染物总量控制指标</w:t>
            </w:r>
          </w:p>
          <w:p w14:paraId="75B108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项目生产废水及生活污水经处理后，均不外排，故本评价无水污染物排放总量控制指标值。</w:t>
            </w:r>
          </w:p>
          <w:p w14:paraId="0AD36182">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rPr>
              <w:t>2、大气污染物总量控制指标</w:t>
            </w:r>
          </w:p>
          <w:p w14:paraId="72C4C67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本项目主要气型污染物为颗粒物，根据湖南省《关于进一步加强建设项目重点污染物排放总量指标审核及管理工作的通知》，颗粒物未列入总量控制指标内，但属于需备案登记的污染因子。因此，本项目无需申请总量控制指标。</w:t>
            </w:r>
          </w:p>
        </w:tc>
      </w:tr>
    </w:tbl>
    <w:p w14:paraId="786E5651">
      <w:pPr>
        <w:pStyle w:val="29"/>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pacing w:val="11"/>
          <w:kern w:val="2"/>
          <w:position w:val="0"/>
          <w:sz w:val="36"/>
          <w:szCs w:val="36"/>
        </w:rPr>
      </w:pPr>
    </w:p>
    <w:p w14:paraId="137FF972">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kern w:val="2"/>
          <w:position w:val="0"/>
          <w:sz w:val="36"/>
          <w:szCs w:val="36"/>
        </w:rPr>
        <w:br w:type="page"/>
      </w:r>
      <w:bookmarkStart w:id="10" w:name="_Toc8673"/>
      <w:r>
        <w:rPr>
          <w:rFonts w:hint="default" w:ascii="Times New Roman" w:hAnsi="Times New Roman" w:eastAsia="宋体" w:cs="Times New Roman"/>
          <w:b/>
          <w:bCs/>
          <w:snapToGrid w:val="0"/>
          <w:color w:val="auto"/>
          <w:spacing w:val="11"/>
          <w:position w:val="0"/>
          <w:sz w:val="30"/>
          <w:szCs w:val="30"/>
        </w:rPr>
        <w:t>四、生态环境影响分析</w:t>
      </w:r>
      <w:bookmarkEnd w:id="10"/>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142"/>
      </w:tblGrid>
      <w:tr w14:paraId="44485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tcMar>
              <w:left w:w="28" w:type="dxa"/>
              <w:right w:w="28" w:type="dxa"/>
            </w:tcMar>
            <w:vAlign w:val="center"/>
          </w:tcPr>
          <w:p w14:paraId="4AD169C1">
            <w:pPr>
              <w:pStyle w:val="29"/>
              <w:adjustRightInd w:val="0"/>
              <w:snapToGrid w:val="0"/>
              <w:spacing w:before="0" w:beforeAutospacing="0" w:after="0" w:afterAutospacing="0" w:line="360" w:lineRule="auto"/>
              <w:jc w:val="center"/>
              <w:rPr>
                <w:rFonts w:hint="default" w:ascii="Times New Roman" w:hAnsi="Times New Roman" w:eastAsia="宋体" w:cs="Times New Roman"/>
                <w:bCs/>
                <w:color w:val="auto"/>
                <w:spacing w:val="11"/>
                <w:kern w:val="2"/>
                <w:position w:val="0"/>
                <w:sz w:val="24"/>
                <w:szCs w:val="24"/>
              </w:rPr>
            </w:pPr>
            <w:bookmarkStart w:id="11" w:name="_Hlk49796138"/>
            <w:r>
              <w:rPr>
                <w:rFonts w:hint="default" w:ascii="Times New Roman" w:hAnsi="Times New Roman" w:eastAsia="宋体" w:cs="Times New Roman"/>
                <w:bCs/>
                <w:color w:val="auto"/>
                <w:spacing w:val="11"/>
                <w:kern w:val="2"/>
                <w:position w:val="0"/>
                <w:sz w:val="24"/>
                <w:szCs w:val="24"/>
              </w:rPr>
              <w:t>施工期生态环境影响分析</w:t>
            </w:r>
            <w:bookmarkEnd w:id="11"/>
          </w:p>
        </w:tc>
        <w:tc>
          <w:tcPr>
            <w:tcW w:w="4533" w:type="pct"/>
            <w:tcBorders>
              <w:tl2br w:val="nil"/>
              <w:tr2bl w:val="nil"/>
            </w:tcBorders>
            <w:noWrap w:val="0"/>
            <w:vAlign w:val="center"/>
          </w:tcPr>
          <w:p w14:paraId="45C2CC4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项目施工期建设内容主要为</w:t>
            </w:r>
            <w:r>
              <w:rPr>
                <w:rFonts w:hint="eastAsia" w:ascii="Times New Roman" w:hAnsi="Times New Roman" w:eastAsia="宋体" w:cs="Times New Roman"/>
                <w:spacing w:val="11"/>
                <w:position w:val="0"/>
                <w:sz w:val="24"/>
                <w:lang w:val="en-US" w:eastAsia="zh-CN"/>
              </w:rPr>
              <w:t>完善</w:t>
            </w:r>
            <w:r>
              <w:rPr>
                <w:rFonts w:hint="eastAsia" w:ascii="Times New Roman" w:hAnsi="Times New Roman" w:eastAsia="宋体" w:cs="Times New Roman"/>
                <w:spacing w:val="11"/>
                <w:position w:val="0"/>
                <w:sz w:val="24"/>
              </w:rPr>
              <w:t>施工道路、沉淀池、雨水沟、撇洪沟</w:t>
            </w:r>
            <w:r>
              <w:rPr>
                <w:rFonts w:ascii="Times New Roman" w:hAnsi="Times New Roman" w:eastAsia="宋体" w:cs="Times New Roman"/>
                <w:spacing w:val="11"/>
                <w:position w:val="0"/>
                <w:sz w:val="24"/>
              </w:rPr>
              <w:t>等工程</w:t>
            </w:r>
            <w:r>
              <w:rPr>
                <w:rFonts w:hint="eastAsia" w:ascii="Times New Roman" w:hAnsi="Times New Roman" w:eastAsia="宋体" w:cs="Times New Roman"/>
                <w:spacing w:val="11"/>
                <w:position w:val="0"/>
                <w:sz w:val="24"/>
              </w:rPr>
              <w:t>设施。建设</w:t>
            </w:r>
            <w:r>
              <w:rPr>
                <w:rFonts w:ascii="Times New Roman" w:hAnsi="Times New Roman" w:eastAsia="宋体" w:cs="Times New Roman"/>
                <w:spacing w:val="11"/>
                <w:position w:val="0"/>
                <w:sz w:val="24"/>
              </w:rPr>
              <w:t>过程中，造成生态破坏、水土流失、景观影响、噪声、扬尘、废水、弃土等的影响。</w:t>
            </w:r>
          </w:p>
          <w:p w14:paraId="4064BF0B">
            <w:pPr>
              <w:pStyle w:val="64"/>
              <w:numPr>
                <w:ilvl w:val="0"/>
                <w:numId w:val="4"/>
              </w:numPr>
              <w:adjustRightInd w:val="0"/>
              <w:snapToGrid w:val="0"/>
              <w:spacing w:line="360" w:lineRule="auto"/>
              <w:ind w:firstLine="526" w:firstLineChars="200"/>
              <w:jc w:val="left"/>
              <w:rPr>
                <w:rFonts w:hint="eastAsia" w:eastAsia="宋体"/>
                <w:b/>
                <w:bCs/>
                <w:spacing w:val="11"/>
                <w:position w:val="0"/>
                <w:sz w:val="24"/>
                <w:lang w:val="en-US"/>
              </w:rPr>
            </w:pPr>
            <w:r>
              <w:rPr>
                <w:rFonts w:hint="eastAsia" w:eastAsia="宋体"/>
                <w:b/>
                <w:bCs/>
                <w:spacing w:val="11"/>
                <w:position w:val="0"/>
                <w:sz w:val="24"/>
                <w:lang w:val="en-US"/>
              </w:rPr>
              <w:t>施工期大气环境影响分析</w:t>
            </w:r>
          </w:p>
          <w:p w14:paraId="6A3D0CFF">
            <w:pPr>
              <w:pStyle w:val="64"/>
              <w:adjustRightInd w:val="0"/>
              <w:snapToGrid w:val="0"/>
              <w:spacing w:line="360" w:lineRule="auto"/>
              <w:ind w:firstLine="524" w:firstLineChars="200"/>
              <w:jc w:val="both"/>
              <w:rPr>
                <w:bCs/>
                <w:spacing w:val="11"/>
                <w:position w:val="0"/>
                <w:sz w:val="24"/>
                <w:lang w:val="en-US"/>
              </w:rPr>
            </w:pPr>
            <w:r>
              <w:rPr>
                <w:spacing w:val="11"/>
                <w:position w:val="0"/>
                <w:sz w:val="24"/>
              </w:rPr>
              <w:t>施工期环境</w:t>
            </w:r>
            <w:r>
              <w:rPr>
                <w:rFonts w:hint="eastAsia"/>
                <w:spacing w:val="11"/>
                <w:position w:val="0"/>
                <w:sz w:val="24"/>
              </w:rPr>
              <w:t>大气</w:t>
            </w:r>
            <w:r>
              <w:rPr>
                <w:spacing w:val="11"/>
                <w:position w:val="0"/>
                <w:sz w:val="24"/>
              </w:rPr>
              <w:t>污染物主要有施工车辆和燃油施工机械排放的尾气、</w:t>
            </w:r>
            <w:r>
              <w:rPr>
                <w:rFonts w:hint="eastAsia"/>
                <w:spacing w:val="11"/>
                <w:position w:val="0"/>
                <w:sz w:val="24"/>
              </w:rPr>
              <w:t>施工</w:t>
            </w:r>
            <w:r>
              <w:rPr>
                <w:spacing w:val="11"/>
                <w:position w:val="0"/>
                <w:sz w:val="24"/>
              </w:rPr>
              <w:t>扬尘</w:t>
            </w:r>
            <w:r>
              <w:rPr>
                <w:rFonts w:hint="eastAsia"/>
                <w:spacing w:val="11"/>
                <w:position w:val="0"/>
                <w:sz w:val="24"/>
              </w:rPr>
              <w:t>。为减轻施工期大气污染物的污染程度和影响范围，</w:t>
            </w:r>
            <w:r>
              <w:rPr>
                <w:rFonts w:hint="eastAsia"/>
                <w:spacing w:val="11"/>
                <w:position w:val="0"/>
                <w:sz w:val="24"/>
                <w:lang w:eastAsia="zh-CN"/>
              </w:rPr>
              <w:t>本</w:t>
            </w:r>
            <w:r>
              <w:rPr>
                <w:rFonts w:hint="eastAsia"/>
                <w:spacing w:val="11"/>
                <w:position w:val="0"/>
                <w:sz w:val="24"/>
              </w:rPr>
              <w:t>环评建议采取如下防治措施：</w:t>
            </w:r>
          </w:p>
          <w:p w14:paraId="1993C2B7">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1</w:t>
            </w:r>
            <w:r>
              <w:rPr>
                <w:rFonts w:ascii="Times New Roman" w:hAnsi="宋体" w:eastAsia="宋体" w:cs="Times New Roman"/>
                <w:spacing w:val="11"/>
                <w:position w:val="0"/>
                <w:sz w:val="24"/>
              </w:rPr>
              <w:t>）车辆尾气</w:t>
            </w:r>
          </w:p>
          <w:p w14:paraId="015F51EA">
            <w:pPr>
              <w:adjustRightInd w:val="0"/>
              <w:snapToGrid w:val="0"/>
              <w:spacing w:line="360" w:lineRule="auto"/>
              <w:ind w:firstLine="524" w:firstLineChars="200"/>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施工机械主要有挖土机、载重汽车等燃油机械，燃油所产生的废气中的主要污染物有</w:t>
            </w:r>
            <w:r>
              <w:rPr>
                <w:rFonts w:ascii="Times New Roman" w:hAnsi="Times New Roman" w:eastAsia="宋体" w:cs="Times New Roman"/>
                <w:spacing w:val="11"/>
                <w:position w:val="0"/>
                <w:sz w:val="24"/>
              </w:rPr>
              <w:t>SO</w:t>
            </w:r>
            <w:r>
              <w:rPr>
                <w:rFonts w:ascii="Times New Roman" w:hAnsi="Times New Roman" w:eastAsia="宋体" w:cs="Times New Roman"/>
                <w:spacing w:val="11"/>
                <w:position w:val="0"/>
                <w:sz w:val="24"/>
                <w:vertAlign w:val="subscript"/>
              </w:rPr>
              <w:t>2</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CO</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NO</w:t>
            </w:r>
            <w:r>
              <w:rPr>
                <w:rFonts w:ascii="Times New Roman" w:hAnsi="Times New Roman" w:eastAsia="宋体" w:cs="Times New Roman"/>
                <w:spacing w:val="11"/>
                <w:position w:val="0"/>
                <w:sz w:val="24"/>
                <w:vertAlign w:val="subscript"/>
              </w:rPr>
              <w:t>2</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TSP</w:t>
            </w:r>
            <w:r>
              <w:rPr>
                <w:rFonts w:ascii="Times New Roman" w:hAnsi="宋体" w:eastAsia="宋体" w:cs="Times New Roman"/>
                <w:spacing w:val="11"/>
                <w:position w:val="0"/>
                <w:sz w:val="24"/>
              </w:rPr>
              <w:t>、总烃。由于施工机械多数为大型机械，排放系数大，但施工作业具有无组织排放，不连续性、施工点分散，每个作业点施工时间相对较短，燃油动力机械为间断作业，且数量不多，因此其排放的污染仅对施工区域近距离的环境空气质量产生影响。</w:t>
            </w:r>
            <w:r>
              <w:rPr>
                <w:rFonts w:hint="eastAsia" w:ascii="Times New Roman" w:hAnsi="宋体" w:eastAsia="宋体" w:cs="Times New Roman"/>
                <w:spacing w:val="11"/>
                <w:position w:val="0"/>
                <w:sz w:val="24"/>
              </w:rPr>
              <w:t>根据同类型</w:t>
            </w:r>
            <w:r>
              <w:rPr>
                <w:rFonts w:ascii="Times New Roman" w:hAnsi="宋体" w:eastAsia="宋体" w:cs="Times New Roman"/>
                <w:spacing w:val="11"/>
                <w:position w:val="0"/>
                <w:sz w:val="24"/>
              </w:rPr>
              <w:t>工程监测结果，离施工现场</w:t>
            </w:r>
            <w:r>
              <w:rPr>
                <w:rFonts w:ascii="Times New Roman" w:hAnsi="Times New Roman" w:eastAsia="宋体" w:cs="Times New Roman"/>
                <w:spacing w:val="11"/>
                <w:position w:val="0"/>
                <w:sz w:val="24"/>
              </w:rPr>
              <w:t>50m</w:t>
            </w:r>
            <w:r>
              <w:rPr>
                <w:rFonts w:ascii="Times New Roman" w:hAnsi="宋体" w:eastAsia="宋体" w:cs="Times New Roman"/>
                <w:spacing w:val="11"/>
                <w:position w:val="0"/>
                <w:sz w:val="24"/>
              </w:rPr>
              <w:t>处，一氧化碳、</w:t>
            </w:r>
            <w:r>
              <w:rPr>
                <w:rFonts w:hint="eastAsia" w:ascii="Times New Roman" w:hAnsi="Times New Roman" w:eastAsia="宋体" w:cs="Times New Roman"/>
                <w:spacing w:val="11"/>
                <w:position w:val="0"/>
                <w:sz w:val="24"/>
              </w:rPr>
              <w:t>NO</w:t>
            </w:r>
            <w:r>
              <w:rPr>
                <w:rFonts w:hint="eastAsia" w:ascii="Times New Roman" w:hAnsi="Times New Roman" w:eastAsia="宋体" w:cs="Times New Roman"/>
                <w:spacing w:val="11"/>
                <w:position w:val="0"/>
                <w:sz w:val="24"/>
                <w:vertAlign w:val="subscript"/>
              </w:rPr>
              <w:t>x</w:t>
            </w:r>
            <w:r>
              <w:rPr>
                <w:rFonts w:ascii="Times New Roman" w:hAnsi="Times New Roman" w:eastAsia="宋体" w:cs="Times New Roman"/>
                <w:spacing w:val="11"/>
                <w:position w:val="0"/>
                <w:sz w:val="24"/>
              </w:rPr>
              <w:t>1</w:t>
            </w:r>
            <w:r>
              <w:rPr>
                <w:rFonts w:ascii="Times New Roman" w:hAnsi="宋体" w:eastAsia="宋体" w:cs="Times New Roman"/>
                <w:spacing w:val="11"/>
                <w:position w:val="0"/>
                <w:sz w:val="24"/>
              </w:rPr>
              <w:t>小时平均浓度分别为</w:t>
            </w:r>
            <w:r>
              <w:rPr>
                <w:rFonts w:ascii="Times New Roman" w:hAnsi="Times New Roman" w:eastAsia="宋体" w:cs="Times New Roman"/>
                <w:spacing w:val="11"/>
                <w:position w:val="0"/>
                <w:sz w:val="24"/>
              </w:rPr>
              <w:t>0.2</w:t>
            </w:r>
            <w:r>
              <w:rPr>
                <w:rFonts w:hint="eastAsia" w:ascii="Times New Roman" w:hAnsi="Times New Roman"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和</w:t>
            </w:r>
            <w:r>
              <w:rPr>
                <w:rFonts w:ascii="Times New Roman" w:hAnsi="Times New Roman" w:eastAsia="宋体" w:cs="Times New Roman"/>
                <w:spacing w:val="11"/>
                <w:position w:val="0"/>
                <w:sz w:val="24"/>
              </w:rPr>
              <w:t>0.11</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，日平均浓度分别为</w:t>
            </w:r>
            <w:r>
              <w:rPr>
                <w:rFonts w:ascii="Times New Roman" w:hAnsi="Times New Roman" w:eastAsia="宋体" w:cs="Times New Roman"/>
                <w:spacing w:val="11"/>
                <w:position w:val="0"/>
                <w:sz w:val="24"/>
              </w:rPr>
              <w:t>0.13</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和</w:t>
            </w:r>
            <w:r>
              <w:rPr>
                <w:rFonts w:ascii="Times New Roman" w:hAnsi="Times New Roman" w:eastAsia="宋体" w:cs="Times New Roman"/>
                <w:spacing w:val="11"/>
                <w:position w:val="0"/>
                <w:sz w:val="24"/>
              </w:rPr>
              <w:t>0.062</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，均可达到《环境空气质量标准》（</w:t>
            </w:r>
            <w:r>
              <w:rPr>
                <w:rFonts w:ascii="Times New Roman" w:hAnsi="Times New Roman" w:eastAsia="宋体" w:cs="Times New Roman"/>
                <w:spacing w:val="11"/>
                <w:position w:val="0"/>
                <w:sz w:val="24"/>
              </w:rPr>
              <w:t>GB3095-</w:t>
            </w:r>
            <w:r>
              <w:rPr>
                <w:rFonts w:hint="eastAsia" w:ascii="Times New Roman" w:hAnsi="Times New Roman" w:eastAsia="宋体" w:cs="Times New Roman"/>
                <w:spacing w:val="11"/>
                <w:position w:val="0"/>
                <w:sz w:val="24"/>
              </w:rPr>
              <w:t>2012</w:t>
            </w:r>
            <w:r>
              <w:rPr>
                <w:rFonts w:ascii="Times New Roman" w:hAnsi="宋体" w:eastAsia="宋体" w:cs="Times New Roman"/>
                <w:spacing w:val="11"/>
                <w:position w:val="0"/>
                <w:sz w:val="24"/>
              </w:rPr>
              <w:t>）二级标准要求。施工使用的大型燃油机械，必须装置消烟除尘设备，并对消烟除尘装置进行定期检测。</w:t>
            </w:r>
          </w:p>
          <w:p w14:paraId="28C4AE66">
            <w:pPr>
              <w:adjustRightInd w:val="0"/>
              <w:snapToGrid w:val="0"/>
              <w:spacing w:line="360" w:lineRule="auto"/>
              <w:ind w:firstLine="524" w:firstLineChars="200"/>
              <w:rPr>
                <w:rFonts w:ascii="Times New Roman" w:hAnsi="Times New Roman" w:eastAsia="宋体" w:cs="Times New Roman"/>
                <w:spacing w:val="11"/>
                <w:kern w:val="0"/>
                <w:position w:val="0"/>
                <w:sz w:val="24"/>
              </w:rPr>
            </w:pP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2</w:t>
            </w:r>
            <w:r>
              <w:rPr>
                <w:rFonts w:ascii="Times New Roman" w:hAnsi="宋体" w:eastAsia="宋体" w:cs="Times New Roman"/>
                <w:spacing w:val="11"/>
                <w:position w:val="0"/>
                <w:sz w:val="24"/>
              </w:rPr>
              <w:t>）扬尘</w:t>
            </w:r>
          </w:p>
          <w:p w14:paraId="0E3092C4">
            <w:pPr>
              <w:adjustRightInd w:val="0"/>
              <w:snapToGrid w:val="0"/>
              <w:spacing w:line="360" w:lineRule="auto"/>
              <w:ind w:firstLine="524" w:firstLineChars="200"/>
              <w:rPr>
                <w:rFonts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项目</w:t>
            </w:r>
            <w:r>
              <w:rPr>
                <w:rFonts w:ascii="Times New Roman" w:hAnsi="Times New Roman" w:eastAsia="宋体" w:cs="Times New Roman"/>
                <w:spacing w:val="11"/>
                <w:position w:val="0"/>
                <w:sz w:val="24"/>
              </w:rPr>
              <w:t>施工过程</w:t>
            </w:r>
            <w:r>
              <w:rPr>
                <w:rFonts w:hint="eastAsia" w:ascii="Times New Roman" w:hAnsi="Times New Roman" w:eastAsia="宋体" w:cs="Times New Roman"/>
                <w:spacing w:val="11"/>
                <w:position w:val="0"/>
                <w:sz w:val="24"/>
              </w:rPr>
              <w:t>将</w:t>
            </w:r>
            <w:r>
              <w:rPr>
                <w:rFonts w:ascii="Times New Roman" w:hAnsi="Times New Roman" w:eastAsia="宋体" w:cs="Times New Roman"/>
                <w:spacing w:val="11"/>
                <w:position w:val="0"/>
                <w:sz w:val="24"/>
              </w:rPr>
              <w:t>产生扬尘，主要包括运输车辆产生的交通扬尘和</w:t>
            </w:r>
            <w:r>
              <w:rPr>
                <w:rFonts w:hint="eastAsia" w:ascii="Times New Roman" w:hAnsi="Times New Roman" w:eastAsia="宋体" w:cs="Times New Roman"/>
                <w:spacing w:val="11"/>
                <w:position w:val="0"/>
                <w:sz w:val="24"/>
              </w:rPr>
              <w:t>施工</w:t>
            </w:r>
            <w:r>
              <w:rPr>
                <w:rFonts w:ascii="Times New Roman" w:hAnsi="Times New Roman" w:eastAsia="宋体" w:cs="Times New Roman"/>
                <w:spacing w:val="11"/>
                <w:position w:val="0"/>
                <w:sz w:val="24"/>
              </w:rPr>
              <w:t>过程产生的扬尘等。为减少施工</w:t>
            </w:r>
            <w:r>
              <w:rPr>
                <w:rFonts w:hint="eastAsia" w:ascii="Times New Roman" w:hAnsi="Times New Roman" w:eastAsia="宋体" w:cs="Times New Roman"/>
                <w:spacing w:val="11"/>
                <w:position w:val="0"/>
                <w:sz w:val="24"/>
              </w:rPr>
              <w:t>扬尘</w:t>
            </w:r>
            <w:r>
              <w:rPr>
                <w:rFonts w:ascii="Times New Roman" w:hAnsi="Times New Roman" w:eastAsia="宋体" w:cs="Times New Roman"/>
                <w:spacing w:val="11"/>
                <w:position w:val="0"/>
                <w:sz w:val="24"/>
              </w:rPr>
              <w:t>对周围环境的影响，</w:t>
            </w:r>
            <w:r>
              <w:rPr>
                <w:rFonts w:hint="eastAsia" w:ascii="Times New Roman" w:hAnsi="Times New Roman" w:eastAsia="宋体" w:cs="Times New Roman"/>
                <w:spacing w:val="11"/>
                <w:position w:val="0"/>
                <w:sz w:val="24"/>
              </w:rPr>
              <w:t>环评建议</w:t>
            </w:r>
            <w:r>
              <w:rPr>
                <w:rFonts w:ascii="Times New Roman" w:hAnsi="Times New Roman" w:eastAsia="宋体" w:cs="Times New Roman"/>
                <w:spacing w:val="11"/>
                <w:position w:val="0"/>
                <w:sz w:val="24"/>
              </w:rPr>
              <w:t>建设方应采取以下防治措施：</w:t>
            </w:r>
          </w:p>
          <w:p w14:paraId="4E0F2388">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①</w:t>
            </w:r>
            <w:r>
              <w:rPr>
                <w:rFonts w:ascii="Times New Roman" w:hAnsi="Times New Roman" w:eastAsia="宋体" w:cs="Times New Roman"/>
                <w:spacing w:val="11"/>
                <w:position w:val="0"/>
                <w:sz w:val="24"/>
              </w:rPr>
              <w:t>在施工现场</w:t>
            </w:r>
            <w:r>
              <w:rPr>
                <w:rFonts w:hint="eastAsia" w:ascii="Times New Roman" w:hAnsi="Times New Roman" w:eastAsia="宋体" w:cs="Times New Roman"/>
                <w:spacing w:val="11"/>
                <w:position w:val="0"/>
                <w:sz w:val="24"/>
              </w:rPr>
              <w:t>四周</w:t>
            </w:r>
            <w:r>
              <w:rPr>
                <w:rFonts w:ascii="Times New Roman" w:hAnsi="Times New Roman" w:eastAsia="宋体" w:cs="Times New Roman"/>
                <w:spacing w:val="11"/>
                <w:position w:val="0"/>
                <w:sz w:val="24"/>
              </w:rPr>
              <w:t>设置围栏，减少影响距离</w:t>
            </w:r>
            <w:r>
              <w:rPr>
                <w:rFonts w:hint="eastAsia" w:ascii="Times New Roman" w:hAnsi="Times New Roman" w:eastAsia="宋体" w:cs="Times New Roman"/>
                <w:spacing w:val="11"/>
                <w:position w:val="0"/>
                <w:sz w:val="24"/>
              </w:rPr>
              <w:t>；</w:t>
            </w:r>
          </w:p>
          <w:p w14:paraId="14F0019A">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②</w:t>
            </w:r>
            <w:r>
              <w:rPr>
                <w:rFonts w:ascii="Times New Roman" w:hAnsi="Times New Roman" w:eastAsia="宋体" w:cs="Times New Roman"/>
                <w:spacing w:val="11"/>
                <w:position w:val="0"/>
                <w:sz w:val="24"/>
              </w:rPr>
              <w:t>对施工场地的道路应铺设砂砾或粘土，进行平整，保持路面平坦，并定期洒水、清扫，保持</w:t>
            </w:r>
            <w:r>
              <w:rPr>
                <w:rFonts w:hint="eastAsia" w:ascii="Times New Roman" w:hAnsi="Times New Roman" w:eastAsia="宋体" w:cs="Times New Roman"/>
                <w:spacing w:val="11"/>
                <w:position w:val="0"/>
                <w:sz w:val="24"/>
              </w:rPr>
              <w:t>路</w:t>
            </w:r>
            <w:r>
              <w:rPr>
                <w:rFonts w:ascii="Times New Roman" w:hAnsi="Times New Roman" w:eastAsia="宋体" w:cs="Times New Roman"/>
                <w:spacing w:val="11"/>
                <w:position w:val="0"/>
                <w:sz w:val="24"/>
              </w:rPr>
              <w:t>面和空气湿润，减少起尘量；最大限度的减小扬尘对环境的污染</w:t>
            </w:r>
            <w:r>
              <w:rPr>
                <w:rFonts w:hint="eastAsia" w:ascii="Times New Roman" w:hAnsi="Times New Roman" w:eastAsia="宋体" w:cs="Times New Roman"/>
                <w:spacing w:val="11"/>
                <w:position w:val="0"/>
                <w:sz w:val="24"/>
              </w:rPr>
              <w:t>；</w:t>
            </w:r>
          </w:p>
          <w:p w14:paraId="33B40F14">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③</w:t>
            </w:r>
            <w:r>
              <w:rPr>
                <w:rFonts w:ascii="Times New Roman" w:hAnsi="Times New Roman" w:eastAsia="宋体" w:cs="Times New Roman"/>
                <w:spacing w:val="11"/>
                <w:position w:val="0"/>
                <w:sz w:val="24"/>
              </w:rPr>
              <w:t>规定工地上运输车辆的行车路线，保证行车路线上的路面基本清洁，并对进出施工现场车辆的车轮要随时进行清洁，以减少扬尘污染</w:t>
            </w:r>
            <w:r>
              <w:rPr>
                <w:rFonts w:hint="eastAsia" w:ascii="Times New Roman" w:hAnsi="Times New Roman" w:eastAsia="宋体" w:cs="Times New Roman"/>
                <w:spacing w:val="11"/>
                <w:position w:val="0"/>
                <w:sz w:val="24"/>
              </w:rPr>
              <w:t>；</w:t>
            </w:r>
          </w:p>
          <w:p w14:paraId="10DBFEE2">
            <w:pPr>
              <w:adjustRightInd w:val="0"/>
              <w:snapToGrid w:val="0"/>
              <w:spacing w:line="360" w:lineRule="auto"/>
              <w:ind w:firstLine="524" w:firstLineChars="200"/>
              <w:jc w:val="left"/>
              <w:rPr>
                <w:rFonts w:hint="eastAsia" w:ascii="Times New Roman" w:hAnsi="Times New Roman" w:eastAsia="宋体" w:cs="Times New Roman"/>
                <w:spacing w:val="11"/>
                <w:position w:val="0"/>
                <w:sz w:val="24"/>
              </w:rPr>
            </w:pPr>
            <w:r>
              <w:rPr>
                <w:rFonts w:hint="eastAsia" w:ascii="Times New Roman" w:hAnsi="宋体" w:eastAsia="宋体" w:cs="Times New Roman"/>
                <w:spacing w:val="11"/>
                <w:position w:val="0"/>
                <w:sz w:val="24"/>
              </w:rPr>
              <w:t>④</w:t>
            </w:r>
            <w:r>
              <w:rPr>
                <w:rFonts w:ascii="Times New Roman" w:hAnsi="Times New Roman" w:eastAsia="宋体" w:cs="Times New Roman"/>
                <w:spacing w:val="11"/>
                <w:position w:val="0"/>
                <w:sz w:val="24"/>
              </w:rPr>
              <w:t>对可能产生扬尘的材料应禁止露天堆放，堆放物料的露天堆场要遮盖；散装物料在装卸、运输过程中要用隔板阻挡以防止物料撒落</w:t>
            </w:r>
            <w:r>
              <w:rPr>
                <w:rFonts w:hint="eastAsia" w:ascii="Times New Roman" w:hAnsi="Times New Roman" w:eastAsia="宋体" w:cs="Times New Roman"/>
                <w:spacing w:val="11"/>
                <w:position w:val="0"/>
                <w:sz w:val="24"/>
              </w:rPr>
              <w:t>；</w:t>
            </w:r>
          </w:p>
          <w:p w14:paraId="61F602A3">
            <w:pPr>
              <w:adjustRightInd w:val="0"/>
              <w:snapToGrid w:val="0"/>
              <w:spacing w:line="360" w:lineRule="auto"/>
              <w:ind w:firstLine="524" w:firstLineChars="200"/>
              <w:jc w:val="left"/>
              <w:rPr>
                <w:rFonts w:hint="eastAsia" w:ascii="Times New Roman" w:hAnsi="宋体" w:eastAsia="宋体" w:cs="Times New Roman"/>
                <w:spacing w:val="11"/>
                <w:position w:val="0"/>
                <w:sz w:val="24"/>
                <w:lang w:eastAsia="zh-CN"/>
              </w:rPr>
            </w:pPr>
            <w:r>
              <w:rPr>
                <w:rFonts w:hint="eastAsia" w:ascii="Times New Roman" w:hAnsi="宋体" w:eastAsia="宋体" w:cs="Times New Roman"/>
                <w:spacing w:val="11"/>
                <w:position w:val="0"/>
                <w:sz w:val="24"/>
              </w:rPr>
              <w:t>⑤</w:t>
            </w:r>
            <w:r>
              <w:rPr>
                <w:rFonts w:ascii="Times New Roman" w:hAnsi="Times New Roman" w:eastAsia="宋体" w:cs="Times New Roman"/>
                <w:spacing w:val="11"/>
                <w:position w:val="0"/>
                <w:sz w:val="24"/>
              </w:rPr>
              <w:t>对施工废弃物及时清理分类，运出施工现场或进行就地填埋处理</w:t>
            </w:r>
            <w:r>
              <w:rPr>
                <w:rFonts w:hint="eastAsia" w:cs="Times New Roman"/>
                <w:spacing w:val="11"/>
                <w:position w:val="0"/>
                <w:sz w:val="24"/>
                <w:lang w:eastAsia="zh-CN"/>
              </w:rPr>
              <w:t>；</w:t>
            </w:r>
          </w:p>
          <w:p w14:paraId="5CEED537">
            <w:pPr>
              <w:pStyle w:val="65"/>
              <w:ind w:firstLine="480"/>
              <w:jc w:val="left"/>
              <w:rPr>
                <w:rFonts w:hint="eastAsia" w:ascii="宋体" w:hAnsi="宋体" w:eastAsia="宋体"/>
                <w:spacing w:val="11"/>
                <w:position w:val="0"/>
                <w:sz w:val="24"/>
                <w:szCs w:val="24"/>
                <w:lang w:eastAsia="zh-CN"/>
              </w:rPr>
            </w:pPr>
            <w:r>
              <w:rPr>
                <w:rFonts w:hint="eastAsia" w:ascii="宋体" w:hAnsi="宋体" w:eastAsia="宋体"/>
                <w:spacing w:val="11"/>
                <w:position w:val="0"/>
                <w:sz w:val="24"/>
                <w:szCs w:val="24"/>
              </w:rPr>
              <w:t>⑥</w:t>
            </w:r>
            <w:r>
              <w:rPr>
                <w:rFonts w:ascii="宋体" w:hAnsi="宋体" w:eastAsia="宋体"/>
                <w:spacing w:val="11"/>
                <w:position w:val="0"/>
                <w:sz w:val="24"/>
                <w:szCs w:val="24"/>
              </w:rPr>
              <w:t>加强施工作业人员的劳动保护。对处于产尘量较大的现场</w:t>
            </w:r>
            <w:r>
              <w:rPr>
                <w:rFonts w:hint="eastAsia" w:ascii="宋体" w:hAnsi="宋体" w:eastAsia="宋体"/>
                <w:spacing w:val="11"/>
                <w:position w:val="0"/>
                <w:sz w:val="24"/>
                <w:szCs w:val="24"/>
              </w:rPr>
              <w:t>施工</w:t>
            </w:r>
            <w:r>
              <w:rPr>
                <w:rFonts w:ascii="宋体" w:hAnsi="宋体" w:eastAsia="宋体"/>
                <w:spacing w:val="11"/>
                <w:position w:val="0"/>
                <w:sz w:val="24"/>
                <w:szCs w:val="24"/>
              </w:rPr>
              <w:t>人员，按照国家有关劳动保护的规定，发放防尘物品</w:t>
            </w:r>
            <w:r>
              <w:rPr>
                <w:rFonts w:hint="eastAsia" w:ascii="宋体" w:hAnsi="宋体" w:eastAsia="宋体"/>
                <w:spacing w:val="11"/>
                <w:position w:val="0"/>
                <w:sz w:val="24"/>
                <w:szCs w:val="24"/>
                <w:lang w:eastAsia="zh-CN"/>
              </w:rPr>
              <w:t>；</w:t>
            </w:r>
          </w:p>
          <w:p w14:paraId="18A7C369">
            <w:pPr>
              <w:adjustRightInd w:val="0"/>
              <w:snapToGrid w:val="0"/>
              <w:spacing w:line="360" w:lineRule="auto"/>
              <w:ind w:firstLine="524" w:firstLineChars="200"/>
              <w:rPr>
                <w:rFonts w:hint="eastAsia" w:ascii="Times New Roman" w:hAnsi="Times New Roman" w:eastAsia="宋体" w:cs="Times New Roman"/>
                <w:spacing w:val="11"/>
                <w:position w:val="0"/>
                <w:sz w:val="24"/>
                <w:lang w:eastAsia="zh-CN"/>
              </w:rPr>
            </w:pPr>
            <w:r>
              <w:rPr>
                <w:rFonts w:hint="eastAsia" w:ascii="Times New Roman" w:hAnsi="Times New Roman" w:eastAsia="宋体" w:cs="Times New Roman"/>
                <w:spacing w:val="11"/>
                <w:position w:val="0"/>
                <w:sz w:val="24"/>
              </w:rPr>
              <w:t>⑦</w:t>
            </w:r>
            <w:r>
              <w:rPr>
                <w:rFonts w:ascii="Times New Roman" w:hAnsi="Times New Roman" w:eastAsia="宋体" w:cs="Times New Roman"/>
                <w:spacing w:val="11"/>
                <w:position w:val="0"/>
                <w:sz w:val="24"/>
              </w:rPr>
              <w:t>尽量避免在大风天气下进行施工作业。</w:t>
            </w:r>
            <w:r>
              <w:rPr>
                <w:rFonts w:hint="eastAsia" w:ascii="Times New Roman" w:hAnsi="Times New Roman" w:eastAsia="宋体" w:cs="Times New Roman"/>
                <w:spacing w:val="11"/>
                <w:position w:val="0"/>
                <w:sz w:val="24"/>
              </w:rPr>
              <w:t>扬尘的产生跟风力的大小及气候等有较大的关系，南方地区空气湿润，降雨量多会对扬尘一定程度上抑制</w:t>
            </w:r>
            <w:r>
              <w:rPr>
                <w:rFonts w:hint="eastAsia" w:cs="Times New Roman"/>
                <w:spacing w:val="11"/>
                <w:position w:val="0"/>
                <w:sz w:val="24"/>
                <w:lang w:eastAsia="zh-CN"/>
              </w:rPr>
              <w:t>；</w:t>
            </w:r>
          </w:p>
          <w:p w14:paraId="6EEFE07E">
            <w:pPr>
              <w:adjustRightInd w:val="0"/>
              <w:snapToGrid w:val="0"/>
              <w:spacing w:line="360" w:lineRule="auto"/>
              <w:ind w:firstLine="524" w:firstLineChars="200"/>
              <w:rPr>
                <w:rFonts w:hint="eastAsia"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⑧根据</w:t>
            </w:r>
            <w:r>
              <w:rPr>
                <w:rFonts w:hint="eastAsia" w:ascii="Times New Roman" w:hAnsi="Times New Roman" w:eastAsia="宋体" w:cs="Times New Roman"/>
                <w:spacing w:val="11"/>
                <w:position w:val="0"/>
                <w:sz w:val="24"/>
                <w:lang w:eastAsia="zh-CN"/>
              </w:rPr>
              <w:t>永州</w:t>
            </w:r>
            <w:r>
              <w:rPr>
                <w:rFonts w:hint="eastAsia" w:ascii="Times New Roman" w:hAnsi="Times New Roman" w:eastAsia="宋体" w:cs="Times New Roman"/>
                <w:spacing w:val="11"/>
                <w:position w:val="0"/>
                <w:sz w:val="24"/>
              </w:rPr>
              <w:t>市“蓝天保卫战”要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14:paraId="79279747">
            <w:pPr>
              <w:widowControl w:val="0"/>
              <w:adjustRightInd w:val="0"/>
              <w:snapToGrid w:val="0"/>
              <w:spacing w:line="360" w:lineRule="auto"/>
              <w:ind w:firstLine="524" w:firstLineChars="200"/>
              <w:jc w:val="both"/>
              <w:rPr>
                <w:rFonts w:ascii="Times New Roman" w:hAnsi="Times New Roman" w:eastAsia="宋体" w:cs="宋体"/>
                <w:spacing w:val="11"/>
                <w:kern w:val="2"/>
                <w:position w:val="0"/>
                <w:sz w:val="21"/>
                <w:szCs w:val="24"/>
                <w:lang w:val="en-US" w:eastAsia="zh-CN" w:bidi="ar-SA"/>
              </w:rPr>
            </w:pPr>
            <w:r>
              <w:rPr>
                <w:rFonts w:ascii="Times New Roman" w:hAnsi="宋体" w:eastAsia="宋体" w:cs="宋体"/>
                <w:spacing w:val="11"/>
                <w:kern w:val="2"/>
                <w:position w:val="0"/>
                <w:sz w:val="24"/>
                <w:szCs w:val="24"/>
                <w:lang w:val="en-US" w:eastAsia="zh-CN" w:bidi="ar-SA"/>
              </w:rPr>
              <w:t>⑨在施工工地内，应设置车辆清洗设施以及配套的排水、泥浆沉淀设施；运施工场内车行道路须采用混凝土、礁渣或细石等进行路面硬化，并辅以洒水、喷洒抑尘剂等措施加强保洁清扫；运输渣土、泥浆、建筑垃圾及砂石等散体建筑材料，应采用密闭运输车辆或采取篷覆式遮盖等措施，严禁发生抛、洒、滴、漏现象；安排洗车人员，对每台渣土车出场前均要清洗，不得将泥土带出现场，严禁超载运输，渣土装载低于厢板</w:t>
            </w:r>
            <w:r>
              <w:rPr>
                <w:rFonts w:ascii="Times New Roman" w:hAnsi="Times New Roman" w:eastAsia="宋体" w:cs="宋体"/>
                <w:spacing w:val="11"/>
                <w:kern w:val="2"/>
                <w:position w:val="0"/>
                <w:sz w:val="24"/>
                <w:szCs w:val="24"/>
                <w:lang w:val="en-US" w:eastAsia="zh-CN" w:bidi="ar-SA"/>
              </w:rPr>
              <w:t>10</w:t>
            </w:r>
            <w:r>
              <w:rPr>
                <w:rFonts w:hint="eastAsia" w:ascii="Times New Roman" w:hAnsi="宋体" w:eastAsia="宋体" w:cs="宋体"/>
                <w:spacing w:val="11"/>
                <w:kern w:val="2"/>
                <w:position w:val="0"/>
                <w:sz w:val="24"/>
                <w:szCs w:val="24"/>
                <w:lang w:val="en-US" w:eastAsia="zh-CN" w:bidi="ar-SA"/>
              </w:rPr>
              <w:t>cm</w:t>
            </w:r>
            <w:r>
              <w:rPr>
                <w:rFonts w:ascii="Times New Roman" w:hAnsi="宋体" w:eastAsia="宋体" w:cs="宋体"/>
                <w:spacing w:val="11"/>
                <w:kern w:val="2"/>
                <w:position w:val="0"/>
                <w:sz w:val="24"/>
                <w:szCs w:val="24"/>
                <w:lang w:val="en-US" w:eastAsia="zh-CN" w:bidi="ar-SA"/>
              </w:rPr>
              <w:t>以上</w:t>
            </w:r>
            <w:r>
              <w:rPr>
                <w:rFonts w:ascii="Times New Roman" w:hAnsi="宋体" w:eastAsia="宋体" w:cs="宋体"/>
                <w:spacing w:val="11"/>
                <w:kern w:val="2"/>
                <w:position w:val="0"/>
                <w:sz w:val="21"/>
                <w:szCs w:val="24"/>
                <w:lang w:val="en-US" w:eastAsia="zh-CN" w:bidi="ar-SA"/>
              </w:rPr>
              <w:t>。</w:t>
            </w:r>
          </w:p>
          <w:p w14:paraId="38B6EB22">
            <w:pPr>
              <w:adjustRightInd w:val="0"/>
              <w:snapToGrid w:val="0"/>
              <w:spacing w:line="360" w:lineRule="auto"/>
              <w:ind w:firstLine="524" w:firstLineChars="200"/>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综上所述，通过加强施工管理，采取以上一系列措施，可大幅度降低施工造成的大气污染</w:t>
            </w:r>
            <w:r>
              <w:rPr>
                <w:rFonts w:hint="eastAsia" w:ascii="宋体" w:hAnsi="宋体" w:eastAsia="宋体" w:cs="宋体"/>
                <w:spacing w:val="11"/>
                <w:position w:val="0"/>
                <w:sz w:val="24"/>
              </w:rPr>
              <w:t>，同时其对环境的影响也将随施工的结束而消失</w:t>
            </w:r>
            <w:r>
              <w:rPr>
                <w:rFonts w:ascii="Times New Roman" w:hAnsi="宋体" w:eastAsia="宋体" w:cs="Times New Roman"/>
                <w:spacing w:val="11"/>
                <w:position w:val="0"/>
                <w:sz w:val="24"/>
              </w:rPr>
              <w:t>。</w:t>
            </w:r>
          </w:p>
          <w:p w14:paraId="1976DEC6">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2、施工期水环境影响分析</w:t>
            </w:r>
          </w:p>
          <w:p w14:paraId="39B5A37B">
            <w:pPr>
              <w:adjustRightInd w:val="0"/>
              <w:snapToGrid w:val="0"/>
              <w:spacing w:line="360" w:lineRule="auto"/>
              <w:ind w:firstLine="524" w:firstLineChars="200"/>
              <w:rPr>
                <w:rFonts w:hint="eastAsia" w:ascii="Times New Roman" w:hAnsi="Times New Roman" w:eastAsia="宋体" w:cs="Times New Roman"/>
                <w:snapToGrid w:val="0"/>
                <w:spacing w:val="11"/>
                <w:kern w:val="0"/>
                <w:position w:val="0"/>
                <w:sz w:val="24"/>
              </w:rPr>
            </w:pPr>
            <w:r>
              <w:rPr>
                <w:rFonts w:hint="eastAsia" w:ascii="Times New Roman" w:hAnsi="Times New Roman" w:eastAsia="宋体" w:cs="Times New Roman"/>
                <w:snapToGrid w:val="0"/>
                <w:spacing w:val="11"/>
                <w:kern w:val="0"/>
                <w:position w:val="0"/>
                <w:sz w:val="24"/>
              </w:rPr>
              <w:t>本项目</w:t>
            </w:r>
            <w:r>
              <w:rPr>
                <w:rFonts w:ascii="Times New Roman" w:hAnsi="Times New Roman" w:eastAsia="宋体" w:cs="Times New Roman"/>
                <w:snapToGrid w:val="0"/>
                <w:spacing w:val="11"/>
                <w:kern w:val="0"/>
                <w:position w:val="0"/>
                <w:sz w:val="24"/>
              </w:rPr>
              <w:t>施工期废水主要来自</w:t>
            </w:r>
            <w:r>
              <w:rPr>
                <w:rFonts w:hint="eastAsia" w:ascii="Times New Roman" w:hAnsi="Times New Roman" w:eastAsia="宋体" w:cs="Times New Roman"/>
                <w:snapToGrid w:val="0"/>
                <w:spacing w:val="11"/>
                <w:kern w:val="0"/>
                <w:position w:val="0"/>
                <w:sz w:val="24"/>
              </w:rPr>
              <w:t>于</w:t>
            </w:r>
            <w:r>
              <w:rPr>
                <w:rFonts w:ascii="Times New Roman" w:hAnsi="Times New Roman" w:eastAsia="宋体" w:cs="Times New Roman"/>
                <w:snapToGrid w:val="0"/>
                <w:spacing w:val="11"/>
                <w:kern w:val="0"/>
                <w:position w:val="0"/>
                <w:sz w:val="24"/>
              </w:rPr>
              <w:t>车辆冲洗水及施工人员生活污水，主要污染物有</w:t>
            </w:r>
            <w:r>
              <w:rPr>
                <w:rFonts w:hint="eastAsia" w:ascii="Times New Roman" w:hAnsi="Times New Roman" w:eastAsia="宋体" w:cs="Times New Roman"/>
                <w:snapToGrid w:val="0"/>
                <w:spacing w:val="11"/>
                <w:kern w:val="0"/>
                <w:position w:val="0"/>
                <w:sz w:val="24"/>
              </w:rPr>
              <w:t>COD、BOD</w:t>
            </w:r>
            <w:r>
              <w:rPr>
                <w:rFonts w:hint="eastAsia" w:ascii="Times New Roman" w:hAnsi="Times New Roman" w:eastAsia="宋体" w:cs="Times New Roman"/>
                <w:snapToGrid w:val="0"/>
                <w:spacing w:val="11"/>
                <w:kern w:val="0"/>
                <w:position w:val="0"/>
                <w:sz w:val="24"/>
                <w:vertAlign w:val="subscript"/>
              </w:rPr>
              <w:t>5</w:t>
            </w:r>
            <w:r>
              <w:rPr>
                <w:rFonts w:hint="eastAsia" w:ascii="Times New Roman" w:hAnsi="Times New Roman" w:eastAsia="宋体" w:cs="Times New Roman"/>
                <w:snapToGrid w:val="0"/>
                <w:spacing w:val="11"/>
                <w:kern w:val="0"/>
                <w:position w:val="0"/>
                <w:sz w:val="24"/>
              </w:rPr>
              <w:t>、</w:t>
            </w:r>
            <w:r>
              <w:rPr>
                <w:rFonts w:ascii="Times New Roman" w:hAnsi="Times New Roman" w:eastAsia="宋体" w:cs="Times New Roman"/>
                <w:snapToGrid w:val="0"/>
                <w:spacing w:val="11"/>
                <w:kern w:val="0"/>
                <w:position w:val="0"/>
                <w:sz w:val="24"/>
              </w:rPr>
              <w:t>SS、</w:t>
            </w:r>
            <w:r>
              <w:rPr>
                <w:rFonts w:hint="eastAsia" w:ascii="Times New Roman" w:hAnsi="Times New Roman" w:eastAsia="宋体" w:cs="Times New Roman"/>
                <w:snapToGrid w:val="0"/>
                <w:spacing w:val="11"/>
                <w:kern w:val="0"/>
                <w:position w:val="0"/>
                <w:sz w:val="24"/>
              </w:rPr>
              <w:t>石</w:t>
            </w:r>
            <w:r>
              <w:rPr>
                <w:rFonts w:ascii="Times New Roman" w:hAnsi="Times New Roman" w:eastAsia="宋体" w:cs="Times New Roman"/>
                <w:snapToGrid w:val="0"/>
                <w:spacing w:val="11"/>
                <w:kern w:val="0"/>
                <w:position w:val="0"/>
                <w:sz w:val="24"/>
              </w:rPr>
              <w:t>油类</w:t>
            </w:r>
            <w:r>
              <w:rPr>
                <w:rFonts w:hint="eastAsia" w:ascii="Times New Roman" w:hAnsi="Times New Roman" w:eastAsia="宋体" w:cs="Times New Roman"/>
                <w:snapToGrid w:val="0"/>
                <w:spacing w:val="11"/>
                <w:kern w:val="0"/>
                <w:position w:val="0"/>
                <w:sz w:val="24"/>
              </w:rPr>
              <w:t>等</w:t>
            </w:r>
            <w:r>
              <w:rPr>
                <w:rFonts w:ascii="Times New Roman" w:hAnsi="Times New Roman" w:eastAsia="宋体" w:cs="Times New Roman"/>
                <w:snapToGrid w:val="0"/>
                <w:spacing w:val="11"/>
                <w:kern w:val="0"/>
                <w:position w:val="0"/>
                <w:sz w:val="24"/>
              </w:rPr>
              <w:t>。</w:t>
            </w:r>
            <w:r>
              <w:rPr>
                <w:rFonts w:ascii="Times New Roman" w:hAnsi="宋体" w:eastAsia="宋体" w:cs="Times New Roman"/>
                <w:spacing w:val="11"/>
                <w:position w:val="0"/>
                <w:sz w:val="24"/>
              </w:rPr>
              <w:t>施工人员生活污水主要污染因子为</w:t>
            </w:r>
            <w:r>
              <w:rPr>
                <w:rFonts w:ascii="Times New Roman" w:hAnsi="Times New Roman" w:eastAsia="宋体" w:cs="Times New Roman"/>
                <w:spacing w:val="11"/>
                <w:position w:val="0"/>
                <w:sz w:val="24"/>
              </w:rPr>
              <w:t>COD</w:t>
            </w:r>
            <w:r>
              <w:rPr>
                <w:rFonts w:hint="eastAsia" w:ascii="Times New Roman" w:hAnsi="Times New Roman" w:eastAsia="宋体" w:cs="Times New Roman"/>
                <w:spacing w:val="11"/>
                <w:position w:val="0"/>
                <w:sz w:val="24"/>
                <w:vertAlign w:val="subscript"/>
              </w:rPr>
              <w:t>c</w:t>
            </w:r>
            <w:r>
              <w:rPr>
                <w:rFonts w:ascii="Times New Roman" w:hAnsi="Times New Roman" w:eastAsia="宋体" w:cs="Times New Roman"/>
                <w:spacing w:val="11"/>
                <w:position w:val="0"/>
                <w:sz w:val="24"/>
                <w:vertAlign w:val="subscript"/>
              </w:rPr>
              <w:t>r</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BOD</w:t>
            </w:r>
            <w:r>
              <w:rPr>
                <w:rFonts w:ascii="Times New Roman" w:hAnsi="Times New Roman" w:eastAsia="宋体" w:cs="Times New Roman"/>
                <w:spacing w:val="11"/>
                <w:position w:val="0"/>
                <w:sz w:val="24"/>
                <w:vertAlign w:val="subscript"/>
              </w:rPr>
              <w:t>5</w:t>
            </w:r>
            <w:r>
              <w:rPr>
                <w:rFonts w:ascii="Times New Roman" w:hAnsi="宋体" w:eastAsia="宋体" w:cs="Times New Roman"/>
                <w:spacing w:val="11"/>
                <w:position w:val="0"/>
                <w:sz w:val="24"/>
              </w:rPr>
              <w:t>、氨氮、</w:t>
            </w:r>
            <w:r>
              <w:rPr>
                <w:rFonts w:ascii="Times New Roman" w:hAnsi="Times New Roman" w:eastAsia="宋体" w:cs="Times New Roman"/>
                <w:spacing w:val="11"/>
                <w:position w:val="0"/>
                <w:sz w:val="24"/>
              </w:rPr>
              <w:t>SS</w:t>
            </w:r>
            <w:r>
              <w:rPr>
                <w:rFonts w:ascii="Times New Roman" w:hAnsi="宋体" w:eastAsia="宋体" w:cs="Times New Roman"/>
                <w:spacing w:val="11"/>
                <w:position w:val="0"/>
                <w:sz w:val="24"/>
              </w:rPr>
              <w:t>等</w:t>
            </w:r>
            <w:r>
              <w:rPr>
                <w:rFonts w:hint="eastAsia" w:ascii="Times New Roman" w:hAnsi="宋体" w:eastAsia="宋体" w:cs="Times New Roman"/>
                <w:spacing w:val="11"/>
                <w:position w:val="0"/>
                <w:sz w:val="24"/>
              </w:rPr>
              <w:t>，生活污水依托</w:t>
            </w:r>
            <w:r>
              <w:rPr>
                <w:rFonts w:hint="eastAsia" w:hAnsi="宋体" w:cs="Times New Roman"/>
                <w:spacing w:val="11"/>
                <w:position w:val="0"/>
                <w:sz w:val="24"/>
                <w:lang w:val="en-US" w:eastAsia="zh-CN"/>
              </w:rPr>
              <w:t>现有工程</w:t>
            </w:r>
            <w:r>
              <w:rPr>
                <w:rFonts w:hint="eastAsia" w:ascii="Times New Roman" w:hAnsi="宋体" w:eastAsia="宋体" w:cs="Times New Roman"/>
                <w:spacing w:val="11"/>
                <w:position w:val="0"/>
                <w:sz w:val="24"/>
              </w:rPr>
              <w:t>化粪池处理后用于周边耕地浇灌用肥；</w:t>
            </w:r>
            <w:r>
              <w:rPr>
                <w:rFonts w:ascii="Times New Roman" w:hAnsi="宋体" w:eastAsia="宋体" w:cs="Times New Roman"/>
                <w:spacing w:val="11"/>
                <w:position w:val="0"/>
                <w:sz w:val="24"/>
              </w:rPr>
              <w:t>施工机械、车辆冲洗废水含</w:t>
            </w:r>
            <w:r>
              <w:rPr>
                <w:rFonts w:ascii="Times New Roman" w:hAnsi="Times New Roman" w:eastAsia="宋体" w:cs="Times New Roman"/>
                <w:spacing w:val="11"/>
                <w:position w:val="0"/>
                <w:sz w:val="24"/>
              </w:rPr>
              <w:t>SS</w:t>
            </w:r>
            <w:r>
              <w:rPr>
                <w:rFonts w:ascii="Times New Roman" w:hAnsi="宋体" w:eastAsia="宋体" w:cs="Times New Roman"/>
                <w:spacing w:val="11"/>
                <w:position w:val="0"/>
                <w:sz w:val="24"/>
              </w:rPr>
              <w:t>和少量石油类，</w:t>
            </w:r>
            <w:r>
              <w:rPr>
                <w:rFonts w:hint="eastAsia" w:ascii="Times New Roman" w:hAnsi="Times New Roman" w:eastAsia="宋体" w:cs="Times New Roman"/>
                <w:spacing w:val="11"/>
                <w:position w:val="0"/>
                <w:sz w:val="24"/>
              </w:rPr>
              <w:t>经洗车平台沉淀池进行沉淀处理后回用。</w:t>
            </w:r>
          </w:p>
          <w:p w14:paraId="42662900">
            <w:pPr>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napToGrid w:val="0"/>
                <w:spacing w:val="11"/>
                <w:kern w:val="0"/>
                <w:position w:val="0"/>
                <w:sz w:val="24"/>
              </w:rPr>
              <w:t>施工单位应严格执行《建设工程施工场地文明施工及环境管理暂行规定》，对排水进行组织设计，严禁乱排、污染环境。项目施工期废水在不外排的情况下对周边水体影响较小，施工废水的问题也将随着施工期的结束而消失。</w:t>
            </w:r>
            <w:r>
              <w:rPr>
                <w:rFonts w:hint="eastAsia" w:ascii="Times New Roman" w:hAnsi="Times New Roman" w:eastAsia="宋体" w:cs="Times New Roman"/>
                <w:snapToGrid w:val="0"/>
                <w:spacing w:val="11"/>
                <w:kern w:val="0"/>
                <w:position w:val="0"/>
                <w:sz w:val="24"/>
                <w:lang w:eastAsia="zh-CN"/>
              </w:rPr>
              <w:t>本</w:t>
            </w:r>
            <w:r>
              <w:rPr>
                <w:rFonts w:hint="eastAsia" w:ascii="Times New Roman" w:hAnsi="Times New Roman" w:eastAsia="宋体" w:cs="Times New Roman"/>
                <w:snapToGrid w:val="0"/>
                <w:spacing w:val="11"/>
                <w:kern w:val="0"/>
                <w:position w:val="0"/>
                <w:sz w:val="24"/>
              </w:rPr>
              <w:t>环评要求建设单位在施工期采取以下</w:t>
            </w:r>
            <w:r>
              <w:rPr>
                <w:rFonts w:ascii="Times New Roman" w:hAnsi="Times New Roman" w:eastAsia="宋体" w:cs="Times New Roman"/>
                <w:snapToGrid w:val="0"/>
                <w:spacing w:val="11"/>
                <w:kern w:val="0"/>
                <w:position w:val="0"/>
                <w:sz w:val="24"/>
              </w:rPr>
              <w:t>措拖：</w:t>
            </w:r>
          </w:p>
          <w:p w14:paraId="756E85C1">
            <w:pPr>
              <w:spacing w:line="360" w:lineRule="auto"/>
              <w:ind w:firstLine="524" w:firstLineChars="200"/>
              <w:rPr>
                <w:rFonts w:ascii="Times New Roman" w:hAnsi="Times New Roman" w:eastAsia="宋体" w:cs="Times New Roman"/>
                <w:snapToGrid w:val="0"/>
                <w:spacing w:val="11"/>
                <w:kern w:val="0"/>
                <w:position w:val="0"/>
                <w:sz w:val="24"/>
              </w:rPr>
            </w:pPr>
            <w:r>
              <w:rPr>
                <w:rFonts w:ascii="Times New Roman" w:hAnsi="Times New Roman" w:eastAsia="宋体" w:cs="Times New Roman"/>
                <w:snapToGrid w:val="0"/>
                <w:spacing w:val="11"/>
                <w:kern w:val="0"/>
                <w:position w:val="0"/>
                <w:sz w:val="24"/>
              </w:rPr>
              <w:t>（</w:t>
            </w:r>
            <w:r>
              <w:rPr>
                <w:rFonts w:hint="eastAsia" w:ascii="Times New Roman" w:hAnsi="Times New Roman" w:eastAsia="宋体" w:cs="Times New Roman"/>
                <w:snapToGrid w:val="0"/>
                <w:spacing w:val="11"/>
                <w:kern w:val="0"/>
                <w:position w:val="0"/>
                <w:sz w:val="24"/>
              </w:rPr>
              <w:t>1</w:t>
            </w:r>
            <w:r>
              <w:rPr>
                <w:rFonts w:ascii="Times New Roman" w:hAnsi="Times New Roman" w:eastAsia="宋体" w:cs="Times New Roman"/>
                <w:snapToGrid w:val="0"/>
                <w:spacing w:val="11"/>
                <w:kern w:val="0"/>
                <w:position w:val="0"/>
                <w:sz w:val="24"/>
              </w:rPr>
              <w:t>）车辆进行集中清洗，车辆冲洗水经沉淀处理后</w:t>
            </w:r>
            <w:r>
              <w:rPr>
                <w:rFonts w:hint="eastAsia" w:ascii="Times New Roman" w:hAnsi="Times New Roman" w:eastAsia="宋体" w:cs="Times New Roman"/>
                <w:snapToGrid w:val="0"/>
                <w:spacing w:val="11"/>
                <w:kern w:val="0"/>
                <w:position w:val="0"/>
                <w:sz w:val="24"/>
              </w:rPr>
              <w:t>循环使用</w:t>
            </w:r>
            <w:r>
              <w:rPr>
                <w:rFonts w:hint="eastAsia" w:ascii="Times New Roman" w:hAnsi="宋体" w:eastAsia="宋体" w:cs="Times New Roman"/>
                <w:spacing w:val="11"/>
                <w:position w:val="0"/>
                <w:sz w:val="24"/>
              </w:rPr>
              <w:t>。</w:t>
            </w:r>
          </w:p>
          <w:p w14:paraId="4698F4FF">
            <w:pPr>
              <w:spacing w:line="360" w:lineRule="auto"/>
              <w:ind w:firstLine="524" w:firstLineChars="200"/>
              <w:rPr>
                <w:rFonts w:hint="eastAsia" w:ascii="Times New Roman" w:hAnsi="Times New Roman" w:eastAsia="宋体" w:cs="Times New Roman"/>
                <w:snapToGrid w:val="0"/>
                <w:spacing w:val="11"/>
                <w:kern w:val="0"/>
                <w:position w:val="0"/>
                <w:sz w:val="24"/>
                <w:highlight w:val="yellow"/>
              </w:rPr>
            </w:pPr>
            <w:r>
              <w:rPr>
                <w:rFonts w:ascii="Times New Roman" w:hAnsi="Times New Roman" w:eastAsia="宋体" w:cs="Times New Roman"/>
                <w:snapToGrid w:val="0"/>
                <w:spacing w:val="11"/>
                <w:kern w:val="0"/>
                <w:position w:val="0"/>
                <w:sz w:val="24"/>
              </w:rPr>
              <w:t>（</w:t>
            </w:r>
            <w:r>
              <w:rPr>
                <w:rFonts w:hint="eastAsia" w:ascii="Times New Roman" w:hAnsi="Times New Roman" w:eastAsia="宋体" w:cs="Times New Roman"/>
                <w:snapToGrid w:val="0"/>
                <w:spacing w:val="11"/>
                <w:kern w:val="0"/>
                <w:position w:val="0"/>
                <w:sz w:val="24"/>
              </w:rPr>
              <w:t>2</w:t>
            </w:r>
            <w:r>
              <w:rPr>
                <w:rFonts w:ascii="Times New Roman" w:hAnsi="Times New Roman" w:eastAsia="宋体" w:cs="Times New Roman"/>
                <w:snapToGrid w:val="0"/>
                <w:spacing w:val="11"/>
                <w:kern w:val="0"/>
                <w:position w:val="0"/>
                <w:sz w:val="24"/>
              </w:rPr>
              <w:t>）</w:t>
            </w:r>
            <w:r>
              <w:rPr>
                <w:rFonts w:hint="eastAsia" w:ascii="宋体" w:hAnsi="宋体" w:eastAsia="宋体" w:cs="Times New Roman"/>
                <w:spacing w:val="11"/>
                <w:position w:val="0"/>
                <w:sz w:val="24"/>
              </w:rPr>
              <w:t>建设方对施工场地设置必要的挡渣设施和初期雨水收集池，初期雨水经矿区雨水池沉淀后用于洒水抑尘，防止雨季产生暴雨径流带着大量的泥沙排入</w:t>
            </w:r>
            <w:r>
              <w:rPr>
                <w:rFonts w:hint="eastAsia" w:ascii="宋体" w:hAnsi="宋体" w:eastAsia="宋体" w:cs="Times New Roman"/>
                <w:spacing w:val="11"/>
                <w:position w:val="0"/>
                <w:sz w:val="24"/>
                <w:lang w:val="en-US" w:eastAsia="zh-CN"/>
              </w:rPr>
              <w:t>塘下水库</w:t>
            </w:r>
            <w:r>
              <w:rPr>
                <w:rFonts w:ascii="Times New Roman" w:hAnsi="Times New Roman" w:eastAsia="宋体" w:cs="Times New Roman"/>
                <w:snapToGrid w:val="0"/>
                <w:spacing w:val="11"/>
                <w:kern w:val="0"/>
                <w:position w:val="0"/>
                <w:sz w:val="24"/>
              </w:rPr>
              <w:t>。</w:t>
            </w:r>
          </w:p>
          <w:p w14:paraId="5AED8906">
            <w:pPr>
              <w:adjustRightInd w:val="0"/>
              <w:snapToGrid w:val="0"/>
              <w:spacing w:line="360" w:lineRule="auto"/>
              <w:ind w:firstLine="524" w:firstLineChars="200"/>
              <w:rPr>
                <w:rFonts w:hint="eastAsia" w:ascii="Times New Roman" w:hAnsi="Times New Roman" w:eastAsia="宋体" w:cs="Times New Roman"/>
                <w:snapToGrid w:val="0"/>
                <w:spacing w:val="11"/>
                <w:kern w:val="0"/>
                <w:position w:val="0"/>
                <w:sz w:val="24"/>
              </w:rPr>
            </w:pPr>
            <w:r>
              <w:rPr>
                <w:rFonts w:hint="eastAsia" w:ascii="Times New Roman" w:hAnsi="Times New Roman" w:eastAsia="宋体" w:cs="Times New Roman"/>
                <w:snapToGrid w:val="0"/>
                <w:spacing w:val="11"/>
                <w:kern w:val="0"/>
                <w:position w:val="0"/>
                <w:sz w:val="24"/>
              </w:rPr>
              <w:t>（3）场地内</w:t>
            </w:r>
            <w:r>
              <w:rPr>
                <w:rFonts w:hint="eastAsia" w:ascii="宋体" w:hAnsi="宋体" w:eastAsia="宋体" w:cs="Times New Roman"/>
                <w:spacing w:val="11"/>
                <w:position w:val="0"/>
                <w:sz w:val="24"/>
              </w:rPr>
              <w:t>设置截留管沟和沉淀池收集处理各类施工生产废水，经收集处理后回用于作业场地洒水降尘</w:t>
            </w:r>
            <w:r>
              <w:rPr>
                <w:rFonts w:hint="eastAsia" w:ascii="Times New Roman" w:hAnsi="Times New Roman" w:eastAsia="宋体" w:cs="Times New Roman"/>
                <w:snapToGrid w:val="0"/>
                <w:spacing w:val="11"/>
                <w:kern w:val="0"/>
                <w:position w:val="0"/>
                <w:sz w:val="24"/>
              </w:rPr>
              <w:t>。</w:t>
            </w:r>
          </w:p>
          <w:p w14:paraId="4F76020F">
            <w:pPr>
              <w:adjustRightInd w:val="0"/>
              <w:snapToGrid w:val="0"/>
              <w:spacing w:line="360" w:lineRule="auto"/>
              <w:ind w:firstLine="524" w:firstLineChars="200"/>
              <w:rPr>
                <w:rFonts w:ascii="Times New Roman" w:hAnsi="Times New Roman" w:eastAsia="宋体" w:cs="Times New Roman"/>
                <w:bCs/>
                <w:spacing w:val="11"/>
                <w:position w:val="0"/>
                <w:sz w:val="24"/>
              </w:rPr>
            </w:pPr>
            <w:r>
              <w:rPr>
                <w:rFonts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rPr>
              <w:t>4</w:t>
            </w:r>
            <w:r>
              <w:rPr>
                <w:rFonts w:ascii="Times New Roman" w:hAnsi="Times New Roman" w:eastAsia="宋体" w:cs="Times New Roman"/>
                <w:spacing w:val="11"/>
                <w:position w:val="0"/>
                <w:sz w:val="24"/>
              </w:rPr>
              <w:t>）</w:t>
            </w:r>
            <w:r>
              <w:rPr>
                <w:rFonts w:hint="eastAsia" w:ascii="Times New Roman" w:hAnsi="Times New Roman" w:eastAsia="宋体" w:cs="Times New Roman"/>
                <w:bCs/>
                <w:spacing w:val="11"/>
                <w:position w:val="0"/>
                <w:sz w:val="24"/>
              </w:rPr>
              <w:t>施工人员生活污水主要是施工人员日常排放的污水，生活污水</w:t>
            </w:r>
            <w:r>
              <w:rPr>
                <w:rFonts w:hint="eastAsia" w:ascii="Times New Roman" w:hAnsi="宋体" w:eastAsia="宋体" w:cs="Times New Roman"/>
                <w:spacing w:val="11"/>
                <w:position w:val="0"/>
                <w:sz w:val="24"/>
              </w:rPr>
              <w:t>依托生活区化粪池处理后用于周边耕地浇灌用肥</w:t>
            </w:r>
            <w:r>
              <w:rPr>
                <w:rFonts w:hint="eastAsia" w:ascii="Times New Roman" w:hAnsi="Times New Roman" w:eastAsia="宋体" w:cs="Times New Roman"/>
                <w:bCs/>
                <w:spacing w:val="11"/>
                <w:position w:val="0"/>
                <w:sz w:val="24"/>
              </w:rPr>
              <w:t>。</w:t>
            </w:r>
          </w:p>
          <w:p w14:paraId="018BBF1D">
            <w:pPr>
              <w:adjustRightInd w:val="0"/>
              <w:snapToGrid w:val="0"/>
              <w:spacing w:line="360" w:lineRule="auto"/>
              <w:ind w:firstLine="524" w:firstLineChars="200"/>
              <w:rPr>
                <w:rFonts w:ascii="宋体" w:hAnsi="宋体" w:eastAsia="宋体" w:cs="Times New Roman"/>
                <w:spacing w:val="11"/>
                <w:position w:val="0"/>
                <w:sz w:val="24"/>
              </w:rPr>
            </w:pPr>
            <w:r>
              <w:rPr>
                <w:rFonts w:ascii="宋体" w:hAnsi="宋体" w:eastAsia="宋体" w:cs="Times New Roman"/>
                <w:spacing w:val="11"/>
                <w:position w:val="0"/>
                <w:sz w:val="24"/>
              </w:rPr>
              <w:t>通过上述措施，施工期废水</w:t>
            </w:r>
            <w:r>
              <w:rPr>
                <w:rFonts w:hint="eastAsia" w:ascii="宋体" w:hAnsi="宋体" w:eastAsia="宋体" w:cs="Times New Roman"/>
                <w:spacing w:val="11"/>
                <w:position w:val="0"/>
                <w:sz w:val="24"/>
              </w:rPr>
              <w:t>及雨水均可得到妥善处理，</w:t>
            </w:r>
            <w:r>
              <w:rPr>
                <w:rFonts w:ascii="宋体" w:hAnsi="宋体" w:eastAsia="宋体" w:cs="Times New Roman"/>
                <w:spacing w:val="11"/>
                <w:position w:val="0"/>
                <w:sz w:val="24"/>
              </w:rPr>
              <w:t>对周围环境影响较小。</w:t>
            </w:r>
          </w:p>
          <w:p w14:paraId="21AB23C2">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3、施工期声环境影响分析</w:t>
            </w:r>
          </w:p>
          <w:p w14:paraId="7FE13018">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pacing w:val="11"/>
                <w:position w:val="0"/>
                <w:sz w:val="24"/>
              </w:rPr>
              <w:t>项目施工噪声主要来自于施工机械噪声和施工运输车辆的流动噪声。</w:t>
            </w:r>
          </w:p>
          <w:p w14:paraId="420726AD">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pacing w:val="11"/>
                <w:position w:val="0"/>
                <w:sz w:val="24"/>
              </w:rPr>
              <w:t>由于施工机械多在露天作业，噪声传播远，影响范围大但有时段性；施工结束后，其噪声影响也将随之消失。</w:t>
            </w:r>
          </w:p>
          <w:p w14:paraId="14048BD2">
            <w:pPr>
              <w:adjustRightInd w:val="0"/>
              <w:snapToGrid w:val="0"/>
              <w:spacing w:line="360" w:lineRule="auto"/>
              <w:ind w:firstLine="524" w:firstLineChars="200"/>
              <w:rPr>
                <w:rFonts w:ascii="Times New Roman" w:hAnsi="Times New Roman" w:eastAsia="宋体" w:cs="Times New Roman"/>
                <w:spacing w:val="11"/>
                <w:position w:val="0"/>
                <w:sz w:val="24"/>
              </w:rPr>
            </w:pPr>
            <w:r>
              <w:rPr>
                <w:rFonts w:hint="eastAsia" w:ascii="Times New Roman" w:hAnsi="Times New Roman" w:eastAsia="宋体" w:cs="Times New Roman"/>
                <w:color w:val="000000"/>
                <w:spacing w:val="11"/>
                <w:position w:val="0"/>
                <w:sz w:val="24"/>
              </w:rPr>
              <w:t>本项目工业广场、矿山道路各施工区</w:t>
            </w:r>
            <w:r>
              <w:rPr>
                <w:rFonts w:ascii="Times New Roman" w:hAnsi="Times New Roman" w:eastAsia="宋体" w:cs="Times New Roman"/>
                <w:color w:val="000000"/>
                <w:spacing w:val="11"/>
                <w:position w:val="0"/>
                <w:sz w:val="24"/>
              </w:rPr>
              <w:t>常见的施工机械有：挖掘机、装载机、运输车辆等，其噪声级在85～90dB（A），各种施工机械噪声在距施工点50m内的噪声级较大，尤其是部分强噪声机械对环境噪声的影响明显，其噪声级达81～96dB（A），对环境噪声质量可形成较明显的影响；但随着距离的加大，均有明显的衰减，至200m处的噪声贡献值一般在50dB（A）以下。本项目</w:t>
            </w:r>
            <w:r>
              <w:rPr>
                <w:rFonts w:hint="eastAsia" w:ascii="Times New Roman" w:hAnsi="Times New Roman" w:eastAsia="宋体" w:cs="Times New Roman"/>
                <w:color w:val="000000"/>
                <w:spacing w:val="11"/>
                <w:position w:val="0"/>
                <w:sz w:val="24"/>
              </w:rPr>
              <w:t>施工区</w:t>
            </w:r>
            <w:r>
              <w:rPr>
                <w:rFonts w:ascii="Times New Roman" w:hAnsi="Times New Roman" w:eastAsia="宋体" w:cs="Times New Roman"/>
                <w:color w:val="000000"/>
                <w:spacing w:val="11"/>
                <w:position w:val="0"/>
                <w:sz w:val="24"/>
              </w:rPr>
              <w:t>300m范围内</w:t>
            </w:r>
            <w:r>
              <w:rPr>
                <w:rFonts w:hint="eastAsia" w:ascii="Times New Roman" w:hAnsi="Times New Roman" w:eastAsia="宋体" w:cs="Times New Roman"/>
                <w:color w:val="000000"/>
                <w:spacing w:val="11"/>
                <w:position w:val="0"/>
                <w:sz w:val="24"/>
              </w:rPr>
              <w:t>无居民点</w:t>
            </w:r>
            <w:r>
              <w:rPr>
                <w:rFonts w:ascii="Times New Roman" w:hAnsi="Times New Roman" w:eastAsia="宋体" w:cs="Times New Roman"/>
                <w:color w:val="000000"/>
                <w:spacing w:val="11"/>
                <w:position w:val="0"/>
                <w:sz w:val="24"/>
              </w:rPr>
              <w:t>，项目施工噪声对其将产生不利影响有限，通过选用低噪设备、设置隔声间及声屏障、严控作息等措施后，项目施工对周</w:t>
            </w:r>
            <w:r>
              <w:rPr>
                <w:rFonts w:ascii="Times New Roman" w:hAnsi="Times New Roman" w:eastAsia="宋体" w:cs="Times New Roman"/>
                <w:spacing w:val="11"/>
                <w:position w:val="0"/>
                <w:sz w:val="24"/>
              </w:rPr>
              <w:t>边影响可得到有效降低，对其影响不大。</w:t>
            </w:r>
          </w:p>
          <w:p w14:paraId="55442BFB">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4、施工期固体废物环境影响分析</w:t>
            </w:r>
          </w:p>
          <w:p w14:paraId="3BE7E656">
            <w:pPr>
              <w:adjustRightInd w:val="0"/>
              <w:snapToGrid w:val="0"/>
              <w:spacing w:line="360" w:lineRule="auto"/>
              <w:ind w:firstLine="524" w:firstLineChars="200"/>
              <w:rPr>
                <w:rFonts w:ascii="Times New Roman" w:hAnsi="Times New Roman" w:eastAsia="宋体" w:cs="Times New Roman"/>
                <w:color w:val="000000"/>
                <w:spacing w:val="11"/>
                <w:position w:val="0"/>
                <w:sz w:val="24"/>
              </w:rPr>
            </w:pPr>
            <w:r>
              <w:rPr>
                <w:rFonts w:hint="eastAsia" w:ascii="Times New Roman" w:hAnsi="Times New Roman" w:eastAsia="宋体" w:cs="Times New Roman"/>
                <w:color w:val="000000"/>
                <w:spacing w:val="11"/>
                <w:position w:val="0"/>
                <w:sz w:val="24"/>
              </w:rPr>
              <w:t>本项目施工期土石方工程量主要来自开拓施工道路</w:t>
            </w:r>
            <w:r>
              <w:rPr>
                <w:rFonts w:hint="eastAsia" w:cs="Times New Roman"/>
                <w:color w:val="000000"/>
                <w:spacing w:val="11"/>
                <w:position w:val="0"/>
                <w:sz w:val="24"/>
                <w:lang w:val="en-US" w:eastAsia="zh-CN"/>
              </w:rPr>
              <w:t>以及</w:t>
            </w:r>
            <w:r>
              <w:rPr>
                <w:rFonts w:hint="eastAsia" w:ascii="Times New Roman" w:hAnsi="Times New Roman" w:eastAsia="宋体" w:cs="Times New Roman"/>
                <w:color w:val="000000"/>
                <w:spacing w:val="11"/>
                <w:position w:val="0"/>
                <w:sz w:val="24"/>
              </w:rPr>
              <w:t>沉淀池、雨水沟、撇洪沟的开挖等，其产生量约为</w:t>
            </w:r>
            <w:r>
              <w:rPr>
                <w:rFonts w:hint="eastAsia" w:cs="Times New Roman"/>
                <w:color w:val="000000"/>
                <w:spacing w:val="11"/>
                <w:position w:val="0"/>
                <w:sz w:val="24"/>
                <w:lang w:val="en-US" w:eastAsia="zh-CN"/>
              </w:rPr>
              <w:t>5</w:t>
            </w:r>
            <w:r>
              <w:rPr>
                <w:rFonts w:hint="eastAsia" w:ascii="Times New Roman" w:hAnsi="Times New Roman" w:eastAsia="宋体" w:cs="Times New Roman"/>
                <w:color w:val="000000"/>
                <w:spacing w:val="11"/>
                <w:position w:val="0"/>
                <w:sz w:val="24"/>
              </w:rPr>
              <w:t>0m</w:t>
            </w:r>
            <w:r>
              <w:rPr>
                <w:rFonts w:hint="eastAsia" w:cs="Times New Roman"/>
                <w:color w:val="000000"/>
                <w:spacing w:val="11"/>
                <w:position w:val="0"/>
                <w:sz w:val="24"/>
                <w:vertAlign w:val="superscript"/>
                <w:lang w:val="en-US" w:eastAsia="zh-CN"/>
              </w:rPr>
              <w:t>3</w:t>
            </w:r>
            <w:r>
              <w:rPr>
                <w:rFonts w:hint="eastAsia" w:ascii="Times New Roman" w:hAnsi="Times New Roman" w:eastAsia="宋体" w:cs="Times New Roman"/>
                <w:color w:val="000000"/>
                <w:spacing w:val="11"/>
                <w:position w:val="0"/>
                <w:sz w:val="24"/>
              </w:rPr>
              <w:t>，用于矿山公路的修建，就地消纳，无废土石方排放</w:t>
            </w:r>
            <w:r>
              <w:rPr>
                <w:rFonts w:ascii="Times New Roman" w:hAnsi="Times New Roman" w:eastAsia="宋体" w:cs="Times New Roman"/>
                <w:color w:val="000000"/>
                <w:spacing w:val="11"/>
                <w:position w:val="0"/>
                <w:sz w:val="24"/>
              </w:rPr>
              <w:t>。</w:t>
            </w:r>
            <w:r>
              <w:rPr>
                <w:rFonts w:ascii="Times New Roman" w:hAnsi="Times New Roman" w:eastAsia="宋体" w:cs="Times New Roman"/>
                <w:spacing w:val="11"/>
                <w:position w:val="0"/>
                <w:sz w:val="24"/>
              </w:rPr>
              <w:t>施工期</w:t>
            </w:r>
            <w:r>
              <w:rPr>
                <w:rFonts w:ascii="Times New Roman" w:hAnsi="宋体" w:eastAsia="宋体" w:cs="Times New Roman"/>
                <w:spacing w:val="11"/>
                <w:position w:val="0"/>
                <w:sz w:val="24"/>
              </w:rPr>
              <w:t>施工人员产生的生活垃圾</w:t>
            </w:r>
            <w:r>
              <w:rPr>
                <w:rFonts w:ascii="Times New Roman" w:hAnsi="Times New Roman" w:eastAsia="宋体" w:cs="Times New Roman"/>
                <w:spacing w:val="11"/>
                <w:position w:val="0"/>
                <w:sz w:val="24"/>
              </w:rPr>
              <w:t>经收集、集中暂存</w:t>
            </w:r>
            <w:r>
              <w:rPr>
                <w:rFonts w:hint="eastAsia" w:cs="Times New Roman"/>
                <w:spacing w:val="11"/>
                <w:position w:val="0"/>
                <w:sz w:val="24"/>
                <w:lang w:val="en-US" w:eastAsia="zh-CN"/>
              </w:rPr>
              <w:t>后</w:t>
            </w:r>
            <w:r>
              <w:rPr>
                <w:rFonts w:ascii="Times New Roman" w:hAnsi="Times New Roman" w:eastAsia="宋体" w:cs="Times New Roman"/>
                <w:spacing w:val="11"/>
                <w:position w:val="0"/>
                <w:sz w:val="24"/>
              </w:rPr>
              <w:t>，由环卫部门统一进行处理。</w:t>
            </w:r>
            <w:r>
              <w:rPr>
                <w:rFonts w:ascii="Times New Roman" w:hAnsi="Times New Roman" w:eastAsia="宋体" w:cs="Times New Roman"/>
                <w:color w:val="000000"/>
                <w:spacing w:val="11"/>
                <w:position w:val="0"/>
                <w:sz w:val="24"/>
              </w:rPr>
              <w:t>对周围环境影响较小。</w:t>
            </w:r>
          </w:p>
          <w:p w14:paraId="253BE4DE">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5、施工期生态环境影响分析</w:t>
            </w:r>
          </w:p>
          <w:p w14:paraId="521F9ABA">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用地在建设过程中，会扰动表土结构，破坏场地原有地貌和植被，造成部分土地裸露，导致不同程度的土壤侵蚀、水土流失现象。这种现象尤其是在雨季或暴雨天气会变得更为突出。主要是项目建设时场地平整、施工车辆往来频繁，将造成表土流失。</w:t>
            </w:r>
          </w:p>
          <w:p w14:paraId="4591C79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1</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施工期对动植物的影响</w:t>
            </w:r>
          </w:p>
          <w:p w14:paraId="38B1159D">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①对植被和植物的影响分析</w:t>
            </w:r>
          </w:p>
          <w:p w14:paraId="603F178B">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项目开采区所在区植物覆盖率较好，无国家和地方重点保护野生植物分布。项目生活办公区、矿山公路、截排水沟、</w:t>
            </w:r>
            <w:r>
              <w:rPr>
                <w:rFonts w:hint="eastAsia" w:cs="Times New Roman"/>
                <w:color w:val="000000"/>
                <w:spacing w:val="11"/>
                <w:position w:val="0"/>
                <w:sz w:val="24"/>
                <w:szCs w:val="24"/>
                <w:u w:val="none" w:color="auto"/>
                <w:lang w:val="en-US" w:eastAsia="zh-CN"/>
              </w:rPr>
              <w:t>临时堆土场</w:t>
            </w:r>
            <w:r>
              <w:rPr>
                <w:rFonts w:hint="default" w:ascii="Times New Roman" w:hAnsi="Times New Roman" w:eastAsia="宋体" w:cs="Times New Roman"/>
                <w:color w:val="000000"/>
                <w:spacing w:val="11"/>
                <w:position w:val="0"/>
                <w:sz w:val="24"/>
                <w:szCs w:val="24"/>
                <w:u w:val="none" w:color="auto"/>
                <w:lang w:val="en-US" w:eastAsia="zh-CN"/>
              </w:rPr>
              <w:t>的修建对地表植被的破坏主要表现在建设过程中对原有的地表进行清理平整过程导致原有地表植被不复存在。</w:t>
            </w:r>
          </w:p>
          <w:p w14:paraId="4F0AEB13">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施工中过程，运输车辆产生的扬尘，施工过程挥洒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还会污染土壤，从而间接影响植物的生长。</w:t>
            </w:r>
          </w:p>
          <w:p w14:paraId="697295EC">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②对动物的影响分析</w:t>
            </w:r>
          </w:p>
          <w:p w14:paraId="210E792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工程对野生动物的影响主要表现在施工占地和开挖对生境的破坏，以及施工机械噪声的干扰等。项目施工期产生的噪声将使当地动物产生避让、惊扰等，从而对当地动物捕食、繁殖、迁徙、生理性休眠等行为造成一定影响但在距离施工区域较远的区域，这些动物又将重新相对集中分布。同时施工期扬尘、汽车尾气、发电机燃油废气等将一定程度改变影响区域大气化学成分，影响区域内动物化学信息反应，对动物捕食、回避、求偶等行为造成影响。项目施工期产生的粉尘、废气影响范围有限，且该影响将随着施工作业结束而停止。</w:t>
            </w:r>
          </w:p>
          <w:p w14:paraId="16E32DD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2</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对土地利用的影响</w:t>
            </w:r>
          </w:p>
          <w:p w14:paraId="50EEA169">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施工期对土地的占用，改变了土地利用性质，使评价范围植被覆盖率下降，林地面积减少，耕地利用压力增大；破坏了地表植被和地形、地貌，而这些变化若是路基占用部分，则是永久无法恢复的；该项目的施工、建设，在一定时段和一定区域将造成水土流失，土壤肥力和团粒结构发生改变；工程活动打破了原有的自然生态和环境，还会对对评价区的动植物的生长、分布、栖息和活动产生一定不利的影响。</w:t>
            </w:r>
          </w:p>
          <w:p w14:paraId="3F5DB565">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项目区土地利用类型主要为有林地、其他林地、工业用地，其中以有林地为主，项目区受人为干扰较少，土地利用现状基本保持原始林地状态；项目区外围工业场地</w:t>
            </w:r>
            <w:r>
              <w:rPr>
                <w:rFonts w:hint="eastAsia"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办公生生活区为建设用地。</w:t>
            </w:r>
          </w:p>
          <w:p w14:paraId="3665909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项目工程占地为临时占地，不涉及永久占地。本项目施工建设占地考虑了占地最小、扰动地表最少的原则，使项目建设对原地表、植被影响降到了最低。</w:t>
            </w:r>
          </w:p>
          <w:p w14:paraId="1F3FFF18">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本次环评要求建设单位边开采，边复垦，在保证</w:t>
            </w:r>
            <w:r>
              <w:rPr>
                <w:rFonts w:hint="eastAsia" w:cs="Times New Roman"/>
                <w:color w:val="000000"/>
                <w:spacing w:val="11"/>
                <w:position w:val="0"/>
                <w:sz w:val="24"/>
                <w:szCs w:val="24"/>
                <w:u w:val="none" w:color="auto"/>
                <w:lang w:val="en-US" w:eastAsia="zh-CN"/>
              </w:rPr>
              <w:t>临时堆土场</w:t>
            </w:r>
            <w:r>
              <w:rPr>
                <w:rFonts w:hint="default" w:ascii="Times New Roman" w:hAnsi="Times New Roman" w:eastAsia="宋体" w:cs="Times New Roman"/>
                <w:color w:val="000000"/>
                <w:spacing w:val="11"/>
                <w:position w:val="0"/>
                <w:sz w:val="24"/>
                <w:szCs w:val="24"/>
                <w:u w:val="none" w:color="auto"/>
                <w:lang w:val="en-US" w:eastAsia="zh-CN"/>
              </w:rPr>
              <w:t>容积能满足产生废弃表土及废石的产生速率的同时，也能在一定程度上减缓影响，恢复部分景观。在矿山闭矿期，严格按照《湖南省新田县周家洞矿区建筑石料用灰岩矿矿山生态保护修复方案》中的相关措施后，不影响矿区生态系统的生态功能。</w:t>
            </w:r>
          </w:p>
          <w:p w14:paraId="369EF49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总体说来，本工程的施工将带来人为活动增多、施工噪声增加与废水废气污染增多等弊端，使得评价区兽类生活环境有所缩减，兽类会迁移到附近相似的生境栖息。</w:t>
            </w:r>
          </w:p>
          <w:p w14:paraId="11ECD021">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3</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水土流失影响分析</w:t>
            </w:r>
          </w:p>
          <w:p w14:paraId="21A03AD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的实施在一定程度上改变、破坏原有地面的土壤结构，不同程度上对原有水土保持功能造成了损坏，根据现场勘查结果，项目建设期未对周围环境造成较大破坏，要求建设单位积极落实水保措施，避免造成大规模水土流失现象。</w:t>
            </w:r>
          </w:p>
          <w:p w14:paraId="2D754AA3">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（4）建设单位</w:t>
            </w:r>
            <w:r>
              <w:rPr>
                <w:rFonts w:hint="default" w:ascii="Times New Roman" w:hAnsi="Times New Roman" w:eastAsia="宋体" w:cs="Times New Roman"/>
                <w:color w:val="000000"/>
                <w:spacing w:val="11"/>
                <w:position w:val="0"/>
                <w:sz w:val="24"/>
                <w:szCs w:val="24"/>
                <w:u w:val="none" w:color="auto"/>
              </w:rPr>
              <w:t>拟采取</w:t>
            </w:r>
            <w:r>
              <w:rPr>
                <w:rFonts w:hint="default" w:ascii="Times New Roman" w:hAnsi="Times New Roman" w:eastAsia="宋体" w:cs="Times New Roman"/>
                <w:color w:val="000000"/>
                <w:spacing w:val="11"/>
                <w:position w:val="0"/>
                <w:sz w:val="24"/>
                <w:szCs w:val="24"/>
                <w:u w:val="none" w:color="auto"/>
                <w:lang w:val="en-US" w:eastAsia="zh-CN"/>
              </w:rPr>
              <w:t>的</w:t>
            </w:r>
            <w:r>
              <w:rPr>
                <w:rFonts w:hint="default" w:ascii="Times New Roman" w:hAnsi="Times New Roman" w:eastAsia="宋体" w:cs="Times New Roman"/>
                <w:color w:val="000000"/>
                <w:spacing w:val="11"/>
                <w:position w:val="0"/>
                <w:sz w:val="24"/>
                <w:szCs w:val="24"/>
                <w:u w:val="none" w:color="auto"/>
              </w:rPr>
              <w:t>防治措施</w:t>
            </w:r>
          </w:p>
          <w:p w14:paraId="682290EF">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①在设计过程中因地制宜，利用当地地形高差营造错落的层次感，作好挖方和填方的平衡，尽量减少土石方开挖量，减少渣土的运出量；</w:t>
            </w:r>
          </w:p>
          <w:p w14:paraId="41A9868D">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②施工期会剥离</w:t>
            </w:r>
            <w:r>
              <w:rPr>
                <w:rFonts w:hint="default" w:ascii="Times New Roman" w:hAnsi="Times New Roman" w:eastAsia="宋体" w:cs="Times New Roman"/>
                <w:color w:val="000000"/>
                <w:spacing w:val="11"/>
                <w:position w:val="0"/>
                <w:sz w:val="24"/>
                <w:szCs w:val="24"/>
                <w:u w:val="none" w:color="auto"/>
                <w:lang w:val="en-US" w:eastAsia="zh-CN"/>
              </w:rPr>
              <w:t>一些</w:t>
            </w:r>
            <w:r>
              <w:rPr>
                <w:rFonts w:hint="default" w:ascii="Times New Roman" w:hAnsi="Times New Roman" w:eastAsia="宋体" w:cs="Times New Roman"/>
                <w:color w:val="000000"/>
                <w:spacing w:val="11"/>
                <w:position w:val="0"/>
                <w:sz w:val="24"/>
                <w:szCs w:val="24"/>
                <w:u w:val="none" w:color="auto"/>
              </w:rPr>
              <w:t>表土，对这部分表层种植土需要做好堆放及临时防护工作，以备植被恢复之用；</w:t>
            </w:r>
          </w:p>
          <w:p w14:paraId="31483C3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③对开挖裸露面等要及时恢复植被，开挖面上进行绿化处理，并尽量回栽原有可用树木；</w:t>
            </w:r>
          </w:p>
          <w:p w14:paraId="5D6B457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④雨季施工时，应备有工程工布覆盖，防止汛期造成水土大量流失，平时尽量保持表面平整，减少雨水冲刷；</w:t>
            </w:r>
          </w:p>
          <w:p w14:paraId="4A9A0D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color w:val="000000"/>
                <w:spacing w:val="11"/>
                <w:position w:val="0"/>
                <w:sz w:val="24"/>
                <w:szCs w:val="24"/>
                <w:u w:val="none" w:color="auto"/>
              </w:rPr>
              <w:t>一般来说，在采取上述水土保持措施</w:t>
            </w:r>
            <w:r>
              <w:rPr>
                <w:rFonts w:hint="eastAsia" w:ascii="Times New Roman" w:hAnsi="Times New Roman" w:eastAsia="宋体" w:cs="Times New Roman"/>
                <w:color w:val="000000"/>
                <w:spacing w:val="11"/>
                <w:position w:val="0"/>
                <w:sz w:val="24"/>
                <w:szCs w:val="24"/>
                <w:u w:val="none" w:color="auto"/>
                <w:lang w:eastAsia="zh-CN"/>
              </w:rPr>
              <w:t>后</w:t>
            </w:r>
            <w:r>
              <w:rPr>
                <w:rFonts w:hint="default" w:ascii="Times New Roman" w:hAnsi="Times New Roman" w:eastAsia="宋体" w:cs="Times New Roman"/>
                <w:color w:val="000000"/>
                <w:spacing w:val="11"/>
                <w:position w:val="0"/>
                <w:sz w:val="24"/>
                <w:szCs w:val="24"/>
                <w:u w:val="none" w:color="auto"/>
              </w:rPr>
              <w:t>，水土流失强度和年均水土流失总量将有极大的下降</w:t>
            </w:r>
            <w:r>
              <w:rPr>
                <w:rFonts w:hint="eastAsia"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故在加以预防后，不会对生态环境造成明显影响。</w:t>
            </w:r>
          </w:p>
        </w:tc>
      </w:tr>
      <w:tr w14:paraId="390AD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tcMar>
              <w:left w:w="28" w:type="dxa"/>
              <w:right w:w="28" w:type="dxa"/>
            </w:tcMar>
            <w:vAlign w:val="center"/>
          </w:tcPr>
          <w:p w14:paraId="1D56EEE5">
            <w:pPr>
              <w:pStyle w:val="29"/>
              <w:pageBreakBefore w:val="0"/>
              <w:kinsoku/>
              <w:wordWrap/>
              <w:overflowPunct/>
              <w:topLinePunct w:val="0"/>
              <w:bidi w:val="0"/>
              <w:adjustRightInd w:val="0"/>
              <w:snapToGrid w:val="0"/>
              <w:spacing w:before="0" w:beforeAutospacing="0" w:after="0" w:afterAutospacing="0" w:line="360" w:lineRule="auto"/>
              <w:ind w:right="0"/>
              <w:jc w:val="center"/>
              <w:textAlignment w:val="auto"/>
              <w:rPr>
                <w:rFonts w:hint="default" w:ascii="Times New Roman" w:hAnsi="Times New Roman" w:eastAsia="宋体" w:cs="Times New Roman"/>
                <w:bCs/>
                <w:color w:val="auto"/>
                <w:spacing w:val="11"/>
                <w:kern w:val="2"/>
                <w:position w:val="0"/>
                <w:sz w:val="24"/>
                <w:szCs w:val="24"/>
                <w:u w:val="none" w:color="auto"/>
              </w:rPr>
            </w:pPr>
            <w:r>
              <w:rPr>
                <w:rFonts w:hint="default" w:ascii="Times New Roman" w:hAnsi="Times New Roman" w:eastAsia="宋体" w:cs="Times New Roman"/>
                <w:bCs/>
                <w:color w:val="000000"/>
                <w:spacing w:val="11"/>
                <w:kern w:val="2"/>
                <w:position w:val="0"/>
                <w:sz w:val="24"/>
                <w:szCs w:val="24"/>
                <w:u w:val="none" w:color="auto"/>
              </w:rPr>
              <w:t>运营期生态环境影响分析</w:t>
            </w:r>
          </w:p>
        </w:tc>
        <w:tc>
          <w:tcPr>
            <w:tcW w:w="4533" w:type="pct"/>
            <w:tcBorders>
              <w:tl2br w:val="nil"/>
              <w:tr2bl w:val="nil"/>
            </w:tcBorders>
            <w:noWrap w:val="0"/>
            <w:vAlign w:val="top"/>
          </w:tcPr>
          <w:p w14:paraId="24A884D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6" w:firstLineChars="200"/>
              <w:jc w:val="both"/>
              <w:textAlignment w:val="auto"/>
              <w:rPr>
                <w:rFonts w:hint="default" w:ascii="Times New Roman" w:hAnsi="Times New Roman" w:eastAsia="宋体" w:cs="Times New Roman"/>
                <w:b/>
                <w:snapToGrid w:val="0"/>
                <w:color w:val="000000"/>
                <w:spacing w:val="11"/>
                <w:kern w:val="0"/>
                <w:position w:val="0"/>
                <w:sz w:val="24"/>
                <w:szCs w:val="24"/>
                <w:u w:val="single" w:color="auto"/>
              </w:rPr>
            </w:pPr>
            <w:r>
              <w:rPr>
                <w:rFonts w:hint="default" w:ascii="Times New Roman" w:hAnsi="Times New Roman" w:eastAsia="宋体" w:cs="Times New Roman"/>
                <w:b/>
                <w:snapToGrid w:val="0"/>
                <w:color w:val="000000"/>
                <w:spacing w:val="11"/>
                <w:kern w:val="0"/>
                <w:position w:val="0"/>
                <w:sz w:val="24"/>
                <w:szCs w:val="24"/>
                <w:u w:val="single" w:color="auto"/>
              </w:rPr>
              <w:t>1、废水</w:t>
            </w:r>
          </w:p>
          <w:p w14:paraId="232BEC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本项目废水包括穿孔冷却水</w:t>
            </w:r>
            <w:r>
              <w:rPr>
                <w:rFonts w:hint="eastAsia" w:cs="Times New Roman"/>
                <w:color w:val="000000"/>
                <w:spacing w:val="11"/>
                <w:position w:val="0"/>
                <w:sz w:val="24"/>
                <w:szCs w:val="24"/>
                <w:highlight w:val="none"/>
                <w:u w:val="single" w:color="auto"/>
                <w:lang w:val="en-US" w:eastAsia="zh-CN"/>
              </w:rPr>
              <w:t>、抑尘用水、</w:t>
            </w:r>
            <w:r>
              <w:rPr>
                <w:rFonts w:hint="default" w:ascii="Times New Roman" w:hAnsi="Times New Roman" w:eastAsia="宋体" w:cs="Times New Roman"/>
                <w:color w:val="000000"/>
                <w:spacing w:val="11"/>
                <w:position w:val="0"/>
                <w:sz w:val="24"/>
                <w:szCs w:val="24"/>
                <w:highlight w:val="none"/>
                <w:u w:val="single" w:color="auto"/>
                <w:lang w:val="en-US" w:eastAsia="zh-CN"/>
              </w:rPr>
              <w:t>生活污水、车辆清洗废水和初期雨水。</w:t>
            </w:r>
          </w:p>
          <w:p w14:paraId="46C043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（1）穿孔冷却水</w:t>
            </w:r>
          </w:p>
          <w:p w14:paraId="7CEB74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潜孔钻机在工作时钻头与岩石摩擦会产生大量热量，需进行水冷，否则钻头会因温度升高而损坏。钻机耗水量为8~12L/分钟，本次环评取最大值12L/分钟。本工程穿孔有效工作时间以4h/d计，钻机耗水量为2.88m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/d、864m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/a。废水中污染物主要有SS，采石场由于开采位置不固定，该部分废水难以回收，而直接经石缝等渗漏、蒸发损失，实际排放量不大，影响极小。</w:t>
            </w:r>
          </w:p>
          <w:p w14:paraId="793C6F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（2）抑尘用水</w:t>
            </w:r>
          </w:p>
          <w:p w14:paraId="0E5F96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项目抑尘用水主要包括爆破抑尘用水、生产线抑尘用水及装卸抑尘用水。</w:t>
            </w:r>
          </w:p>
          <w:p w14:paraId="2B481C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①爆破抑尘用水：为防止爆破等工段的扬尘污染，需事先在现场洒水。同时爆破后需及时用高压水枪喷水，这部分水全部蒸发或渗漏。本项目以每天一次爆破计，爆破面洒水按每次6m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计，则项目爆破抑尘用水1800m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/a。这部分水全部蒸发或渗漏。</w:t>
            </w:r>
          </w:p>
          <w:p w14:paraId="39B211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②装卸抑尘用水：项目矿石装卸过程中需要喷淋洒水抑尘，本项目设有</w:t>
            </w:r>
            <w:r>
              <w:rPr>
                <w:rFonts w:hint="eastAsia" w:ascii="Times New Roman" w:hAnsi="Times New Roman" w:eastAsia="宋体" w:cs="Times New Roman"/>
                <w:b w:val="0"/>
                <w:bCs w:val="0"/>
                <w:color w:val="000000"/>
                <w:spacing w:val="11"/>
                <w:position w:val="0"/>
                <w:sz w:val="24"/>
                <w:szCs w:val="24"/>
                <w:u w:val="single" w:color="auto"/>
                <w:lang w:val="en-US" w:eastAsia="zh-CN"/>
              </w:rPr>
              <w:t>8</w:t>
            </w:r>
            <w:r>
              <w:rPr>
                <w:rFonts w:hint="default" w:ascii="Times New Roman" w:hAnsi="Times New Roman" w:eastAsia="宋体" w:cs="Times New Roman"/>
                <w:b w:val="0"/>
                <w:bCs w:val="0"/>
                <w:color w:val="000000"/>
                <w:spacing w:val="11"/>
                <w:position w:val="0"/>
                <w:sz w:val="24"/>
                <w:szCs w:val="24"/>
                <w:u w:val="single" w:color="auto"/>
                <w:lang w:val="en-US" w:eastAsia="zh-CN"/>
              </w:rPr>
              <w:t>台自卸汽车，喷淋用水量以每台0.5m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/h计，项目非雨天180天/a，每天工作</w:t>
            </w:r>
            <w:r>
              <w:rPr>
                <w:rFonts w:hint="eastAsia" w:ascii="Times New Roman" w:hAnsi="Times New Roman" w:eastAsia="宋体" w:cs="Times New Roman"/>
                <w:b w:val="0"/>
                <w:bCs w:val="0"/>
                <w:color w:val="000000"/>
                <w:spacing w:val="11"/>
                <w:position w:val="0"/>
                <w:sz w:val="24"/>
                <w:szCs w:val="24"/>
                <w:u w:val="single" w:color="auto"/>
                <w:lang w:val="en-US" w:eastAsia="zh-CN"/>
              </w:rPr>
              <w:t>16</w:t>
            </w:r>
            <w:r>
              <w:rPr>
                <w:rFonts w:hint="default" w:ascii="Times New Roman" w:hAnsi="Times New Roman" w:eastAsia="宋体" w:cs="Times New Roman"/>
                <w:b w:val="0"/>
                <w:bCs w:val="0"/>
                <w:color w:val="000000"/>
                <w:spacing w:val="11"/>
                <w:position w:val="0"/>
                <w:sz w:val="24"/>
                <w:szCs w:val="24"/>
                <w:u w:val="single" w:color="auto"/>
                <w:lang w:val="en-US" w:eastAsia="zh-CN"/>
              </w:rPr>
              <w:t>小时，则铲装抑尘用水量为</w:t>
            </w:r>
            <w:r>
              <w:rPr>
                <w:rFonts w:hint="eastAsia" w:ascii="Times New Roman" w:hAnsi="Times New Roman" w:eastAsia="宋体" w:cs="Times New Roman"/>
                <w:b w:val="0"/>
                <w:bCs w:val="0"/>
                <w:color w:val="000000"/>
                <w:spacing w:val="11"/>
                <w:position w:val="0"/>
                <w:sz w:val="24"/>
                <w:szCs w:val="24"/>
                <w:u w:val="single" w:color="auto"/>
                <w:lang w:val="en-US" w:eastAsia="zh-CN"/>
              </w:rPr>
              <w:t>11520</w:t>
            </w:r>
            <w:r>
              <w:rPr>
                <w:rFonts w:hint="default" w:ascii="Times New Roman" w:hAnsi="Times New Roman" w:eastAsia="宋体" w:cs="Times New Roman"/>
                <w:b w:val="0"/>
                <w:bCs w:val="0"/>
                <w:color w:val="000000"/>
                <w:spacing w:val="11"/>
                <w:position w:val="0"/>
                <w:sz w:val="24"/>
                <w:szCs w:val="24"/>
                <w:u w:val="single" w:color="auto"/>
                <w:lang w:val="en-US" w:eastAsia="zh-CN"/>
              </w:rPr>
              <w:t>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/a。这部分水全部蒸发或渗漏损失。</w:t>
            </w:r>
          </w:p>
          <w:p w14:paraId="1320EA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eastAsia" w:ascii="Times New Roman" w:hAnsi="Times New Roman" w:eastAsia="宋体" w:cs="Times New Roman"/>
                <w:b w:val="0"/>
                <w:bCs w:val="0"/>
                <w:color w:val="000000"/>
                <w:spacing w:val="11"/>
                <w:position w:val="0"/>
                <w:sz w:val="24"/>
                <w:szCs w:val="24"/>
                <w:u w:val="single" w:color="auto"/>
                <w:lang w:val="en-US" w:eastAsia="zh-CN"/>
              </w:rPr>
            </w:pPr>
            <w:r>
              <w:rPr>
                <w:rFonts w:hint="eastAsia" w:ascii="Times New Roman" w:hAnsi="Times New Roman" w:eastAsia="宋体" w:cs="Times New Roman"/>
                <w:b w:val="0"/>
                <w:bCs w:val="0"/>
                <w:color w:val="000000"/>
                <w:spacing w:val="11"/>
                <w:position w:val="0"/>
                <w:sz w:val="24"/>
                <w:szCs w:val="24"/>
                <w:u w:val="single" w:color="auto"/>
                <w:lang w:val="en-US" w:eastAsia="zh-CN"/>
              </w:rPr>
              <w:t>③生产线抑尘用水：本项目碎石加工区破碎机进</w:t>
            </w:r>
            <w:r>
              <w:rPr>
                <w:rFonts w:hint="eastAsia" w:cs="Times New Roman"/>
                <w:b w:val="0"/>
                <w:bCs w:val="0"/>
                <w:color w:val="000000"/>
                <w:spacing w:val="11"/>
                <w:position w:val="0"/>
                <w:sz w:val="24"/>
                <w:szCs w:val="24"/>
                <w:u w:val="single" w:color="auto"/>
                <w:lang w:val="en-US" w:eastAsia="zh-CN"/>
              </w:rPr>
              <w:t>、</w:t>
            </w:r>
            <w:r>
              <w:rPr>
                <w:rFonts w:hint="eastAsia" w:ascii="Times New Roman" w:hAnsi="Times New Roman" w:eastAsia="宋体" w:cs="Times New Roman"/>
                <w:b w:val="0"/>
                <w:bCs w:val="0"/>
                <w:color w:val="000000"/>
                <w:spacing w:val="11"/>
                <w:position w:val="0"/>
                <w:sz w:val="24"/>
                <w:szCs w:val="24"/>
                <w:u w:val="single" w:color="auto"/>
                <w:lang w:val="en-US" w:eastAsia="zh-CN"/>
              </w:rPr>
              <w:t>出料口均设置有喷淋设施，每个进料口喷淋用水量以0.5m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/h计；每个出料口喷雾用水量以0.2m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/h计。根据工程设备一览表，本项目破碎</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机共有</w:t>
            </w:r>
            <w:r>
              <w:rPr>
                <w:rFonts w:hint="eastAsia" w:cs="Times New Roman"/>
                <w:b w:val="0"/>
                <w:bCs w:val="0"/>
                <w:color w:val="000000"/>
                <w:spacing w:val="11"/>
                <w:position w:val="0"/>
                <w:sz w:val="24"/>
                <w:szCs w:val="24"/>
                <w:highlight w:val="none"/>
                <w:u w:val="single" w:color="auto"/>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台，则喷淋和喷雾用水量约</w:t>
            </w:r>
            <w:r>
              <w:rPr>
                <w:rFonts w:hint="eastAsia" w:cs="Times New Roman"/>
                <w:b w:val="0"/>
                <w:bCs w:val="0"/>
                <w:color w:val="000000"/>
                <w:spacing w:val="11"/>
                <w:position w:val="0"/>
                <w:sz w:val="24"/>
                <w:szCs w:val="24"/>
                <w:u w:val="single" w:color="auto"/>
                <w:lang w:val="en-US" w:eastAsia="zh-CN"/>
              </w:rPr>
              <w:t>2.1</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/h。本项目年工作日为300天，每天工作16小时，则生产线抑尘用水量约为</w:t>
            </w:r>
            <w:r>
              <w:rPr>
                <w:rFonts w:hint="eastAsia" w:cs="Times New Roman"/>
                <w:b w:val="0"/>
                <w:bCs w:val="0"/>
                <w:color w:val="000000"/>
                <w:spacing w:val="11"/>
                <w:position w:val="0"/>
                <w:sz w:val="24"/>
                <w:szCs w:val="24"/>
                <w:u w:val="single" w:color="auto"/>
                <w:lang w:val="en-US" w:eastAsia="zh-CN"/>
              </w:rPr>
              <w:t>33.6</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/d、</w:t>
            </w:r>
            <w:r>
              <w:rPr>
                <w:rFonts w:hint="eastAsia" w:cs="Times New Roman"/>
                <w:b w:val="0"/>
                <w:bCs w:val="0"/>
                <w:color w:val="000000"/>
                <w:spacing w:val="11"/>
                <w:position w:val="0"/>
                <w:sz w:val="24"/>
                <w:szCs w:val="24"/>
                <w:u w:val="single" w:color="auto"/>
                <w:lang w:val="en-US" w:eastAsia="zh-CN"/>
              </w:rPr>
              <w:t>10080</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/a。此部分水全部蒸发损耗。</w:t>
            </w:r>
          </w:p>
          <w:p w14:paraId="4DF914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rPr>
              <w:t>（</w:t>
            </w:r>
            <w:r>
              <w:rPr>
                <w:rFonts w:hint="default" w:ascii="Times New Roman" w:hAnsi="Times New Roman" w:eastAsia="宋体" w:cs="Times New Roman"/>
                <w:b w:val="0"/>
                <w:bCs w:val="0"/>
                <w:color w:val="000000"/>
                <w:spacing w:val="11"/>
                <w:position w:val="0"/>
                <w:sz w:val="24"/>
                <w:szCs w:val="24"/>
                <w:u w:val="single" w:color="auto"/>
                <w:lang w:val="en-US" w:eastAsia="zh-CN"/>
              </w:rPr>
              <w:t>3</w:t>
            </w:r>
            <w:r>
              <w:rPr>
                <w:rFonts w:hint="default" w:ascii="Times New Roman" w:hAnsi="Times New Roman" w:eastAsia="宋体" w:cs="Times New Roman"/>
                <w:b w:val="0"/>
                <w:bCs w:val="0"/>
                <w:color w:val="000000"/>
                <w:spacing w:val="11"/>
                <w:position w:val="0"/>
                <w:sz w:val="24"/>
                <w:szCs w:val="24"/>
                <w:u w:val="single" w:color="auto"/>
              </w:rPr>
              <w:t>）车辆清洗</w:t>
            </w:r>
            <w:r>
              <w:rPr>
                <w:rFonts w:hint="default" w:ascii="Times New Roman" w:hAnsi="Times New Roman" w:eastAsia="宋体" w:cs="Times New Roman"/>
                <w:b w:val="0"/>
                <w:bCs w:val="0"/>
                <w:color w:val="000000"/>
                <w:spacing w:val="11"/>
                <w:position w:val="0"/>
                <w:sz w:val="24"/>
                <w:szCs w:val="24"/>
                <w:u w:val="single" w:color="auto"/>
                <w:lang w:val="en-US" w:eastAsia="zh-CN"/>
              </w:rPr>
              <w:t>用水</w:t>
            </w:r>
          </w:p>
          <w:p w14:paraId="2EDF04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厂区设置洗车平台，</w:t>
            </w:r>
            <w:r>
              <w:rPr>
                <w:rFonts w:hint="default" w:ascii="Times New Roman" w:hAnsi="Times New Roman" w:eastAsia="宋体" w:cs="Times New Roman"/>
                <w:color w:val="000000"/>
                <w:spacing w:val="11"/>
                <w:position w:val="0"/>
                <w:sz w:val="24"/>
                <w:szCs w:val="24"/>
                <w:u w:val="single" w:color="auto"/>
              </w:rPr>
              <w:t>建设单位</w:t>
            </w:r>
            <w:r>
              <w:rPr>
                <w:rFonts w:hint="default" w:ascii="Times New Roman" w:hAnsi="Times New Roman" w:eastAsia="宋体" w:cs="Times New Roman"/>
                <w:color w:val="000000"/>
                <w:spacing w:val="11"/>
                <w:position w:val="0"/>
                <w:sz w:val="24"/>
                <w:szCs w:val="24"/>
                <w:u w:val="single" w:color="auto"/>
                <w:lang w:val="en-US" w:eastAsia="zh-CN"/>
              </w:rPr>
              <w:t>安排专人对</w:t>
            </w:r>
            <w:r>
              <w:rPr>
                <w:rFonts w:hint="default" w:ascii="Times New Roman" w:hAnsi="Times New Roman" w:eastAsia="宋体" w:cs="Times New Roman"/>
                <w:color w:val="000000"/>
                <w:spacing w:val="11"/>
                <w:position w:val="0"/>
                <w:sz w:val="24"/>
                <w:szCs w:val="24"/>
                <w:u w:val="single" w:color="auto"/>
              </w:rPr>
              <w:t>出入厂区的运输车辆车轮等局部进行冲洗，以减少运输扬尘产生</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故会产生车辆清洗废水，项目车辆进出</w:t>
            </w:r>
            <w:r>
              <w:rPr>
                <w:rFonts w:hint="default" w:ascii="Times New Roman" w:hAnsi="Times New Roman" w:eastAsia="宋体" w:cs="Times New Roman"/>
                <w:color w:val="000000"/>
                <w:spacing w:val="11"/>
                <w:position w:val="0"/>
                <w:sz w:val="24"/>
                <w:szCs w:val="24"/>
                <w:u w:val="single" w:color="auto"/>
              </w:rPr>
              <w:t>工厂区域平均每天来回运输车次</w:t>
            </w:r>
            <w:r>
              <w:rPr>
                <w:rFonts w:hint="eastAsia" w:ascii="Times New Roman" w:hAnsi="Times New Roman" w:eastAsia="宋体" w:cs="Times New Roman"/>
                <w:color w:val="000000"/>
                <w:spacing w:val="11"/>
                <w:position w:val="0"/>
                <w:sz w:val="24"/>
                <w:szCs w:val="24"/>
                <w:u w:val="single" w:color="auto"/>
                <w:lang w:val="en-US" w:eastAsia="zh-CN"/>
              </w:rPr>
              <w:t>为100</w:t>
            </w:r>
            <w:r>
              <w:rPr>
                <w:rFonts w:hint="default" w:ascii="Times New Roman" w:hAnsi="Times New Roman" w:eastAsia="宋体" w:cs="Times New Roman"/>
                <w:color w:val="000000"/>
                <w:spacing w:val="11"/>
                <w:position w:val="0"/>
                <w:sz w:val="24"/>
                <w:szCs w:val="24"/>
                <w:u w:val="single" w:color="auto"/>
                <w:lang w:val="en-US" w:eastAsia="zh-CN"/>
              </w:rPr>
              <w:t>辆</w:t>
            </w:r>
            <w:r>
              <w:rPr>
                <w:rFonts w:hint="default" w:ascii="Times New Roman" w:hAnsi="Times New Roman" w:eastAsia="宋体" w:cs="Times New Roman"/>
                <w:color w:val="000000"/>
                <w:spacing w:val="11"/>
                <w:position w:val="0"/>
                <w:sz w:val="24"/>
                <w:szCs w:val="24"/>
                <w:u w:val="single" w:color="auto"/>
              </w:rPr>
              <w:t>次，冲洗频率为1次/2车次。根据《建筑给水排水设计规范》（GB50015-2003）（2009版）中汽车冲洗用水定额，载重汽车循环用水冲洗补水量为40~60L/（辆·次），本次评价取平均值50L/（辆·次）。经计算，车辆冲洗用水量为</w:t>
            </w:r>
            <w:r>
              <w:rPr>
                <w:rFonts w:hint="eastAsia" w:ascii="Times New Roman" w:hAnsi="Times New Roman" w:eastAsia="宋体" w:cs="Times New Roman"/>
                <w:color w:val="000000"/>
                <w:spacing w:val="11"/>
                <w:position w:val="0"/>
                <w:sz w:val="24"/>
                <w:szCs w:val="24"/>
                <w:u w:val="single" w:color="auto"/>
                <w:lang w:val="en-US" w:eastAsia="zh-CN"/>
              </w:rPr>
              <w:t>2.5</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75</w:t>
            </w:r>
            <w:r>
              <w:rPr>
                <w:rFonts w:hint="eastAsia" w:ascii="Times New Roman" w:hAnsi="Times New Roman" w:eastAsia="宋体" w:cs="Times New Roman"/>
                <w:color w:val="000000"/>
                <w:spacing w:val="11"/>
                <w:position w:val="0"/>
                <w:sz w:val="24"/>
                <w:szCs w:val="24"/>
                <w:u w:val="single" w:color="auto"/>
                <w:lang w:eastAsia="zh-CN"/>
              </w:rPr>
              <w:t>0</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a</w:t>
            </w:r>
            <w:r>
              <w:rPr>
                <w:rFonts w:hint="eastAsia"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。蒸发损耗水量按总水量40%计，则废水产生量为</w:t>
            </w:r>
            <w:r>
              <w:rPr>
                <w:rFonts w:hint="eastAsia" w:ascii="Times New Roman" w:hAnsi="Times New Roman" w:eastAsia="宋体" w:cs="Times New Roman"/>
                <w:color w:val="000000"/>
                <w:spacing w:val="11"/>
                <w:position w:val="0"/>
                <w:sz w:val="24"/>
                <w:szCs w:val="24"/>
                <w:u w:val="single" w:color="auto"/>
                <w:lang w:val="en-US" w:eastAsia="zh-CN"/>
              </w:rPr>
              <w:t>1.5</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/d</w:t>
            </w:r>
            <w:r>
              <w:rPr>
                <w:rFonts w:hint="default"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45</w:t>
            </w:r>
            <w:r>
              <w:rPr>
                <w:rFonts w:hint="default" w:ascii="Times New Roman" w:hAnsi="Times New Roman" w:eastAsia="宋体" w:cs="Times New Roman"/>
                <w:color w:val="000000"/>
                <w:spacing w:val="11"/>
                <w:position w:val="0"/>
                <w:sz w:val="24"/>
                <w:szCs w:val="24"/>
                <w:u w:val="single" w:color="auto"/>
                <w:lang w:eastAsia="zh-CN"/>
              </w:rPr>
              <w:t>0</w:t>
            </w:r>
            <w:r>
              <w:rPr>
                <w:rFonts w:hint="default" w:ascii="Times New Roman" w:hAnsi="Times New Roman" w:eastAsia="宋体" w:cs="Times New Roman"/>
                <w:color w:val="000000"/>
                <w:spacing w:val="11"/>
                <w:position w:val="0"/>
                <w:sz w:val="24"/>
                <w:szCs w:val="24"/>
                <w:u w:val="single" w:color="auto"/>
                <w:lang w:val="en-US" w:eastAsia="zh-CN"/>
              </w:rPr>
              <w:t>m</w:t>
            </w:r>
            <w:r>
              <w:rPr>
                <w:rFonts w:hint="default" w:ascii="Times New Roman" w:hAnsi="Times New Roman" w:eastAsia="宋体" w:cs="Times New Roman"/>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w:t>
            </w:r>
            <w:r>
              <w:rPr>
                <w:rFonts w:hint="eastAsia" w:ascii="Times New Roman" w:hAnsi="Times New Roman" w:eastAsia="宋体" w:cs="Times New Roman"/>
                <w:color w:val="000000"/>
                <w:spacing w:val="11"/>
                <w:position w:val="0"/>
                <w:sz w:val="24"/>
                <w:szCs w:val="24"/>
                <w:u w:val="single" w:color="auto"/>
                <w:lang w:val="en-US" w:eastAsia="zh-CN"/>
              </w:rPr>
              <w: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此部分废水中主要污染物成分为SS。</w:t>
            </w:r>
          </w:p>
          <w:p w14:paraId="11A618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bCs/>
                <w:color w:val="000000"/>
                <w:spacing w:val="11"/>
                <w:position w:val="0"/>
                <w:sz w:val="21"/>
                <w:szCs w:val="21"/>
                <w:u w:val="single" w:color="auto"/>
              </w:rPr>
            </w:pPr>
            <w:r>
              <w:rPr>
                <w:rFonts w:hint="default" w:ascii="Times New Roman" w:hAnsi="Times New Roman" w:eastAsia="宋体" w:cs="Times New Roman"/>
                <w:color w:val="000000"/>
                <w:spacing w:val="11"/>
                <w:position w:val="0"/>
                <w:sz w:val="24"/>
                <w:szCs w:val="24"/>
                <w:u w:val="single" w:color="auto"/>
                <w:lang w:val="en-US" w:eastAsia="zh-CN"/>
              </w:rPr>
              <w:t>根据</w:t>
            </w:r>
            <w:r>
              <w:rPr>
                <w:rFonts w:hint="eastAsia" w:ascii="Times New Roman" w:hAnsi="Times New Roman" w:eastAsia="宋体" w:cs="Times New Roman"/>
                <w:color w:val="000000"/>
                <w:spacing w:val="11"/>
                <w:position w:val="0"/>
                <w:sz w:val="24"/>
                <w:szCs w:val="24"/>
                <w:u w:val="single" w:color="auto"/>
                <w:lang w:val="en-US" w:eastAsia="zh-CN"/>
              </w:rPr>
              <w:t>类比</w:t>
            </w:r>
            <w:r>
              <w:rPr>
                <w:rFonts w:hint="default" w:ascii="Times New Roman" w:hAnsi="Times New Roman" w:eastAsia="宋体" w:cs="Times New Roman"/>
                <w:color w:val="000000"/>
                <w:spacing w:val="11"/>
                <w:position w:val="0"/>
                <w:sz w:val="24"/>
                <w:szCs w:val="24"/>
                <w:u w:val="single" w:color="auto"/>
                <w:lang w:val="en-US" w:eastAsia="zh-CN"/>
              </w:rPr>
              <w:t>现有工程洗车平台运行情况，洗车过程产生的废水均得到了有效收集，车辆清洗</w:t>
            </w:r>
            <w:r>
              <w:rPr>
                <w:rFonts w:hint="eastAsia" w:cs="Times New Roman"/>
                <w:color w:val="000000"/>
                <w:spacing w:val="11"/>
                <w:position w:val="0"/>
                <w:sz w:val="24"/>
                <w:szCs w:val="24"/>
                <w:u w:val="single" w:color="auto"/>
                <w:lang w:val="en-US" w:eastAsia="zh-CN"/>
              </w:rPr>
              <w:t>废水</w:t>
            </w:r>
            <w:r>
              <w:rPr>
                <w:rFonts w:hint="default" w:ascii="Times New Roman" w:hAnsi="Times New Roman" w:eastAsia="宋体" w:cs="Times New Roman"/>
                <w:color w:val="000000"/>
                <w:spacing w:val="11"/>
                <w:position w:val="0"/>
                <w:sz w:val="24"/>
                <w:szCs w:val="24"/>
                <w:u w:val="single" w:color="auto"/>
                <w:lang w:val="en-US" w:eastAsia="zh-CN"/>
              </w:rPr>
              <w:t>汇集至沉淀池进行处理后，全部回用，未外排，能够满足环保要求，不会对周边环境产生明显影响。</w:t>
            </w:r>
          </w:p>
          <w:p w14:paraId="787874EF">
            <w:pPr>
              <w:pStyle w:val="6"/>
              <w:pageBreakBefore w:val="0"/>
              <w:widowControl w:val="0"/>
              <w:tabs>
                <w:tab w:val="left" w:pos="72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outlineLvl w:val="2"/>
              <w:rPr>
                <w:rFonts w:hint="default" w:ascii="Times New Roman" w:hAnsi="Times New Roman" w:eastAsia="宋体" w:cs="Times New Roman"/>
                <w:b/>
                <w:bCs/>
                <w:color w:val="000000"/>
                <w:spacing w:val="11"/>
                <w:position w:val="0"/>
                <w:sz w:val="21"/>
                <w:szCs w:val="21"/>
                <w:u w:val="single" w:color="auto"/>
              </w:rPr>
            </w:pPr>
            <w:r>
              <w:rPr>
                <w:rFonts w:hint="default" w:ascii="Times New Roman" w:hAnsi="Times New Roman" w:eastAsia="宋体" w:cs="Times New Roman"/>
                <w:b/>
                <w:bCs/>
                <w:color w:val="000000"/>
                <w:spacing w:val="11"/>
                <w:position w:val="0"/>
                <w:sz w:val="21"/>
                <w:szCs w:val="21"/>
                <w:u w:val="single" w:color="auto"/>
              </w:rPr>
              <w:t>表</w:t>
            </w:r>
            <w:r>
              <w:rPr>
                <w:rFonts w:hint="eastAsia" w:ascii="Times New Roman" w:hAnsi="Times New Roman" w:eastAsia="宋体" w:cs="Times New Roman"/>
                <w:b/>
                <w:bCs/>
                <w:color w:val="000000"/>
                <w:spacing w:val="11"/>
                <w:position w:val="0"/>
                <w:sz w:val="21"/>
                <w:szCs w:val="21"/>
                <w:u w:val="single" w:color="auto"/>
                <w:lang w:val="en-US" w:eastAsia="zh-CN"/>
              </w:rPr>
              <w:t>4-1</w:t>
            </w:r>
            <w:r>
              <w:rPr>
                <w:rFonts w:hint="default" w:ascii="Times New Roman" w:hAnsi="Times New Roman" w:eastAsia="宋体" w:cs="Times New Roman"/>
                <w:b/>
                <w:bCs/>
                <w:color w:val="000000"/>
                <w:spacing w:val="11"/>
                <w:position w:val="0"/>
                <w:sz w:val="21"/>
                <w:szCs w:val="21"/>
                <w:u w:val="single" w:color="auto"/>
                <w:lang w:val="en-US" w:eastAsia="zh-CN"/>
              </w:rPr>
              <w:t xml:space="preserve">  车辆清洗废水</w:t>
            </w:r>
            <w:r>
              <w:rPr>
                <w:rFonts w:hint="default" w:ascii="Times New Roman" w:hAnsi="Times New Roman" w:eastAsia="宋体" w:cs="Times New Roman"/>
                <w:b/>
                <w:bCs/>
                <w:color w:val="000000"/>
                <w:spacing w:val="11"/>
                <w:position w:val="0"/>
                <w:sz w:val="21"/>
                <w:szCs w:val="21"/>
                <w:u w:val="single" w:color="auto"/>
              </w:rPr>
              <w:t>产污情况一览表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1848"/>
              <w:gridCol w:w="2939"/>
            </w:tblGrid>
            <w:tr w14:paraId="00DE9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vMerge w:val="restart"/>
                  <w:tcBorders>
                    <w:tl2br w:val="nil"/>
                    <w:tr2bl w:val="nil"/>
                  </w:tcBorders>
                  <w:noWrap w:val="0"/>
                  <w:vAlign w:val="center"/>
                </w:tcPr>
                <w:p w14:paraId="23DC6ACD">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车辆清洗废水</w:t>
                  </w:r>
                </w:p>
              </w:tc>
              <w:tc>
                <w:tcPr>
                  <w:tcW w:w="1848" w:type="dxa"/>
                  <w:vMerge w:val="restart"/>
                  <w:tcBorders>
                    <w:tl2br w:val="nil"/>
                    <w:tr2bl w:val="nil"/>
                  </w:tcBorders>
                  <w:noWrap w:val="0"/>
                  <w:vAlign w:val="center"/>
                </w:tcPr>
                <w:p w14:paraId="6CAA9EDA">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废水量（m</w:t>
                  </w:r>
                  <w:r>
                    <w:rPr>
                      <w:rFonts w:hint="default" w:ascii="Times New Roman" w:hAnsi="Times New Roman" w:eastAsia="宋体" w:cs="Times New Roman"/>
                      <w:b w:val="0"/>
                      <w:bCs w:val="0"/>
                      <w:color w:val="000000"/>
                      <w:spacing w:val="11"/>
                      <w:position w:val="0"/>
                      <w:sz w:val="21"/>
                      <w:szCs w:val="21"/>
                      <w:u w:val="single" w:color="auto"/>
                      <w:vertAlign w:val="superscript"/>
                    </w:rPr>
                    <w:t>3</w:t>
                  </w:r>
                  <w:r>
                    <w:rPr>
                      <w:rFonts w:hint="default" w:ascii="Times New Roman" w:hAnsi="Times New Roman" w:eastAsia="宋体" w:cs="Times New Roman"/>
                      <w:b w:val="0"/>
                      <w:bCs w:val="0"/>
                      <w:color w:val="000000"/>
                      <w:spacing w:val="11"/>
                      <w:position w:val="0"/>
                      <w:sz w:val="21"/>
                      <w:szCs w:val="21"/>
                      <w:u w:val="single" w:color="auto"/>
                    </w:rPr>
                    <w:t>/a）</w:t>
                  </w:r>
                </w:p>
              </w:tc>
              <w:tc>
                <w:tcPr>
                  <w:tcW w:w="2939" w:type="dxa"/>
                  <w:tcBorders>
                    <w:tl2br w:val="nil"/>
                    <w:tr2bl w:val="nil"/>
                  </w:tcBorders>
                  <w:noWrap w:val="0"/>
                  <w:vAlign w:val="center"/>
                </w:tcPr>
                <w:p w14:paraId="2B5FE2BE">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污染因子</w:t>
                  </w:r>
                </w:p>
              </w:tc>
            </w:tr>
            <w:tr w14:paraId="26912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vMerge w:val="continue"/>
                  <w:tcBorders>
                    <w:tl2br w:val="nil"/>
                    <w:tr2bl w:val="nil"/>
                  </w:tcBorders>
                  <w:noWrap w:val="0"/>
                  <w:vAlign w:val="center"/>
                </w:tcPr>
                <w:p w14:paraId="3B3F8710">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1848" w:type="dxa"/>
                  <w:vMerge w:val="continue"/>
                  <w:tcBorders>
                    <w:tl2br w:val="nil"/>
                    <w:tr2bl w:val="nil"/>
                  </w:tcBorders>
                  <w:noWrap w:val="0"/>
                  <w:vAlign w:val="center"/>
                </w:tcPr>
                <w:p w14:paraId="5F027551">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14:paraId="7F20F339">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SS</w:t>
                  </w:r>
                </w:p>
              </w:tc>
            </w:tr>
            <w:tr w14:paraId="2D445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14:paraId="65309EEA">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产生浓度（mg/L）</w:t>
                  </w:r>
                </w:p>
              </w:tc>
              <w:tc>
                <w:tcPr>
                  <w:tcW w:w="1848" w:type="dxa"/>
                  <w:vMerge w:val="restart"/>
                  <w:tcBorders>
                    <w:tl2br w:val="nil"/>
                    <w:tr2bl w:val="nil"/>
                  </w:tcBorders>
                  <w:noWrap w:val="0"/>
                  <w:vAlign w:val="center"/>
                </w:tcPr>
                <w:p w14:paraId="41E93B23">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450</w:t>
                  </w:r>
                </w:p>
              </w:tc>
              <w:tc>
                <w:tcPr>
                  <w:tcW w:w="2939" w:type="dxa"/>
                  <w:tcBorders>
                    <w:tl2br w:val="nil"/>
                    <w:tr2bl w:val="nil"/>
                  </w:tcBorders>
                  <w:noWrap w:val="0"/>
                  <w:vAlign w:val="center"/>
                </w:tcPr>
                <w:p w14:paraId="0CCB7A18">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500</w:t>
                  </w:r>
                </w:p>
              </w:tc>
            </w:tr>
            <w:tr w14:paraId="6F300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14:paraId="7849EBED">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污染物产生量（t/a）</w:t>
                  </w:r>
                </w:p>
              </w:tc>
              <w:tc>
                <w:tcPr>
                  <w:tcW w:w="1848" w:type="dxa"/>
                  <w:vMerge w:val="continue"/>
                  <w:tcBorders>
                    <w:tl2br w:val="nil"/>
                    <w:tr2bl w:val="nil"/>
                  </w:tcBorders>
                  <w:noWrap w:val="0"/>
                  <w:vAlign w:val="center"/>
                </w:tcPr>
                <w:p w14:paraId="5E615894">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14:paraId="7F19E1B0">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0.225</w:t>
                  </w:r>
                </w:p>
              </w:tc>
            </w:tr>
            <w:tr w14:paraId="6AF59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14:paraId="01EA5576">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处理后浓度</w:t>
                  </w:r>
                  <w:r>
                    <w:rPr>
                      <w:rFonts w:hint="default" w:ascii="Times New Roman" w:hAnsi="Times New Roman" w:eastAsia="宋体" w:cs="Times New Roman"/>
                      <w:b w:val="0"/>
                      <w:bCs w:val="0"/>
                      <w:color w:val="000000"/>
                      <w:spacing w:val="11"/>
                      <w:position w:val="0"/>
                      <w:sz w:val="21"/>
                      <w:szCs w:val="21"/>
                      <w:u w:val="single" w:color="auto"/>
                    </w:rPr>
                    <w:t>（mg/L）</w:t>
                  </w:r>
                </w:p>
              </w:tc>
              <w:tc>
                <w:tcPr>
                  <w:tcW w:w="1848" w:type="dxa"/>
                  <w:vMerge w:val="continue"/>
                  <w:tcBorders>
                    <w:tl2br w:val="nil"/>
                    <w:tr2bl w:val="nil"/>
                  </w:tcBorders>
                  <w:noWrap w:val="0"/>
                  <w:vAlign w:val="center"/>
                </w:tcPr>
                <w:p w14:paraId="20E1D349">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14:paraId="5E5DF157">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100</w:t>
                  </w:r>
                </w:p>
              </w:tc>
            </w:tr>
            <w:tr w14:paraId="72201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14:paraId="6A82D1BF">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处理后污染物含量</w:t>
                  </w:r>
                  <w:r>
                    <w:rPr>
                      <w:rFonts w:hint="default" w:ascii="Times New Roman" w:hAnsi="Times New Roman" w:eastAsia="宋体" w:cs="Times New Roman"/>
                      <w:b w:val="0"/>
                      <w:bCs w:val="0"/>
                      <w:color w:val="000000"/>
                      <w:spacing w:val="11"/>
                      <w:position w:val="0"/>
                      <w:sz w:val="21"/>
                      <w:szCs w:val="21"/>
                      <w:u w:val="single" w:color="auto"/>
                    </w:rPr>
                    <w:t>（t/a）</w:t>
                  </w:r>
                </w:p>
              </w:tc>
              <w:tc>
                <w:tcPr>
                  <w:tcW w:w="1848" w:type="dxa"/>
                  <w:vMerge w:val="continue"/>
                  <w:tcBorders>
                    <w:tl2br w:val="nil"/>
                    <w:tr2bl w:val="nil"/>
                  </w:tcBorders>
                  <w:noWrap w:val="0"/>
                  <w:vAlign w:val="center"/>
                </w:tcPr>
                <w:p w14:paraId="7FD86F77">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14:paraId="2F1EB7DD">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0.045</w:t>
                  </w:r>
                </w:p>
              </w:tc>
            </w:tr>
          </w:tbl>
          <w:p w14:paraId="4C2594C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w:t>
            </w:r>
            <w:r>
              <w:rPr>
                <w:rFonts w:hint="default" w:ascii="Times New Roman" w:hAnsi="Times New Roman" w:eastAsia="宋体" w:cs="Times New Roman"/>
                <w:b w:val="0"/>
                <w:bCs w:val="0"/>
                <w:color w:val="000000"/>
                <w:spacing w:val="11"/>
                <w:position w:val="0"/>
                <w:sz w:val="24"/>
                <w:szCs w:val="24"/>
                <w:highlight w:val="none"/>
                <w:u w:val="single" w:color="auto"/>
                <w:lang w:eastAsia="zh-CN"/>
              </w:rPr>
              <w:t>）生活</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用水</w:t>
            </w:r>
          </w:p>
          <w:p w14:paraId="73C5FC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生活污水产生于员工日常办公、生活过程，依据《湖南省地方标准用水定额》（DB43/T388-2020），员工生活用水系数以</w:t>
            </w:r>
            <w:r>
              <w:rPr>
                <w:rFonts w:hint="eastAsia" w:ascii="Times New Roman" w:hAnsi="Times New Roman" w:eastAsia="宋体" w:cs="Times New Roman"/>
                <w:color w:val="000000"/>
                <w:spacing w:val="11"/>
                <w:position w:val="0"/>
                <w:sz w:val="24"/>
                <w:szCs w:val="24"/>
                <w:highlight w:val="none"/>
                <w:u w:val="single" w:color="auto"/>
                <w:lang w:val="en-US" w:eastAsia="zh-CN"/>
              </w:rPr>
              <w:t>90</w:t>
            </w:r>
            <w:r>
              <w:rPr>
                <w:rFonts w:hint="default" w:ascii="Times New Roman" w:hAnsi="Times New Roman" w:eastAsia="宋体" w:cs="Times New Roman"/>
                <w:color w:val="000000"/>
                <w:spacing w:val="11"/>
                <w:position w:val="0"/>
                <w:sz w:val="24"/>
                <w:szCs w:val="24"/>
                <w:u w:val="single" w:color="auto"/>
              </w:rPr>
              <w:t>L/人▪d</w:t>
            </w:r>
            <w:r>
              <w:rPr>
                <w:rFonts w:hint="default" w:ascii="Times New Roman" w:hAnsi="Times New Roman" w:eastAsia="宋体" w:cs="Times New Roman"/>
                <w:color w:val="000000"/>
                <w:spacing w:val="11"/>
                <w:position w:val="0"/>
                <w:sz w:val="24"/>
                <w:szCs w:val="24"/>
                <w:u w:val="single" w:color="auto"/>
                <w:lang w:val="en-US" w:eastAsia="zh-CN"/>
              </w:rPr>
              <w:t>计，项目</w:t>
            </w:r>
            <w:r>
              <w:rPr>
                <w:rFonts w:hint="default" w:ascii="Times New Roman" w:hAnsi="Times New Roman" w:eastAsia="宋体" w:cs="Times New Roman"/>
                <w:color w:val="000000"/>
                <w:spacing w:val="11"/>
                <w:position w:val="0"/>
                <w:sz w:val="24"/>
                <w:szCs w:val="24"/>
                <w:highlight w:val="none"/>
                <w:u w:val="single" w:color="auto"/>
                <w:lang w:val="en-US" w:eastAsia="zh-CN"/>
              </w:rPr>
              <w:t>厂区劳动定员为</w:t>
            </w:r>
            <w:r>
              <w:rPr>
                <w:rFonts w:hint="eastAsia" w:ascii="Times New Roman" w:hAnsi="Times New Roman" w:eastAsia="宋体" w:cs="Times New Roman"/>
                <w:color w:val="000000"/>
                <w:spacing w:val="11"/>
                <w:position w:val="0"/>
                <w:sz w:val="24"/>
                <w:szCs w:val="24"/>
                <w:highlight w:val="none"/>
                <w:u w:val="single" w:color="auto"/>
                <w:lang w:val="en-US" w:eastAsia="zh-CN"/>
              </w:rPr>
              <w:t>20</w:t>
            </w:r>
            <w:r>
              <w:rPr>
                <w:rFonts w:hint="default" w:ascii="Times New Roman" w:hAnsi="Times New Roman" w:eastAsia="宋体" w:cs="Times New Roman"/>
                <w:color w:val="000000"/>
                <w:spacing w:val="11"/>
                <w:position w:val="0"/>
                <w:sz w:val="24"/>
                <w:szCs w:val="24"/>
                <w:highlight w:val="none"/>
                <w:u w:val="single" w:color="auto"/>
                <w:lang w:val="en-US" w:eastAsia="zh-CN"/>
              </w:rPr>
              <w:t>人，年作业300天，则</w:t>
            </w:r>
            <w:r>
              <w:rPr>
                <w:rFonts w:hint="default" w:ascii="Times New Roman" w:hAnsi="Times New Roman" w:eastAsia="宋体" w:cs="Times New Roman"/>
                <w:color w:val="000000"/>
                <w:spacing w:val="11"/>
                <w:position w:val="0"/>
                <w:sz w:val="24"/>
                <w:szCs w:val="24"/>
                <w:u w:val="single" w:color="auto"/>
              </w:rPr>
              <w:t>生活用水量为</w:t>
            </w:r>
            <w:r>
              <w:rPr>
                <w:rFonts w:hint="eastAsia" w:ascii="Times New Roman" w:hAnsi="Times New Roman" w:eastAsia="宋体" w:cs="Times New Roman"/>
                <w:color w:val="000000"/>
                <w:spacing w:val="11"/>
                <w:position w:val="0"/>
                <w:sz w:val="24"/>
                <w:szCs w:val="24"/>
                <w:u w:val="single" w:color="auto"/>
                <w:lang w:val="en-US" w:eastAsia="zh-CN"/>
              </w:rPr>
              <w:t>1.8</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val="en-US" w:eastAsia="zh-CN"/>
              </w:rPr>
              <w:t>540</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产污系数以80%计，则生活污水产生量为</w:t>
            </w:r>
            <w:r>
              <w:rPr>
                <w:rFonts w:hint="eastAsia" w:ascii="Times New Roman" w:hAnsi="Times New Roman" w:eastAsia="宋体" w:cs="Times New Roman"/>
                <w:color w:val="000000"/>
                <w:spacing w:val="11"/>
                <w:position w:val="0"/>
                <w:sz w:val="24"/>
                <w:szCs w:val="24"/>
                <w:highlight w:val="none"/>
                <w:u w:val="single" w:color="auto"/>
                <w:lang w:val="en-US" w:eastAsia="zh-CN"/>
              </w:rPr>
              <w:t>1.44</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val="en-US" w:eastAsia="zh-CN"/>
              </w:rPr>
              <w:t>432</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。此部分污水水质较为简单，主要水污染物为COD、氨氮、BOD</w:t>
            </w:r>
            <w:r>
              <w:rPr>
                <w:rFonts w:hint="default" w:ascii="Times New Roman" w:hAnsi="Times New Roman" w:eastAsia="宋体" w:cs="Times New Roman"/>
                <w:color w:val="000000"/>
                <w:spacing w:val="11"/>
                <w:position w:val="0"/>
                <w:sz w:val="24"/>
                <w:szCs w:val="24"/>
                <w:highlight w:val="none"/>
                <w:u w:val="single" w:color="auto"/>
                <w:vertAlign w:val="subscript"/>
                <w:lang w:val="en-US" w:eastAsia="zh-CN"/>
              </w:rPr>
              <w:t>5</w:t>
            </w:r>
            <w:r>
              <w:rPr>
                <w:rFonts w:hint="default" w:ascii="Times New Roman" w:hAnsi="Times New Roman" w:eastAsia="宋体" w:cs="Times New Roman"/>
                <w:color w:val="000000"/>
                <w:spacing w:val="11"/>
                <w:position w:val="0"/>
                <w:sz w:val="24"/>
                <w:szCs w:val="24"/>
                <w:highlight w:val="none"/>
                <w:u w:val="single" w:color="auto"/>
                <w:lang w:val="en-US" w:eastAsia="zh-CN"/>
              </w:rPr>
              <w:t>、SS等。拟依托现有工程化粪池处理后用于矿区周边农田施肥，不外排，不会对周边环境带来明显影响。通过类比分析，项目废水污染物产排源强如下。</w:t>
            </w:r>
          </w:p>
          <w:p w14:paraId="6A6E49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single" w:color="auto"/>
              </w:rPr>
            </w:pPr>
            <w:r>
              <w:rPr>
                <w:rFonts w:hint="default" w:ascii="Times New Roman" w:hAnsi="Times New Roman" w:eastAsia="宋体" w:cs="Times New Roman"/>
                <w:b/>
                <w:color w:val="000000"/>
                <w:spacing w:val="11"/>
                <w:position w:val="0"/>
                <w:sz w:val="21"/>
                <w:szCs w:val="21"/>
                <w:highlight w:val="none"/>
                <w:u w:val="single" w:color="auto"/>
              </w:rPr>
              <w:t>表</w:t>
            </w:r>
            <w:r>
              <w:rPr>
                <w:rFonts w:hint="eastAsia" w:ascii="Times New Roman" w:hAnsi="Times New Roman" w:eastAsia="宋体" w:cs="Times New Roman"/>
                <w:b/>
                <w:color w:val="000000"/>
                <w:spacing w:val="11"/>
                <w:position w:val="0"/>
                <w:sz w:val="21"/>
                <w:szCs w:val="21"/>
                <w:highlight w:val="none"/>
                <w:u w:val="single" w:color="auto"/>
                <w:lang w:val="en-US" w:eastAsia="zh-CN"/>
              </w:rPr>
              <w:t>4-2</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废水污染物源强核算一览表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1031"/>
              <w:gridCol w:w="915"/>
              <w:gridCol w:w="915"/>
              <w:gridCol w:w="881"/>
              <w:gridCol w:w="851"/>
              <w:gridCol w:w="1016"/>
            </w:tblGrid>
            <w:tr w14:paraId="7215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vMerge w:val="restart"/>
                  <w:tcBorders>
                    <w:tl2br w:val="nil"/>
                    <w:tr2bl w:val="nil"/>
                  </w:tcBorders>
                  <w:noWrap w:val="0"/>
                  <w:vAlign w:val="center"/>
                </w:tcPr>
                <w:p w14:paraId="76801778">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生活污水</w:t>
                  </w:r>
                </w:p>
              </w:tc>
              <w:tc>
                <w:tcPr>
                  <w:tcW w:w="650" w:type="pct"/>
                  <w:vMerge w:val="restart"/>
                  <w:tcBorders>
                    <w:tl2br w:val="nil"/>
                    <w:tr2bl w:val="nil"/>
                  </w:tcBorders>
                  <w:noWrap w:val="0"/>
                  <w:vAlign w:val="center"/>
                </w:tcPr>
                <w:p w14:paraId="398B7DF5">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废水量（m</w:t>
                  </w:r>
                  <w:r>
                    <w:rPr>
                      <w:rFonts w:hint="default" w:ascii="Times New Roman" w:hAnsi="Times New Roman" w:eastAsia="宋体" w:cs="Times New Roman"/>
                      <w:b w:val="0"/>
                      <w:bCs w:val="0"/>
                      <w:color w:val="000000"/>
                      <w:spacing w:val="11"/>
                      <w:position w:val="0"/>
                      <w:sz w:val="21"/>
                      <w:szCs w:val="21"/>
                      <w:u w:val="single" w:color="auto"/>
                      <w:vertAlign w:val="superscript"/>
                    </w:rPr>
                    <w:t>3</w:t>
                  </w:r>
                  <w:r>
                    <w:rPr>
                      <w:rFonts w:hint="default" w:ascii="Times New Roman" w:hAnsi="Times New Roman" w:eastAsia="宋体" w:cs="Times New Roman"/>
                      <w:b w:val="0"/>
                      <w:bCs w:val="0"/>
                      <w:color w:val="000000"/>
                      <w:spacing w:val="11"/>
                      <w:position w:val="0"/>
                      <w:sz w:val="21"/>
                      <w:szCs w:val="21"/>
                      <w:u w:val="single" w:color="auto"/>
                    </w:rPr>
                    <w:t>/a）</w:t>
                  </w:r>
                </w:p>
              </w:tc>
              <w:tc>
                <w:tcPr>
                  <w:tcW w:w="2889" w:type="pct"/>
                  <w:gridSpan w:val="5"/>
                  <w:tcBorders>
                    <w:tl2br w:val="nil"/>
                    <w:tr2bl w:val="nil"/>
                  </w:tcBorders>
                  <w:noWrap w:val="0"/>
                  <w:vAlign w:val="center"/>
                </w:tcPr>
                <w:p w14:paraId="6D1F9045">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污染因子</w:t>
                  </w:r>
                </w:p>
              </w:tc>
            </w:tr>
            <w:tr w14:paraId="5D72F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vMerge w:val="continue"/>
                  <w:tcBorders>
                    <w:tl2br w:val="nil"/>
                    <w:tr2bl w:val="nil"/>
                  </w:tcBorders>
                  <w:noWrap w:val="0"/>
                  <w:vAlign w:val="center"/>
                </w:tcPr>
                <w:p w14:paraId="4A282D92">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p>
              </w:tc>
              <w:tc>
                <w:tcPr>
                  <w:tcW w:w="650" w:type="pct"/>
                  <w:vMerge w:val="continue"/>
                  <w:tcBorders>
                    <w:tl2br w:val="nil"/>
                    <w:tr2bl w:val="nil"/>
                  </w:tcBorders>
                  <w:noWrap w:val="0"/>
                  <w:vAlign w:val="center"/>
                </w:tcPr>
                <w:p w14:paraId="66818692">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p>
              </w:tc>
              <w:tc>
                <w:tcPr>
                  <w:tcW w:w="577" w:type="pct"/>
                  <w:tcBorders>
                    <w:tl2br w:val="nil"/>
                    <w:tr2bl w:val="nil"/>
                  </w:tcBorders>
                  <w:noWrap w:val="0"/>
                  <w:vAlign w:val="center"/>
                </w:tcPr>
                <w:p w14:paraId="13F60981">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COD</w:t>
                  </w:r>
                  <w:r>
                    <w:rPr>
                      <w:rFonts w:hint="default" w:ascii="Times New Roman" w:hAnsi="Times New Roman" w:eastAsia="宋体" w:cs="Times New Roman"/>
                      <w:b w:val="0"/>
                      <w:bCs w:val="0"/>
                      <w:color w:val="000000"/>
                      <w:spacing w:val="11"/>
                      <w:position w:val="0"/>
                      <w:sz w:val="21"/>
                      <w:szCs w:val="21"/>
                      <w:u w:val="single" w:color="auto"/>
                      <w:vertAlign w:val="subscript"/>
                    </w:rPr>
                    <w:t>cr</w:t>
                  </w:r>
                </w:p>
              </w:tc>
              <w:tc>
                <w:tcPr>
                  <w:tcW w:w="577" w:type="pct"/>
                  <w:tcBorders>
                    <w:tl2br w:val="nil"/>
                    <w:tr2bl w:val="nil"/>
                  </w:tcBorders>
                  <w:noWrap w:val="0"/>
                  <w:vAlign w:val="center"/>
                </w:tcPr>
                <w:p w14:paraId="52E323F0">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BOD</w:t>
                  </w:r>
                  <w:r>
                    <w:rPr>
                      <w:rFonts w:hint="default" w:ascii="Times New Roman" w:hAnsi="Times New Roman" w:eastAsia="宋体" w:cs="Times New Roman"/>
                      <w:b w:val="0"/>
                      <w:bCs w:val="0"/>
                      <w:color w:val="000000"/>
                      <w:spacing w:val="11"/>
                      <w:position w:val="0"/>
                      <w:sz w:val="21"/>
                      <w:szCs w:val="21"/>
                      <w:u w:val="single" w:color="auto"/>
                      <w:vertAlign w:val="subscript"/>
                    </w:rPr>
                    <w:t>5</w:t>
                  </w:r>
                </w:p>
              </w:tc>
              <w:tc>
                <w:tcPr>
                  <w:tcW w:w="555" w:type="pct"/>
                  <w:tcBorders>
                    <w:tl2br w:val="nil"/>
                    <w:tr2bl w:val="nil"/>
                  </w:tcBorders>
                  <w:noWrap w:val="0"/>
                  <w:vAlign w:val="center"/>
                </w:tcPr>
                <w:p w14:paraId="1329FF9B">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SS</w:t>
                  </w:r>
                </w:p>
              </w:tc>
              <w:tc>
                <w:tcPr>
                  <w:tcW w:w="537" w:type="pct"/>
                  <w:tcBorders>
                    <w:tl2br w:val="nil"/>
                    <w:tr2bl w:val="nil"/>
                  </w:tcBorders>
                  <w:noWrap w:val="0"/>
                  <w:vAlign w:val="center"/>
                </w:tcPr>
                <w:p w14:paraId="5FC9AA31">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动植物油</w:t>
                  </w:r>
                </w:p>
              </w:tc>
              <w:tc>
                <w:tcPr>
                  <w:tcW w:w="641" w:type="pct"/>
                  <w:tcBorders>
                    <w:tl2br w:val="nil"/>
                    <w:tr2bl w:val="nil"/>
                  </w:tcBorders>
                  <w:noWrap w:val="0"/>
                  <w:vAlign w:val="center"/>
                </w:tcPr>
                <w:p w14:paraId="269F26D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氨氮</w:t>
                  </w:r>
                </w:p>
              </w:tc>
            </w:tr>
            <w:tr w14:paraId="61063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14:paraId="5E3C75B0">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产生浓度（</w:t>
                  </w:r>
                  <w:r>
                    <w:rPr>
                      <w:rFonts w:hint="default" w:ascii="Times New Roman" w:hAnsi="Times New Roman" w:eastAsia="宋体" w:cs="Times New Roman"/>
                      <w:bCs/>
                      <w:color w:val="000000"/>
                      <w:spacing w:val="11"/>
                      <w:position w:val="0"/>
                      <w:sz w:val="21"/>
                      <w:szCs w:val="21"/>
                      <w:u w:val="single" w:color="auto"/>
                    </w:rPr>
                    <w:t>mg/L）</w:t>
                  </w:r>
                </w:p>
              </w:tc>
              <w:tc>
                <w:tcPr>
                  <w:tcW w:w="650" w:type="pct"/>
                  <w:vMerge w:val="restart"/>
                  <w:tcBorders>
                    <w:tl2br w:val="nil"/>
                    <w:tr2bl w:val="nil"/>
                  </w:tcBorders>
                  <w:noWrap w:val="0"/>
                  <w:vAlign w:val="center"/>
                </w:tcPr>
                <w:p w14:paraId="4F2A88AC">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432</w:t>
                  </w:r>
                </w:p>
              </w:tc>
              <w:tc>
                <w:tcPr>
                  <w:tcW w:w="577" w:type="pct"/>
                  <w:tcBorders>
                    <w:tl2br w:val="nil"/>
                    <w:tr2bl w:val="nil"/>
                  </w:tcBorders>
                  <w:noWrap w:val="0"/>
                  <w:vAlign w:val="center"/>
                </w:tcPr>
                <w:p w14:paraId="2E6ED59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3</w:t>
                  </w:r>
                  <w:r>
                    <w:rPr>
                      <w:rFonts w:hint="eastAsia" w:ascii="Times New Roman" w:hAnsi="Times New Roman" w:eastAsia="宋体" w:cs="Times New Roman"/>
                      <w:color w:val="000000"/>
                      <w:spacing w:val="11"/>
                      <w:position w:val="0"/>
                      <w:sz w:val="21"/>
                      <w:szCs w:val="21"/>
                      <w:u w:val="single" w:color="auto"/>
                      <w:lang w:val="en-US" w:eastAsia="zh-CN"/>
                    </w:rPr>
                    <w:t>50</w:t>
                  </w:r>
                </w:p>
              </w:tc>
              <w:tc>
                <w:tcPr>
                  <w:tcW w:w="577" w:type="pct"/>
                  <w:tcBorders>
                    <w:tl2br w:val="nil"/>
                    <w:tr2bl w:val="nil"/>
                  </w:tcBorders>
                  <w:noWrap w:val="0"/>
                  <w:vAlign w:val="center"/>
                </w:tcPr>
                <w:p w14:paraId="137F67CB">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200</w:t>
                  </w:r>
                </w:p>
              </w:tc>
              <w:tc>
                <w:tcPr>
                  <w:tcW w:w="555" w:type="pct"/>
                  <w:tcBorders>
                    <w:tl2br w:val="nil"/>
                    <w:tr2bl w:val="nil"/>
                  </w:tcBorders>
                  <w:noWrap w:val="0"/>
                  <w:vAlign w:val="center"/>
                </w:tcPr>
                <w:p w14:paraId="0CAB0D4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15</w:t>
                  </w:r>
                  <w:r>
                    <w:rPr>
                      <w:rFonts w:hint="default" w:ascii="Times New Roman" w:hAnsi="Times New Roman" w:eastAsia="宋体" w:cs="Times New Roman"/>
                      <w:color w:val="000000"/>
                      <w:spacing w:val="11"/>
                      <w:position w:val="0"/>
                      <w:sz w:val="21"/>
                      <w:szCs w:val="21"/>
                      <w:u w:val="single" w:color="auto"/>
                      <w:lang w:val="en-US" w:eastAsia="zh-CN"/>
                    </w:rPr>
                    <w:t>0</w:t>
                  </w:r>
                </w:p>
              </w:tc>
              <w:tc>
                <w:tcPr>
                  <w:tcW w:w="537" w:type="pct"/>
                  <w:tcBorders>
                    <w:tl2br w:val="nil"/>
                    <w:tr2bl w:val="nil"/>
                  </w:tcBorders>
                  <w:noWrap w:val="0"/>
                  <w:vAlign w:val="center"/>
                </w:tcPr>
                <w:p w14:paraId="0EF437E1">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25</w:t>
                  </w:r>
                </w:p>
              </w:tc>
              <w:tc>
                <w:tcPr>
                  <w:tcW w:w="641" w:type="pct"/>
                  <w:tcBorders>
                    <w:tl2br w:val="nil"/>
                    <w:tr2bl w:val="nil"/>
                  </w:tcBorders>
                  <w:noWrap w:val="0"/>
                  <w:vAlign w:val="center"/>
                </w:tcPr>
                <w:p w14:paraId="2651DE7A">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40</w:t>
                  </w:r>
                </w:p>
              </w:tc>
            </w:tr>
            <w:tr w14:paraId="7DD2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14:paraId="36EF2EF6">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污染物产生量（t/a）</w:t>
                  </w:r>
                </w:p>
              </w:tc>
              <w:tc>
                <w:tcPr>
                  <w:tcW w:w="650" w:type="pct"/>
                  <w:vMerge w:val="continue"/>
                  <w:tcBorders>
                    <w:tl2br w:val="nil"/>
                    <w:tr2bl w:val="nil"/>
                  </w:tcBorders>
                  <w:noWrap w:val="0"/>
                  <w:vAlign w:val="center"/>
                </w:tcPr>
                <w:p w14:paraId="20444EF4">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shd w:val="clear" w:color="auto" w:fill="auto"/>
                  <w:noWrap w:val="0"/>
                  <w:vAlign w:val="center"/>
                </w:tcPr>
                <w:p w14:paraId="4C645797">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0.1512</w:t>
                  </w:r>
                </w:p>
              </w:tc>
              <w:tc>
                <w:tcPr>
                  <w:tcW w:w="577" w:type="pct"/>
                  <w:tcBorders>
                    <w:tl2br w:val="nil"/>
                    <w:tr2bl w:val="nil"/>
                  </w:tcBorders>
                  <w:shd w:val="clear" w:color="auto" w:fill="auto"/>
                  <w:noWrap w:val="0"/>
                  <w:vAlign w:val="center"/>
                </w:tcPr>
                <w:p w14:paraId="25FB9745">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55" w:type="pct"/>
                  <w:tcBorders>
                    <w:tl2br w:val="nil"/>
                    <w:tr2bl w:val="nil"/>
                  </w:tcBorders>
                  <w:shd w:val="clear" w:color="auto" w:fill="auto"/>
                  <w:noWrap w:val="0"/>
                  <w:vAlign w:val="center"/>
                </w:tcPr>
                <w:p w14:paraId="46A3DC1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0.0648</w:t>
                  </w:r>
                </w:p>
              </w:tc>
              <w:tc>
                <w:tcPr>
                  <w:tcW w:w="537" w:type="pct"/>
                  <w:tcBorders>
                    <w:tl2br w:val="nil"/>
                    <w:tr2bl w:val="nil"/>
                  </w:tcBorders>
                  <w:shd w:val="clear" w:color="auto" w:fill="auto"/>
                  <w:noWrap w:val="0"/>
                  <w:vAlign w:val="center"/>
                </w:tcPr>
                <w:p w14:paraId="372825C0">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0.0108</w:t>
                  </w:r>
                </w:p>
              </w:tc>
              <w:tc>
                <w:tcPr>
                  <w:tcW w:w="641" w:type="pct"/>
                  <w:tcBorders>
                    <w:tl2br w:val="nil"/>
                    <w:tr2bl w:val="nil"/>
                  </w:tcBorders>
                  <w:shd w:val="clear" w:color="auto" w:fill="auto"/>
                  <w:noWrap w:val="0"/>
                  <w:vAlign w:val="center"/>
                </w:tcPr>
                <w:p w14:paraId="79619AA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0.01728</w:t>
                  </w:r>
                </w:p>
              </w:tc>
            </w:tr>
            <w:tr w14:paraId="6407E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14:paraId="35748C5B">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eastAsia="zh-CN"/>
                    </w:rPr>
                  </w:pPr>
                  <w:r>
                    <w:rPr>
                      <w:rFonts w:hint="default" w:ascii="Times New Roman" w:hAnsi="Times New Roman" w:eastAsia="宋体" w:cs="Times New Roman"/>
                      <w:color w:val="000000"/>
                      <w:spacing w:val="11"/>
                      <w:position w:val="0"/>
                      <w:sz w:val="21"/>
                      <w:szCs w:val="21"/>
                      <w:u w:val="single" w:color="auto"/>
                      <w:lang w:val="en-US" w:eastAsia="zh-CN"/>
                    </w:rPr>
                    <w:t>处理后污染物</w:t>
                  </w:r>
                  <w:r>
                    <w:rPr>
                      <w:rFonts w:hint="default" w:ascii="Times New Roman" w:hAnsi="Times New Roman" w:eastAsia="宋体" w:cs="Times New Roman"/>
                      <w:color w:val="000000"/>
                      <w:spacing w:val="11"/>
                      <w:position w:val="0"/>
                      <w:sz w:val="21"/>
                      <w:szCs w:val="21"/>
                      <w:u w:val="single" w:color="auto"/>
                    </w:rPr>
                    <w:t>浓度（</w:t>
                  </w:r>
                  <w:r>
                    <w:rPr>
                      <w:rFonts w:hint="default" w:ascii="Times New Roman" w:hAnsi="Times New Roman" w:eastAsia="宋体" w:cs="Times New Roman"/>
                      <w:bCs/>
                      <w:color w:val="000000"/>
                      <w:spacing w:val="11"/>
                      <w:position w:val="0"/>
                      <w:sz w:val="21"/>
                      <w:szCs w:val="21"/>
                      <w:u w:val="single" w:color="auto"/>
                    </w:rPr>
                    <w:t>mg/L）</w:t>
                  </w:r>
                </w:p>
              </w:tc>
              <w:tc>
                <w:tcPr>
                  <w:tcW w:w="650" w:type="pct"/>
                  <w:vMerge w:val="continue"/>
                  <w:tcBorders>
                    <w:tl2br w:val="nil"/>
                    <w:tr2bl w:val="nil"/>
                  </w:tcBorders>
                  <w:noWrap w:val="0"/>
                  <w:vAlign w:val="center"/>
                </w:tcPr>
                <w:p w14:paraId="53D8DBED">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noWrap w:val="0"/>
                  <w:vAlign w:val="center"/>
                </w:tcPr>
                <w:p w14:paraId="1095DEE0">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200</w:t>
                  </w:r>
                </w:p>
              </w:tc>
              <w:tc>
                <w:tcPr>
                  <w:tcW w:w="577" w:type="pct"/>
                  <w:tcBorders>
                    <w:tl2br w:val="nil"/>
                    <w:tr2bl w:val="nil"/>
                  </w:tcBorders>
                  <w:noWrap w:val="0"/>
                  <w:vAlign w:val="center"/>
                </w:tcPr>
                <w:p w14:paraId="54C9BE92">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100</w:t>
                  </w:r>
                </w:p>
              </w:tc>
              <w:tc>
                <w:tcPr>
                  <w:tcW w:w="555" w:type="pct"/>
                  <w:tcBorders>
                    <w:tl2br w:val="nil"/>
                    <w:tr2bl w:val="nil"/>
                  </w:tcBorders>
                  <w:noWrap w:val="0"/>
                  <w:vAlign w:val="center"/>
                </w:tcPr>
                <w:p w14:paraId="650F84DA">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200</w:t>
                  </w:r>
                </w:p>
              </w:tc>
              <w:tc>
                <w:tcPr>
                  <w:tcW w:w="537" w:type="pct"/>
                  <w:tcBorders>
                    <w:tl2br w:val="nil"/>
                    <w:tr2bl w:val="nil"/>
                  </w:tcBorders>
                  <w:noWrap w:val="0"/>
                  <w:vAlign w:val="center"/>
                </w:tcPr>
                <w:p w14:paraId="1ADE8A70">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18</w:t>
                  </w:r>
                </w:p>
              </w:tc>
              <w:tc>
                <w:tcPr>
                  <w:tcW w:w="641" w:type="pct"/>
                  <w:tcBorders>
                    <w:tl2br w:val="nil"/>
                    <w:tr2bl w:val="nil"/>
                  </w:tcBorders>
                  <w:noWrap w:val="0"/>
                  <w:vAlign w:val="center"/>
                </w:tcPr>
                <w:p w14:paraId="7E18928F">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w:t>
                  </w:r>
                </w:p>
              </w:tc>
            </w:tr>
            <w:tr w14:paraId="7E142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14:paraId="314B5971">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eastAsia="zh-CN"/>
                    </w:rPr>
                  </w:pPr>
                  <w:r>
                    <w:rPr>
                      <w:rFonts w:hint="default" w:ascii="Times New Roman" w:hAnsi="Times New Roman" w:eastAsia="宋体" w:cs="Times New Roman"/>
                      <w:color w:val="000000"/>
                      <w:spacing w:val="11"/>
                      <w:position w:val="0"/>
                      <w:sz w:val="21"/>
                      <w:szCs w:val="21"/>
                      <w:u w:val="single" w:color="auto"/>
                      <w:lang w:val="en-US" w:eastAsia="zh-CN"/>
                    </w:rPr>
                    <w:t>处理后</w:t>
                  </w:r>
                  <w:r>
                    <w:rPr>
                      <w:rFonts w:hint="default" w:ascii="Times New Roman" w:hAnsi="Times New Roman" w:eastAsia="宋体" w:cs="Times New Roman"/>
                      <w:color w:val="000000"/>
                      <w:spacing w:val="11"/>
                      <w:position w:val="0"/>
                      <w:sz w:val="21"/>
                      <w:szCs w:val="21"/>
                      <w:u w:val="single" w:color="auto"/>
                    </w:rPr>
                    <w:t>污染物</w:t>
                  </w:r>
                  <w:r>
                    <w:rPr>
                      <w:rFonts w:hint="default" w:ascii="Times New Roman" w:hAnsi="Times New Roman" w:eastAsia="宋体" w:cs="Times New Roman"/>
                      <w:color w:val="000000"/>
                      <w:spacing w:val="11"/>
                      <w:position w:val="0"/>
                      <w:sz w:val="21"/>
                      <w:szCs w:val="21"/>
                      <w:u w:val="single" w:color="auto"/>
                      <w:lang w:val="en-US" w:eastAsia="zh-CN"/>
                    </w:rPr>
                    <w:t>含</w:t>
                  </w:r>
                  <w:r>
                    <w:rPr>
                      <w:rFonts w:hint="default" w:ascii="Times New Roman" w:hAnsi="Times New Roman" w:eastAsia="宋体" w:cs="Times New Roman"/>
                      <w:color w:val="000000"/>
                      <w:spacing w:val="11"/>
                      <w:position w:val="0"/>
                      <w:sz w:val="21"/>
                      <w:szCs w:val="21"/>
                      <w:u w:val="single" w:color="auto"/>
                    </w:rPr>
                    <w:t>量（t/a）</w:t>
                  </w:r>
                </w:p>
              </w:tc>
              <w:tc>
                <w:tcPr>
                  <w:tcW w:w="650" w:type="pct"/>
                  <w:vMerge w:val="continue"/>
                  <w:tcBorders>
                    <w:tl2br w:val="nil"/>
                    <w:tr2bl w:val="nil"/>
                  </w:tcBorders>
                  <w:noWrap w:val="0"/>
                  <w:vAlign w:val="center"/>
                </w:tcPr>
                <w:p w14:paraId="32AE3F9B">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shd w:val="clear" w:color="auto" w:fill="auto"/>
                  <w:noWrap w:val="0"/>
                  <w:vAlign w:val="center"/>
                </w:tcPr>
                <w:p w14:paraId="17778F68">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77" w:type="pct"/>
                  <w:tcBorders>
                    <w:tl2br w:val="nil"/>
                    <w:tr2bl w:val="nil"/>
                  </w:tcBorders>
                  <w:shd w:val="clear" w:color="auto" w:fill="auto"/>
                  <w:noWrap w:val="0"/>
                  <w:vAlign w:val="center"/>
                </w:tcPr>
                <w:p w14:paraId="43FD0029">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0.0432</w:t>
                  </w:r>
                </w:p>
              </w:tc>
              <w:tc>
                <w:tcPr>
                  <w:tcW w:w="555" w:type="pct"/>
                  <w:tcBorders>
                    <w:tl2br w:val="nil"/>
                    <w:tr2bl w:val="nil"/>
                  </w:tcBorders>
                  <w:shd w:val="clear" w:color="auto" w:fill="auto"/>
                  <w:noWrap w:val="0"/>
                  <w:vAlign w:val="center"/>
                </w:tcPr>
                <w:p w14:paraId="548ED9DA">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37" w:type="pct"/>
                  <w:tcBorders>
                    <w:tl2br w:val="nil"/>
                    <w:tr2bl w:val="nil"/>
                  </w:tcBorders>
                  <w:shd w:val="clear" w:color="auto" w:fill="auto"/>
                  <w:noWrap w:val="0"/>
                  <w:vAlign w:val="center"/>
                </w:tcPr>
                <w:p w14:paraId="010123DD">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0.007776</w:t>
                  </w:r>
                </w:p>
              </w:tc>
              <w:tc>
                <w:tcPr>
                  <w:tcW w:w="641" w:type="pct"/>
                  <w:tcBorders>
                    <w:tl2br w:val="nil"/>
                    <w:tr2bl w:val="nil"/>
                  </w:tcBorders>
                  <w:shd w:val="clear" w:color="auto" w:fill="auto"/>
                  <w:noWrap w:val="0"/>
                  <w:vAlign w:val="center"/>
                </w:tcPr>
                <w:p w14:paraId="0AF033E5">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0.00864</w:t>
                  </w:r>
                </w:p>
              </w:tc>
            </w:tr>
          </w:tbl>
          <w:p w14:paraId="67C28AC6">
            <w:pPr>
              <w:keepNext w:val="0"/>
              <w:keepLines w:val="0"/>
              <w:pageBreakBefore w:val="0"/>
              <w:widowControl w:val="0"/>
              <w:tabs>
                <w:tab w:val="left" w:pos="6298"/>
              </w:tabs>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项目位于农村地区，项目周边农地面积广阔，且项目生活污水产生量较少，故区域农地完全具备消纳此部分污水的能力。结合上表污染物核算结果可知，生活污水水质简单，经化粪池处理后，能够满足农地消纳要求，故评价认为，生活污水回用于农地，能够满足环保要求，措施可行。</w:t>
            </w:r>
          </w:p>
          <w:p w14:paraId="7D1F4C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eastAsia" w:ascii="Times New Roman" w:hAnsi="Times New Roman" w:eastAsia="宋体" w:cs="Times New Roman"/>
                <w:b w:val="0"/>
                <w:bCs w:val="0"/>
                <w:color w:val="000000"/>
                <w:spacing w:val="11"/>
                <w:position w:val="0"/>
                <w:sz w:val="24"/>
                <w:szCs w:val="24"/>
                <w:u w:val="single" w:color="auto"/>
                <w:lang w:eastAsia="zh-CN"/>
              </w:rPr>
              <w:t>（</w:t>
            </w:r>
            <w:r>
              <w:rPr>
                <w:rFonts w:hint="eastAsia" w:cs="Times New Roman"/>
                <w:b w:val="0"/>
                <w:bCs w:val="0"/>
                <w:color w:val="000000"/>
                <w:spacing w:val="11"/>
                <w:position w:val="0"/>
                <w:sz w:val="24"/>
                <w:szCs w:val="24"/>
                <w:u w:val="single" w:color="auto"/>
                <w:lang w:val="en-US" w:eastAsia="zh-CN"/>
              </w:rPr>
              <w:t>5</w:t>
            </w:r>
            <w:r>
              <w:rPr>
                <w:rFonts w:hint="eastAsia" w:ascii="Times New Roman" w:hAnsi="Times New Roman" w:eastAsia="宋体" w:cs="Times New Roman"/>
                <w:b w:val="0"/>
                <w:bCs w:val="0"/>
                <w:color w:val="000000"/>
                <w:spacing w:val="11"/>
                <w:position w:val="0"/>
                <w:sz w:val="24"/>
                <w:szCs w:val="24"/>
                <w:u w:val="single" w:color="auto"/>
                <w:lang w:val="en-US" w:eastAsia="zh-CN"/>
              </w:rPr>
              <w:t>）水稳拌合用水</w:t>
            </w:r>
          </w:p>
          <w:p w14:paraId="7507FB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eastAsia="zh-CN"/>
              </w:rPr>
            </w:pPr>
            <w:r>
              <w:rPr>
                <w:rFonts w:hint="default" w:ascii="Times New Roman" w:hAnsi="Times New Roman" w:eastAsia="宋体" w:cs="Times New Roman"/>
                <w:b w:val="0"/>
                <w:bCs w:val="0"/>
                <w:color w:val="000000"/>
                <w:spacing w:val="11"/>
                <w:position w:val="0"/>
                <w:sz w:val="24"/>
                <w:szCs w:val="24"/>
                <w:u w:val="single" w:color="auto"/>
                <w:lang w:eastAsia="zh-CN"/>
              </w:rPr>
              <w:t>根据</w:t>
            </w:r>
            <w:r>
              <w:rPr>
                <w:rFonts w:hint="eastAsia" w:ascii="Times New Roman" w:hAnsi="Times New Roman" w:eastAsia="宋体" w:cs="Times New Roman"/>
                <w:b w:val="0"/>
                <w:bCs w:val="0"/>
                <w:color w:val="000000"/>
                <w:spacing w:val="11"/>
                <w:position w:val="0"/>
                <w:sz w:val="24"/>
                <w:szCs w:val="24"/>
                <w:u w:val="single" w:color="auto"/>
                <w:lang w:val="en-US" w:eastAsia="zh-CN"/>
              </w:rPr>
              <w:t>企业提供相关资料</w:t>
            </w:r>
            <w:r>
              <w:rPr>
                <w:rFonts w:hint="default" w:ascii="Times New Roman" w:hAnsi="Times New Roman" w:eastAsia="宋体" w:cs="Times New Roman"/>
                <w:b w:val="0"/>
                <w:bCs w:val="0"/>
                <w:color w:val="000000"/>
                <w:spacing w:val="11"/>
                <w:position w:val="0"/>
                <w:sz w:val="24"/>
                <w:szCs w:val="24"/>
                <w:u w:val="single" w:color="auto"/>
                <w:lang w:eastAsia="zh-CN"/>
              </w:rPr>
              <w:t>，搅拌过程用水量为水稳碎石拌合料</w:t>
            </w:r>
            <w:r>
              <w:rPr>
                <w:rFonts w:hint="default" w:ascii="Times New Roman" w:hAnsi="Times New Roman" w:eastAsia="宋体" w:cs="Times New Roman"/>
                <w:b w:val="0"/>
                <w:bCs w:val="0"/>
                <w:color w:val="000000"/>
                <w:spacing w:val="11"/>
                <w:position w:val="0"/>
                <w:sz w:val="24"/>
                <w:szCs w:val="24"/>
                <w:u w:val="single" w:color="auto"/>
                <w:lang w:val="en-US" w:eastAsia="zh-CN"/>
              </w:rPr>
              <w:t>重量的5%</w:t>
            </w:r>
            <w:r>
              <w:rPr>
                <w:rFonts w:hint="default" w:ascii="Times New Roman" w:hAnsi="Times New Roman" w:eastAsia="宋体" w:cs="Times New Roman"/>
                <w:b w:val="0"/>
                <w:bCs w:val="0"/>
                <w:color w:val="000000"/>
                <w:spacing w:val="11"/>
                <w:position w:val="0"/>
                <w:sz w:val="24"/>
                <w:szCs w:val="24"/>
                <w:u w:val="single" w:color="auto"/>
                <w:lang w:eastAsia="zh-CN"/>
              </w:rPr>
              <w:t>，本项目水稳碎石拌合料生产能力为</w:t>
            </w:r>
            <w:r>
              <w:rPr>
                <w:rFonts w:hint="eastAsia" w:ascii="Times New Roman" w:hAnsi="Times New Roman" w:eastAsia="宋体" w:cs="Times New Roman"/>
                <w:b w:val="0"/>
                <w:bCs w:val="0"/>
                <w:color w:val="000000"/>
                <w:spacing w:val="11"/>
                <w:position w:val="0"/>
                <w:sz w:val="24"/>
                <w:szCs w:val="24"/>
                <w:u w:val="single" w:color="auto"/>
                <w:lang w:val="en-US" w:eastAsia="zh-CN"/>
              </w:rPr>
              <w:t>600t</w:t>
            </w:r>
            <w:r>
              <w:rPr>
                <w:rFonts w:hint="default" w:ascii="Times New Roman" w:hAnsi="Times New Roman" w:eastAsia="宋体" w:cs="Times New Roman"/>
                <w:b w:val="0"/>
                <w:bCs w:val="0"/>
                <w:color w:val="000000"/>
                <w:spacing w:val="11"/>
                <w:position w:val="0"/>
                <w:sz w:val="24"/>
                <w:szCs w:val="24"/>
                <w:u w:val="single" w:color="auto"/>
                <w:lang w:eastAsia="zh-CN"/>
              </w:rPr>
              <w:t>/a，则搅拌用水量为</w:t>
            </w:r>
            <w:r>
              <w:rPr>
                <w:rFonts w:hint="eastAsia" w:ascii="Times New Roman" w:hAnsi="Times New Roman" w:eastAsia="宋体" w:cs="Times New Roman"/>
                <w:b w:val="0"/>
                <w:bCs w:val="0"/>
                <w:color w:val="000000"/>
                <w:spacing w:val="11"/>
                <w:position w:val="0"/>
                <w:sz w:val="24"/>
                <w:szCs w:val="24"/>
                <w:u w:val="single" w:color="auto"/>
                <w:lang w:val="en-US" w:eastAsia="zh-CN"/>
              </w:rPr>
              <w:t>3</w:t>
            </w:r>
            <w:r>
              <w:rPr>
                <w:rFonts w:hint="default" w:ascii="Times New Roman" w:hAnsi="Times New Roman" w:eastAsia="宋体" w:cs="Times New Roman"/>
                <w:b w:val="0"/>
                <w:bCs w:val="0"/>
                <w:color w:val="000000"/>
                <w:spacing w:val="11"/>
                <w:position w:val="0"/>
                <w:sz w:val="24"/>
                <w:szCs w:val="24"/>
                <w:u w:val="single" w:color="auto"/>
                <w:lang w:eastAsia="zh-CN"/>
              </w:rPr>
              <w:t>0m</w:t>
            </w:r>
            <w:r>
              <w:rPr>
                <w:rFonts w:hint="default" w:ascii="Times New Roman" w:hAnsi="Times New Roman" w:eastAsia="宋体" w:cs="Times New Roman"/>
                <w:b w:val="0"/>
                <w:bCs w:val="0"/>
                <w:color w:val="000000"/>
                <w:spacing w:val="11"/>
                <w:position w:val="0"/>
                <w:sz w:val="24"/>
                <w:szCs w:val="24"/>
                <w:u w:val="single" w:color="auto"/>
                <w:vertAlign w:val="superscript"/>
                <w:lang w:eastAsia="zh-CN"/>
              </w:rPr>
              <w:t>3</w:t>
            </w:r>
            <w:r>
              <w:rPr>
                <w:rFonts w:hint="default" w:ascii="Times New Roman" w:hAnsi="Times New Roman" w:eastAsia="宋体" w:cs="Times New Roman"/>
                <w:b w:val="0"/>
                <w:bCs w:val="0"/>
                <w:color w:val="000000"/>
                <w:spacing w:val="11"/>
                <w:position w:val="0"/>
                <w:sz w:val="24"/>
                <w:szCs w:val="24"/>
                <w:u w:val="single" w:color="auto"/>
                <w:lang w:eastAsia="zh-CN"/>
              </w:rPr>
              <w:t>/a</w:t>
            </w:r>
            <w:r>
              <w:rPr>
                <w:rFonts w:hint="eastAsia" w:ascii="Times New Roman" w:hAnsi="Times New Roman" w:eastAsia="宋体" w:cs="Times New Roman"/>
                <w:b w:val="0"/>
                <w:bCs w:val="0"/>
                <w:color w:val="000000"/>
                <w:spacing w:val="11"/>
                <w:position w:val="0"/>
                <w:sz w:val="24"/>
                <w:szCs w:val="24"/>
                <w:u w:val="single" w:color="auto"/>
                <w:lang w:eastAsia="zh-CN"/>
              </w:rPr>
              <w:t>，</w:t>
            </w:r>
            <w:r>
              <w:rPr>
                <w:rFonts w:hint="default" w:ascii="Times New Roman" w:hAnsi="Times New Roman" w:eastAsia="宋体" w:cs="Times New Roman"/>
                <w:b w:val="0"/>
                <w:bCs w:val="0"/>
                <w:color w:val="000000"/>
                <w:spacing w:val="11"/>
                <w:position w:val="0"/>
                <w:sz w:val="24"/>
                <w:szCs w:val="24"/>
                <w:u w:val="single" w:color="auto"/>
                <w:lang w:eastAsia="zh-CN"/>
              </w:rPr>
              <w:t>搅拌用水全部进入产品，无废水产生。</w:t>
            </w:r>
          </w:p>
          <w:p w14:paraId="02243C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eastAsia="zh-CN"/>
              </w:rPr>
            </w:pPr>
            <w:r>
              <w:rPr>
                <w:rFonts w:hint="default" w:ascii="Times New Roman" w:hAnsi="Times New Roman" w:eastAsia="宋体" w:cs="Times New Roman"/>
                <w:b w:val="0"/>
                <w:bCs w:val="0"/>
                <w:color w:val="000000"/>
                <w:spacing w:val="11"/>
                <w:position w:val="0"/>
                <w:sz w:val="24"/>
                <w:szCs w:val="24"/>
                <w:u w:val="single" w:color="auto"/>
                <w:lang w:eastAsia="zh-CN"/>
              </w:rPr>
              <w:t>（</w:t>
            </w:r>
            <w:r>
              <w:rPr>
                <w:rFonts w:hint="eastAsia" w:cs="Times New Roman"/>
                <w:b w:val="0"/>
                <w:bCs w:val="0"/>
                <w:color w:val="000000"/>
                <w:spacing w:val="11"/>
                <w:position w:val="0"/>
                <w:sz w:val="24"/>
                <w:szCs w:val="24"/>
                <w:u w:val="single" w:color="auto"/>
                <w:lang w:val="en-US" w:eastAsia="zh-CN"/>
              </w:rPr>
              <w:t>6</w:t>
            </w:r>
            <w:r>
              <w:rPr>
                <w:rFonts w:hint="default" w:ascii="Times New Roman" w:hAnsi="Times New Roman" w:eastAsia="宋体" w:cs="Times New Roman"/>
                <w:b w:val="0"/>
                <w:bCs w:val="0"/>
                <w:color w:val="000000"/>
                <w:spacing w:val="11"/>
                <w:position w:val="0"/>
                <w:sz w:val="24"/>
                <w:szCs w:val="24"/>
                <w:u w:val="single" w:color="auto"/>
                <w:lang w:eastAsia="zh-CN"/>
              </w:rPr>
              <w:t>）初期雨水</w:t>
            </w:r>
          </w:p>
          <w:p w14:paraId="27D322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en-US" w:eastAsia="zh-CN"/>
              </w:rPr>
              <w:t>初期雨水中主要污染物为SS，没有重金属成分</w:t>
            </w:r>
            <w:r>
              <w:rPr>
                <w:rFonts w:hint="eastAsia" w:ascii="Times New Roman" w:hAnsi="Times New Roman" w:eastAsia="宋体" w:cs="Times New Roman"/>
                <w:spacing w:val="11"/>
                <w:position w:val="0"/>
                <w:sz w:val="24"/>
                <w:szCs w:val="24"/>
                <w:u w:val="single" w:color="auto"/>
                <w:lang w:val="en-US" w:eastAsia="zh-CN"/>
              </w:rPr>
              <w:t>。</w:t>
            </w:r>
            <w:r>
              <w:rPr>
                <w:rFonts w:hint="default" w:ascii="Times New Roman" w:hAnsi="Times New Roman" w:eastAsia="宋体" w:cs="Times New Roman"/>
                <w:spacing w:val="11"/>
                <w:position w:val="0"/>
                <w:sz w:val="24"/>
                <w:szCs w:val="24"/>
                <w:u w:val="single" w:color="auto"/>
              </w:rPr>
              <w:t>当在一定的降雨强</w:t>
            </w:r>
            <w:r>
              <w:rPr>
                <w:rFonts w:hint="eastAsia" w:ascii="宋体" w:hAnsi="宋体" w:eastAsia="宋体" w:cs="宋体"/>
                <w:spacing w:val="11"/>
                <w:position w:val="0"/>
                <w:sz w:val="24"/>
                <w:szCs w:val="24"/>
                <w:u w:val="single" w:color="auto"/>
              </w:rPr>
              <w:t>度和降雨历时条件下降雨形成一定量的雨水。项目厂区排水方式为</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雨污分流</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w:t>
            </w:r>
            <w:r>
              <w:rPr>
                <w:rFonts w:hint="default" w:ascii="Times New Roman" w:hAnsi="Times New Roman" w:eastAsia="宋体" w:cs="Times New Roman"/>
                <w:spacing w:val="11"/>
                <w:position w:val="0"/>
                <w:sz w:val="24"/>
                <w:szCs w:val="24"/>
                <w:u w:val="single" w:color="auto"/>
              </w:rPr>
              <w:t>设置专门雨水沟。本项目初期雨水收集范围为</w:t>
            </w:r>
            <w:r>
              <w:rPr>
                <w:rFonts w:hint="eastAsia" w:ascii="Times New Roman" w:hAnsi="Times New Roman" w:eastAsia="宋体" w:cs="Times New Roman"/>
                <w:spacing w:val="11"/>
                <w:position w:val="0"/>
                <w:sz w:val="24"/>
                <w:szCs w:val="24"/>
                <w:u w:val="single" w:color="auto"/>
                <w:lang w:val="en-US" w:eastAsia="zh-CN"/>
              </w:rPr>
              <w:t>开</w:t>
            </w:r>
            <w:r>
              <w:rPr>
                <w:rFonts w:hint="default" w:ascii="Times New Roman" w:hAnsi="Times New Roman" w:eastAsia="宋体" w:cs="Times New Roman"/>
                <w:spacing w:val="11"/>
                <w:position w:val="0"/>
                <w:sz w:val="24"/>
                <w:szCs w:val="24"/>
                <w:u w:val="single" w:color="auto"/>
              </w:rPr>
              <w:t>采区</w:t>
            </w:r>
            <w:r>
              <w:rPr>
                <w:rFonts w:hint="eastAsia" w:ascii="Times New Roman" w:hAnsi="Times New Roman" w:eastAsia="宋体" w:cs="Times New Roman"/>
                <w:spacing w:val="11"/>
                <w:position w:val="0"/>
                <w:sz w:val="24"/>
                <w:szCs w:val="24"/>
                <w:u w:val="single" w:color="auto"/>
                <w:lang w:val="en-US" w:eastAsia="zh-CN"/>
              </w:rPr>
              <w:t>以及工业广场</w:t>
            </w:r>
            <w:r>
              <w:rPr>
                <w:rFonts w:hint="default" w:ascii="Times New Roman" w:hAnsi="Times New Roman" w:eastAsia="宋体" w:cs="Times New Roman"/>
                <w:spacing w:val="11"/>
                <w:position w:val="0"/>
                <w:sz w:val="24"/>
                <w:szCs w:val="24"/>
                <w:u w:val="single" w:color="auto"/>
              </w:rPr>
              <w:t>的雨水，集雨面积按</w:t>
            </w:r>
            <w:r>
              <w:rPr>
                <w:rFonts w:hint="eastAsia" w:ascii="Times New Roman" w:hAnsi="Times New Roman" w:eastAsia="宋体" w:cs="Times New Roman"/>
                <w:spacing w:val="11"/>
                <w:position w:val="0"/>
                <w:sz w:val="24"/>
                <w:szCs w:val="24"/>
                <w:u w:val="single" w:color="auto"/>
                <w:lang w:val="en-US" w:eastAsia="zh-CN"/>
              </w:rPr>
              <w:t>101800</w:t>
            </w:r>
            <w:r>
              <w:rPr>
                <w:rFonts w:hint="default" w:ascii="Times New Roman" w:hAnsi="Times New Roman" w:eastAsia="宋体" w:cs="Times New Roman"/>
                <w:spacing w:val="11"/>
                <w:position w:val="0"/>
                <w:sz w:val="24"/>
                <w:szCs w:val="24"/>
                <w:u w:val="single" w:color="auto"/>
              </w:rPr>
              <w:t>m</w:t>
            </w:r>
            <w:r>
              <w:rPr>
                <w:rFonts w:hint="default" w:ascii="Times New Roman" w:hAnsi="Times New Roman" w:eastAsia="宋体" w:cs="Times New Roman"/>
                <w:spacing w:val="11"/>
                <w:position w:val="0"/>
                <w:sz w:val="24"/>
                <w:szCs w:val="24"/>
                <w:u w:val="single" w:color="auto"/>
                <w:vertAlign w:val="superscript"/>
                <w:lang w:val="en-US" w:eastAsia="zh-CN"/>
              </w:rPr>
              <w:t>2</w:t>
            </w:r>
            <w:r>
              <w:rPr>
                <w:rFonts w:hint="default" w:ascii="Times New Roman" w:hAnsi="Times New Roman" w:eastAsia="宋体" w:cs="Times New Roman"/>
                <w:spacing w:val="11"/>
                <w:position w:val="0"/>
                <w:sz w:val="24"/>
                <w:szCs w:val="24"/>
                <w:u w:val="single" w:color="auto"/>
              </w:rPr>
              <w:t>计。暴雨强度公式采用暴雨强度公式：</w:t>
            </w:r>
          </w:p>
          <w:p w14:paraId="0AEF478E">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de-DE"/>
              </w:rPr>
              <w:object>
                <v:shape id="_x0000_i1025" o:spt="75" type="#_x0000_t75" style="height:26.2pt;width:92.15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p>
          <w:p w14:paraId="5E85E50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14:paraId="0143508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14:paraId="6A8F51D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t——雨水径流时间，取为15min；</w:t>
            </w:r>
          </w:p>
          <w:p w14:paraId="63F303C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P——设计重现期(年)，设计重现取1年。</w:t>
            </w:r>
          </w:p>
          <w:p w14:paraId="4B46D41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雨水设计流量：Q=aqF</w:t>
            </w:r>
          </w:p>
          <w:p w14:paraId="79AB8D9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14:paraId="2105DA2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Q——雨水设计流量（L/s）；</w:t>
            </w:r>
          </w:p>
          <w:p w14:paraId="5A3EEC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14:paraId="14537D9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a——平均径流吸水，取为0.</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6</w:t>
            </w:r>
            <w:r>
              <w:rPr>
                <w:rFonts w:hint="default" w:ascii="Times New Roman" w:hAnsi="Times New Roman" w:eastAsia="宋体" w:cs="Times New Roman"/>
                <w:caps w:val="0"/>
                <w:smallCaps w:val="0"/>
                <w:color w:val="auto"/>
                <w:spacing w:val="11"/>
                <w:position w:val="0"/>
                <w:sz w:val="24"/>
                <w:highlight w:val="none"/>
                <w:u w:val="single" w:color="auto"/>
              </w:rPr>
              <w:t>；</w:t>
            </w:r>
          </w:p>
          <w:p w14:paraId="453750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F——汇水面积（公顷），本项目汇水面积约</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10.18</w:t>
            </w:r>
            <w:r>
              <w:rPr>
                <w:rFonts w:hint="default" w:ascii="Times New Roman" w:hAnsi="Times New Roman" w:eastAsia="宋体" w:cs="Times New Roman"/>
                <w:caps w:val="0"/>
                <w:smallCaps w:val="0"/>
                <w:color w:val="auto"/>
                <w:spacing w:val="11"/>
                <w:position w:val="0"/>
                <w:sz w:val="24"/>
                <w:highlight w:val="none"/>
                <w:u w:val="single" w:color="auto"/>
              </w:rPr>
              <w:t>公顷。</w:t>
            </w:r>
          </w:p>
          <w:p w14:paraId="2FAFF26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计算得出设计暴雨强度约为</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190.54</w:t>
            </w:r>
            <w:r>
              <w:rPr>
                <w:rFonts w:hint="default" w:ascii="Times New Roman" w:hAnsi="Times New Roman" w:eastAsia="宋体" w:cs="Times New Roman"/>
                <w:caps w:val="0"/>
                <w:smallCaps w:val="0"/>
                <w:color w:val="auto"/>
                <w:spacing w:val="11"/>
                <w:position w:val="0"/>
                <w:sz w:val="24"/>
                <w:highlight w:val="none"/>
                <w:u w:val="single" w:color="auto"/>
              </w:rPr>
              <w:t>L/s·ha。</w:t>
            </w:r>
          </w:p>
          <w:p w14:paraId="317D6A9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highlight w:val="none"/>
                <w:u w:val="single" w:color="auto"/>
              </w:rPr>
              <w:t>根据雨水量计算公式，可得出项且范围内的初期雨水设计流量Q=</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1163.84</w:t>
            </w:r>
            <w:r>
              <w:rPr>
                <w:rFonts w:hint="default" w:ascii="Times New Roman" w:hAnsi="Times New Roman" w:eastAsia="宋体" w:cs="Times New Roman"/>
                <w:caps w:val="0"/>
                <w:smallCaps w:val="0"/>
                <w:color w:val="auto"/>
                <w:spacing w:val="11"/>
                <w:position w:val="0"/>
                <w:sz w:val="24"/>
                <w:highlight w:val="none"/>
                <w:u w:val="single" w:color="auto"/>
              </w:rPr>
              <w:t>L/s。径流时间按15min，暴雨天数按10次/年计算，则本</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项目</w:t>
            </w:r>
            <w:r>
              <w:rPr>
                <w:rFonts w:hint="default" w:ascii="Times New Roman" w:hAnsi="Times New Roman" w:eastAsia="宋体" w:cs="Times New Roman"/>
                <w:caps w:val="0"/>
                <w:smallCaps w:val="0"/>
                <w:color w:val="auto"/>
                <w:spacing w:val="11"/>
                <w:position w:val="0"/>
                <w:sz w:val="24"/>
                <w:highlight w:val="none"/>
                <w:u w:val="single" w:color="auto"/>
              </w:rPr>
              <w:t>初期雨水量约为</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1047.46</w:t>
            </w:r>
            <w:r>
              <w:rPr>
                <w:rFonts w:hint="default" w:ascii="Times New Roman" w:hAnsi="Times New Roman" w:eastAsia="宋体" w:cs="Times New Roman"/>
                <w:caps w:val="0"/>
                <w:smallCaps w:val="0"/>
                <w:color w:val="auto"/>
                <w:spacing w:val="11"/>
                <w:position w:val="0"/>
                <w:sz w:val="24"/>
                <w:highlight w:val="none"/>
                <w:u w:val="single" w:color="auto"/>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rPr>
              <w:t>3</w:t>
            </w:r>
            <w:r>
              <w:rPr>
                <w:rFonts w:hint="default" w:ascii="Times New Roman" w:hAnsi="Times New Roman" w:eastAsia="宋体" w:cs="Times New Roman"/>
                <w:caps w:val="0"/>
                <w:smallCaps w:val="0"/>
                <w:color w:val="auto"/>
                <w:spacing w:val="11"/>
                <w:position w:val="0"/>
                <w:sz w:val="24"/>
                <w:highlight w:val="none"/>
                <w:u w:val="single" w:color="auto"/>
              </w:rPr>
              <w:t>/次</w:t>
            </w:r>
            <w:r>
              <w:rPr>
                <w:rFonts w:hint="eastAsia" w:ascii="Times New Roman" w:hAnsi="Times New Roman" w:eastAsia="宋体" w:cs="Times New Roman"/>
                <w:caps w:val="0"/>
                <w:smallCaps w:val="0"/>
                <w:color w:val="auto"/>
                <w:spacing w:val="11"/>
                <w:position w:val="0"/>
                <w:sz w:val="24"/>
                <w:highlight w:val="none"/>
                <w:u w:val="single" w:color="auto"/>
                <w:lang w:eastAsia="zh-CN"/>
              </w:rPr>
              <w:t>，</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由于沉淀池位于矿区低洼处，地表径流水损耗率约30%，收集的地表径流水为733.22m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/次（7332.2m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/a）。</w:t>
            </w:r>
          </w:p>
          <w:p w14:paraId="2740AC9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初期雨水通过建设的排水沟，流入雨水沉淀池，经沉淀后用于厂区抑尘。本项目拟设置4个初期雨水池，总容积为734m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 xml:space="preserve">，足够收集初期雨水量。 </w:t>
            </w:r>
          </w:p>
          <w:p w14:paraId="64D858E3">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pacing w:val="11"/>
                <w:position w:val="0"/>
                <w:sz w:val="24"/>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4"/>
                <w:highlight w:val="none"/>
                <w:u w:val="single" w:color="auto"/>
                <w:lang w:val="en-US" w:eastAsia="zh-CN"/>
              </w:rPr>
              <w:drawing>
                <wp:inline distT="0" distB="0" distL="114300" distR="114300">
                  <wp:extent cx="4148455" cy="3084830"/>
                  <wp:effectExtent l="0" t="0" r="0" b="8890"/>
                  <wp:docPr id="24" name="ECB019B1-382A-4266-B25C-5B523AA43C14-4" descr="C:/Users/admin/AppData/Local/Temp/wps.NkKGV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4" descr="C:/Users/admin/AppData/Local/Temp/wps.NkKGVawps"/>
                          <pic:cNvPicPr>
                            <a:picLocks noChangeAspect="1"/>
                          </pic:cNvPicPr>
                        </pic:nvPicPr>
                        <pic:blipFill>
                          <a:blip r:embed="rId14"/>
                          <a:srcRect t="4247" b="2930"/>
                          <a:stretch>
                            <a:fillRect/>
                          </a:stretch>
                        </pic:blipFill>
                        <pic:spPr>
                          <a:xfrm>
                            <a:off x="0" y="0"/>
                            <a:ext cx="4148455" cy="3084830"/>
                          </a:xfrm>
                          <a:prstGeom prst="rect">
                            <a:avLst/>
                          </a:prstGeom>
                        </pic:spPr>
                      </pic:pic>
                    </a:graphicData>
                  </a:graphic>
                </wp:inline>
              </w:drawing>
            </w:r>
          </w:p>
          <w:p w14:paraId="5ABCA2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C00000"/>
                <w:spacing w:val="11"/>
                <w:position w:val="0"/>
                <w:sz w:val="21"/>
                <w:szCs w:val="21"/>
                <w:highlight w:val="none"/>
                <w:u w:val="single" w:color="auto"/>
                <w:lang w:val="en-US"/>
              </w:rPr>
            </w:pPr>
            <w:r>
              <w:rPr>
                <w:rFonts w:hint="eastAsia" w:ascii="Times New Roman" w:hAnsi="Times New Roman" w:eastAsia="宋体" w:cs="Times New Roman"/>
                <w:b/>
                <w:color w:val="000000"/>
                <w:spacing w:val="11"/>
                <w:position w:val="0"/>
                <w:sz w:val="21"/>
                <w:szCs w:val="21"/>
                <w:highlight w:val="none"/>
                <w:u w:val="single" w:color="auto"/>
                <w:lang w:val="en-US" w:eastAsia="zh-CN"/>
              </w:rPr>
              <w:t>图4-1</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w:t>
            </w:r>
            <w:r>
              <w:rPr>
                <w:rFonts w:hint="eastAsia" w:ascii="Times New Roman" w:hAnsi="Times New Roman" w:eastAsia="宋体" w:cs="Times New Roman"/>
                <w:b/>
                <w:color w:val="000000"/>
                <w:spacing w:val="11"/>
                <w:position w:val="0"/>
                <w:sz w:val="21"/>
                <w:szCs w:val="21"/>
                <w:highlight w:val="none"/>
                <w:u w:val="single" w:color="auto"/>
                <w:lang w:val="en-US" w:eastAsia="zh-CN"/>
              </w:rPr>
              <w:t>项目水平衡图</w:t>
            </w:r>
            <w:r>
              <w:rPr>
                <w:rFonts w:hint="eastAsia" w:cs="Times New Roman"/>
                <w:b/>
                <w:color w:val="C00000"/>
                <w:spacing w:val="11"/>
                <w:position w:val="0"/>
                <w:sz w:val="21"/>
                <w:szCs w:val="21"/>
                <w:highlight w:val="none"/>
                <w:u w:val="single" w:color="auto"/>
                <w:lang w:val="en-US" w:eastAsia="zh-CN"/>
              </w:rPr>
              <w:t>（t/a）</w:t>
            </w:r>
          </w:p>
          <w:p w14:paraId="14E1F49E">
            <w:pPr>
              <w:keepNext w:val="0"/>
              <w:keepLines w:val="0"/>
              <w:pageBreakBefore w:val="0"/>
              <w:widowControl w:val="0"/>
              <w:tabs>
                <w:tab w:val="left" w:pos="6298"/>
              </w:tabs>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bCs w:val="0"/>
                <w:color w:val="000000"/>
                <w:spacing w:val="11"/>
                <w:position w:val="0"/>
                <w:sz w:val="24"/>
                <w:szCs w:val="24"/>
                <w:highlight w:val="none"/>
                <w:u w:val="single" w:color="auto"/>
                <w:lang w:val="en-US" w:eastAsia="zh-CN"/>
              </w:rPr>
              <w:t>2、废气</w:t>
            </w:r>
          </w:p>
          <w:p w14:paraId="0E1717AB">
            <w:pPr>
              <w:keepNext w:val="0"/>
              <w:keepLines w:val="0"/>
              <w:pageBreakBefore w:val="0"/>
              <w:widowControl w:val="0"/>
              <w:tabs>
                <w:tab w:val="left" w:pos="6298"/>
              </w:tabs>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（1）废气源强</w:t>
            </w:r>
          </w:p>
          <w:p w14:paraId="4CDC414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eastAsia" w:ascii="Times New Roman" w:hAnsi="Times New Roman" w:eastAsia="宋体" w:cs="Times New Roman"/>
                <w:color w:val="000000"/>
                <w:spacing w:val="11"/>
                <w:position w:val="0"/>
                <w:sz w:val="24"/>
                <w:szCs w:val="24"/>
                <w:u w:val="single" w:color="auto"/>
                <w:lang w:val="en-US" w:eastAsia="zh-CN"/>
              </w:rPr>
              <w:t>本</w:t>
            </w:r>
            <w:r>
              <w:rPr>
                <w:rFonts w:hint="default" w:ascii="Times New Roman" w:hAnsi="Times New Roman" w:eastAsia="宋体" w:cs="Times New Roman"/>
                <w:color w:val="000000"/>
                <w:spacing w:val="11"/>
                <w:position w:val="0"/>
                <w:sz w:val="24"/>
                <w:szCs w:val="24"/>
                <w:u w:val="single" w:color="auto"/>
                <w:lang w:val="en-US" w:eastAsia="zh-CN"/>
              </w:rPr>
              <w:t>场内产生的废气污染物主要包括</w:t>
            </w: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爆破</w:t>
            </w:r>
            <w:r>
              <w:rPr>
                <w:rFonts w:hint="default" w:ascii="Times New Roman" w:hAnsi="Times New Roman" w:eastAsia="宋体" w:cs="Times New Roman"/>
                <w:color w:val="000000"/>
                <w:spacing w:val="11"/>
                <w:position w:val="0"/>
                <w:sz w:val="24"/>
                <w:szCs w:val="24"/>
                <w:u w:val="single" w:color="auto"/>
                <w:lang w:val="en-US" w:eastAsia="zh-CN"/>
              </w:rPr>
              <w:t>粉尘、</w:t>
            </w:r>
            <w:r>
              <w:rPr>
                <w:rFonts w:hint="default" w:ascii="Times New Roman" w:hAnsi="Times New Roman" w:eastAsia="宋体" w:cs="Times New Roman"/>
                <w:bCs/>
                <w:color w:val="000000"/>
                <w:spacing w:val="11"/>
                <w:position w:val="0"/>
                <w:sz w:val="24"/>
                <w:szCs w:val="24"/>
                <w:u w:val="single" w:color="auto"/>
              </w:rPr>
              <w:t>装卸粉尘</w:t>
            </w:r>
            <w:r>
              <w:rPr>
                <w:rFonts w:hint="default"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运输扬尘</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产品</w:t>
            </w:r>
            <w:r>
              <w:rPr>
                <w:rFonts w:hint="default" w:ascii="Times New Roman" w:hAnsi="Times New Roman" w:eastAsia="宋体" w:cs="Times New Roman"/>
                <w:color w:val="000000"/>
                <w:spacing w:val="11"/>
                <w:position w:val="0"/>
                <w:sz w:val="24"/>
                <w:szCs w:val="24"/>
                <w:u w:val="single" w:color="auto"/>
              </w:rPr>
              <w:t>堆场扬尘</w:t>
            </w:r>
            <w:r>
              <w:rPr>
                <w:rFonts w:hint="default" w:ascii="Times New Roman" w:hAnsi="Times New Roman" w:eastAsia="宋体"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临时堆</w:t>
            </w:r>
            <w:r>
              <w:rPr>
                <w:rFonts w:hint="default" w:ascii="Times New Roman" w:hAnsi="Times New Roman" w:eastAsia="宋体" w:cs="Times New Roman"/>
                <w:color w:val="000000"/>
                <w:spacing w:val="11"/>
                <w:position w:val="0"/>
                <w:sz w:val="24"/>
                <w:szCs w:val="24"/>
                <w:u w:val="single" w:color="auto"/>
              </w:rPr>
              <w:t>土场起尘</w:t>
            </w: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场内运输尾气</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加工粉尘（矿石破碎及筛分粉尘、水稳拌合上料粉尘）</w:t>
            </w:r>
            <w:r>
              <w:rPr>
                <w:rFonts w:hint="default" w:ascii="Times New Roman" w:hAnsi="Times New Roman" w:eastAsia="宋体" w:cs="Times New Roman"/>
                <w:color w:val="000000"/>
                <w:spacing w:val="11"/>
                <w:position w:val="0"/>
                <w:sz w:val="24"/>
                <w:szCs w:val="24"/>
                <w:u w:val="single" w:color="auto"/>
              </w:rPr>
              <w:t>。</w:t>
            </w:r>
          </w:p>
          <w:p w14:paraId="4471F69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rPr>
              <w:t>①采场粉尘</w:t>
            </w:r>
          </w:p>
          <w:p w14:paraId="72166541">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bidi="ar"/>
              </w:rPr>
            </w:pP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val="en-US" w:eastAsia="zh-CN"/>
              </w:rPr>
              <w:t>产生于</w:t>
            </w:r>
            <w:r>
              <w:rPr>
                <w:rFonts w:hint="default" w:ascii="Times New Roman" w:hAnsi="Times New Roman" w:eastAsia="宋体" w:cs="Times New Roman"/>
                <w:color w:val="000000"/>
                <w:spacing w:val="11"/>
                <w:position w:val="0"/>
                <w:sz w:val="24"/>
                <w:szCs w:val="24"/>
                <w:u w:val="single" w:color="auto"/>
              </w:rPr>
              <w:t>开挖、潜孔钻机、矿石搬动</w:t>
            </w:r>
            <w:r>
              <w:rPr>
                <w:rFonts w:hint="default" w:ascii="Times New Roman" w:hAnsi="Times New Roman" w:eastAsia="宋体" w:cs="Times New Roman"/>
                <w:color w:val="000000"/>
                <w:spacing w:val="11"/>
                <w:position w:val="0"/>
                <w:sz w:val="24"/>
                <w:szCs w:val="24"/>
                <w:u w:val="single" w:color="auto"/>
                <w:lang w:val="en-US" w:eastAsia="zh-CN"/>
              </w:rPr>
              <w:t>等节点</w:t>
            </w:r>
            <w:r>
              <w:rPr>
                <w:rFonts w:hint="default" w:ascii="Times New Roman" w:hAnsi="Times New Roman" w:eastAsia="宋体" w:cs="Times New Roman"/>
                <w:color w:val="000000"/>
                <w:spacing w:val="11"/>
                <w:position w:val="0"/>
                <w:sz w:val="24"/>
                <w:szCs w:val="24"/>
                <w:u w:val="single" w:color="auto"/>
              </w:rPr>
              <w:t>，呈无组织形式排放。评价根据经验公式Q=0.009U</w:t>
            </w:r>
            <w:r>
              <w:rPr>
                <w:rFonts w:hint="default" w:ascii="Times New Roman" w:hAnsi="Times New Roman" w:eastAsia="宋体" w:cs="Times New Roman"/>
                <w:color w:val="000000"/>
                <w:spacing w:val="11"/>
                <w:position w:val="0"/>
                <w:sz w:val="24"/>
                <w:szCs w:val="24"/>
                <w:u w:val="single" w:color="auto"/>
                <w:vertAlign w:val="superscript"/>
              </w:rPr>
              <w:t>4.1</w:t>
            </w:r>
            <w:r>
              <w:rPr>
                <w:rFonts w:hint="default" w:ascii="Times New Roman" w:hAnsi="Times New Roman" w:eastAsia="宋体" w:cs="Times New Roman"/>
                <w:color w:val="000000"/>
                <w:spacing w:val="11"/>
                <w:position w:val="0"/>
                <w:sz w:val="24"/>
                <w:szCs w:val="24"/>
                <w:u w:val="single" w:color="auto"/>
              </w:rPr>
              <w:t>e</w:t>
            </w:r>
            <w:r>
              <w:rPr>
                <w:rFonts w:hint="default" w:ascii="Times New Roman" w:hAnsi="Times New Roman" w:eastAsia="宋体" w:cs="Times New Roman"/>
                <w:color w:val="000000"/>
                <w:spacing w:val="11"/>
                <w:position w:val="0"/>
                <w:sz w:val="24"/>
                <w:szCs w:val="24"/>
                <w:u w:val="single" w:color="auto"/>
                <w:vertAlign w:val="superscript"/>
              </w:rPr>
              <w:t>-0.55w</w:t>
            </w:r>
            <w:r>
              <w:rPr>
                <w:rFonts w:hint="default" w:ascii="Times New Roman" w:hAnsi="Times New Roman" w:eastAsia="宋体" w:cs="Times New Roman"/>
                <w:color w:val="000000"/>
                <w:spacing w:val="11"/>
                <w:position w:val="0"/>
                <w:sz w:val="24"/>
                <w:szCs w:val="24"/>
                <w:u w:val="single" w:color="auto"/>
              </w:rPr>
              <w:t>（kg/a·m</w:t>
            </w:r>
            <w:r>
              <w:rPr>
                <w:rFonts w:hint="default" w:ascii="Times New Roman" w:hAnsi="Times New Roman" w:eastAsia="宋体" w:cs="Times New Roman"/>
                <w:color w:val="000000"/>
                <w:spacing w:val="11"/>
                <w:position w:val="0"/>
                <w:sz w:val="24"/>
                <w:szCs w:val="24"/>
                <w:u w:val="single" w:color="auto"/>
                <w:vertAlign w:val="superscript"/>
              </w:rPr>
              <w:t>2</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计算源强</w:t>
            </w:r>
            <w:r>
              <w:rPr>
                <w:rFonts w:hint="default" w:ascii="Times New Roman" w:hAnsi="Times New Roman" w:eastAsia="宋体" w:cs="Times New Roman"/>
                <w:color w:val="000000"/>
                <w:spacing w:val="11"/>
                <w:position w:val="0"/>
                <w:sz w:val="24"/>
                <w:szCs w:val="24"/>
                <w:u w:val="single" w:color="auto"/>
              </w:rPr>
              <w:t>，其中U为风速（新田县平均风速为1.1m/s），W为矿石含水率（取2%）。</w:t>
            </w:r>
            <w:r>
              <w:rPr>
                <w:rFonts w:hint="default" w:ascii="Times New Roman" w:hAnsi="Times New Roman" w:eastAsia="宋体" w:cs="Times New Roman"/>
                <w:snapToGrid w:val="0"/>
                <w:color w:val="000000"/>
                <w:spacing w:val="11"/>
                <w:kern w:val="0"/>
                <w:position w:val="0"/>
                <w:sz w:val="24"/>
                <w:szCs w:val="24"/>
                <w:u w:val="single" w:color="auto"/>
              </w:rPr>
              <w:t>采场面积为</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76000</w:t>
            </w:r>
            <w:r>
              <w:rPr>
                <w:rFonts w:hint="default" w:ascii="Times New Roman" w:hAnsi="Times New Roman" w:eastAsia="宋体" w:cs="Times New Roman"/>
                <w:snapToGrid w:val="0"/>
                <w:color w:val="000000"/>
                <w:spacing w:val="11"/>
                <w:kern w:val="0"/>
                <w:position w:val="0"/>
                <w:sz w:val="24"/>
                <w:szCs w:val="24"/>
                <w:u w:val="single" w:color="auto"/>
              </w:rPr>
              <w:t>m</w:t>
            </w:r>
            <w:r>
              <w:rPr>
                <w:rFonts w:hint="default" w:ascii="Times New Roman" w:hAnsi="Times New Roman" w:eastAsia="宋体" w:cs="Times New Roman"/>
                <w:snapToGrid w:val="0"/>
                <w:color w:val="000000"/>
                <w:spacing w:val="11"/>
                <w:kern w:val="0"/>
                <w:position w:val="0"/>
                <w:sz w:val="24"/>
                <w:szCs w:val="24"/>
                <w:u w:val="single" w:color="auto"/>
                <w:vertAlign w:val="superscript"/>
              </w:rPr>
              <w:t>2</w:t>
            </w:r>
            <w:r>
              <w:rPr>
                <w:rFonts w:hint="default" w:ascii="Times New Roman" w:hAnsi="Times New Roman" w:eastAsia="宋体" w:cs="Times New Roman"/>
                <w:snapToGrid w:val="0"/>
                <w:color w:val="000000"/>
                <w:spacing w:val="11"/>
                <w:kern w:val="0"/>
                <w:position w:val="0"/>
                <w:sz w:val="24"/>
                <w:szCs w:val="24"/>
                <w:u w:val="single" w:color="auto"/>
              </w:rPr>
              <w:t>，则扬尘量为</w:t>
            </w:r>
            <w:r>
              <w:rPr>
                <w:rFonts w:hint="default" w:ascii="Times New Roman" w:hAnsi="Times New Roman" w:eastAsia="宋体" w:cs="Times New Roman"/>
                <w:snapToGrid w:val="0"/>
                <w:color w:val="000000"/>
                <w:spacing w:val="11"/>
                <w:kern w:val="0"/>
                <w:position w:val="0"/>
                <w:sz w:val="24"/>
                <w:szCs w:val="24"/>
                <w:u w:val="single" w:color="auto"/>
                <w:lang w:val="en-US" w:eastAsia="zh-CN"/>
              </w:rPr>
              <w:t>1.</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002</w:t>
            </w:r>
            <w:r>
              <w:rPr>
                <w:rFonts w:hint="default" w:ascii="Times New Roman" w:hAnsi="Times New Roman" w:eastAsia="宋体" w:cs="Times New Roman"/>
                <w:snapToGrid w:val="0"/>
                <w:color w:val="000000"/>
                <w:spacing w:val="11"/>
                <w:kern w:val="0"/>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bidi="ar"/>
              </w:rPr>
              <w:t>在天气干燥情况下，通过对采掘面上方进行水炮喷雾增湿，可减低约85%的粉尘排放量，故矿山采掘粉尘排放量为0.</w:t>
            </w:r>
            <w:r>
              <w:rPr>
                <w:rFonts w:hint="eastAsia" w:ascii="Times New Roman" w:hAnsi="Times New Roman" w:eastAsia="宋体" w:cs="Times New Roman"/>
                <w:color w:val="000000"/>
                <w:spacing w:val="11"/>
                <w:position w:val="0"/>
                <w:sz w:val="24"/>
                <w:szCs w:val="24"/>
                <w:u w:val="single" w:color="auto"/>
                <w:lang w:val="en-US" w:eastAsia="zh-CN" w:bidi="ar"/>
              </w:rPr>
              <w:t>1503</w:t>
            </w:r>
            <w:r>
              <w:rPr>
                <w:rFonts w:hint="default" w:ascii="Times New Roman" w:hAnsi="Times New Roman" w:eastAsia="宋体" w:cs="Times New Roman"/>
                <w:color w:val="000000"/>
                <w:spacing w:val="11"/>
                <w:position w:val="0"/>
                <w:sz w:val="24"/>
                <w:szCs w:val="24"/>
                <w:u w:val="single" w:color="auto"/>
                <w:lang w:bidi="ar"/>
              </w:rPr>
              <w:t>t/a</w:t>
            </w:r>
            <w:r>
              <w:rPr>
                <w:rFonts w:hint="default" w:ascii="Times New Roman" w:hAnsi="Times New Roman" w:eastAsia="宋体" w:cs="Times New Roman"/>
                <w:color w:val="000000"/>
                <w:spacing w:val="11"/>
                <w:position w:val="0"/>
                <w:sz w:val="24"/>
                <w:szCs w:val="24"/>
                <w:u w:val="single" w:color="auto"/>
                <w:lang w:eastAsia="zh-CN" w:bidi="ar"/>
              </w:rPr>
              <w:t>，</w:t>
            </w:r>
            <w:r>
              <w:rPr>
                <w:rFonts w:hint="default" w:ascii="Times New Roman" w:hAnsi="Times New Roman" w:eastAsia="宋体" w:cs="Times New Roman"/>
                <w:color w:val="000000"/>
                <w:spacing w:val="11"/>
                <w:position w:val="0"/>
                <w:sz w:val="24"/>
                <w:szCs w:val="24"/>
                <w:u w:val="single" w:color="auto"/>
                <w:lang w:val="en-US" w:eastAsia="zh-CN" w:bidi="ar"/>
              </w:rPr>
              <w:t>均以无组织形式外排</w:t>
            </w:r>
            <w:r>
              <w:rPr>
                <w:rFonts w:hint="default" w:ascii="Times New Roman" w:hAnsi="Times New Roman" w:eastAsia="宋体" w:cs="Times New Roman"/>
                <w:color w:val="000000"/>
                <w:spacing w:val="11"/>
                <w:position w:val="0"/>
                <w:sz w:val="24"/>
                <w:szCs w:val="24"/>
                <w:u w:val="single" w:color="auto"/>
                <w:lang w:bidi="ar"/>
              </w:rPr>
              <w:t>。</w:t>
            </w:r>
          </w:p>
          <w:p w14:paraId="46065719">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bidi="ar"/>
              </w:rPr>
            </w:pPr>
            <w:r>
              <w:rPr>
                <w:rFonts w:hint="default" w:ascii="Times New Roman" w:hAnsi="Times New Roman" w:eastAsia="宋体" w:cs="Times New Roman"/>
                <w:color w:val="000000"/>
                <w:spacing w:val="11"/>
                <w:position w:val="0"/>
                <w:sz w:val="24"/>
                <w:szCs w:val="24"/>
                <w:u w:val="single" w:color="auto"/>
                <w:lang w:bidi="ar"/>
              </w:rPr>
              <w:t>②爆破</w:t>
            </w:r>
            <w:r>
              <w:rPr>
                <w:rFonts w:hint="default" w:ascii="Times New Roman" w:hAnsi="Times New Roman" w:eastAsia="宋体" w:cs="Times New Roman"/>
                <w:color w:val="000000"/>
                <w:spacing w:val="11"/>
                <w:position w:val="0"/>
                <w:sz w:val="24"/>
                <w:szCs w:val="24"/>
                <w:u w:val="single" w:color="auto"/>
                <w:lang w:val="en-US" w:eastAsia="zh-CN" w:bidi="ar"/>
              </w:rPr>
              <w:t>粉尘</w:t>
            </w:r>
          </w:p>
          <w:p w14:paraId="7A53432F">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bidi="ar"/>
              </w:rPr>
              <w:t>根据首都经济贸易大学的张兴凯、北京科技大学李怀宇1996年</w:t>
            </w:r>
            <w:r>
              <w:rPr>
                <w:rFonts w:hint="default" w:ascii="Times New Roman" w:hAnsi="Times New Roman" w:eastAsia="宋体" w:cs="Times New Roman"/>
                <w:color w:val="000000"/>
                <w:spacing w:val="11"/>
                <w:position w:val="0"/>
                <w:sz w:val="24"/>
                <w:szCs w:val="24"/>
                <w:u w:val="single" w:color="auto"/>
              </w:rPr>
              <w:t>《金属矿山》第3期</w:t>
            </w:r>
            <w:r>
              <w:rPr>
                <w:rFonts w:hint="default" w:ascii="Times New Roman" w:hAnsi="Times New Roman" w:eastAsia="宋体" w:cs="Times New Roman"/>
                <w:color w:val="000000"/>
                <w:spacing w:val="11"/>
                <w:position w:val="0"/>
                <w:sz w:val="24"/>
                <w:szCs w:val="24"/>
                <w:u w:val="single" w:color="auto"/>
                <w:lang w:bidi="ar"/>
              </w:rPr>
              <w:t>发表的《露天矿爆破粉尘排放量的计算分析》中的数据及类比相同企业可知</w:t>
            </w:r>
            <w:r>
              <w:rPr>
                <w:rFonts w:hint="default" w:ascii="Times New Roman" w:hAnsi="Times New Roman" w:eastAsia="宋体" w:cs="Times New Roman"/>
                <w:color w:val="000000"/>
                <w:spacing w:val="11"/>
                <w:position w:val="0"/>
                <w:sz w:val="24"/>
                <w:szCs w:val="24"/>
                <w:u w:val="single" w:color="auto"/>
              </w:rPr>
              <w:t>，露天矿爆破粉尘产生量为54.2kg/t（炸药），爆炸时CO排放量为34kg/t（炸药）。</w:t>
            </w:r>
            <w:r>
              <w:rPr>
                <w:rFonts w:hint="eastAsia" w:ascii="Times New Roman" w:hAnsi="Times New Roman" w:eastAsia="宋体" w:cs="Times New Roman"/>
                <w:color w:val="000000"/>
                <w:spacing w:val="11"/>
                <w:position w:val="0"/>
                <w:sz w:val="24"/>
                <w:szCs w:val="24"/>
                <w:u w:val="single" w:color="auto"/>
                <w:lang w:val="en-US" w:eastAsia="zh-CN"/>
              </w:rPr>
              <w:t>本项目</w:t>
            </w:r>
            <w:r>
              <w:rPr>
                <w:rFonts w:hint="default" w:ascii="Times New Roman" w:hAnsi="Times New Roman" w:eastAsia="宋体" w:cs="Times New Roman"/>
                <w:color w:val="000000"/>
                <w:spacing w:val="11"/>
                <w:position w:val="0"/>
                <w:sz w:val="24"/>
                <w:szCs w:val="24"/>
                <w:u w:val="single" w:color="auto"/>
              </w:rPr>
              <w:t>所需炸药量总计为</w:t>
            </w:r>
            <w:r>
              <w:rPr>
                <w:rFonts w:hint="eastAsia" w:ascii="Times New Roman" w:hAnsi="Times New Roman" w:eastAsia="宋体" w:cs="Times New Roman"/>
                <w:color w:val="000000"/>
                <w:spacing w:val="11"/>
                <w:position w:val="0"/>
                <w:sz w:val="24"/>
                <w:szCs w:val="24"/>
                <w:u w:val="single" w:color="auto"/>
                <w:lang w:val="en-US" w:eastAsia="zh-CN"/>
              </w:rPr>
              <w:t>100.32</w:t>
            </w:r>
            <w:r>
              <w:rPr>
                <w:rFonts w:hint="default" w:ascii="Times New Roman" w:hAnsi="Times New Roman" w:eastAsia="宋体" w:cs="Times New Roman"/>
                <w:color w:val="000000"/>
                <w:spacing w:val="11"/>
                <w:position w:val="0"/>
                <w:sz w:val="24"/>
                <w:szCs w:val="24"/>
                <w:u w:val="single" w:color="auto"/>
              </w:rPr>
              <w:t>t/a，经过计算得出爆破污染物产生量为：粉尘</w:t>
            </w:r>
            <w:r>
              <w:rPr>
                <w:rFonts w:hint="eastAsia" w:ascii="Times New Roman" w:hAnsi="Times New Roman" w:eastAsia="宋体" w:cs="Times New Roman"/>
                <w:color w:val="000000"/>
                <w:spacing w:val="11"/>
                <w:position w:val="0"/>
                <w:sz w:val="24"/>
                <w:szCs w:val="24"/>
                <w:u w:val="single" w:color="auto"/>
                <w:lang w:val="en-US" w:eastAsia="zh-CN"/>
              </w:rPr>
              <w:t>5.44</w:t>
            </w:r>
            <w:r>
              <w:rPr>
                <w:rFonts w:hint="default" w:ascii="Times New Roman" w:hAnsi="Times New Roman" w:eastAsia="宋体" w:cs="Times New Roman"/>
                <w:color w:val="000000"/>
                <w:spacing w:val="11"/>
                <w:position w:val="0"/>
                <w:sz w:val="24"/>
                <w:szCs w:val="24"/>
                <w:u w:val="single" w:color="auto"/>
              </w:rPr>
              <w:t>t/a、CO</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3.41</w:t>
            </w:r>
            <w:r>
              <w:rPr>
                <w:rFonts w:hint="default" w:ascii="Times New Roman" w:hAnsi="Times New Roman" w:eastAsia="宋体" w:cs="Times New Roman"/>
                <w:color w:val="000000"/>
                <w:spacing w:val="11"/>
                <w:position w:val="0"/>
                <w:sz w:val="24"/>
                <w:szCs w:val="24"/>
                <w:u w:val="single" w:color="auto"/>
              </w:rPr>
              <w:t>t/a。爆破粉尘为无组织排放，通过水封爆破并对爆破面进行洒水抑尘，同时增设水炮喷雾增湿，可降低约85%的粉尘排放量，故爆破粉尘排放量为0.</w:t>
            </w:r>
            <w:r>
              <w:rPr>
                <w:rFonts w:hint="eastAsia" w:ascii="Times New Roman" w:hAnsi="Times New Roman" w:eastAsia="宋体" w:cs="Times New Roman"/>
                <w:color w:val="000000"/>
                <w:spacing w:val="11"/>
                <w:position w:val="0"/>
                <w:sz w:val="24"/>
                <w:szCs w:val="24"/>
                <w:u w:val="single" w:color="auto"/>
                <w:lang w:val="en-US" w:eastAsia="zh-CN"/>
              </w:rPr>
              <w:t>816</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均以无组织形式外排</w:t>
            </w:r>
            <w:r>
              <w:rPr>
                <w:rFonts w:hint="default" w:ascii="Times New Roman" w:hAnsi="Times New Roman" w:eastAsia="宋体" w:cs="Times New Roman"/>
                <w:color w:val="000000"/>
                <w:spacing w:val="11"/>
                <w:position w:val="0"/>
                <w:sz w:val="24"/>
                <w:szCs w:val="24"/>
                <w:u w:val="single" w:color="auto"/>
              </w:rPr>
              <w:t>。</w:t>
            </w:r>
          </w:p>
          <w:p w14:paraId="273CEAC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项目爆破过程中会产生一定的NOx，矿山开采过程中爆破</w:t>
            </w:r>
            <w:r>
              <w:rPr>
                <w:rFonts w:hint="eastAsia" w:ascii="Times New Roman" w:hAnsi="Times New Roman" w:eastAsia="宋体" w:cs="Times New Roman"/>
                <w:color w:val="000000"/>
                <w:spacing w:val="11"/>
                <w:position w:val="0"/>
                <w:sz w:val="24"/>
                <w:szCs w:val="24"/>
                <w:u w:val="single" w:color="auto"/>
                <w:lang w:val="en-US" w:eastAsia="zh-CN"/>
              </w:rPr>
              <w:t>时间不定</w:t>
            </w:r>
            <w:r>
              <w:rPr>
                <w:rFonts w:hint="default" w:ascii="Times New Roman" w:hAnsi="Times New Roman" w:eastAsia="宋体" w:cs="Times New Roman"/>
                <w:color w:val="000000"/>
                <w:spacing w:val="11"/>
                <w:position w:val="0"/>
                <w:sz w:val="24"/>
                <w:szCs w:val="24"/>
                <w:u w:val="single" w:color="auto"/>
              </w:rPr>
              <w:t>，产生的NOx属于间歇性、无组织排放，难以定量；项目地势开阔，产生的NOx容易扩散对周边环境影响较小。</w:t>
            </w:r>
          </w:p>
          <w:p w14:paraId="63E07CF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③装卸粉尘</w:t>
            </w:r>
          </w:p>
          <w:p w14:paraId="39EE886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val="en-US" w:eastAsia="zh-CN"/>
              </w:rPr>
              <w:t>由于矿石装卸过程，存在机械落差，故易起尘，此部分粉尘产生量参照</w:t>
            </w:r>
            <w:r>
              <w:rPr>
                <w:rFonts w:hint="default" w:ascii="Times New Roman" w:hAnsi="Times New Roman" w:eastAsia="宋体" w:cs="Times New Roman"/>
                <w:color w:val="000000"/>
                <w:spacing w:val="11"/>
                <w:position w:val="0"/>
                <w:sz w:val="24"/>
                <w:szCs w:val="24"/>
                <w:u w:val="single" w:color="auto"/>
              </w:rPr>
              <w:t>交通部水运研究所和武汉水运工程学院提出的装卸起尘量的经验公式估算，经验公式为：</w:t>
            </w:r>
          </w:p>
          <w:p w14:paraId="29C3EAF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drawing>
                <wp:anchor distT="0" distB="0" distL="114300" distR="114300" simplePos="0" relativeHeight="251660288" behindDoc="1" locked="0" layoutInCell="1" allowOverlap="1">
                  <wp:simplePos x="0" y="0"/>
                  <wp:positionH relativeFrom="column">
                    <wp:posOffset>1182370</wp:posOffset>
                  </wp:positionH>
                  <wp:positionV relativeFrom="paragraph">
                    <wp:posOffset>184785</wp:posOffset>
                  </wp:positionV>
                  <wp:extent cx="2633980" cy="494665"/>
                  <wp:effectExtent l="0" t="0" r="2540" b="825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2633980" cy="494665"/>
                          </a:xfrm>
                          <a:prstGeom prst="rect">
                            <a:avLst/>
                          </a:prstGeom>
                          <a:noFill/>
                          <a:ln>
                            <a:noFill/>
                          </a:ln>
                        </pic:spPr>
                      </pic:pic>
                    </a:graphicData>
                  </a:graphic>
                </wp:anchor>
              </w:drawing>
            </w:r>
            <w:r>
              <w:rPr>
                <w:rFonts w:hint="default" w:ascii="Times New Roman" w:hAnsi="Times New Roman" w:eastAsia="宋体" w:cs="Times New Roman"/>
                <w:color w:val="000000"/>
                <w:spacing w:val="11"/>
                <w:position w:val="0"/>
                <w:sz w:val="24"/>
                <w:szCs w:val="24"/>
                <w:u w:val="single" w:color="auto"/>
              </w:rPr>
              <w:t></w:t>
            </w:r>
          </w:p>
          <w:p w14:paraId="7A7FDEE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p>
          <w:p w14:paraId="7488A8F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w:t>
            </w:r>
            <w:r>
              <w:rPr>
                <w:rFonts w:hint="default" w:ascii="Times New Roman" w:hAnsi="Times New Roman" w:eastAsia="宋体" w:cs="Times New Roman"/>
                <w:i/>
                <w:color w:val="000000"/>
                <w:spacing w:val="11"/>
                <w:position w:val="0"/>
                <w:sz w:val="24"/>
                <w:szCs w:val="24"/>
                <w:u w:val="single" w:color="auto"/>
              </w:rPr>
              <w:t>Q</w:t>
            </w:r>
            <w:r>
              <w:rPr>
                <w:rFonts w:hint="default" w:ascii="Times New Roman" w:hAnsi="Times New Roman" w:eastAsia="宋体" w:cs="Times New Roman"/>
                <w:color w:val="000000"/>
                <w:spacing w:val="11"/>
                <w:position w:val="0"/>
                <w:sz w:val="24"/>
                <w:szCs w:val="24"/>
                <w:u w:val="single" w:color="auto"/>
              </w:rPr>
              <w:t>—物料装车时机械落差起尘量，（kg/s）；</w:t>
            </w:r>
          </w:p>
          <w:p w14:paraId="33276C0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U</w:t>
            </w:r>
            <w:r>
              <w:rPr>
                <w:rFonts w:hint="default" w:ascii="Times New Roman" w:hAnsi="Times New Roman" w:eastAsia="宋体" w:cs="Times New Roman"/>
                <w:color w:val="000000"/>
                <w:spacing w:val="11"/>
                <w:position w:val="0"/>
                <w:sz w:val="24"/>
                <w:szCs w:val="24"/>
                <w:u w:val="single" w:color="auto"/>
              </w:rPr>
              <w:t>—平均风速，新田县取1.1m/s；</w:t>
            </w:r>
          </w:p>
          <w:p w14:paraId="20A3838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H</w:t>
            </w:r>
            <w:r>
              <w:rPr>
                <w:rFonts w:hint="default" w:ascii="Times New Roman" w:hAnsi="Times New Roman" w:eastAsia="宋体" w:cs="Times New Roman"/>
                <w:color w:val="000000"/>
                <w:spacing w:val="11"/>
                <w:position w:val="0"/>
                <w:sz w:val="24"/>
                <w:szCs w:val="24"/>
                <w:u w:val="single" w:color="auto"/>
              </w:rPr>
              <w:t>—物料落差，取2m。</w:t>
            </w:r>
          </w:p>
          <w:p w14:paraId="2D18342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w</w:t>
            </w:r>
            <w:r>
              <w:rPr>
                <w:rFonts w:hint="default" w:ascii="Times New Roman" w:hAnsi="Times New Roman" w:eastAsia="宋体" w:cs="Times New Roman"/>
                <w:color w:val="000000"/>
                <w:spacing w:val="11"/>
                <w:position w:val="0"/>
                <w:sz w:val="24"/>
                <w:szCs w:val="24"/>
                <w:u w:val="single" w:color="auto"/>
              </w:rPr>
              <w:t>—物料含水率，%，2%；</w:t>
            </w:r>
          </w:p>
          <w:p w14:paraId="7FCE333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t</w:t>
            </w:r>
            <w:r>
              <w:rPr>
                <w:rFonts w:hint="default" w:ascii="Times New Roman" w:hAnsi="Times New Roman" w:eastAsia="宋体" w:cs="Times New Roman"/>
                <w:color w:val="000000"/>
                <w:spacing w:val="11"/>
                <w:position w:val="0"/>
                <w:sz w:val="24"/>
                <w:szCs w:val="24"/>
                <w:u w:val="single" w:color="auto"/>
              </w:rPr>
              <w:t>—物料装车所用时间，t/s，取3。</w:t>
            </w:r>
          </w:p>
          <w:p w14:paraId="2754F8B1">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经计算，一次矿石装卸时机械落差起尘量为0.027kg/s，本项目运营期每年需运输矿石</w:t>
            </w:r>
            <w:r>
              <w:rPr>
                <w:rFonts w:hint="eastAsia" w:ascii="Times New Roman" w:hAnsi="Times New Roman" w:eastAsia="宋体" w:cs="Times New Roman"/>
                <w:color w:val="000000"/>
                <w:spacing w:val="11"/>
                <w:position w:val="0"/>
                <w:sz w:val="24"/>
                <w:szCs w:val="24"/>
                <w:u w:val="single" w:color="auto"/>
                <w:lang w:val="en-US" w:eastAsia="zh-CN"/>
              </w:rPr>
              <w:t>60</w:t>
            </w:r>
            <w:r>
              <w:rPr>
                <w:rFonts w:hint="default" w:ascii="Times New Roman" w:hAnsi="Times New Roman" w:eastAsia="宋体" w:cs="Times New Roman"/>
                <w:color w:val="000000"/>
                <w:spacing w:val="11"/>
                <w:position w:val="0"/>
                <w:sz w:val="24"/>
                <w:szCs w:val="24"/>
                <w:u w:val="single" w:color="auto"/>
              </w:rPr>
              <w:t>万t，每辆自卸汽车每次载重量为30t，则矿石堆场需卸料</w:t>
            </w:r>
            <w:r>
              <w:rPr>
                <w:rFonts w:hint="eastAsia" w:ascii="Times New Roman" w:hAnsi="Times New Roman" w:eastAsia="宋体" w:cs="Times New Roman"/>
                <w:color w:val="000000"/>
                <w:spacing w:val="11"/>
                <w:position w:val="0"/>
                <w:sz w:val="24"/>
                <w:szCs w:val="24"/>
                <w:u w:val="single" w:color="auto"/>
                <w:lang w:val="en-US" w:eastAsia="zh-CN"/>
              </w:rPr>
              <w:t>2</w:t>
            </w:r>
            <w:r>
              <w:rPr>
                <w:rFonts w:hint="default" w:ascii="Times New Roman" w:hAnsi="Times New Roman" w:eastAsia="宋体" w:cs="Times New Roman"/>
                <w:color w:val="000000"/>
                <w:spacing w:val="11"/>
                <w:position w:val="0"/>
                <w:sz w:val="24"/>
                <w:szCs w:val="24"/>
                <w:u w:val="single" w:color="auto"/>
              </w:rPr>
              <w:t>万次，则本项目运营期自卸汽车卸料起尘量约为</w:t>
            </w:r>
            <w:r>
              <w:rPr>
                <w:rFonts w:hint="eastAsia" w:ascii="Times New Roman" w:hAnsi="Times New Roman" w:eastAsia="宋体" w:cs="Times New Roman"/>
                <w:color w:val="000000"/>
                <w:spacing w:val="11"/>
                <w:position w:val="0"/>
                <w:sz w:val="24"/>
                <w:szCs w:val="24"/>
                <w:u w:val="single" w:color="auto"/>
                <w:lang w:val="en-US" w:eastAsia="zh-CN"/>
              </w:rPr>
              <w:t>5.4</w:t>
            </w:r>
            <w:r>
              <w:rPr>
                <w:rFonts w:hint="default" w:ascii="Times New Roman" w:hAnsi="Times New Roman" w:eastAsia="宋体" w:cs="Times New Roman"/>
                <w:color w:val="000000"/>
                <w:spacing w:val="11"/>
                <w:position w:val="0"/>
                <w:sz w:val="24"/>
                <w:szCs w:val="24"/>
                <w:u w:val="single" w:color="auto"/>
              </w:rPr>
              <w:t>t/a。通过采用洒水车每天定期洒水降尘，去除效率能达到85%，</w:t>
            </w:r>
            <w:r>
              <w:rPr>
                <w:rFonts w:hint="default" w:ascii="Times New Roman" w:hAnsi="Times New Roman" w:eastAsia="宋体" w:cs="Times New Roman"/>
                <w:color w:val="000000"/>
                <w:spacing w:val="11"/>
                <w:position w:val="0"/>
                <w:sz w:val="24"/>
                <w:szCs w:val="24"/>
                <w:u w:val="single" w:color="auto"/>
                <w:lang w:val="en-US" w:eastAsia="zh-CN"/>
              </w:rPr>
              <w:t>此部分</w:t>
            </w:r>
            <w:r>
              <w:rPr>
                <w:rFonts w:hint="default" w:ascii="Times New Roman" w:hAnsi="Times New Roman" w:eastAsia="宋体" w:cs="Times New Roman"/>
                <w:color w:val="000000"/>
                <w:spacing w:val="11"/>
                <w:position w:val="0"/>
                <w:sz w:val="24"/>
                <w:szCs w:val="24"/>
                <w:u w:val="single" w:color="auto"/>
              </w:rPr>
              <w:t>粉尘排放量</w:t>
            </w:r>
            <w:r>
              <w:rPr>
                <w:rFonts w:hint="default" w:ascii="Times New Roman" w:hAnsi="Times New Roman" w:eastAsia="宋体" w:cs="Times New Roman"/>
                <w:color w:val="000000"/>
                <w:spacing w:val="11"/>
                <w:position w:val="0"/>
                <w:sz w:val="24"/>
                <w:szCs w:val="24"/>
                <w:u w:val="single" w:color="auto"/>
                <w:lang w:val="en-US" w:eastAsia="zh-CN"/>
              </w:rPr>
              <w:t>约</w:t>
            </w:r>
            <w:r>
              <w:rPr>
                <w:rFonts w:hint="default" w:ascii="Times New Roman" w:hAnsi="Times New Roman" w:eastAsia="宋体" w:cs="Times New Roman"/>
                <w:color w:val="000000"/>
                <w:spacing w:val="11"/>
                <w:position w:val="0"/>
                <w:sz w:val="24"/>
                <w:szCs w:val="24"/>
                <w:u w:val="single" w:color="auto"/>
              </w:rPr>
              <w:t>为</w:t>
            </w:r>
            <w:r>
              <w:rPr>
                <w:rFonts w:hint="eastAsia" w:ascii="Times New Roman" w:hAnsi="Times New Roman" w:eastAsia="宋体" w:cs="Times New Roman"/>
                <w:color w:val="000000"/>
                <w:spacing w:val="11"/>
                <w:position w:val="0"/>
                <w:sz w:val="24"/>
                <w:szCs w:val="24"/>
                <w:u w:val="single" w:color="auto"/>
                <w:lang w:val="en-US" w:eastAsia="zh-CN"/>
              </w:rPr>
              <w:t>0.81</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均以无组织形式外排</w:t>
            </w:r>
            <w:r>
              <w:rPr>
                <w:rFonts w:hint="default" w:ascii="Times New Roman" w:hAnsi="Times New Roman" w:eastAsia="宋体" w:cs="Times New Roman"/>
                <w:color w:val="000000"/>
                <w:spacing w:val="11"/>
                <w:position w:val="0"/>
                <w:sz w:val="24"/>
                <w:szCs w:val="24"/>
                <w:u w:val="single" w:color="auto"/>
              </w:rPr>
              <w:t>。</w:t>
            </w:r>
          </w:p>
          <w:p w14:paraId="08A86C50">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④运输扬尘</w:t>
            </w:r>
          </w:p>
          <w:p w14:paraId="2F86E49B">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挖掘机、铲车、货车在矿区工作过程中产生一定的运输扬尘，其强度与路面种类、季节干湿以及运输车运行速度等因素有关。运输道路上所产生的扬尘采用经验公式，即：</w:t>
            </w:r>
          </w:p>
          <w:p w14:paraId="511B615D">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Qi=0.0079VW</w:t>
            </w:r>
            <w:r>
              <w:rPr>
                <w:rFonts w:hint="default" w:ascii="Times New Roman" w:hAnsi="Times New Roman" w:eastAsia="宋体" w:cs="Times New Roman"/>
                <w:color w:val="000000"/>
                <w:spacing w:val="11"/>
                <w:position w:val="0"/>
                <w:sz w:val="24"/>
                <w:szCs w:val="24"/>
                <w:u w:val="single" w:color="auto"/>
                <w:vertAlign w:val="superscript"/>
              </w:rPr>
              <w:t>0.85</w:t>
            </w:r>
            <w:r>
              <w:rPr>
                <w:rFonts w:hint="default" w:ascii="Times New Roman" w:hAnsi="Times New Roman" w:eastAsia="宋体" w:cs="Times New Roman"/>
                <w:color w:val="000000"/>
                <w:spacing w:val="11"/>
                <w:position w:val="0"/>
                <w:sz w:val="24"/>
                <w:szCs w:val="24"/>
                <w:u w:val="single" w:color="auto"/>
              </w:rPr>
              <w:t>P</w:t>
            </w:r>
            <w:r>
              <w:rPr>
                <w:rFonts w:hint="default" w:ascii="Times New Roman" w:hAnsi="Times New Roman" w:eastAsia="宋体" w:cs="Times New Roman"/>
                <w:color w:val="000000"/>
                <w:spacing w:val="11"/>
                <w:position w:val="0"/>
                <w:sz w:val="24"/>
                <w:szCs w:val="24"/>
                <w:u w:val="single" w:color="auto"/>
                <w:vertAlign w:val="superscript"/>
              </w:rPr>
              <w:t>0.72</w:t>
            </w:r>
          </w:p>
          <w:p w14:paraId="5EE764D5">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式中：Qi——每辆运输车行驶扬尘量，kg/km•辆；</w:t>
            </w:r>
          </w:p>
          <w:p w14:paraId="3FCB8B23">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V——运输车行驶速度，30km/h；</w:t>
            </w:r>
          </w:p>
          <w:p w14:paraId="1A8600D4">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W——运输车载重，</w:t>
            </w:r>
            <w:r>
              <w:rPr>
                <w:rFonts w:hint="eastAsia" w:ascii="Times New Roman" w:hAnsi="Times New Roman" w:eastAsia="宋体" w:cs="Times New Roman"/>
                <w:color w:val="000000"/>
                <w:spacing w:val="11"/>
                <w:position w:val="0"/>
                <w:sz w:val="24"/>
                <w:szCs w:val="24"/>
                <w:u w:val="single" w:color="auto"/>
                <w:lang w:val="en-US" w:eastAsia="zh-CN"/>
              </w:rPr>
              <w:t>2</w:t>
            </w:r>
            <w:r>
              <w:rPr>
                <w:rFonts w:hint="default" w:ascii="Times New Roman" w:hAnsi="Times New Roman" w:eastAsia="宋体" w:cs="Times New Roman"/>
                <w:color w:val="000000"/>
                <w:spacing w:val="11"/>
                <w:position w:val="0"/>
                <w:sz w:val="24"/>
                <w:szCs w:val="24"/>
                <w:u w:val="single" w:color="auto"/>
              </w:rPr>
              <w:t>0t；</w:t>
            </w:r>
          </w:p>
          <w:p w14:paraId="0826A4E0">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P——道路表面粉尘量，0.2kg/m</w:t>
            </w:r>
            <w:r>
              <w:rPr>
                <w:rFonts w:hint="default" w:ascii="Times New Roman" w:hAnsi="Times New Roman" w:eastAsia="宋体" w:cs="Times New Roman"/>
                <w:color w:val="000000"/>
                <w:spacing w:val="11"/>
                <w:position w:val="0"/>
                <w:sz w:val="24"/>
                <w:szCs w:val="24"/>
                <w:u w:val="single" w:color="auto"/>
                <w:vertAlign w:val="superscript"/>
              </w:rPr>
              <w:t>2</w:t>
            </w:r>
            <w:r>
              <w:rPr>
                <w:rFonts w:hint="default" w:ascii="Times New Roman" w:hAnsi="Times New Roman" w:eastAsia="宋体" w:cs="Times New Roman"/>
                <w:color w:val="000000"/>
                <w:spacing w:val="11"/>
                <w:position w:val="0"/>
                <w:sz w:val="24"/>
                <w:szCs w:val="24"/>
                <w:u w:val="single" w:color="auto"/>
              </w:rPr>
              <w:t>。</w:t>
            </w:r>
          </w:p>
          <w:p w14:paraId="7F639745">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由以上参数计算每辆运输车形式扬尘量为</w:t>
            </w:r>
            <w:r>
              <w:rPr>
                <w:rFonts w:hint="eastAsia" w:ascii="Times New Roman" w:hAnsi="Times New Roman" w:eastAsia="宋体" w:cs="Times New Roman"/>
                <w:color w:val="000000"/>
                <w:spacing w:val="11"/>
                <w:position w:val="0"/>
                <w:sz w:val="24"/>
                <w:szCs w:val="24"/>
                <w:u w:val="single" w:color="auto"/>
                <w:lang w:val="en-US" w:eastAsia="zh-CN"/>
              </w:rPr>
              <w:t>0.94</w:t>
            </w:r>
            <w:r>
              <w:rPr>
                <w:rFonts w:hint="default" w:ascii="Times New Roman" w:hAnsi="Times New Roman" w:eastAsia="宋体" w:cs="Times New Roman"/>
                <w:color w:val="000000"/>
                <w:spacing w:val="11"/>
                <w:position w:val="0"/>
                <w:sz w:val="24"/>
                <w:szCs w:val="24"/>
                <w:u w:val="single" w:color="auto"/>
              </w:rPr>
              <w:t>kg/km</w:t>
            </w:r>
            <w:r>
              <w:rPr>
                <w:rFonts w:hint="eastAsia"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rPr>
              <w:t>辆。矿山平均运距0.3km，年运输辆次</w:t>
            </w:r>
            <w:r>
              <w:rPr>
                <w:rFonts w:hint="eastAsia" w:ascii="Times New Roman" w:hAnsi="Times New Roman" w:eastAsia="宋体" w:cs="Times New Roman"/>
                <w:color w:val="000000"/>
                <w:spacing w:val="11"/>
                <w:position w:val="0"/>
                <w:sz w:val="24"/>
                <w:szCs w:val="24"/>
                <w:u w:val="single" w:color="auto"/>
                <w:lang w:val="en-US" w:eastAsia="zh-CN"/>
              </w:rPr>
              <w:t>60000</w:t>
            </w:r>
            <w:r>
              <w:rPr>
                <w:rFonts w:hint="default" w:ascii="Times New Roman" w:hAnsi="Times New Roman" w:eastAsia="宋体" w:cs="Times New Roman"/>
                <w:color w:val="000000"/>
                <w:spacing w:val="11"/>
                <w:position w:val="0"/>
                <w:sz w:val="24"/>
                <w:szCs w:val="24"/>
                <w:u w:val="single" w:color="auto"/>
              </w:rPr>
              <w:t>辆次，经运输车道路扬尘计算和类比同类矿山运输引起的无组织粉尘量约为</w:t>
            </w:r>
            <w:r>
              <w:rPr>
                <w:rFonts w:hint="eastAsia" w:ascii="Times New Roman" w:hAnsi="Times New Roman" w:eastAsia="宋体" w:cs="Times New Roman"/>
                <w:color w:val="000000"/>
                <w:spacing w:val="11"/>
                <w:position w:val="0"/>
                <w:sz w:val="24"/>
                <w:szCs w:val="24"/>
                <w:u w:val="single" w:color="auto"/>
                <w:lang w:val="en-US" w:eastAsia="zh-CN"/>
              </w:rPr>
              <w:t>56.4</w:t>
            </w:r>
            <w:r>
              <w:rPr>
                <w:rFonts w:hint="default" w:ascii="Times New Roman" w:hAnsi="Times New Roman" w:eastAsia="宋体" w:cs="Times New Roman"/>
                <w:color w:val="000000"/>
                <w:spacing w:val="11"/>
                <w:position w:val="0"/>
                <w:sz w:val="24"/>
                <w:szCs w:val="24"/>
                <w:u w:val="single" w:color="auto"/>
              </w:rPr>
              <w:t>t/a，公路两侧粉尘浓度监测一般在10mg/m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左右。通过</w:t>
            </w:r>
            <w:r>
              <w:rPr>
                <w:rFonts w:hint="default" w:ascii="Times New Roman" w:hAnsi="Times New Roman" w:eastAsia="宋体" w:cs="Times New Roman"/>
                <w:color w:val="000000"/>
                <w:spacing w:val="11"/>
                <w:position w:val="0"/>
                <w:sz w:val="24"/>
                <w:szCs w:val="24"/>
                <w:u w:val="single" w:color="auto"/>
                <w:lang w:val="en-US" w:eastAsia="zh-CN"/>
              </w:rPr>
              <w:t>对道路两侧设置喷淋头</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在厂区设置洒水车，对厂区</w:t>
            </w:r>
            <w:r>
              <w:rPr>
                <w:rFonts w:hint="default" w:ascii="Times New Roman" w:hAnsi="Times New Roman" w:eastAsia="宋体" w:cs="Times New Roman"/>
                <w:color w:val="000000"/>
                <w:spacing w:val="11"/>
                <w:position w:val="0"/>
                <w:sz w:val="24"/>
                <w:szCs w:val="24"/>
                <w:u w:val="single" w:color="auto"/>
              </w:rPr>
              <w:t>路面</w:t>
            </w:r>
            <w:r>
              <w:rPr>
                <w:rFonts w:hint="default" w:ascii="Times New Roman" w:hAnsi="Times New Roman" w:eastAsia="宋体" w:cs="Times New Roman"/>
                <w:color w:val="000000"/>
                <w:spacing w:val="11"/>
                <w:position w:val="0"/>
                <w:sz w:val="24"/>
                <w:szCs w:val="24"/>
                <w:u w:val="single" w:color="auto"/>
                <w:lang w:val="en-US" w:eastAsia="zh-CN"/>
              </w:rPr>
              <w:t>实行</w:t>
            </w:r>
            <w:r>
              <w:rPr>
                <w:rFonts w:hint="default" w:ascii="Times New Roman" w:hAnsi="Times New Roman" w:eastAsia="宋体" w:cs="Times New Roman"/>
                <w:color w:val="000000"/>
                <w:spacing w:val="11"/>
                <w:position w:val="0"/>
                <w:sz w:val="24"/>
                <w:szCs w:val="24"/>
                <w:u w:val="single" w:color="auto"/>
              </w:rPr>
              <w:t>硬化</w:t>
            </w:r>
            <w:r>
              <w:rPr>
                <w:rFonts w:hint="default" w:ascii="Times New Roman" w:hAnsi="Times New Roman" w:eastAsia="宋体" w:cs="Times New Roman"/>
                <w:color w:val="000000"/>
                <w:spacing w:val="11"/>
                <w:position w:val="0"/>
                <w:sz w:val="24"/>
                <w:szCs w:val="24"/>
                <w:u w:val="single" w:color="auto"/>
                <w:lang w:val="en-US" w:eastAsia="zh-CN"/>
              </w:rPr>
              <w:t>处理，同时厂区设置洗车平台，对进出厂区车辆进行保洁清洗</w:t>
            </w:r>
            <w:r>
              <w:rPr>
                <w:rFonts w:hint="default" w:ascii="Times New Roman" w:hAnsi="Times New Roman" w:eastAsia="宋体" w:cs="Times New Roman"/>
                <w:color w:val="000000"/>
                <w:spacing w:val="11"/>
                <w:position w:val="0"/>
                <w:sz w:val="24"/>
                <w:szCs w:val="24"/>
                <w:u w:val="single" w:color="auto"/>
              </w:rPr>
              <w:t>，可将粉尘降低8</w:t>
            </w:r>
            <w:r>
              <w:rPr>
                <w:rFonts w:hint="default" w:ascii="Times New Roman" w:hAnsi="Times New Roman" w:eastAsia="宋体" w:cs="Times New Roman"/>
                <w:color w:val="000000"/>
                <w:spacing w:val="11"/>
                <w:position w:val="0"/>
                <w:sz w:val="24"/>
                <w:szCs w:val="24"/>
                <w:u w:val="single" w:color="auto"/>
                <w:lang w:val="en-US" w:eastAsia="zh-CN"/>
              </w:rPr>
              <w:t>5</w:t>
            </w:r>
            <w:r>
              <w:rPr>
                <w:rFonts w:hint="default" w:ascii="Times New Roman" w:hAnsi="Times New Roman" w:eastAsia="宋体" w:cs="Times New Roman"/>
                <w:color w:val="000000"/>
                <w:spacing w:val="11"/>
                <w:position w:val="0"/>
                <w:sz w:val="24"/>
                <w:szCs w:val="24"/>
                <w:u w:val="single" w:color="auto"/>
              </w:rPr>
              <w:t>%，排放量为</w:t>
            </w:r>
            <w:r>
              <w:rPr>
                <w:rFonts w:hint="eastAsia" w:ascii="Times New Roman" w:hAnsi="Times New Roman" w:eastAsia="宋体" w:cs="Times New Roman"/>
                <w:color w:val="000000"/>
                <w:spacing w:val="11"/>
                <w:position w:val="0"/>
                <w:sz w:val="24"/>
                <w:szCs w:val="24"/>
                <w:u w:val="single" w:color="auto"/>
                <w:lang w:val="en-US" w:eastAsia="zh-CN"/>
              </w:rPr>
              <w:t>8.46</w:t>
            </w:r>
            <w:r>
              <w:rPr>
                <w:rFonts w:hint="default" w:ascii="Times New Roman" w:hAnsi="Times New Roman" w:eastAsia="宋体" w:cs="Times New Roman"/>
                <w:color w:val="000000"/>
                <w:spacing w:val="11"/>
                <w:position w:val="0"/>
                <w:sz w:val="24"/>
                <w:szCs w:val="24"/>
                <w:u w:val="single" w:color="auto"/>
              </w:rPr>
              <w:t>t/a。</w:t>
            </w:r>
          </w:p>
          <w:p w14:paraId="1EACC5F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⑤</w:t>
            </w:r>
            <w:r>
              <w:rPr>
                <w:rFonts w:hint="eastAsia" w:cs="Times New Roman"/>
                <w:color w:val="000000"/>
                <w:spacing w:val="11"/>
                <w:position w:val="0"/>
                <w:sz w:val="24"/>
                <w:szCs w:val="24"/>
                <w:u w:val="single" w:color="auto"/>
                <w:lang w:val="en-US" w:eastAsia="zh-CN"/>
              </w:rPr>
              <w:t>产品</w:t>
            </w:r>
            <w:r>
              <w:rPr>
                <w:rFonts w:hint="default" w:ascii="Times New Roman" w:hAnsi="Times New Roman" w:eastAsia="宋体" w:cs="Times New Roman"/>
                <w:color w:val="000000"/>
                <w:spacing w:val="11"/>
                <w:position w:val="0"/>
                <w:sz w:val="24"/>
                <w:szCs w:val="24"/>
                <w:u w:val="single" w:color="auto"/>
                <w:lang w:val="en-US" w:eastAsia="zh-CN"/>
              </w:rPr>
              <w:t>堆场</w:t>
            </w:r>
            <w:r>
              <w:rPr>
                <w:rFonts w:hint="eastAsia" w:cs="Times New Roman"/>
                <w:color w:val="000000"/>
                <w:spacing w:val="11"/>
                <w:position w:val="0"/>
                <w:sz w:val="24"/>
                <w:szCs w:val="24"/>
                <w:u w:val="single" w:color="auto"/>
                <w:lang w:val="en-US" w:eastAsia="zh-CN"/>
              </w:rPr>
              <w:t>、临时堆土场</w:t>
            </w:r>
            <w:r>
              <w:rPr>
                <w:rFonts w:hint="default" w:ascii="Times New Roman" w:hAnsi="Times New Roman" w:eastAsia="宋体" w:cs="Times New Roman"/>
                <w:color w:val="000000"/>
                <w:spacing w:val="11"/>
                <w:position w:val="0"/>
                <w:sz w:val="24"/>
                <w:szCs w:val="24"/>
                <w:u w:val="single" w:color="auto"/>
                <w:lang w:val="en-US" w:eastAsia="zh-CN"/>
              </w:rPr>
              <w:t>扬尘</w:t>
            </w:r>
          </w:p>
          <w:p w14:paraId="1EF0542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产品堆场、临时堆土场在干燥情况下，受风力的影响会产生少量的扬尘，扬尘产生量采取西安冶金建筑学院的干堆扬尘计算公式</w:t>
            </w:r>
            <w:r>
              <w:rPr>
                <w:rFonts w:hint="eastAsia" w:cs="Times New Roman"/>
                <w:color w:val="000000"/>
                <w:spacing w:val="11"/>
                <w:position w:val="0"/>
                <w:sz w:val="24"/>
                <w:szCs w:val="24"/>
                <w:u w:val="single" w:color="auto"/>
                <w:lang w:val="en-US" w:eastAsia="zh-CN"/>
              </w:rPr>
              <w:t>：</w:t>
            </w:r>
          </w:p>
          <w:p w14:paraId="50B1E364">
            <w:pPr>
              <w:keepNext w:val="0"/>
              <w:keepLines w:val="0"/>
              <w:pageBreakBefore w:val="0"/>
              <w:widowControl w:val="0"/>
              <w:kinsoku/>
              <w:wordWrap/>
              <w:overflowPunct/>
              <w:topLinePunct w:val="0"/>
              <w:bidi w:val="0"/>
              <w:adjustRightInd w:val="0"/>
              <w:snapToGrid w:val="0"/>
              <w:spacing w:line="360" w:lineRule="auto"/>
              <w:ind w:right="0"/>
              <w:jc w:val="center"/>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drawing>
                <wp:inline distT="0" distB="0" distL="114300" distR="114300">
                  <wp:extent cx="1669415" cy="26035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669415" cy="260350"/>
                          </a:xfrm>
                          <a:prstGeom prst="rect">
                            <a:avLst/>
                          </a:prstGeom>
                          <a:noFill/>
                          <a:ln>
                            <a:noFill/>
                          </a:ln>
                        </pic:spPr>
                      </pic:pic>
                    </a:graphicData>
                  </a:graphic>
                </wp:inline>
              </w:drawing>
            </w:r>
          </w:p>
          <w:p w14:paraId="3F40EE6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 xml:space="preserve">其中：Q—扬尘产生量，单位mg/s； </w:t>
            </w:r>
          </w:p>
          <w:p w14:paraId="4B4D6C48">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S—堆场面积，单位m</w:t>
            </w:r>
            <w:r>
              <w:rPr>
                <w:rFonts w:hint="default" w:ascii="Times New Roman" w:hAnsi="Times New Roman" w:eastAsia="宋体" w:cs="Times New Roman"/>
                <w:color w:val="000000"/>
                <w:spacing w:val="11"/>
                <w:position w:val="0"/>
                <w:sz w:val="24"/>
                <w:szCs w:val="24"/>
                <w:u w:val="single" w:color="auto"/>
                <w:vertAlign w:val="superscript"/>
                <w:lang w:val="en-US" w:eastAsia="zh-CN"/>
              </w:rPr>
              <w:t>2</w:t>
            </w:r>
            <w:r>
              <w:rPr>
                <w:rFonts w:hint="default" w:ascii="Times New Roman" w:hAnsi="Times New Roman" w:eastAsia="宋体" w:cs="Times New Roman"/>
                <w:color w:val="000000"/>
                <w:spacing w:val="11"/>
                <w:position w:val="0"/>
                <w:sz w:val="24"/>
                <w:szCs w:val="24"/>
                <w:u w:val="single" w:color="auto"/>
                <w:lang w:val="en-US" w:eastAsia="zh-CN"/>
              </w:rPr>
              <w:t>，产品堆场占地面积</w:t>
            </w:r>
            <w:r>
              <w:rPr>
                <w:rFonts w:hint="eastAsia" w:cs="Times New Roman"/>
                <w:color w:val="000000"/>
                <w:spacing w:val="11"/>
                <w:position w:val="0"/>
                <w:sz w:val="24"/>
                <w:szCs w:val="24"/>
                <w:u w:val="single" w:color="auto"/>
                <w:lang w:val="en-US" w:eastAsia="zh-CN"/>
              </w:rPr>
              <w:t>1090</w:t>
            </w:r>
            <w:r>
              <w:rPr>
                <w:rFonts w:hint="default" w:ascii="Times New Roman" w:hAnsi="Times New Roman" w:eastAsia="宋体" w:cs="Times New Roman"/>
                <w:color w:val="000000"/>
                <w:spacing w:val="11"/>
                <w:position w:val="0"/>
                <w:sz w:val="24"/>
                <w:szCs w:val="24"/>
                <w:u w:val="single" w:color="auto"/>
                <w:lang w:val="en-US" w:eastAsia="zh-CN"/>
              </w:rPr>
              <w:t>m</w:t>
            </w:r>
            <w:r>
              <w:rPr>
                <w:rFonts w:hint="default" w:ascii="Times New Roman" w:hAnsi="Times New Roman" w:eastAsia="宋体" w:cs="Times New Roman"/>
                <w:color w:val="000000"/>
                <w:spacing w:val="11"/>
                <w:position w:val="0"/>
                <w:sz w:val="24"/>
                <w:szCs w:val="24"/>
                <w:u w:val="single" w:color="auto"/>
                <w:vertAlign w:val="superscript"/>
                <w:lang w:val="en-US" w:eastAsia="zh-CN"/>
              </w:rPr>
              <w:t>2</w:t>
            </w:r>
            <w:r>
              <w:rPr>
                <w:rFonts w:hint="eastAsia" w:cs="Times New Roman"/>
                <w:color w:val="000000"/>
                <w:spacing w:val="11"/>
                <w:position w:val="0"/>
                <w:sz w:val="24"/>
                <w:szCs w:val="24"/>
                <w:u w:val="single" w:color="auto"/>
                <w:vertAlign w:val="baseline"/>
                <w:lang w:val="en-US" w:eastAsia="zh-CN"/>
              </w:rPr>
              <w:t>，临时堆土场占地面积6992m</w:t>
            </w:r>
            <w:r>
              <w:rPr>
                <w:rFonts w:hint="eastAsia" w:cs="Times New Roman"/>
                <w:color w:val="000000"/>
                <w:spacing w:val="11"/>
                <w:position w:val="0"/>
                <w:sz w:val="24"/>
                <w:szCs w:val="24"/>
                <w:u w:val="single" w:color="auto"/>
                <w:vertAlign w:val="superscript"/>
                <w:lang w:val="en-US" w:eastAsia="zh-CN"/>
              </w:rPr>
              <w:t>2</w:t>
            </w:r>
            <w:r>
              <w:rPr>
                <w:rFonts w:hint="default" w:ascii="Times New Roman" w:hAnsi="Times New Roman" w:eastAsia="宋体" w:cs="Times New Roman"/>
                <w:color w:val="000000"/>
                <w:spacing w:val="11"/>
                <w:position w:val="0"/>
                <w:sz w:val="24"/>
                <w:szCs w:val="24"/>
                <w:u w:val="single" w:color="auto"/>
                <w:lang w:val="en-US" w:eastAsia="zh-CN"/>
              </w:rPr>
              <w:t xml:space="preserve">； </w:t>
            </w:r>
          </w:p>
          <w:p w14:paraId="27C9C09A">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V—风速，单位m/s，取</w:t>
            </w:r>
            <w:r>
              <w:rPr>
                <w:rFonts w:hint="eastAsia" w:cs="Times New Roman"/>
                <w:color w:val="000000"/>
                <w:spacing w:val="11"/>
                <w:position w:val="0"/>
                <w:sz w:val="24"/>
                <w:szCs w:val="24"/>
                <w:u w:val="single" w:color="auto"/>
                <w:lang w:val="en-US" w:eastAsia="zh-CN"/>
              </w:rPr>
              <w:t>新田</w:t>
            </w:r>
            <w:r>
              <w:rPr>
                <w:rFonts w:hint="default" w:ascii="Times New Roman" w:hAnsi="Times New Roman" w:eastAsia="宋体" w:cs="Times New Roman"/>
                <w:color w:val="000000"/>
                <w:spacing w:val="11"/>
                <w:position w:val="0"/>
                <w:sz w:val="24"/>
                <w:szCs w:val="24"/>
                <w:u w:val="single" w:color="auto"/>
                <w:lang w:val="en-US" w:eastAsia="zh-CN"/>
              </w:rPr>
              <w:t>县多年平均风速</w:t>
            </w:r>
            <w:r>
              <w:rPr>
                <w:rFonts w:hint="eastAsia" w:cs="Times New Roman"/>
                <w:color w:val="000000"/>
                <w:spacing w:val="11"/>
                <w:position w:val="0"/>
                <w:sz w:val="24"/>
                <w:szCs w:val="24"/>
                <w:u w:val="single" w:color="auto"/>
                <w:lang w:val="en-US" w:eastAsia="zh-CN"/>
              </w:rPr>
              <w:t>1.1</w:t>
            </w:r>
            <w:r>
              <w:rPr>
                <w:rFonts w:hint="default" w:ascii="Times New Roman" w:hAnsi="Times New Roman" w:eastAsia="宋体" w:cs="Times New Roman"/>
                <w:color w:val="000000"/>
                <w:spacing w:val="11"/>
                <w:position w:val="0"/>
                <w:sz w:val="24"/>
                <w:szCs w:val="24"/>
                <w:u w:val="single" w:color="auto"/>
                <w:lang w:val="en-US" w:eastAsia="zh-CN"/>
              </w:rPr>
              <w:t>m/s；</w:t>
            </w:r>
          </w:p>
          <w:p w14:paraId="583272A7">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经估算，项目产品堆场、临时堆土场在不采取任何防尘抑尘措施的情况下，</w:t>
            </w:r>
            <w:r>
              <w:rPr>
                <w:rFonts w:hint="eastAsia" w:cs="Times New Roman"/>
                <w:color w:val="000000"/>
                <w:spacing w:val="11"/>
                <w:position w:val="0"/>
                <w:sz w:val="24"/>
                <w:szCs w:val="24"/>
                <w:u w:val="single" w:color="auto"/>
                <w:lang w:val="en-US" w:eastAsia="zh-CN"/>
              </w:rPr>
              <w:t>产品堆场</w:t>
            </w:r>
            <w:r>
              <w:rPr>
                <w:rFonts w:hint="default" w:ascii="Times New Roman" w:hAnsi="Times New Roman" w:eastAsia="宋体" w:cs="Times New Roman"/>
                <w:color w:val="000000"/>
                <w:spacing w:val="11"/>
                <w:position w:val="0"/>
                <w:sz w:val="24"/>
                <w:szCs w:val="24"/>
                <w:u w:val="single" w:color="auto"/>
                <w:lang w:val="en-US" w:eastAsia="zh-CN"/>
              </w:rPr>
              <w:t>扬尘产尘量约为</w:t>
            </w:r>
            <w:r>
              <w:rPr>
                <w:rFonts w:hint="eastAsia" w:cs="Times New Roman"/>
                <w:color w:val="000000"/>
                <w:spacing w:val="11"/>
                <w:position w:val="0"/>
                <w:sz w:val="24"/>
                <w:szCs w:val="24"/>
                <w:u w:val="single" w:color="auto"/>
                <w:lang w:val="en-US" w:eastAsia="zh-CN"/>
              </w:rPr>
              <w:t>0.736</w:t>
            </w:r>
            <w:r>
              <w:rPr>
                <w:rFonts w:hint="default" w:ascii="Times New Roman" w:hAnsi="Times New Roman" w:eastAsia="宋体" w:cs="Times New Roman"/>
                <w:color w:val="000000"/>
                <w:spacing w:val="11"/>
                <w:position w:val="0"/>
                <w:sz w:val="24"/>
                <w:szCs w:val="24"/>
                <w:u w:val="single" w:color="auto"/>
                <w:lang w:val="en-US" w:eastAsia="zh-CN"/>
              </w:rPr>
              <w:t>mg/s，0.00265kg/h（</w:t>
            </w:r>
            <w:r>
              <w:rPr>
                <w:rFonts w:hint="eastAsia" w:cs="Times New Roman"/>
                <w:color w:val="000000"/>
                <w:spacing w:val="11"/>
                <w:position w:val="0"/>
                <w:sz w:val="24"/>
                <w:szCs w:val="24"/>
                <w:u w:val="single" w:color="auto"/>
                <w:lang w:val="en-US" w:eastAsia="zh-CN"/>
              </w:rPr>
              <w:t>12.72kg</w:t>
            </w:r>
            <w:r>
              <w:rPr>
                <w:rFonts w:hint="default" w:ascii="Times New Roman" w:hAnsi="Times New Roman" w:eastAsia="宋体" w:cs="Times New Roman"/>
                <w:color w:val="000000"/>
                <w:spacing w:val="11"/>
                <w:position w:val="0"/>
                <w:sz w:val="24"/>
                <w:szCs w:val="24"/>
                <w:u w:val="single" w:color="auto"/>
                <w:lang w:val="en-US" w:eastAsia="zh-CN"/>
              </w:rPr>
              <w:t>/a）</w:t>
            </w:r>
            <w:r>
              <w:rPr>
                <w:rFonts w:hint="eastAsia" w:cs="Times New Roman"/>
                <w:color w:val="000000"/>
                <w:spacing w:val="11"/>
                <w:position w:val="0"/>
                <w:sz w:val="24"/>
                <w:szCs w:val="24"/>
                <w:u w:val="single" w:color="auto"/>
                <w:lang w:val="en-US" w:eastAsia="zh-CN"/>
              </w:rPr>
              <w:t>，临时堆土场扬尘产尘量约为4.73mg/s，0.017kg/h（81.6kg/a）</w:t>
            </w:r>
            <w:r>
              <w:rPr>
                <w:rFonts w:hint="default" w:ascii="Times New Roman" w:hAnsi="Times New Roman" w:eastAsia="宋体" w:cs="Times New Roman"/>
                <w:color w:val="000000"/>
                <w:spacing w:val="11"/>
                <w:position w:val="0"/>
                <w:sz w:val="24"/>
                <w:szCs w:val="24"/>
                <w:u w:val="single" w:color="auto"/>
                <w:lang w:val="en-US" w:eastAsia="zh-CN"/>
              </w:rPr>
              <w:t>；项目拟</w:t>
            </w:r>
            <w:r>
              <w:rPr>
                <w:rFonts w:hint="eastAsia" w:cs="Times New Roman"/>
                <w:color w:val="000000"/>
                <w:spacing w:val="11"/>
                <w:position w:val="0"/>
                <w:sz w:val="24"/>
                <w:szCs w:val="24"/>
                <w:u w:val="single" w:color="auto"/>
                <w:lang w:val="en-US" w:eastAsia="zh-CN"/>
              </w:rPr>
              <w:t>采取洒水等措施改善</w:t>
            </w:r>
            <w:r>
              <w:rPr>
                <w:rFonts w:hint="default" w:ascii="Times New Roman" w:hAnsi="Times New Roman" w:eastAsia="宋体" w:cs="Times New Roman"/>
                <w:color w:val="000000"/>
                <w:spacing w:val="11"/>
                <w:position w:val="0"/>
                <w:sz w:val="24"/>
                <w:szCs w:val="24"/>
                <w:u w:val="single" w:color="auto"/>
                <w:lang w:val="en-US" w:eastAsia="zh-CN"/>
              </w:rPr>
              <w:t>产品堆场、临时堆土场</w:t>
            </w:r>
            <w:r>
              <w:rPr>
                <w:rFonts w:hint="eastAsia" w:cs="Times New Roman"/>
                <w:color w:val="000000"/>
                <w:spacing w:val="11"/>
                <w:position w:val="0"/>
                <w:sz w:val="24"/>
                <w:szCs w:val="24"/>
                <w:u w:val="single" w:color="auto"/>
                <w:lang w:val="en-US" w:eastAsia="zh-CN"/>
              </w:rPr>
              <w:t>扬尘对周边环境的影响</w:t>
            </w:r>
            <w:r>
              <w:rPr>
                <w:rFonts w:hint="default" w:ascii="Times New Roman" w:hAnsi="Times New Roman" w:eastAsia="宋体" w:cs="Times New Roman"/>
                <w:color w:val="000000"/>
                <w:spacing w:val="11"/>
                <w:position w:val="0"/>
                <w:sz w:val="24"/>
                <w:szCs w:val="24"/>
                <w:u w:val="single" w:color="auto"/>
                <w:lang w:val="en-US" w:eastAsia="zh-CN"/>
              </w:rPr>
              <w:t>。在建设单位积极采取上述措施，并严格规范管理的情况下，抑尘效率可取</w:t>
            </w:r>
            <w:r>
              <w:rPr>
                <w:rFonts w:hint="eastAsia" w:cs="Times New Roman"/>
                <w:color w:val="000000"/>
                <w:spacing w:val="11"/>
                <w:position w:val="0"/>
                <w:sz w:val="24"/>
                <w:szCs w:val="24"/>
                <w:u w:val="single" w:color="auto"/>
                <w:lang w:val="en-US" w:eastAsia="zh-CN"/>
              </w:rPr>
              <w:t>7</w:t>
            </w:r>
            <w:r>
              <w:rPr>
                <w:rFonts w:hint="default" w:ascii="Times New Roman" w:hAnsi="Times New Roman" w:eastAsia="宋体" w:cs="Times New Roman"/>
                <w:color w:val="000000"/>
                <w:spacing w:val="11"/>
                <w:position w:val="0"/>
                <w:sz w:val="24"/>
                <w:szCs w:val="24"/>
                <w:u w:val="single" w:color="auto"/>
                <w:lang w:val="en-US" w:eastAsia="zh-CN"/>
              </w:rPr>
              <w:t>0%，则产品堆场的粉尘排放量为</w:t>
            </w:r>
            <w:r>
              <w:rPr>
                <w:rFonts w:hint="eastAsia" w:cs="Times New Roman"/>
                <w:color w:val="000000"/>
                <w:spacing w:val="11"/>
                <w:position w:val="0"/>
                <w:sz w:val="24"/>
                <w:szCs w:val="24"/>
                <w:u w:val="single" w:color="auto"/>
                <w:lang w:val="en-US" w:eastAsia="zh-CN"/>
              </w:rPr>
              <w:t>3.816kg</w:t>
            </w:r>
            <w:r>
              <w:rPr>
                <w:rFonts w:hint="default" w:ascii="Times New Roman" w:hAnsi="Times New Roman" w:eastAsia="宋体" w:cs="Times New Roman"/>
                <w:color w:val="000000"/>
                <w:spacing w:val="11"/>
                <w:position w:val="0"/>
                <w:sz w:val="24"/>
                <w:szCs w:val="24"/>
                <w:u w:val="single" w:color="auto"/>
                <w:lang w:val="en-US" w:eastAsia="zh-CN"/>
              </w:rPr>
              <w:t>/a（0.0</w:t>
            </w:r>
            <w:r>
              <w:rPr>
                <w:rFonts w:hint="eastAsia" w:cs="Times New Roman"/>
                <w:color w:val="000000"/>
                <w:spacing w:val="11"/>
                <w:position w:val="0"/>
                <w:sz w:val="24"/>
                <w:szCs w:val="24"/>
                <w:u w:val="single" w:color="auto"/>
                <w:lang w:val="en-US" w:eastAsia="zh-CN"/>
              </w:rPr>
              <w:t>00795</w:t>
            </w:r>
            <w:r>
              <w:rPr>
                <w:rFonts w:hint="default" w:ascii="Times New Roman" w:hAnsi="Times New Roman" w:eastAsia="宋体" w:cs="Times New Roman"/>
                <w:color w:val="000000"/>
                <w:spacing w:val="11"/>
                <w:position w:val="0"/>
                <w:sz w:val="24"/>
                <w:szCs w:val="24"/>
                <w:u w:val="single" w:color="auto"/>
                <w:lang w:val="en-US" w:eastAsia="zh-CN"/>
              </w:rPr>
              <w:t>kg/h）</w:t>
            </w:r>
            <w:r>
              <w:rPr>
                <w:rFonts w:hint="eastAsia" w:cs="Times New Roman"/>
                <w:color w:val="000000"/>
                <w:spacing w:val="11"/>
                <w:position w:val="0"/>
                <w:sz w:val="24"/>
                <w:szCs w:val="24"/>
                <w:u w:val="single" w:color="auto"/>
                <w:lang w:val="en-US" w:eastAsia="zh-CN"/>
              </w:rPr>
              <w:t>，临时堆土场</w:t>
            </w:r>
            <w:r>
              <w:rPr>
                <w:rFonts w:hint="default" w:ascii="Times New Roman" w:hAnsi="Times New Roman" w:eastAsia="宋体" w:cs="Times New Roman"/>
                <w:color w:val="000000"/>
                <w:spacing w:val="11"/>
                <w:position w:val="0"/>
                <w:sz w:val="24"/>
                <w:szCs w:val="24"/>
                <w:u w:val="single" w:color="auto"/>
                <w:lang w:val="en-US" w:eastAsia="zh-CN"/>
              </w:rPr>
              <w:t>的粉尘排放量为</w:t>
            </w:r>
            <w:r>
              <w:rPr>
                <w:rFonts w:hint="eastAsia" w:cs="Times New Roman"/>
                <w:color w:val="000000"/>
                <w:spacing w:val="11"/>
                <w:position w:val="0"/>
                <w:sz w:val="24"/>
                <w:szCs w:val="24"/>
                <w:u w:val="single" w:color="auto"/>
                <w:lang w:val="en-US" w:eastAsia="zh-CN"/>
              </w:rPr>
              <w:t>24.48kg</w:t>
            </w:r>
            <w:r>
              <w:rPr>
                <w:rFonts w:hint="default" w:ascii="Times New Roman" w:hAnsi="Times New Roman" w:eastAsia="宋体" w:cs="Times New Roman"/>
                <w:color w:val="000000"/>
                <w:spacing w:val="11"/>
                <w:position w:val="0"/>
                <w:sz w:val="24"/>
                <w:szCs w:val="24"/>
                <w:u w:val="single" w:color="auto"/>
                <w:lang w:val="en-US" w:eastAsia="zh-CN"/>
              </w:rPr>
              <w:t>/a（0.0</w:t>
            </w:r>
            <w:r>
              <w:rPr>
                <w:rFonts w:hint="eastAsia" w:cs="Times New Roman"/>
                <w:color w:val="000000"/>
                <w:spacing w:val="11"/>
                <w:position w:val="0"/>
                <w:sz w:val="24"/>
                <w:szCs w:val="24"/>
                <w:u w:val="single" w:color="auto"/>
                <w:lang w:val="en-US" w:eastAsia="zh-CN"/>
              </w:rPr>
              <w:t>051</w:t>
            </w:r>
            <w:r>
              <w:rPr>
                <w:rFonts w:hint="default" w:ascii="Times New Roman" w:hAnsi="Times New Roman" w:eastAsia="宋体" w:cs="Times New Roman"/>
                <w:color w:val="000000"/>
                <w:spacing w:val="11"/>
                <w:position w:val="0"/>
                <w:sz w:val="24"/>
                <w:szCs w:val="24"/>
                <w:u w:val="single" w:color="auto"/>
                <w:lang w:val="en-US" w:eastAsia="zh-CN"/>
              </w:rPr>
              <w:t>kg/h）。</w:t>
            </w:r>
          </w:p>
          <w:p w14:paraId="68ABBE4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eastAsia" w:cs="Times New Roman"/>
                <w:color w:val="000000"/>
                <w:spacing w:val="11"/>
                <w:position w:val="0"/>
                <w:sz w:val="24"/>
                <w:szCs w:val="24"/>
                <w:u w:val="single" w:color="auto"/>
                <w:lang w:val="en-US" w:eastAsia="zh-CN"/>
              </w:rPr>
              <w:t>⑥</w:t>
            </w:r>
            <w:r>
              <w:rPr>
                <w:rFonts w:hint="default" w:ascii="Times New Roman" w:hAnsi="Times New Roman" w:eastAsia="宋体" w:cs="Times New Roman"/>
                <w:color w:val="000000"/>
                <w:spacing w:val="11"/>
                <w:position w:val="0"/>
                <w:sz w:val="24"/>
                <w:szCs w:val="24"/>
                <w:u w:val="single" w:color="auto"/>
                <w:lang w:val="en-US" w:eastAsia="zh-CN"/>
              </w:rPr>
              <w:t>场内运输尾气</w:t>
            </w:r>
          </w:p>
          <w:p w14:paraId="110511D8">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汽车尾气主要是汽车运转时产生CO、HC、NO</w:t>
            </w:r>
            <w:r>
              <w:rPr>
                <w:rFonts w:hint="eastAsia" w:cs="Times New Roman"/>
                <w:color w:val="000000"/>
                <w:spacing w:val="11"/>
                <w:position w:val="0"/>
                <w:sz w:val="24"/>
                <w:szCs w:val="24"/>
                <w:u w:val="single" w:color="auto"/>
                <w:lang w:val="en-US" w:eastAsia="zh-CN"/>
              </w:rPr>
              <w:t>x</w:t>
            </w:r>
            <w:r>
              <w:rPr>
                <w:rFonts w:hint="default" w:ascii="Times New Roman" w:hAnsi="Times New Roman" w:eastAsia="宋体" w:cs="Times New Roman"/>
                <w:color w:val="000000"/>
                <w:spacing w:val="11"/>
                <w:position w:val="0"/>
                <w:sz w:val="24"/>
                <w:szCs w:val="24"/>
                <w:u w:val="single" w:color="auto"/>
              </w:rPr>
              <w:t>（以NO</w:t>
            </w:r>
            <w:r>
              <w:rPr>
                <w:rFonts w:hint="default" w:ascii="Times New Roman" w:hAnsi="Times New Roman" w:eastAsia="宋体" w:cs="Times New Roman"/>
                <w:color w:val="000000"/>
                <w:spacing w:val="11"/>
                <w:position w:val="0"/>
                <w:sz w:val="24"/>
                <w:szCs w:val="24"/>
                <w:u w:val="single" w:color="auto"/>
                <w:vertAlign w:val="subscript"/>
              </w:rPr>
              <w:t>2</w:t>
            </w:r>
            <w:r>
              <w:rPr>
                <w:rFonts w:hint="default" w:ascii="Times New Roman" w:hAnsi="Times New Roman" w:eastAsia="宋体" w:cs="Times New Roman"/>
                <w:color w:val="000000"/>
                <w:spacing w:val="11"/>
                <w:position w:val="0"/>
                <w:sz w:val="24"/>
                <w:szCs w:val="24"/>
                <w:u w:val="single" w:color="auto"/>
              </w:rPr>
              <w:t>计）等，其排放量与车型、车况和车流量有关。本项目汽车尾气主要为运输车辆产生的尾气，由于项目车辆运输较分散且流量较小</w:t>
            </w: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经自然扩散后</w:t>
            </w:r>
            <w:r>
              <w:rPr>
                <w:rFonts w:hint="default" w:ascii="Times New Roman" w:hAnsi="Times New Roman" w:eastAsia="宋体" w:cs="Times New Roman"/>
                <w:color w:val="000000"/>
                <w:spacing w:val="11"/>
                <w:position w:val="0"/>
                <w:sz w:val="24"/>
                <w:szCs w:val="24"/>
                <w:u w:val="single" w:color="auto"/>
              </w:rPr>
              <w:t>对周边环境影响较小，本环评不进行定量统计分析。</w:t>
            </w:r>
          </w:p>
          <w:p w14:paraId="360ED77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⑦</w:t>
            </w:r>
            <w:r>
              <w:rPr>
                <w:rFonts w:hint="eastAsia" w:ascii="Times New Roman" w:hAnsi="Times New Roman" w:eastAsia="宋体" w:cs="Times New Roman"/>
                <w:color w:val="000000"/>
                <w:spacing w:val="11"/>
                <w:position w:val="0"/>
                <w:sz w:val="24"/>
                <w:szCs w:val="24"/>
                <w:u w:val="single" w:color="auto"/>
                <w:lang w:val="en-US" w:eastAsia="zh-CN"/>
              </w:rPr>
              <w:t>加工粉尘</w:t>
            </w:r>
          </w:p>
          <w:p w14:paraId="0E42A98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eastAsia="zh-CN"/>
              </w:rPr>
            </w:pPr>
            <w:r>
              <w:rPr>
                <w:rFonts w:hint="default" w:ascii="Times New Roman" w:hAnsi="Times New Roman" w:eastAsia="宋体" w:cs="Times New Roman"/>
                <w:color w:val="000000"/>
                <w:spacing w:val="11"/>
                <w:position w:val="0"/>
                <w:sz w:val="24"/>
                <w:szCs w:val="24"/>
                <w:u w:val="single" w:color="auto"/>
                <w:lang w:val="zh-CN" w:eastAsia="zh-CN"/>
              </w:rPr>
              <w:t>本项目</w:t>
            </w:r>
            <w:r>
              <w:rPr>
                <w:rFonts w:hint="default" w:ascii="Times New Roman" w:hAnsi="Times New Roman" w:eastAsia="宋体" w:cs="Times New Roman"/>
                <w:color w:val="000000"/>
                <w:spacing w:val="11"/>
                <w:position w:val="0"/>
                <w:sz w:val="24"/>
                <w:szCs w:val="24"/>
                <w:u w:val="single" w:color="auto"/>
                <w:lang w:val="zh-CN"/>
              </w:rPr>
              <w:t>生产工艺主要分为</w:t>
            </w:r>
            <w:r>
              <w:rPr>
                <w:rFonts w:hint="default" w:ascii="Times New Roman" w:hAnsi="Times New Roman" w:eastAsia="宋体" w:cs="Times New Roman"/>
                <w:color w:val="000000"/>
                <w:spacing w:val="11"/>
                <w:position w:val="0"/>
                <w:sz w:val="24"/>
                <w:szCs w:val="24"/>
                <w:u w:val="single" w:color="auto"/>
                <w:lang w:val="zh-CN" w:eastAsia="zh-CN"/>
              </w:rPr>
              <w:t>矿石破碎及筛分粉尘</w:t>
            </w:r>
            <w:r>
              <w:rPr>
                <w:rFonts w:hint="eastAsia" w:ascii="Times New Roman" w:hAnsi="Times New Roman" w:eastAsia="宋体" w:cs="Times New Roman"/>
                <w:color w:val="000000"/>
                <w:spacing w:val="11"/>
                <w:position w:val="0"/>
                <w:sz w:val="24"/>
                <w:szCs w:val="24"/>
                <w:u w:val="single" w:color="auto"/>
                <w:lang w:val="en-US" w:eastAsia="zh-CN"/>
              </w:rPr>
              <w:t>以及水稳拌合</w:t>
            </w:r>
            <w:r>
              <w:rPr>
                <w:rFonts w:hint="default" w:ascii="Times New Roman" w:hAnsi="Times New Roman" w:eastAsia="宋体" w:cs="Times New Roman"/>
                <w:color w:val="000000"/>
                <w:spacing w:val="11"/>
                <w:position w:val="0"/>
                <w:sz w:val="24"/>
                <w:szCs w:val="24"/>
                <w:u w:val="single" w:color="auto"/>
                <w:lang w:val="zh-CN" w:eastAsia="zh-CN"/>
              </w:rPr>
              <w:t>上料粉尘</w:t>
            </w:r>
            <w:r>
              <w:rPr>
                <w:rFonts w:hint="default" w:ascii="Times New Roman" w:hAnsi="Times New Roman" w:eastAsia="宋体" w:cs="Times New Roman"/>
                <w:color w:val="000000"/>
                <w:spacing w:val="11"/>
                <w:position w:val="0"/>
                <w:sz w:val="24"/>
                <w:szCs w:val="24"/>
                <w:u w:val="single" w:color="auto"/>
                <w:lang w:val="zh-CN"/>
              </w:rPr>
              <w:t>等</w:t>
            </w:r>
            <w:r>
              <w:rPr>
                <w:rFonts w:hint="default" w:ascii="Times New Roman" w:hAnsi="Times New Roman" w:eastAsia="宋体" w:cs="Times New Roman"/>
                <w:color w:val="000000"/>
                <w:spacing w:val="11"/>
                <w:position w:val="0"/>
                <w:sz w:val="24"/>
                <w:szCs w:val="24"/>
                <w:u w:val="single" w:color="auto"/>
                <w:lang w:val="zh-CN" w:eastAsia="zh-CN"/>
              </w:rPr>
              <w:t>。</w:t>
            </w:r>
          </w:p>
          <w:p w14:paraId="17BB631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olor w:val="000000"/>
                <w:spacing w:val="11"/>
                <w:position w:val="0"/>
                <w:sz w:val="24"/>
                <w:szCs w:val="24"/>
                <w:u w:val="single" w:color="auto"/>
                <w:lang w:val="en-US" w:eastAsia="zh-CN"/>
              </w:rPr>
              <w:t>A.矿石破碎及筛分粉尘</w:t>
            </w:r>
          </w:p>
          <w:p w14:paraId="6012D64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项目设置一个加工区，项目破碎、筛选</w:t>
            </w:r>
            <w:r>
              <w:rPr>
                <w:rFonts w:hint="eastAsia" w:cs="Times New Roman"/>
                <w:color w:val="000000"/>
                <w:spacing w:val="11"/>
                <w:position w:val="0"/>
                <w:sz w:val="24"/>
                <w:szCs w:val="24"/>
                <w:u w:val="single" w:color="auto"/>
                <w:lang w:val="en-US" w:eastAsia="zh-CN"/>
              </w:rPr>
              <w:t>工序</w:t>
            </w:r>
            <w:r>
              <w:rPr>
                <w:rFonts w:hint="default" w:ascii="Times New Roman" w:hAnsi="Times New Roman" w:eastAsia="宋体" w:cs="Times New Roman"/>
                <w:color w:val="000000"/>
                <w:spacing w:val="11"/>
                <w:position w:val="0"/>
                <w:sz w:val="24"/>
                <w:szCs w:val="24"/>
                <w:u w:val="single" w:color="auto"/>
                <w:lang w:val="zh-CN"/>
              </w:rPr>
              <w:t>设置</w:t>
            </w:r>
            <w:r>
              <w:rPr>
                <w:rFonts w:hint="eastAsia" w:ascii="Times New Roman" w:hAnsi="Times New Roman" w:eastAsia="宋体" w:cs="Times New Roman"/>
                <w:color w:val="000000"/>
                <w:spacing w:val="11"/>
                <w:position w:val="0"/>
                <w:sz w:val="24"/>
                <w:szCs w:val="24"/>
                <w:u w:val="single" w:color="auto"/>
                <w:lang w:val="en-US" w:eastAsia="zh-CN"/>
              </w:rPr>
              <w:t>在半封闭式厂房内</w:t>
            </w:r>
            <w:r>
              <w:rPr>
                <w:rFonts w:hint="default" w:ascii="Times New Roman" w:hAnsi="Times New Roman" w:eastAsia="宋体" w:cs="Times New Roman"/>
                <w:color w:val="000000"/>
                <w:spacing w:val="11"/>
                <w:position w:val="0"/>
                <w:sz w:val="24"/>
                <w:szCs w:val="24"/>
                <w:u w:val="single" w:color="auto"/>
                <w:lang w:val="zh-CN"/>
              </w:rPr>
              <w:t>，并在皮带输送区和下料口安装自动喷淋除尘装置</w:t>
            </w:r>
            <w:r>
              <w:rPr>
                <w:rFonts w:hint="eastAsia"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zh-CN"/>
              </w:rPr>
              <w:t>车间内在破碎机</w:t>
            </w:r>
            <w:r>
              <w:rPr>
                <w:rFonts w:hint="eastAsia" w:cs="Times New Roman"/>
                <w:color w:val="000000"/>
                <w:spacing w:val="11"/>
                <w:position w:val="0"/>
                <w:sz w:val="24"/>
                <w:szCs w:val="24"/>
                <w:u w:val="single" w:color="auto"/>
                <w:lang w:val="en-US" w:eastAsia="zh-CN"/>
              </w:rPr>
              <w:t>上方</w:t>
            </w:r>
            <w:r>
              <w:rPr>
                <w:rFonts w:hint="default" w:ascii="Times New Roman" w:hAnsi="Times New Roman" w:eastAsia="宋体" w:cs="Times New Roman"/>
                <w:color w:val="000000"/>
                <w:spacing w:val="11"/>
                <w:position w:val="0"/>
                <w:sz w:val="24"/>
                <w:szCs w:val="24"/>
                <w:u w:val="single" w:color="auto"/>
                <w:lang w:val="zh-CN"/>
              </w:rPr>
              <w:t>安装集气罩，经集气罩收集后进入布袋除尘装置</w:t>
            </w:r>
            <w:r>
              <w:rPr>
                <w:rFonts w:hint="eastAsia" w:ascii="Times New Roman" w:hAnsi="Times New Roman" w:eastAsia="宋体" w:cs="Times New Roman"/>
                <w:color w:val="000000"/>
                <w:spacing w:val="11"/>
                <w:position w:val="0"/>
                <w:sz w:val="24"/>
                <w:szCs w:val="24"/>
                <w:u w:val="single" w:color="auto"/>
                <w:lang w:val="zh-CN"/>
              </w:rPr>
              <w:t>（</w:t>
            </w:r>
            <w:r>
              <w:rPr>
                <w:rFonts w:hint="eastAsia" w:ascii="Times New Roman" w:hAnsi="Times New Roman" w:eastAsia="宋体" w:cs="Times New Roman"/>
                <w:color w:val="000000"/>
                <w:spacing w:val="11"/>
                <w:position w:val="0"/>
                <w:sz w:val="24"/>
                <w:szCs w:val="24"/>
                <w:u w:val="single" w:color="auto"/>
                <w:lang w:val="en-US" w:eastAsia="zh-CN"/>
              </w:rPr>
              <w:t>两套）</w:t>
            </w:r>
            <w:r>
              <w:rPr>
                <w:rFonts w:hint="default" w:ascii="Times New Roman" w:hAnsi="Times New Roman" w:eastAsia="宋体" w:cs="Times New Roman"/>
                <w:color w:val="000000"/>
                <w:spacing w:val="11"/>
                <w:position w:val="0"/>
                <w:sz w:val="24"/>
                <w:szCs w:val="24"/>
                <w:u w:val="single" w:color="auto"/>
                <w:lang w:val="zh-CN"/>
              </w:rPr>
              <w:t>处理后</w:t>
            </w:r>
            <w:r>
              <w:rPr>
                <w:rFonts w:hint="eastAsia" w:ascii="Times New Roman" w:hAnsi="Times New Roman" w:eastAsia="宋体" w:cs="Times New Roman"/>
                <w:color w:val="000000"/>
                <w:spacing w:val="11"/>
                <w:position w:val="0"/>
                <w:sz w:val="24"/>
                <w:szCs w:val="24"/>
                <w:u w:val="single" w:color="auto"/>
                <w:lang w:val="en-US" w:eastAsia="zh-CN"/>
              </w:rPr>
              <w:t>分别两根</w:t>
            </w:r>
            <w:r>
              <w:rPr>
                <w:rFonts w:hint="default" w:ascii="Times New Roman" w:hAnsi="Times New Roman" w:eastAsia="宋体" w:cs="Times New Roman"/>
                <w:color w:val="000000"/>
                <w:spacing w:val="11"/>
                <w:position w:val="0"/>
                <w:sz w:val="24"/>
                <w:szCs w:val="24"/>
                <w:u w:val="single" w:color="auto"/>
                <w:lang w:val="zh-CN"/>
              </w:rPr>
              <w:t>15m排气筒排放</w:t>
            </w:r>
            <w:r>
              <w:rPr>
                <w:rFonts w:hint="eastAsia" w:ascii="Times New Roman" w:hAnsi="Times New Roman" w:eastAsia="宋体" w:cs="Times New Roman"/>
                <w:color w:val="000000"/>
                <w:spacing w:val="11"/>
                <w:position w:val="0"/>
                <w:sz w:val="24"/>
                <w:szCs w:val="24"/>
                <w:u w:val="single" w:color="auto"/>
                <w:lang w:val="zh-CN"/>
              </w:rPr>
              <w:t>（</w:t>
            </w:r>
            <w:r>
              <w:rPr>
                <w:rFonts w:hint="eastAsia" w:ascii="Times New Roman" w:hAnsi="Times New Roman" w:eastAsia="宋体" w:cs="Times New Roman"/>
                <w:color w:val="000000"/>
                <w:spacing w:val="11"/>
                <w:position w:val="0"/>
                <w:sz w:val="24"/>
                <w:szCs w:val="24"/>
                <w:u w:val="single" w:color="auto"/>
                <w:lang w:val="en-US" w:eastAsia="zh-CN"/>
              </w:rPr>
              <w:t>DA001、DA002）</w:t>
            </w:r>
            <w:r>
              <w:rPr>
                <w:rFonts w:hint="default" w:ascii="Times New Roman" w:hAnsi="Times New Roman" w:eastAsia="宋体" w:cs="Times New Roman"/>
                <w:color w:val="000000"/>
                <w:spacing w:val="11"/>
                <w:position w:val="0"/>
                <w:sz w:val="24"/>
                <w:szCs w:val="24"/>
                <w:u w:val="single" w:color="auto"/>
                <w:lang w:val="zh-CN"/>
              </w:rPr>
              <w:t>。该粉尘处理技术系目前普遍采用的技术，其处理效率较好，具有可行性。</w:t>
            </w:r>
          </w:p>
          <w:p w14:paraId="3A41A70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根据《三废处理工程技术手册-废气卷》及《采石场大气污染物源强分析研究》中模拟实</w:t>
            </w:r>
            <w:r>
              <w:rPr>
                <w:rFonts w:hint="default" w:ascii="Times New Roman" w:hAnsi="Times New Roman" w:eastAsia="宋体" w:cs="Times New Roman"/>
                <w:color w:val="000000"/>
                <w:spacing w:val="11"/>
                <w:position w:val="0"/>
                <w:sz w:val="24"/>
                <w:szCs w:val="24"/>
                <w:highlight w:val="none"/>
                <w:u w:val="single" w:color="auto"/>
                <w:lang w:val="zh-CN"/>
              </w:rPr>
              <w:t>验数据，无控制条件下颗粒物(TSP)初级破碎产生量为0.25kg</w:t>
            </w:r>
            <w:r>
              <w:rPr>
                <w:rFonts w:hint="eastAsia" w:ascii="Times New Roman" w:hAnsi="Times New Roman" w:eastAsia="宋体" w:cs="Times New Roman"/>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000000"/>
                <w:spacing w:val="11"/>
                <w:position w:val="0"/>
                <w:sz w:val="24"/>
                <w:szCs w:val="24"/>
                <w:highlight w:val="none"/>
                <w:u w:val="single" w:color="auto"/>
                <w:lang w:val="zh-CN"/>
              </w:rPr>
              <w:t>t，二级破碎和过筛产生量为0.75kg/t。本项目碎石年生产规模</w:t>
            </w:r>
            <w:r>
              <w:rPr>
                <w:rFonts w:hint="eastAsia" w:cs="Times New Roman"/>
                <w:color w:val="000000"/>
                <w:spacing w:val="11"/>
                <w:position w:val="0"/>
                <w:sz w:val="24"/>
                <w:szCs w:val="24"/>
                <w:highlight w:val="none"/>
                <w:u w:val="single" w:color="auto"/>
                <w:lang w:val="en-US" w:eastAsia="zh-CN"/>
              </w:rPr>
              <w:t>60</w:t>
            </w:r>
            <w:r>
              <w:rPr>
                <w:rFonts w:hint="default" w:ascii="Times New Roman" w:hAnsi="Times New Roman" w:eastAsia="宋体" w:cs="Times New Roman"/>
                <w:color w:val="000000"/>
                <w:spacing w:val="11"/>
                <w:position w:val="0"/>
                <w:sz w:val="24"/>
                <w:szCs w:val="24"/>
                <w:highlight w:val="none"/>
                <w:u w:val="single" w:color="auto"/>
                <w:lang w:val="zh-CN"/>
              </w:rPr>
              <w:t>万吨，则一年产生破碎及筛分粉尘</w:t>
            </w:r>
            <w:r>
              <w:rPr>
                <w:rFonts w:hint="eastAsia" w:cs="Times New Roman"/>
                <w:color w:val="000000"/>
                <w:spacing w:val="11"/>
                <w:position w:val="0"/>
                <w:sz w:val="24"/>
                <w:szCs w:val="24"/>
                <w:highlight w:val="none"/>
                <w:u w:val="single" w:color="auto"/>
                <w:lang w:val="en-US" w:eastAsia="zh-CN"/>
              </w:rPr>
              <w:t>600</w:t>
            </w:r>
            <w:r>
              <w:rPr>
                <w:rFonts w:hint="default" w:ascii="Times New Roman" w:hAnsi="Times New Roman" w:eastAsia="宋体" w:cs="Times New Roman"/>
                <w:color w:val="000000"/>
                <w:spacing w:val="11"/>
                <w:position w:val="0"/>
                <w:sz w:val="24"/>
                <w:szCs w:val="24"/>
                <w:highlight w:val="none"/>
                <w:u w:val="single" w:color="auto"/>
                <w:lang w:val="zh-CN"/>
              </w:rPr>
              <w:t>t</w:t>
            </w:r>
            <w:r>
              <w:rPr>
                <w:rFonts w:hint="eastAsia" w:ascii="Times New Roman" w:hAnsi="Times New Roman" w:eastAsia="宋体" w:cs="Times New Roman"/>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000000"/>
                <w:spacing w:val="11"/>
                <w:position w:val="0"/>
                <w:sz w:val="24"/>
                <w:szCs w:val="24"/>
                <w:highlight w:val="none"/>
                <w:u w:val="single" w:color="auto"/>
                <w:lang w:val="zh-CN"/>
              </w:rPr>
              <w:t>a</w:t>
            </w:r>
            <w:r>
              <w:rPr>
                <w:rFonts w:hint="eastAsia" w:ascii="Times New Roman" w:hAnsi="Times New Roman" w:eastAsia="宋体" w:cs="Times New Roman"/>
                <w:color w:val="000000"/>
                <w:spacing w:val="11"/>
                <w:position w:val="0"/>
                <w:sz w:val="24"/>
                <w:szCs w:val="24"/>
                <w:highlight w:val="none"/>
                <w:u w:val="single" w:color="auto"/>
                <w:lang w:val="zh-CN"/>
              </w:rPr>
              <w:t>。</w:t>
            </w:r>
          </w:p>
          <w:p w14:paraId="347EBA2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项目砂石加工车间破碎、筛分环节产生的粉尘经集气罩收集后进入布袋除尘装置(除尘效率99%)，风机风量为20000m</w:t>
            </w:r>
            <w:r>
              <w:rPr>
                <w:rFonts w:hint="eastAsia" w:ascii="Times New Roman" w:hAnsi="Times New Roman" w:eastAsia="宋体" w:cs="Times New Roman"/>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color w:val="000000"/>
                <w:spacing w:val="11"/>
                <w:position w:val="0"/>
                <w:sz w:val="24"/>
                <w:szCs w:val="24"/>
                <w:u w:val="single" w:color="auto"/>
                <w:lang w:val="en-US" w:eastAsia="zh-CN"/>
              </w:rPr>
              <w:t>/h</w:t>
            </w:r>
            <w:r>
              <w:rPr>
                <w:rFonts w:hint="default" w:ascii="Times New Roman" w:hAnsi="Times New Roman" w:eastAsia="宋体" w:cs="Times New Roman"/>
                <w:color w:val="000000"/>
                <w:spacing w:val="11"/>
                <w:position w:val="0"/>
                <w:sz w:val="24"/>
                <w:szCs w:val="24"/>
                <w:u w:val="single" w:color="auto"/>
                <w:lang w:val="zh-CN"/>
              </w:rPr>
              <w:t>，除尘后经15m排气筒(内径0.8m)排放，则项目加工车间破碎、筛分环节粉尘产生和排放情况见表</w:t>
            </w:r>
            <w:r>
              <w:rPr>
                <w:rFonts w:hint="eastAsia" w:ascii="Times New Roman" w:hAnsi="Times New Roman" w:eastAsia="宋体" w:cs="Times New Roman"/>
                <w:color w:val="000000"/>
                <w:spacing w:val="11"/>
                <w:position w:val="0"/>
                <w:sz w:val="24"/>
                <w:szCs w:val="24"/>
                <w:u w:val="single" w:color="auto"/>
                <w:lang w:val="en-US" w:eastAsia="zh-CN"/>
              </w:rPr>
              <w:t>4-3</w:t>
            </w:r>
            <w:r>
              <w:rPr>
                <w:rFonts w:hint="default" w:ascii="Times New Roman" w:hAnsi="Times New Roman" w:eastAsia="宋体" w:cs="Times New Roman"/>
                <w:color w:val="000000"/>
                <w:spacing w:val="11"/>
                <w:position w:val="0"/>
                <w:sz w:val="24"/>
                <w:szCs w:val="24"/>
                <w:u w:val="single" w:color="auto"/>
                <w:lang w:val="zh-CN"/>
              </w:rPr>
              <w:t>。</w:t>
            </w:r>
          </w:p>
          <w:p w14:paraId="23B0251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single" w:color="auto"/>
              </w:rPr>
            </w:pPr>
            <w:r>
              <w:rPr>
                <w:rFonts w:hint="default" w:ascii="Times New Roman" w:hAnsi="Times New Roman" w:eastAsia="宋体" w:cs="Times New Roman"/>
                <w:b/>
                <w:color w:val="000000"/>
                <w:spacing w:val="11"/>
                <w:position w:val="0"/>
                <w:sz w:val="21"/>
                <w:szCs w:val="21"/>
                <w:highlight w:val="none"/>
                <w:u w:val="single" w:color="auto"/>
              </w:rPr>
              <w:t>表</w:t>
            </w:r>
            <w:r>
              <w:rPr>
                <w:rFonts w:hint="eastAsia" w:ascii="Times New Roman" w:hAnsi="Times New Roman" w:eastAsia="宋体" w:cs="Times New Roman"/>
                <w:b/>
                <w:color w:val="000000"/>
                <w:spacing w:val="11"/>
                <w:position w:val="0"/>
                <w:sz w:val="21"/>
                <w:szCs w:val="21"/>
                <w:highlight w:val="none"/>
                <w:u w:val="single" w:color="auto"/>
                <w:lang w:val="en-US" w:eastAsia="zh-CN"/>
              </w:rPr>
              <w:t>4-3</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废</w:t>
            </w:r>
            <w:r>
              <w:rPr>
                <w:rFonts w:hint="eastAsia" w:cs="Times New Roman"/>
                <w:b/>
                <w:color w:val="000000"/>
                <w:spacing w:val="11"/>
                <w:position w:val="0"/>
                <w:sz w:val="21"/>
                <w:szCs w:val="21"/>
                <w:highlight w:val="none"/>
                <w:u w:val="single" w:color="auto"/>
                <w:lang w:val="en-US" w:eastAsia="zh-CN"/>
              </w:rPr>
              <w:t>气</w:t>
            </w:r>
            <w:r>
              <w:rPr>
                <w:rFonts w:hint="default" w:ascii="Times New Roman" w:hAnsi="Times New Roman" w:eastAsia="宋体" w:cs="Times New Roman"/>
                <w:b/>
                <w:color w:val="000000"/>
                <w:spacing w:val="11"/>
                <w:position w:val="0"/>
                <w:sz w:val="21"/>
                <w:szCs w:val="21"/>
                <w:highlight w:val="none"/>
                <w:u w:val="single" w:color="auto"/>
                <w:lang w:val="en-US" w:eastAsia="zh-CN"/>
              </w:rPr>
              <w:t>污染物源强核算一览表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93"/>
              <w:gridCol w:w="1036"/>
              <w:gridCol w:w="1233"/>
              <w:gridCol w:w="480"/>
              <w:gridCol w:w="862"/>
              <w:gridCol w:w="1080"/>
              <w:gridCol w:w="1289"/>
            </w:tblGrid>
            <w:tr w14:paraId="517E2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vMerge w:val="restart"/>
                  <w:tcBorders>
                    <w:tl2br w:val="nil"/>
                    <w:tr2bl w:val="nil"/>
                  </w:tcBorders>
                  <w:noWrap w:val="0"/>
                  <w:vAlign w:val="center"/>
                </w:tcPr>
                <w:p w14:paraId="11AB86BA">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名称</w:t>
                  </w:r>
                </w:p>
              </w:tc>
              <w:tc>
                <w:tcPr>
                  <w:tcW w:w="2058" w:type="pct"/>
                  <w:gridSpan w:val="3"/>
                  <w:tcBorders>
                    <w:tl2br w:val="nil"/>
                    <w:tr2bl w:val="nil"/>
                  </w:tcBorders>
                  <w:noWrap w:val="0"/>
                  <w:vAlign w:val="center"/>
                </w:tcPr>
                <w:p w14:paraId="2FC39CFF">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污染物产生情况</w:t>
                  </w:r>
                </w:p>
              </w:tc>
              <w:tc>
                <w:tcPr>
                  <w:tcW w:w="302" w:type="pct"/>
                  <w:vMerge w:val="restart"/>
                  <w:tcBorders>
                    <w:tl2br w:val="nil"/>
                    <w:tr2bl w:val="nil"/>
                  </w:tcBorders>
                  <w:noWrap w:val="0"/>
                  <w:vAlign w:val="center"/>
                </w:tcPr>
                <w:p w14:paraId="1A64180D">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处理效率</w:t>
                  </w:r>
                </w:p>
              </w:tc>
              <w:tc>
                <w:tcPr>
                  <w:tcW w:w="2039" w:type="pct"/>
                  <w:gridSpan w:val="3"/>
                  <w:tcBorders>
                    <w:tl2br w:val="nil"/>
                    <w:tr2bl w:val="nil"/>
                  </w:tcBorders>
                  <w:noWrap w:val="0"/>
                  <w:vAlign w:val="center"/>
                </w:tcPr>
                <w:p w14:paraId="02885582">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污染物排放情况</w:t>
                  </w:r>
                </w:p>
              </w:tc>
            </w:tr>
            <w:tr w14:paraId="2265C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vMerge w:val="continue"/>
                  <w:tcBorders>
                    <w:tl2br w:val="nil"/>
                    <w:tr2bl w:val="nil"/>
                  </w:tcBorders>
                  <w:noWrap w:val="0"/>
                  <w:vAlign w:val="center"/>
                </w:tcPr>
                <w:p w14:paraId="3B82431E">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p>
              </w:tc>
              <w:tc>
                <w:tcPr>
                  <w:tcW w:w="626" w:type="pct"/>
                  <w:tcBorders>
                    <w:tl2br w:val="nil"/>
                    <w:tr2bl w:val="nil"/>
                  </w:tcBorders>
                  <w:noWrap w:val="0"/>
                  <w:vAlign w:val="center"/>
                </w:tcPr>
                <w:p w14:paraId="037DF64B">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产生量（t/a）</w:t>
                  </w:r>
                </w:p>
              </w:tc>
              <w:tc>
                <w:tcPr>
                  <w:tcW w:w="653" w:type="pct"/>
                  <w:tcBorders>
                    <w:tl2br w:val="nil"/>
                    <w:tr2bl w:val="nil"/>
                  </w:tcBorders>
                  <w:noWrap w:val="0"/>
                  <w:vAlign w:val="center"/>
                </w:tcPr>
                <w:p w14:paraId="7016096F">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产生速率（kg/h）</w:t>
                  </w:r>
                </w:p>
              </w:tc>
              <w:tc>
                <w:tcPr>
                  <w:tcW w:w="778" w:type="pct"/>
                  <w:tcBorders>
                    <w:tl2br w:val="nil"/>
                    <w:tr2bl w:val="nil"/>
                  </w:tcBorders>
                  <w:noWrap w:val="0"/>
                  <w:vAlign w:val="center"/>
                </w:tcPr>
                <w:p w14:paraId="7A7E7EB9">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产生浓度（mg/</w:t>
                  </w: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m</w:t>
                  </w:r>
                  <w:r>
                    <w:rPr>
                      <w:rFonts w:hint="eastAsia" w:ascii="Times New Roman" w:hAnsi="Times New Roman" w:eastAsia="宋体" w:cs="Times New Roman"/>
                      <w:b w:val="0"/>
                      <w:bCs w:val="0"/>
                      <w:color w:val="C00000"/>
                      <w:spacing w:val="11"/>
                      <w:kern w:val="2"/>
                      <w:position w:val="0"/>
                      <w:sz w:val="21"/>
                      <w:szCs w:val="21"/>
                      <w:u w:val="single" w:color="auto"/>
                      <w:vertAlign w:val="superscript"/>
                      <w:lang w:val="en-US" w:eastAsia="zh-CN" w:bidi="ar-SA"/>
                    </w:rPr>
                    <w:t>3</w:t>
                  </w: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w:t>
                  </w:r>
                </w:p>
              </w:tc>
              <w:tc>
                <w:tcPr>
                  <w:tcW w:w="302" w:type="pct"/>
                  <w:vMerge w:val="continue"/>
                  <w:tcBorders>
                    <w:tl2br w:val="nil"/>
                    <w:tr2bl w:val="nil"/>
                  </w:tcBorders>
                  <w:noWrap w:val="0"/>
                  <w:vAlign w:val="center"/>
                </w:tcPr>
                <w:p w14:paraId="0323D70F">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p>
              </w:tc>
              <w:tc>
                <w:tcPr>
                  <w:tcW w:w="543" w:type="pct"/>
                  <w:tcBorders>
                    <w:tl2br w:val="nil"/>
                    <w:tr2bl w:val="nil"/>
                  </w:tcBorders>
                  <w:shd w:val="clear" w:color="auto" w:fill="auto"/>
                  <w:noWrap w:val="0"/>
                  <w:vAlign w:val="center"/>
                </w:tcPr>
                <w:p w14:paraId="18AE90B5">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排放量（t/a）</w:t>
                  </w:r>
                </w:p>
              </w:tc>
              <w:tc>
                <w:tcPr>
                  <w:tcW w:w="681" w:type="pct"/>
                  <w:tcBorders>
                    <w:tl2br w:val="nil"/>
                    <w:tr2bl w:val="nil"/>
                  </w:tcBorders>
                  <w:shd w:val="clear" w:color="auto" w:fill="auto"/>
                  <w:noWrap w:val="0"/>
                  <w:vAlign w:val="center"/>
                </w:tcPr>
                <w:p w14:paraId="19BB4AEC">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排放速率（kg/h）</w:t>
                  </w:r>
                </w:p>
              </w:tc>
              <w:tc>
                <w:tcPr>
                  <w:tcW w:w="813" w:type="pct"/>
                  <w:tcBorders>
                    <w:tl2br w:val="nil"/>
                    <w:tr2bl w:val="nil"/>
                  </w:tcBorders>
                  <w:shd w:val="clear" w:color="auto" w:fill="auto"/>
                  <w:noWrap w:val="0"/>
                  <w:vAlign w:val="center"/>
                </w:tcPr>
                <w:p w14:paraId="4765627B">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排放浓度（mg/</w:t>
                  </w: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m</w:t>
                  </w:r>
                  <w:r>
                    <w:rPr>
                      <w:rFonts w:hint="eastAsia" w:ascii="Times New Roman" w:hAnsi="Times New Roman" w:eastAsia="宋体" w:cs="Times New Roman"/>
                      <w:b w:val="0"/>
                      <w:bCs w:val="0"/>
                      <w:color w:val="C00000"/>
                      <w:spacing w:val="11"/>
                      <w:kern w:val="2"/>
                      <w:position w:val="0"/>
                      <w:sz w:val="21"/>
                      <w:szCs w:val="21"/>
                      <w:u w:val="single" w:color="auto"/>
                      <w:vertAlign w:val="superscript"/>
                      <w:lang w:val="en-US" w:eastAsia="zh-CN" w:bidi="ar-SA"/>
                    </w:rPr>
                    <w:t>3</w:t>
                  </w: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w:t>
                  </w:r>
                </w:p>
              </w:tc>
            </w:tr>
            <w:tr w14:paraId="304D6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tcBorders>
                    <w:tl2br w:val="nil"/>
                    <w:tr2bl w:val="nil"/>
                  </w:tcBorders>
                  <w:noWrap w:val="0"/>
                  <w:vAlign w:val="center"/>
                </w:tcPr>
                <w:p w14:paraId="5231BDDD">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default" w:ascii="Times New Roman" w:hAnsi="Times New Roman" w:eastAsia="宋体" w:cs="Times New Roman"/>
                      <w:color w:val="C00000"/>
                      <w:spacing w:val="11"/>
                      <w:kern w:val="2"/>
                      <w:position w:val="0"/>
                      <w:sz w:val="21"/>
                      <w:szCs w:val="21"/>
                      <w:u w:val="single" w:color="auto"/>
                      <w:lang w:val="en-US" w:eastAsia="zh-CN" w:bidi="ar-SA"/>
                    </w:rPr>
                    <w:t>破碎、筛分环节粉尘</w:t>
                  </w:r>
                </w:p>
              </w:tc>
              <w:tc>
                <w:tcPr>
                  <w:tcW w:w="626" w:type="pct"/>
                  <w:tcBorders>
                    <w:tl2br w:val="nil"/>
                    <w:tr2bl w:val="nil"/>
                  </w:tcBorders>
                  <w:noWrap w:val="0"/>
                  <w:vAlign w:val="center"/>
                </w:tcPr>
                <w:p w14:paraId="30D3C25B">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600</w:t>
                  </w:r>
                </w:p>
              </w:tc>
              <w:tc>
                <w:tcPr>
                  <w:tcW w:w="653" w:type="pct"/>
                  <w:tcBorders>
                    <w:tl2br w:val="nil"/>
                    <w:tr2bl w:val="nil"/>
                  </w:tcBorders>
                  <w:noWrap w:val="0"/>
                  <w:vAlign w:val="center"/>
                </w:tcPr>
                <w:p w14:paraId="24B00DEB">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125</w:t>
                  </w:r>
                </w:p>
              </w:tc>
              <w:tc>
                <w:tcPr>
                  <w:tcW w:w="778" w:type="pct"/>
                  <w:tcBorders>
                    <w:tl2br w:val="nil"/>
                    <w:tr2bl w:val="nil"/>
                  </w:tcBorders>
                  <w:noWrap w:val="0"/>
                  <w:vAlign w:val="center"/>
                </w:tcPr>
                <w:p w14:paraId="516AE49E">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6250</w:t>
                  </w:r>
                </w:p>
              </w:tc>
              <w:tc>
                <w:tcPr>
                  <w:tcW w:w="302" w:type="pct"/>
                  <w:tcBorders>
                    <w:tl2br w:val="nil"/>
                    <w:tr2bl w:val="nil"/>
                  </w:tcBorders>
                  <w:noWrap w:val="0"/>
                  <w:vAlign w:val="center"/>
                </w:tcPr>
                <w:p w14:paraId="1AD06CE7">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ascii="Times New Roman" w:hAnsi="Times New Roman" w:eastAsia="宋体" w:cs="Times New Roman"/>
                      <w:color w:val="C00000"/>
                      <w:spacing w:val="11"/>
                      <w:kern w:val="2"/>
                      <w:position w:val="0"/>
                      <w:sz w:val="21"/>
                      <w:szCs w:val="21"/>
                      <w:u w:val="single" w:color="auto"/>
                      <w:lang w:val="en-US" w:eastAsia="zh-CN" w:bidi="ar-SA"/>
                    </w:rPr>
                    <w:t>99%</w:t>
                  </w:r>
                </w:p>
              </w:tc>
              <w:tc>
                <w:tcPr>
                  <w:tcW w:w="543" w:type="pct"/>
                  <w:tcBorders>
                    <w:tl2br w:val="nil"/>
                    <w:tr2bl w:val="nil"/>
                  </w:tcBorders>
                  <w:noWrap w:val="0"/>
                  <w:vAlign w:val="center"/>
                </w:tcPr>
                <w:p w14:paraId="5D02A9F7">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w:t>
                  </w:r>
                </w:p>
              </w:tc>
              <w:tc>
                <w:tcPr>
                  <w:tcW w:w="681" w:type="pct"/>
                  <w:tcBorders>
                    <w:tl2br w:val="nil"/>
                    <w:tr2bl w:val="nil"/>
                  </w:tcBorders>
                  <w:noWrap w:val="0"/>
                  <w:vAlign w:val="center"/>
                </w:tcPr>
                <w:p w14:paraId="646CB507">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1.25</w:t>
                  </w:r>
                </w:p>
              </w:tc>
              <w:tc>
                <w:tcPr>
                  <w:tcW w:w="813" w:type="pct"/>
                  <w:tcBorders>
                    <w:tl2br w:val="nil"/>
                    <w:tr2bl w:val="nil"/>
                  </w:tcBorders>
                  <w:noWrap w:val="0"/>
                  <w:vAlign w:val="center"/>
                </w:tcPr>
                <w:p w14:paraId="41F3D8B8">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62.5</w:t>
                  </w:r>
                </w:p>
              </w:tc>
            </w:tr>
          </w:tbl>
          <w:p w14:paraId="52F251F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B</w:t>
            </w:r>
            <w:r>
              <w:rPr>
                <w:rFonts w:hint="eastAsia" w:ascii="Times New Roman" w:hAnsi="Times New Roman" w:eastAsia="宋体" w:cs="Times New Roman"/>
                <w:color w:val="000000"/>
                <w:spacing w:val="11"/>
                <w:position w:val="0"/>
                <w:sz w:val="24"/>
                <w:szCs w:val="24"/>
                <w:u w:val="single" w:color="auto"/>
                <w:lang w:val="en-US" w:eastAsia="zh-CN"/>
              </w:rPr>
              <w:t>.</w:t>
            </w:r>
            <w:r>
              <w:rPr>
                <w:rFonts w:hint="eastAsia" w:cs="Times New Roman"/>
                <w:color w:val="000000"/>
                <w:spacing w:val="11"/>
                <w:position w:val="0"/>
                <w:sz w:val="24"/>
                <w:szCs w:val="24"/>
                <w:u w:val="single" w:color="auto"/>
                <w:lang w:val="en-US" w:eastAsia="zh-CN"/>
              </w:rPr>
              <w:t>水稳拌合</w:t>
            </w:r>
            <w:r>
              <w:rPr>
                <w:rFonts w:hint="eastAsia" w:ascii="Times New Roman" w:hAnsi="Times New Roman" w:eastAsia="宋体" w:cs="Times New Roman"/>
                <w:color w:val="000000"/>
                <w:spacing w:val="11"/>
                <w:position w:val="0"/>
                <w:sz w:val="24"/>
                <w:szCs w:val="24"/>
                <w:u w:val="single" w:color="auto"/>
                <w:lang w:val="en-US" w:eastAsia="zh-CN"/>
              </w:rPr>
              <w:t>上料粉尘</w:t>
            </w:r>
          </w:p>
          <w:p w14:paraId="2B471B0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olor w:val="000000"/>
                <w:spacing w:val="11"/>
                <w:position w:val="0"/>
                <w:sz w:val="24"/>
                <w:szCs w:val="24"/>
                <w:u w:val="single" w:color="auto"/>
                <w:lang w:val="en-US" w:eastAsia="zh-CN"/>
              </w:rPr>
              <w:t>本项目原料石子在上料过程中会产生粉尘。根据《逸散性工业粉尘控制技术》“转运砂和粒料至高架贮仓”粉尘的产生系数为 0.02kg/t 原料，“装砂和粒料至称量斗”粉尘的产生系数为 0.01kg/t 原料。项目石子原料用量为540t/a，产尘系数参照0.03kg/t原料计算，则项目投料粉尘产生量为0.016t/a。项目物料输送在输送带上进行，上料区采用自动喷淋抑尘，综上可有效减少50%的粉尘，上料粉尘年排放时间约4800h/a，则本项目上料过程粉尘无组织排放量0.008t/a、0.0012kg/h。</w:t>
            </w:r>
          </w:p>
          <w:p w14:paraId="5E8C2C5B">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6" w:firstLineChars="200"/>
              <w:textAlignment w:val="auto"/>
              <w:rPr>
                <w:rFonts w:hint="default" w:ascii="Times New Roman" w:hAnsi="Times New Roman" w:eastAsia="宋体" w:cs="Times New Roman"/>
                <w:b/>
                <w:bCs w:val="0"/>
                <w:color w:val="000000"/>
                <w:spacing w:val="11"/>
                <w:position w:val="0"/>
                <w:sz w:val="24"/>
                <w:szCs w:val="24"/>
                <w:u w:val="single" w:color="auto"/>
                <w:lang w:val="en-US" w:eastAsia="zh-CN"/>
              </w:rPr>
            </w:pPr>
            <w:r>
              <w:rPr>
                <w:rFonts w:hint="default" w:ascii="Times New Roman" w:hAnsi="Times New Roman" w:eastAsia="宋体" w:cs="Times New Roman"/>
                <w:b/>
                <w:bCs w:val="0"/>
                <w:color w:val="000000"/>
                <w:spacing w:val="11"/>
                <w:position w:val="0"/>
                <w:sz w:val="24"/>
                <w:szCs w:val="24"/>
                <w:u w:val="single" w:color="auto"/>
                <w:lang w:val="en-US" w:eastAsia="zh-CN"/>
              </w:rPr>
              <w:t>（2）环境影响分析</w:t>
            </w:r>
          </w:p>
          <w:p w14:paraId="35A3139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kern w:val="0"/>
                <w:position w:val="0"/>
                <w:sz w:val="24"/>
                <w:szCs w:val="24"/>
                <w:u w:val="single" w:color="auto"/>
              </w:rPr>
            </w:pPr>
            <w:r>
              <w:rPr>
                <w:rFonts w:hint="default" w:ascii="Times New Roman" w:hAnsi="Times New Roman" w:eastAsia="宋体" w:cs="Times New Roman"/>
                <w:b w:val="0"/>
                <w:bCs w:val="0"/>
                <w:color w:val="000000"/>
                <w:spacing w:val="11"/>
                <w:kern w:val="0"/>
                <w:position w:val="0"/>
                <w:sz w:val="24"/>
                <w:szCs w:val="24"/>
                <w:u w:val="single" w:color="auto"/>
              </w:rPr>
              <w:t>①采场粉尘</w:t>
            </w:r>
          </w:p>
          <w:p w14:paraId="742FB6E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bidi="ar"/>
              </w:rPr>
            </w:pP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val="en-US" w:eastAsia="zh-CN"/>
              </w:rPr>
              <w:t>产生于</w:t>
            </w:r>
            <w:r>
              <w:rPr>
                <w:rFonts w:hint="default" w:ascii="Times New Roman" w:hAnsi="Times New Roman" w:eastAsia="宋体" w:cs="Times New Roman"/>
                <w:color w:val="000000"/>
                <w:spacing w:val="11"/>
                <w:position w:val="0"/>
                <w:sz w:val="24"/>
                <w:szCs w:val="24"/>
                <w:u w:val="single" w:color="auto"/>
              </w:rPr>
              <w:t>开挖、凿岩机钻孔、矿石搬动</w:t>
            </w:r>
            <w:r>
              <w:rPr>
                <w:rFonts w:hint="default" w:ascii="Times New Roman" w:hAnsi="Times New Roman" w:eastAsia="宋体" w:cs="Times New Roman"/>
                <w:color w:val="000000"/>
                <w:spacing w:val="11"/>
                <w:position w:val="0"/>
                <w:sz w:val="24"/>
                <w:szCs w:val="24"/>
                <w:u w:val="single" w:color="auto"/>
                <w:lang w:val="en-US" w:eastAsia="zh-CN"/>
              </w:rPr>
              <w:t>等节点</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其主要污染物成分为粉尘，由于开采过程均为局部开采，采面小，</w:t>
            </w:r>
            <w:r>
              <w:rPr>
                <w:rFonts w:hint="default" w:ascii="Times New Roman" w:hAnsi="Times New Roman" w:eastAsia="宋体" w:cs="Times New Roman"/>
                <w:color w:val="000000"/>
                <w:spacing w:val="11"/>
                <w:position w:val="0"/>
                <w:sz w:val="24"/>
                <w:szCs w:val="24"/>
                <w:u w:val="single" w:color="auto"/>
                <w:lang w:bidi="ar"/>
              </w:rPr>
              <w:t>在天气干燥情况下，通过对采掘面上方进行水炮喷雾增湿，可减低约85%的粉尘排放量，</w:t>
            </w:r>
            <w:r>
              <w:rPr>
                <w:rFonts w:hint="default" w:ascii="Times New Roman" w:hAnsi="Times New Roman" w:eastAsia="宋体" w:cs="Times New Roman"/>
                <w:color w:val="000000"/>
                <w:spacing w:val="11"/>
                <w:position w:val="0"/>
                <w:sz w:val="24"/>
                <w:szCs w:val="24"/>
                <w:u w:val="single" w:color="auto"/>
                <w:lang w:val="en-US" w:eastAsia="zh-CN"/>
              </w:rPr>
              <w:t>粉尘排放量较少</w:t>
            </w:r>
            <w:r>
              <w:rPr>
                <w:rFonts w:hint="default" w:ascii="Times New Roman" w:hAnsi="Times New Roman" w:eastAsia="宋体" w:cs="Times New Roman"/>
                <w:color w:val="000000"/>
                <w:spacing w:val="11"/>
                <w:position w:val="0"/>
                <w:sz w:val="24"/>
                <w:szCs w:val="24"/>
                <w:u w:val="single" w:color="auto"/>
                <w:lang w:bidi="ar"/>
              </w:rPr>
              <w:t>，在经过大气稀释、绿地吸收、距离衰减后，此部分粉尘的排放对周边环境影响甚微，不会造成明显环境污染。</w:t>
            </w:r>
          </w:p>
          <w:p w14:paraId="7AC3B75C">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pPr>
            <w:r>
              <w:rPr>
                <w:rFonts w:hint="default" w:ascii="Times New Roman" w:hAnsi="Times New Roman" w:eastAsia="宋体" w:cs="Times New Roman"/>
                <w:b w:val="0"/>
                <w:bCs w:val="0"/>
                <w:color w:val="000000"/>
                <w:spacing w:val="11"/>
                <w:position w:val="0"/>
                <w:sz w:val="24"/>
                <w:szCs w:val="24"/>
                <w:highlight w:val="none"/>
                <w:u w:val="single" w:color="auto"/>
                <w:vertAlign w:val="baseline"/>
                <w:lang w:val="en-US" w:eastAsia="zh-CN"/>
              </w:rPr>
              <w:t>②</w:t>
            </w:r>
            <w:r>
              <w:rPr>
                <w:rFonts w:hint="default" w:ascii="Times New Roman" w:hAnsi="Times New Roman" w:eastAsia="宋体" w:cs="Times New Roman"/>
                <w:b w:val="0"/>
                <w:bCs w:val="0"/>
                <w:color w:val="000000"/>
                <w:spacing w:val="11"/>
                <w:position w:val="0"/>
                <w:sz w:val="24"/>
                <w:szCs w:val="24"/>
                <w:u w:val="single" w:color="auto"/>
                <w:vertAlign w:val="baseline"/>
                <w:lang w:bidi="ar"/>
              </w:rPr>
              <w:t>爆破</w:t>
            </w:r>
            <w:r>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t>粉尘</w:t>
            </w:r>
          </w:p>
          <w:p w14:paraId="4641DFC1">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rPr>
            </w:pPr>
            <w:r>
              <w:rPr>
                <w:rFonts w:hint="default" w:ascii="Times New Roman" w:hAnsi="Times New Roman" w:eastAsia="宋体" w:cs="Times New Roman"/>
                <w:color w:val="000000"/>
                <w:spacing w:val="11"/>
                <w:position w:val="0"/>
                <w:sz w:val="24"/>
                <w:szCs w:val="24"/>
                <w:u w:val="single" w:color="auto"/>
                <w:vertAlign w:val="baseline"/>
                <w:lang w:val="en-US" w:eastAsia="zh-CN" w:bidi="ar"/>
              </w:rPr>
              <w:t>此部分粉尘产生于矿山爆破过程，其主要污染物成分为粉尘、</w:t>
            </w:r>
            <w:r>
              <w:rPr>
                <w:rFonts w:hint="default" w:ascii="Times New Roman" w:hAnsi="Times New Roman" w:eastAsia="宋体" w:cs="Times New Roman"/>
                <w:color w:val="000000"/>
                <w:spacing w:val="11"/>
                <w:position w:val="0"/>
                <w:sz w:val="24"/>
                <w:szCs w:val="24"/>
                <w:u w:val="single" w:color="auto"/>
                <w:vertAlign w:val="baseline"/>
              </w:rPr>
              <w:t>CO、NOx</w:t>
            </w:r>
            <w:r>
              <w:rPr>
                <w:rFonts w:hint="default" w:ascii="Times New Roman" w:hAnsi="Times New Roman" w:eastAsia="宋体" w:cs="Times New Roman"/>
                <w:color w:val="000000"/>
                <w:spacing w:val="11"/>
                <w:position w:val="0"/>
                <w:sz w:val="24"/>
                <w:szCs w:val="24"/>
                <w:u w:val="single" w:color="auto"/>
                <w:vertAlign w:val="baseline"/>
                <w:lang w:val="en-US" w:eastAsia="zh-CN" w:bidi="ar"/>
              </w:rPr>
              <w:t>，以</w:t>
            </w:r>
            <w:r>
              <w:rPr>
                <w:rFonts w:hint="default" w:ascii="Times New Roman" w:hAnsi="Times New Roman" w:eastAsia="宋体" w:cs="Times New Roman"/>
                <w:color w:val="000000"/>
                <w:spacing w:val="11"/>
                <w:position w:val="0"/>
                <w:sz w:val="24"/>
                <w:szCs w:val="24"/>
                <w:u w:val="single" w:color="auto"/>
                <w:vertAlign w:val="baseline"/>
              </w:rPr>
              <w:t>无组织</w:t>
            </w:r>
            <w:r>
              <w:rPr>
                <w:rFonts w:hint="default" w:ascii="Times New Roman" w:hAnsi="Times New Roman" w:eastAsia="宋体" w:cs="Times New Roman"/>
                <w:color w:val="000000"/>
                <w:spacing w:val="11"/>
                <w:position w:val="0"/>
                <w:sz w:val="24"/>
                <w:szCs w:val="24"/>
                <w:u w:val="single" w:color="auto"/>
                <w:vertAlign w:val="baseline"/>
                <w:lang w:val="en-US" w:eastAsia="zh-CN"/>
              </w:rPr>
              <w:t>形式</w:t>
            </w:r>
            <w:r>
              <w:rPr>
                <w:rFonts w:hint="default" w:ascii="Times New Roman" w:hAnsi="Times New Roman" w:eastAsia="宋体" w:cs="Times New Roman"/>
                <w:color w:val="000000"/>
                <w:spacing w:val="11"/>
                <w:position w:val="0"/>
                <w:sz w:val="24"/>
                <w:szCs w:val="24"/>
                <w:u w:val="single" w:color="auto"/>
                <w:vertAlign w:val="baseline"/>
              </w:rPr>
              <w:t>排放，</w:t>
            </w:r>
            <w:r>
              <w:rPr>
                <w:rFonts w:hint="default" w:ascii="Times New Roman" w:hAnsi="Times New Roman" w:eastAsia="宋体" w:cs="Times New Roman"/>
                <w:color w:val="000000"/>
                <w:spacing w:val="11"/>
                <w:position w:val="0"/>
                <w:sz w:val="24"/>
                <w:szCs w:val="24"/>
                <w:u w:val="single" w:color="auto"/>
                <w:vertAlign w:val="baseline"/>
                <w:lang w:val="en-US" w:eastAsia="zh-CN"/>
              </w:rPr>
              <w:t>项目</w:t>
            </w:r>
            <w:r>
              <w:rPr>
                <w:rFonts w:hint="default" w:ascii="Times New Roman" w:hAnsi="Times New Roman" w:eastAsia="宋体" w:cs="Times New Roman"/>
                <w:color w:val="000000"/>
                <w:spacing w:val="11"/>
                <w:position w:val="0"/>
                <w:sz w:val="24"/>
                <w:szCs w:val="24"/>
                <w:u w:val="single" w:color="auto"/>
                <w:vertAlign w:val="baseline"/>
              </w:rPr>
              <w:t>采用水封爆破并对爆破面进行洒水抑尘，同时增设水炮喷雾增湿，可降低约85%的粉尘排放量，爆破粉尘排放量</w:t>
            </w:r>
            <w:r>
              <w:rPr>
                <w:rFonts w:hint="default" w:ascii="Times New Roman" w:hAnsi="Times New Roman" w:eastAsia="宋体" w:cs="Times New Roman"/>
                <w:color w:val="000000"/>
                <w:spacing w:val="11"/>
                <w:position w:val="0"/>
                <w:sz w:val="24"/>
                <w:szCs w:val="24"/>
                <w:u w:val="single" w:color="auto"/>
                <w:vertAlign w:val="baseline"/>
                <w:lang w:val="en-US" w:eastAsia="zh-CN"/>
              </w:rPr>
              <w:t>少</w:t>
            </w:r>
            <w:r>
              <w:rPr>
                <w:rFonts w:hint="default" w:ascii="Times New Roman" w:hAnsi="Times New Roman" w:eastAsia="宋体" w:cs="Times New Roman"/>
                <w:color w:val="000000"/>
                <w:spacing w:val="11"/>
                <w:position w:val="0"/>
                <w:sz w:val="24"/>
                <w:szCs w:val="24"/>
                <w:u w:val="single" w:color="auto"/>
                <w:vertAlign w:val="baseline"/>
              </w:rPr>
              <w:t>，由于此部分废气产生源强较小，且项目地势开阔，绿地面积较广，通过距离衰减、绿地吸收后，对排放量极少，其给周边环境带来的影响很小。</w:t>
            </w:r>
          </w:p>
          <w:p w14:paraId="54E858EF">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kern w:val="1"/>
                <w:position w:val="0"/>
                <w:sz w:val="24"/>
                <w:szCs w:val="24"/>
                <w:u w:val="single" w:color="auto"/>
                <w:vertAlign w:val="baseline"/>
              </w:rPr>
              <w:t>本项目爆破开采对道路上的行人、车辆有一定的影响，环评要求建设单位严格遵照项目安全生产评价报告及当地安全生产管理部门有关要求落实好爆破工作，设置警戒线、专人安排，加强管理等措施处理。本项目爆破生产时涉及的安全问题依照项目安全生产评价报告及当地安全生产管理部门有关要求为准</w:t>
            </w:r>
            <w:r>
              <w:rPr>
                <w:rFonts w:hint="default" w:ascii="Times New Roman" w:hAnsi="Times New Roman" w:eastAsia="宋体" w:cs="Times New Roman"/>
                <w:color w:val="000000"/>
                <w:spacing w:val="11"/>
                <w:position w:val="0"/>
                <w:sz w:val="24"/>
                <w:szCs w:val="24"/>
                <w:u w:val="single" w:color="auto"/>
                <w:vertAlign w:val="baseline"/>
                <w:lang w:val="en-US" w:eastAsia="zh-CN"/>
              </w:rPr>
              <w:t>。</w:t>
            </w:r>
          </w:p>
          <w:p w14:paraId="707163A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single" w:color="auto"/>
              </w:rPr>
            </w:pPr>
            <w:r>
              <w:rPr>
                <w:rFonts w:hint="default" w:ascii="Times New Roman" w:hAnsi="Times New Roman" w:eastAsia="宋体" w:cs="Times New Roman"/>
                <w:b w:val="0"/>
                <w:bCs w:val="0"/>
                <w:color w:val="000000"/>
                <w:spacing w:val="11"/>
                <w:position w:val="0"/>
                <w:sz w:val="24"/>
                <w:szCs w:val="24"/>
                <w:u w:val="single" w:color="auto"/>
              </w:rPr>
              <w:t>③装卸粉尘</w:t>
            </w:r>
          </w:p>
          <w:p w14:paraId="5CA08AF1">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此部分粉尘产生于矿石装卸过程，</w:t>
            </w:r>
          </w:p>
          <w:p w14:paraId="40B0151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采矿区矿石装卸粉尘产生量与风速、物料落差、物料含水率等相关，经过预测，</w:t>
            </w:r>
            <w:r>
              <w:rPr>
                <w:rFonts w:hint="default" w:ascii="Times New Roman" w:hAnsi="Times New Roman" w:eastAsia="宋体" w:cs="Times New Roman"/>
                <w:color w:val="000000"/>
                <w:spacing w:val="11"/>
                <w:position w:val="0"/>
                <w:sz w:val="24"/>
                <w:szCs w:val="24"/>
                <w:u w:val="single" w:color="auto"/>
                <w:lang w:val="en-US" w:eastAsia="zh-CN"/>
              </w:rPr>
              <w:t>装卸粉尘产生量约为</w:t>
            </w:r>
            <w:r>
              <w:rPr>
                <w:rFonts w:hint="eastAsia" w:ascii="Times New Roman" w:hAnsi="Times New Roman" w:eastAsia="宋体" w:cs="Times New Roman"/>
                <w:color w:val="000000"/>
                <w:spacing w:val="11"/>
                <w:position w:val="0"/>
                <w:sz w:val="24"/>
                <w:szCs w:val="24"/>
                <w:u w:val="single" w:color="auto"/>
                <w:lang w:val="en-US" w:eastAsia="zh-CN"/>
              </w:rPr>
              <w:t>5.4</w:t>
            </w:r>
            <w:r>
              <w:rPr>
                <w:rFonts w:hint="default" w:ascii="Times New Roman" w:hAnsi="Times New Roman" w:eastAsia="宋体" w:cs="Times New Roman"/>
                <w:color w:val="000000"/>
                <w:spacing w:val="11"/>
                <w:position w:val="0"/>
                <w:sz w:val="24"/>
                <w:szCs w:val="24"/>
                <w:u w:val="single" w:color="auto"/>
              </w:rPr>
              <w:t>t/a。通过采用洒水车每天定期洒水降尘，去除效率能达到85%，</w:t>
            </w:r>
            <w:r>
              <w:rPr>
                <w:rFonts w:hint="default" w:ascii="Times New Roman" w:hAnsi="Times New Roman" w:eastAsia="宋体" w:cs="Times New Roman"/>
                <w:color w:val="000000"/>
                <w:spacing w:val="11"/>
                <w:position w:val="0"/>
                <w:sz w:val="24"/>
                <w:szCs w:val="24"/>
                <w:u w:val="single" w:color="auto"/>
                <w:lang w:val="en-US" w:eastAsia="zh-CN"/>
              </w:rPr>
              <w:t>均以无组织形式外排，由于排放量较少，经</w:t>
            </w:r>
            <w:r>
              <w:rPr>
                <w:rFonts w:hint="default" w:ascii="Times New Roman" w:hAnsi="Times New Roman" w:eastAsia="宋体" w:cs="Times New Roman"/>
                <w:color w:val="000000"/>
                <w:spacing w:val="11"/>
                <w:position w:val="0"/>
                <w:sz w:val="24"/>
                <w:szCs w:val="24"/>
                <w:u w:val="single" w:color="auto"/>
              </w:rPr>
              <w:t>大气稀释、</w:t>
            </w:r>
            <w:r>
              <w:rPr>
                <w:rFonts w:hint="default" w:ascii="Times New Roman" w:hAnsi="Times New Roman" w:eastAsia="宋体" w:cs="Times New Roman"/>
                <w:color w:val="000000"/>
                <w:spacing w:val="11"/>
                <w:position w:val="0"/>
                <w:sz w:val="24"/>
                <w:szCs w:val="24"/>
                <w:u w:val="single" w:color="auto"/>
                <w:lang w:val="en-US" w:eastAsia="zh-CN"/>
              </w:rPr>
              <w:t>植被</w:t>
            </w:r>
            <w:r>
              <w:rPr>
                <w:rFonts w:hint="default" w:ascii="Times New Roman" w:hAnsi="Times New Roman" w:eastAsia="宋体" w:cs="Times New Roman"/>
                <w:color w:val="000000"/>
                <w:spacing w:val="11"/>
                <w:position w:val="0"/>
                <w:sz w:val="24"/>
                <w:szCs w:val="24"/>
                <w:u w:val="single" w:color="auto"/>
              </w:rPr>
              <w:t>吸收后，</w:t>
            </w:r>
            <w:r>
              <w:rPr>
                <w:rFonts w:hint="default" w:ascii="Times New Roman" w:hAnsi="Times New Roman" w:eastAsia="宋体" w:cs="Times New Roman"/>
                <w:color w:val="000000"/>
                <w:spacing w:val="11"/>
                <w:position w:val="0"/>
                <w:sz w:val="24"/>
                <w:szCs w:val="24"/>
                <w:u w:val="single" w:color="auto"/>
                <w:lang w:val="en-US" w:eastAsia="zh-CN"/>
              </w:rPr>
              <w:t>此部分污染物</w:t>
            </w:r>
            <w:r>
              <w:rPr>
                <w:rFonts w:hint="default" w:ascii="Times New Roman" w:hAnsi="Times New Roman" w:eastAsia="宋体" w:cs="Times New Roman"/>
                <w:color w:val="000000"/>
                <w:spacing w:val="11"/>
                <w:position w:val="0"/>
                <w:sz w:val="24"/>
                <w:szCs w:val="24"/>
                <w:u w:val="single" w:color="auto"/>
              </w:rPr>
              <w:t>对周边环境影响很小。</w:t>
            </w:r>
          </w:p>
          <w:p w14:paraId="50ED7001">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④运输扬尘</w:t>
            </w:r>
          </w:p>
          <w:p w14:paraId="4922C7E7">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w:t>
            </w:r>
            <w:r>
              <w:rPr>
                <w:rFonts w:hint="default" w:ascii="Times New Roman" w:hAnsi="Times New Roman" w:eastAsia="宋体" w:cs="Times New Roman"/>
                <w:color w:val="000000"/>
                <w:spacing w:val="11"/>
                <w:position w:val="0"/>
                <w:sz w:val="24"/>
                <w:szCs w:val="24"/>
                <w:u w:val="single" w:color="auto"/>
                <w:lang w:val="en-US" w:eastAsia="zh-CN"/>
              </w:rPr>
              <w:t>建设单位拟对道路两侧设置喷淋头</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在厂区设置洒水车，对厂区</w:t>
            </w:r>
            <w:r>
              <w:rPr>
                <w:rFonts w:hint="default" w:ascii="Times New Roman" w:hAnsi="Times New Roman" w:eastAsia="宋体" w:cs="Times New Roman"/>
                <w:color w:val="000000"/>
                <w:spacing w:val="11"/>
                <w:position w:val="0"/>
                <w:sz w:val="24"/>
                <w:szCs w:val="24"/>
                <w:u w:val="single" w:color="auto"/>
              </w:rPr>
              <w:t>路面</w:t>
            </w:r>
            <w:r>
              <w:rPr>
                <w:rFonts w:hint="default" w:ascii="Times New Roman" w:hAnsi="Times New Roman" w:eastAsia="宋体" w:cs="Times New Roman"/>
                <w:color w:val="000000"/>
                <w:spacing w:val="11"/>
                <w:position w:val="0"/>
                <w:sz w:val="24"/>
                <w:szCs w:val="24"/>
                <w:u w:val="single" w:color="auto"/>
                <w:lang w:val="en-US" w:eastAsia="zh-CN"/>
              </w:rPr>
              <w:t>实行</w:t>
            </w:r>
            <w:r>
              <w:rPr>
                <w:rFonts w:hint="default" w:ascii="Times New Roman" w:hAnsi="Times New Roman" w:eastAsia="宋体" w:cs="Times New Roman"/>
                <w:color w:val="000000"/>
                <w:spacing w:val="11"/>
                <w:position w:val="0"/>
                <w:sz w:val="24"/>
                <w:szCs w:val="24"/>
                <w:u w:val="single" w:color="auto"/>
              </w:rPr>
              <w:t>硬化</w:t>
            </w:r>
            <w:r>
              <w:rPr>
                <w:rFonts w:hint="default" w:ascii="Times New Roman" w:hAnsi="Times New Roman" w:eastAsia="宋体" w:cs="Times New Roman"/>
                <w:color w:val="000000"/>
                <w:spacing w:val="11"/>
                <w:position w:val="0"/>
                <w:sz w:val="24"/>
                <w:szCs w:val="24"/>
                <w:u w:val="single" w:color="auto"/>
                <w:lang w:val="en-US" w:eastAsia="zh-CN"/>
              </w:rPr>
              <w:t>处理，同时厂区设置了洗车平台，对进出厂区车辆进行保洁清洗</w:t>
            </w:r>
            <w:r>
              <w:rPr>
                <w:rFonts w:hint="default" w:ascii="Times New Roman" w:hAnsi="Times New Roman" w:eastAsia="宋体" w:cs="Times New Roman"/>
                <w:color w:val="000000"/>
                <w:spacing w:val="11"/>
                <w:position w:val="0"/>
                <w:sz w:val="24"/>
                <w:szCs w:val="24"/>
                <w:u w:val="single" w:color="auto"/>
              </w:rPr>
              <w:t>，可将粉尘降低8</w:t>
            </w:r>
            <w:r>
              <w:rPr>
                <w:rFonts w:hint="default" w:ascii="Times New Roman" w:hAnsi="Times New Roman" w:eastAsia="宋体" w:cs="Times New Roman"/>
                <w:color w:val="000000"/>
                <w:spacing w:val="11"/>
                <w:position w:val="0"/>
                <w:sz w:val="24"/>
                <w:szCs w:val="24"/>
                <w:u w:val="single" w:color="auto"/>
                <w:lang w:val="en-US" w:eastAsia="zh-CN"/>
              </w:rPr>
              <w:t>5</w:t>
            </w:r>
            <w:r>
              <w:rPr>
                <w:rFonts w:hint="default" w:ascii="Times New Roman" w:hAnsi="Times New Roman" w:eastAsia="宋体" w:cs="Times New Roman"/>
                <w:color w:val="000000"/>
                <w:spacing w:val="11"/>
                <w:position w:val="0"/>
                <w:sz w:val="24"/>
                <w:szCs w:val="24"/>
                <w:u w:val="single" w:color="auto"/>
              </w:rPr>
              <w:t>%。经大气扩散、绿地吸收后，其排放量将进一步减少，对周边环境影响不大，评价要求建设方应根据天气情况，加严洒水降尘频次。减少运输扬尘对环境的影响。</w:t>
            </w:r>
          </w:p>
          <w:p w14:paraId="21E43BC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zh-CN" w:eastAsia="zh-CN"/>
              </w:rPr>
            </w:pPr>
            <w:r>
              <w:rPr>
                <w:rFonts w:hint="default" w:ascii="Times New Roman" w:hAnsi="Times New Roman" w:eastAsia="宋体" w:cs="Times New Roman"/>
                <w:color w:val="000000"/>
                <w:spacing w:val="11"/>
                <w:position w:val="0"/>
                <w:sz w:val="24"/>
                <w:szCs w:val="24"/>
                <w:u w:val="single" w:color="auto"/>
              </w:rPr>
              <w:t>⑤</w:t>
            </w:r>
            <w:r>
              <w:rPr>
                <w:rFonts w:hint="eastAsia" w:cs="Times New Roman"/>
                <w:color w:val="000000"/>
                <w:spacing w:val="11"/>
                <w:kern w:val="0"/>
                <w:position w:val="0"/>
                <w:sz w:val="24"/>
                <w:szCs w:val="24"/>
                <w:u w:val="single" w:color="auto"/>
                <w:lang w:val="en-US" w:eastAsia="zh-CN"/>
              </w:rPr>
              <w:t>产品堆场</w:t>
            </w:r>
            <w:r>
              <w:rPr>
                <w:rFonts w:hint="default" w:ascii="Times New Roman" w:hAnsi="Times New Roman" w:eastAsia="宋体" w:cs="Times New Roman"/>
                <w:color w:val="000000"/>
                <w:spacing w:val="11"/>
                <w:kern w:val="0"/>
                <w:position w:val="0"/>
                <w:sz w:val="24"/>
                <w:szCs w:val="24"/>
                <w:u w:val="single" w:color="auto"/>
              </w:rPr>
              <w:t>起尘</w:t>
            </w:r>
            <w:r>
              <w:rPr>
                <w:rFonts w:hint="eastAsia" w:cs="Times New Roman"/>
                <w:color w:val="000000"/>
                <w:spacing w:val="11"/>
                <w:kern w:val="0"/>
                <w:position w:val="0"/>
                <w:sz w:val="24"/>
                <w:szCs w:val="24"/>
                <w:u w:val="single" w:color="auto"/>
                <w:lang w:eastAsia="zh-CN"/>
              </w:rPr>
              <w:t>、</w:t>
            </w:r>
            <w:r>
              <w:rPr>
                <w:rFonts w:hint="eastAsia" w:cs="Times New Roman"/>
                <w:color w:val="000000"/>
                <w:spacing w:val="11"/>
                <w:kern w:val="0"/>
                <w:position w:val="0"/>
                <w:sz w:val="24"/>
                <w:szCs w:val="24"/>
                <w:u w:val="single" w:color="auto"/>
                <w:lang w:val="en-US" w:eastAsia="zh-CN"/>
              </w:rPr>
              <w:t>临时堆土场</w:t>
            </w:r>
            <w:r>
              <w:rPr>
                <w:rFonts w:hint="eastAsia" w:cs="Times New Roman"/>
                <w:color w:val="000000"/>
                <w:spacing w:val="11"/>
                <w:kern w:val="0"/>
                <w:position w:val="0"/>
                <w:sz w:val="24"/>
                <w:szCs w:val="24"/>
                <w:u w:val="single" w:color="auto"/>
                <w:lang w:eastAsia="zh-CN"/>
              </w:rPr>
              <w:t>起尘</w:t>
            </w:r>
          </w:p>
          <w:p w14:paraId="3DFF504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en-US" w:eastAsia="zh-CN"/>
              </w:rPr>
              <w:t>遇燥热天气，遇风容易产生粉尘，根据前文分析可知</w:t>
            </w:r>
            <w:r>
              <w:rPr>
                <w:rFonts w:hint="default"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zh-CN" w:eastAsia="zh-CN"/>
              </w:rPr>
              <w:t>产品堆场</w:t>
            </w:r>
            <w:r>
              <w:rPr>
                <w:rFonts w:hint="default" w:ascii="Times New Roman" w:hAnsi="Times New Roman" w:eastAsia="宋体" w:cs="Times New Roman"/>
                <w:color w:val="000000"/>
                <w:spacing w:val="11"/>
                <w:kern w:val="0"/>
                <w:position w:val="0"/>
                <w:sz w:val="24"/>
                <w:szCs w:val="24"/>
                <w:u w:val="single" w:color="auto"/>
              </w:rPr>
              <w:t>在风速为</w:t>
            </w:r>
            <w:r>
              <w:rPr>
                <w:rFonts w:hint="eastAsia" w:cs="Times New Roman"/>
                <w:color w:val="000000"/>
                <w:spacing w:val="11"/>
                <w:kern w:val="0"/>
                <w:position w:val="0"/>
                <w:sz w:val="24"/>
                <w:szCs w:val="24"/>
                <w:u w:val="single" w:color="auto"/>
                <w:lang w:val="en-US" w:eastAsia="zh-CN"/>
              </w:rPr>
              <w:t>1.1</w:t>
            </w:r>
            <w:r>
              <w:rPr>
                <w:rFonts w:hint="default" w:ascii="Times New Roman" w:hAnsi="Times New Roman" w:eastAsia="宋体" w:cs="Times New Roman"/>
                <w:color w:val="000000"/>
                <w:spacing w:val="11"/>
                <w:kern w:val="0"/>
                <w:position w:val="0"/>
                <w:sz w:val="24"/>
                <w:szCs w:val="24"/>
                <w:u w:val="single" w:color="auto"/>
              </w:rPr>
              <w:t>m/s的情况下起尘量为</w:t>
            </w:r>
            <w:r>
              <w:rPr>
                <w:rFonts w:hint="eastAsia" w:ascii="Times New Roman" w:hAnsi="Times New Roman" w:eastAsia="宋体" w:cs="Times New Roman"/>
                <w:color w:val="000000"/>
                <w:spacing w:val="11"/>
                <w:kern w:val="0"/>
                <w:position w:val="0"/>
                <w:sz w:val="24"/>
                <w:szCs w:val="24"/>
                <w:u w:val="single" w:color="auto"/>
                <w:lang w:val="en-US" w:eastAsia="zh-CN"/>
              </w:rPr>
              <w:t>12.72kg/a</w:t>
            </w:r>
            <w:r>
              <w:rPr>
                <w:rFonts w:hint="eastAsia" w:cs="Times New Roman"/>
                <w:color w:val="000000"/>
                <w:spacing w:val="11"/>
                <w:kern w:val="0"/>
                <w:position w:val="0"/>
                <w:sz w:val="24"/>
                <w:szCs w:val="24"/>
                <w:u w:val="single" w:color="auto"/>
                <w:lang w:val="en-US" w:eastAsia="zh-CN"/>
              </w:rPr>
              <w:t>，产生量较少</w:t>
            </w:r>
            <w:r>
              <w:rPr>
                <w:rFonts w:hint="default"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en-US" w:eastAsia="zh-CN"/>
              </w:rPr>
              <w:t>建设单位</w:t>
            </w:r>
            <w:r>
              <w:rPr>
                <w:rFonts w:hint="eastAsia" w:cs="Times New Roman"/>
                <w:color w:val="000000"/>
                <w:spacing w:val="11"/>
                <w:position w:val="0"/>
                <w:sz w:val="24"/>
                <w:szCs w:val="24"/>
                <w:u w:val="single" w:color="auto"/>
                <w:lang w:val="en-US" w:eastAsia="zh-CN"/>
              </w:rPr>
              <w:t>通过</w:t>
            </w:r>
            <w:r>
              <w:rPr>
                <w:rFonts w:hint="default" w:ascii="Times New Roman" w:hAnsi="Times New Roman" w:eastAsia="宋体" w:cs="Times New Roman"/>
                <w:color w:val="000000"/>
                <w:spacing w:val="11"/>
                <w:position w:val="0"/>
                <w:sz w:val="24"/>
                <w:szCs w:val="24"/>
                <w:u w:val="single" w:color="auto"/>
                <w:lang w:val="en-US" w:eastAsia="zh-CN"/>
              </w:rPr>
              <w:t>采取对产品堆场定期进行洒水降尘，遇燥热天气将加大洒水频次，以保持湿度，降低粉尘产生源强</w:t>
            </w:r>
            <w:r>
              <w:rPr>
                <w:rFonts w:hint="eastAsia" w:cs="Times New Roman"/>
                <w:color w:val="000000"/>
                <w:spacing w:val="11"/>
                <w:position w:val="0"/>
                <w:sz w:val="24"/>
                <w:szCs w:val="24"/>
                <w:u w:val="single" w:color="auto"/>
                <w:lang w:val="en-US" w:eastAsia="zh-CN"/>
              </w:rPr>
              <w:t>；在风速低于3.2m/s的情况下，临时堆土场不易产生扬尘，在风速为4m/s的情况下起尘量为1.073t/a。建设单位对临时堆土场进行洒水降尘，遇燥热天气将加大洒水频次，以保持土层湿度，降低粉尘产生源强</w:t>
            </w:r>
            <w:r>
              <w:rPr>
                <w:rFonts w:hint="default" w:ascii="Times New Roman" w:hAnsi="Times New Roman" w:eastAsia="宋体" w:cs="Times New Roman"/>
                <w:color w:val="000000"/>
                <w:spacing w:val="11"/>
                <w:position w:val="0"/>
                <w:sz w:val="24"/>
                <w:szCs w:val="24"/>
                <w:u w:val="single" w:color="auto"/>
                <w:lang w:val="en-US" w:eastAsia="zh-CN"/>
              </w:rPr>
              <w:t>，由于产品堆场</w:t>
            </w:r>
            <w:r>
              <w:rPr>
                <w:rFonts w:hint="eastAsia" w:cs="Times New Roman"/>
                <w:color w:val="000000"/>
                <w:spacing w:val="11"/>
                <w:position w:val="0"/>
                <w:sz w:val="24"/>
                <w:szCs w:val="24"/>
                <w:u w:val="single" w:color="auto"/>
                <w:lang w:val="en-US" w:eastAsia="zh-CN"/>
              </w:rPr>
              <w:t>、临时堆土场距离</w:t>
            </w:r>
            <w:r>
              <w:rPr>
                <w:rFonts w:hint="default" w:ascii="Times New Roman" w:hAnsi="Times New Roman" w:eastAsia="宋体" w:cs="Times New Roman"/>
                <w:color w:val="000000"/>
                <w:spacing w:val="11"/>
                <w:position w:val="0"/>
                <w:sz w:val="24"/>
                <w:szCs w:val="24"/>
                <w:u w:val="single" w:color="auto"/>
                <w:lang w:val="en-US" w:eastAsia="zh-CN"/>
              </w:rPr>
              <w:t>周边居民距离较远，且有</w:t>
            </w:r>
            <w:r>
              <w:rPr>
                <w:rFonts w:hint="eastAsia" w:cs="Times New Roman"/>
                <w:color w:val="000000"/>
                <w:spacing w:val="11"/>
                <w:position w:val="0"/>
                <w:sz w:val="24"/>
                <w:szCs w:val="24"/>
                <w:u w:val="single" w:color="auto"/>
                <w:lang w:val="en-US" w:eastAsia="zh-CN"/>
              </w:rPr>
              <w:t>厂房、</w:t>
            </w:r>
            <w:r>
              <w:rPr>
                <w:rFonts w:hint="default" w:ascii="Times New Roman" w:hAnsi="Times New Roman" w:eastAsia="宋体" w:cs="Times New Roman"/>
                <w:color w:val="000000"/>
                <w:spacing w:val="11"/>
                <w:position w:val="0"/>
                <w:sz w:val="24"/>
                <w:szCs w:val="24"/>
                <w:u w:val="single" w:color="auto"/>
                <w:lang w:val="en-US" w:eastAsia="zh-CN"/>
              </w:rPr>
              <w:t>山体阻隔，</w:t>
            </w:r>
            <w:r>
              <w:rPr>
                <w:rFonts w:hint="default" w:ascii="Times New Roman" w:hAnsi="Times New Roman" w:eastAsia="宋体" w:cs="Times New Roman"/>
                <w:color w:val="000000"/>
                <w:spacing w:val="11"/>
                <w:position w:val="0"/>
                <w:sz w:val="24"/>
                <w:szCs w:val="24"/>
                <w:u w:val="single" w:color="auto"/>
                <w:vertAlign w:val="baseline"/>
                <w:lang w:val="en-US" w:eastAsia="zh-CN"/>
              </w:rPr>
              <w:t>经</w:t>
            </w:r>
            <w:r>
              <w:rPr>
                <w:rFonts w:hint="default" w:ascii="Times New Roman" w:hAnsi="Times New Roman" w:eastAsia="宋体" w:cs="Times New Roman"/>
                <w:color w:val="000000"/>
                <w:spacing w:val="11"/>
                <w:position w:val="0"/>
                <w:sz w:val="24"/>
                <w:szCs w:val="24"/>
                <w:u w:val="single" w:color="auto"/>
                <w:vertAlign w:val="baseline"/>
              </w:rPr>
              <w:t>距离衰减、</w:t>
            </w:r>
            <w:r>
              <w:rPr>
                <w:rFonts w:hint="default" w:ascii="Times New Roman" w:hAnsi="Times New Roman" w:eastAsia="宋体" w:cs="Times New Roman"/>
                <w:color w:val="000000"/>
                <w:spacing w:val="11"/>
                <w:position w:val="0"/>
                <w:sz w:val="24"/>
                <w:szCs w:val="24"/>
                <w:u w:val="single" w:color="auto"/>
                <w:vertAlign w:val="baseline"/>
                <w:lang w:val="en-US" w:eastAsia="zh-CN"/>
              </w:rPr>
              <w:t>植被</w:t>
            </w:r>
            <w:r>
              <w:rPr>
                <w:rFonts w:hint="default" w:ascii="Times New Roman" w:hAnsi="Times New Roman" w:eastAsia="宋体" w:cs="Times New Roman"/>
                <w:color w:val="000000"/>
                <w:spacing w:val="11"/>
                <w:position w:val="0"/>
                <w:sz w:val="24"/>
                <w:szCs w:val="24"/>
                <w:u w:val="single" w:color="auto"/>
                <w:vertAlign w:val="baseline"/>
              </w:rPr>
              <w:t>吸收后，</w:t>
            </w:r>
            <w:r>
              <w:rPr>
                <w:rFonts w:hint="default" w:ascii="Times New Roman" w:hAnsi="Times New Roman" w:eastAsia="宋体" w:cs="Times New Roman"/>
                <w:color w:val="000000"/>
                <w:spacing w:val="11"/>
                <w:position w:val="0"/>
                <w:sz w:val="24"/>
                <w:szCs w:val="24"/>
                <w:u w:val="single" w:color="auto"/>
                <w:vertAlign w:val="baseline"/>
                <w:lang w:val="en-US" w:eastAsia="zh-CN"/>
              </w:rPr>
              <w:t>粉尘无组织排放量更少，影响面更窄</w:t>
            </w:r>
            <w:r>
              <w:rPr>
                <w:rFonts w:hint="default" w:ascii="Times New Roman" w:hAnsi="Times New Roman" w:eastAsia="宋体" w:cs="Times New Roman"/>
                <w:color w:val="000000"/>
                <w:spacing w:val="11"/>
                <w:position w:val="0"/>
                <w:sz w:val="24"/>
                <w:szCs w:val="24"/>
                <w:u w:val="single" w:color="auto"/>
                <w:vertAlign w:val="baseline"/>
              </w:rPr>
              <w:t>，</w:t>
            </w:r>
            <w:r>
              <w:rPr>
                <w:rFonts w:hint="default" w:ascii="Times New Roman" w:hAnsi="Times New Roman" w:eastAsia="宋体" w:cs="Times New Roman"/>
                <w:color w:val="000000"/>
                <w:spacing w:val="11"/>
                <w:position w:val="0"/>
                <w:sz w:val="24"/>
                <w:szCs w:val="24"/>
                <w:u w:val="single" w:color="auto"/>
                <w:vertAlign w:val="baseline"/>
                <w:lang w:val="en-US" w:eastAsia="zh-CN"/>
              </w:rPr>
              <w:t>对</w:t>
            </w:r>
            <w:r>
              <w:rPr>
                <w:rFonts w:hint="default" w:ascii="Times New Roman" w:hAnsi="Times New Roman" w:eastAsia="宋体" w:cs="Times New Roman"/>
                <w:color w:val="000000"/>
                <w:spacing w:val="11"/>
                <w:position w:val="0"/>
                <w:sz w:val="24"/>
                <w:szCs w:val="24"/>
                <w:u w:val="single" w:color="auto"/>
                <w:vertAlign w:val="baseline"/>
              </w:rPr>
              <w:t>周边环境带来的影响很小</w:t>
            </w:r>
            <w:r>
              <w:rPr>
                <w:rFonts w:hint="default" w:ascii="Times New Roman" w:hAnsi="Times New Roman" w:eastAsia="宋体" w:cs="Times New Roman"/>
                <w:color w:val="000000"/>
                <w:spacing w:val="11"/>
                <w:position w:val="0"/>
                <w:sz w:val="24"/>
                <w:szCs w:val="24"/>
                <w:u w:val="single" w:color="auto"/>
                <w:lang w:val="zh-CN"/>
              </w:rPr>
              <w:t>。</w:t>
            </w:r>
          </w:p>
          <w:p w14:paraId="4B5F343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position w:val="0"/>
                <w:sz w:val="24"/>
                <w:szCs w:val="24"/>
                <w:u w:val="single" w:color="auto"/>
                <w:vertAlign w:val="baseline"/>
                <w:lang w:val="en-US" w:eastAsia="zh-CN"/>
              </w:rPr>
              <w:t>环评要求生产期间对产品堆场、临时堆土场加强管理，定期洒水防尘，遇到大风、干燥天气须加大洒水次数，降低扬尘对周边环境的影响。</w:t>
            </w:r>
          </w:p>
          <w:p w14:paraId="54A1127D">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6" w:firstLineChars="200"/>
              <w:textAlignment w:val="auto"/>
              <w:rPr>
                <w:rFonts w:hint="default" w:ascii="Times New Roman" w:hAnsi="Times New Roman" w:eastAsia="宋体" w:cs="Times New Roman"/>
                <w:b/>
                <w:bCs w:val="0"/>
                <w:color w:val="000000"/>
                <w:spacing w:val="11"/>
                <w:position w:val="0"/>
                <w:sz w:val="24"/>
                <w:szCs w:val="24"/>
                <w:u w:val="single" w:color="auto"/>
                <w:lang w:val="en-US" w:eastAsia="zh-CN"/>
              </w:rPr>
            </w:pPr>
            <w:r>
              <w:rPr>
                <w:rFonts w:hint="default" w:ascii="Times New Roman" w:hAnsi="Times New Roman" w:eastAsia="宋体" w:cs="Times New Roman"/>
                <w:b/>
                <w:bCs w:val="0"/>
                <w:color w:val="000000"/>
                <w:spacing w:val="11"/>
                <w:position w:val="0"/>
                <w:sz w:val="24"/>
                <w:szCs w:val="24"/>
                <w:u w:val="single" w:color="auto"/>
                <w:lang w:val="en-US" w:eastAsia="zh-CN"/>
              </w:rPr>
              <w:t>（3）环保措施可行性分析</w:t>
            </w:r>
          </w:p>
          <w:p w14:paraId="1F8555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jc w:val="left"/>
              <w:textAlignment w:val="auto"/>
              <w:outlineLvl w:val="9"/>
              <w:rPr>
                <w:rFonts w:hint="eastAsia"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项目</w:t>
            </w:r>
            <w:r>
              <w:rPr>
                <w:rFonts w:hint="eastAsia" w:cs="Times New Roman"/>
                <w:color w:val="000000"/>
                <w:spacing w:val="11"/>
                <w:position w:val="0"/>
                <w:sz w:val="24"/>
                <w:szCs w:val="24"/>
                <w:u w:val="single" w:color="auto"/>
                <w:lang w:val="en-US" w:eastAsia="zh-CN"/>
              </w:rPr>
              <w:t>抑尘措施</w:t>
            </w:r>
            <w:r>
              <w:rPr>
                <w:rFonts w:hint="default" w:ascii="Times New Roman" w:hAnsi="Times New Roman" w:eastAsia="宋体" w:cs="Times New Roman"/>
                <w:color w:val="000000"/>
                <w:spacing w:val="11"/>
                <w:position w:val="0"/>
                <w:sz w:val="24"/>
                <w:szCs w:val="24"/>
                <w:u w:val="single" w:color="auto"/>
                <w:lang w:val="en-US" w:eastAsia="zh-CN"/>
              </w:rPr>
              <w:t>主要</w:t>
            </w:r>
            <w:r>
              <w:rPr>
                <w:rFonts w:hint="eastAsia" w:cs="Times New Roman"/>
                <w:color w:val="000000"/>
                <w:spacing w:val="11"/>
                <w:position w:val="0"/>
                <w:sz w:val="24"/>
                <w:szCs w:val="24"/>
                <w:u w:val="single" w:color="auto"/>
                <w:lang w:val="en-US" w:eastAsia="zh-CN"/>
              </w:rPr>
              <w:t>为</w:t>
            </w:r>
            <w:r>
              <w:rPr>
                <w:rFonts w:hint="default" w:ascii="Times New Roman" w:hAnsi="Times New Roman" w:eastAsia="宋体" w:cs="Times New Roman"/>
                <w:color w:val="000000"/>
                <w:spacing w:val="11"/>
                <w:position w:val="0"/>
                <w:sz w:val="24"/>
                <w:szCs w:val="24"/>
                <w:u w:val="single" w:color="auto"/>
                <w:lang w:val="en-US" w:eastAsia="zh-CN"/>
              </w:rPr>
              <w:t>洒水降尘、布袋收尘，</w:t>
            </w:r>
            <w:r>
              <w:rPr>
                <w:rFonts w:hint="eastAsia" w:ascii="Times New Roman" w:hAnsi="Times New Roman" w:eastAsia="宋体" w:cs="Times New Roman"/>
                <w:color w:val="000000"/>
                <w:spacing w:val="11"/>
                <w:position w:val="0"/>
                <w:sz w:val="24"/>
                <w:szCs w:val="24"/>
                <w:u w:val="single" w:color="auto"/>
                <w:lang w:val="en-US" w:eastAsia="zh-CN"/>
              </w:rPr>
              <w:t>根据工程分析可知，项目营运期排放的废气污染物可实现稳定达标排放，对评价区域的影响在可接受范围内，项目运营期对周围大气环境影响可控。</w:t>
            </w:r>
          </w:p>
          <w:p w14:paraId="2C46A58B">
            <w:pPr>
              <w:keepNext w:val="0"/>
              <w:keepLines w:val="0"/>
              <w:pageBreakBefore w:val="0"/>
              <w:kinsoku/>
              <w:wordWrap/>
              <w:overflowPunct/>
              <w:topLinePunct w:val="0"/>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lang w:val="en-US" w:eastAsia="zh-CN"/>
              </w:rPr>
              <w:t>3</w:t>
            </w:r>
            <w:r>
              <w:rPr>
                <w:rFonts w:hint="default" w:ascii="Times New Roman" w:hAnsi="Times New Roman" w:eastAsia="宋体" w:cs="Times New Roman"/>
                <w:b/>
                <w:color w:val="000000"/>
                <w:spacing w:val="11"/>
                <w:position w:val="0"/>
                <w:sz w:val="24"/>
                <w:szCs w:val="24"/>
                <w:u w:val="none" w:color="auto"/>
              </w:rPr>
              <w:t>、噪声</w:t>
            </w:r>
          </w:p>
          <w:p w14:paraId="77B9E92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i w:val="0"/>
                <w:iCs w:val="0"/>
                <w:color w:val="auto"/>
                <w:spacing w:val="11"/>
                <w:position w:val="0"/>
                <w:sz w:val="24"/>
                <w:szCs w:val="24"/>
                <w:u w:val="none" w:color="auto"/>
              </w:rPr>
            </w:pPr>
            <w:r>
              <w:rPr>
                <w:rFonts w:hint="default" w:ascii="Times New Roman" w:hAnsi="Times New Roman" w:eastAsia="宋体" w:cs="Times New Roman"/>
                <w:i w:val="0"/>
                <w:iCs w:val="0"/>
                <w:color w:val="auto"/>
                <w:spacing w:val="11"/>
                <w:position w:val="0"/>
                <w:sz w:val="24"/>
                <w:szCs w:val="24"/>
                <w:u w:val="none" w:color="auto"/>
              </w:rPr>
              <w:t>（1）噪声源强</w:t>
            </w:r>
          </w:p>
          <w:p w14:paraId="4E9C03B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i w:val="0"/>
                <w:iCs w:val="0"/>
                <w:color w:val="auto"/>
                <w:spacing w:val="11"/>
                <w:position w:val="0"/>
                <w:sz w:val="24"/>
                <w:szCs w:val="24"/>
                <w:u w:val="none" w:color="auto"/>
              </w:rPr>
            </w:pPr>
            <w:r>
              <w:rPr>
                <w:rFonts w:hint="default" w:ascii="Times New Roman" w:hAnsi="Times New Roman" w:eastAsia="宋体" w:cs="Times New Roman"/>
                <w:i w:val="0"/>
                <w:iCs w:val="0"/>
                <w:color w:val="auto"/>
                <w:spacing w:val="11"/>
                <w:position w:val="0"/>
                <w:sz w:val="24"/>
                <w:szCs w:val="24"/>
                <w:u w:val="none" w:color="auto"/>
              </w:rPr>
              <w:t>项目运营期主要高噪声设备为潜孔钻机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挖掘机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装载机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矿用自卸汽车</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lang w:val="en-US" w:eastAsia="zh-CN"/>
              </w:rPr>
              <w:t>破碎机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振动筛</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皮带输送机等，其噪声级为75-9</w:t>
            </w:r>
            <w:r>
              <w:rPr>
                <w:rFonts w:hint="eastAsia" w:ascii="Times New Roman" w:hAnsi="Times New Roman" w:eastAsia="宋体" w:cs="Times New Roman"/>
                <w:i w:val="0"/>
                <w:iCs w:val="0"/>
                <w:color w:val="auto"/>
                <w:spacing w:val="11"/>
                <w:position w:val="0"/>
                <w:sz w:val="24"/>
                <w:szCs w:val="24"/>
                <w:u w:val="none" w:color="auto"/>
                <w:lang w:val="en-US" w:eastAsia="zh-CN"/>
              </w:rPr>
              <w:t>0</w:t>
            </w:r>
            <w:r>
              <w:rPr>
                <w:rFonts w:hint="default" w:ascii="Times New Roman" w:hAnsi="Times New Roman" w:eastAsia="宋体" w:cs="Times New Roman"/>
                <w:i w:val="0"/>
                <w:iCs w:val="0"/>
                <w:color w:val="auto"/>
                <w:spacing w:val="11"/>
                <w:position w:val="0"/>
                <w:sz w:val="24"/>
                <w:szCs w:val="24"/>
                <w:u w:val="none" w:color="auto"/>
              </w:rPr>
              <w:t>dB（A）。</w:t>
            </w:r>
          </w:p>
          <w:p w14:paraId="7EF963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position w:val="0"/>
                <w:sz w:val="21"/>
                <w:szCs w:val="21"/>
                <w:u w:val="none" w:color="auto"/>
              </w:rPr>
            </w:pPr>
            <w:r>
              <w:rPr>
                <w:rFonts w:hint="default" w:ascii="Times New Roman" w:hAnsi="Times New Roman" w:eastAsia="宋体" w:cs="Times New Roman"/>
                <w:b/>
                <w:bCs/>
                <w:i w:val="0"/>
                <w:iCs w:val="0"/>
                <w:color w:val="auto"/>
                <w:spacing w:val="11"/>
                <w:position w:val="0"/>
                <w:sz w:val="21"/>
                <w:szCs w:val="21"/>
                <w:u w:val="none" w:color="auto"/>
              </w:rPr>
              <w:t>表</w:t>
            </w:r>
            <w:r>
              <w:rPr>
                <w:rFonts w:hint="eastAsia" w:ascii="Times New Roman" w:hAnsi="Times New Roman" w:eastAsia="宋体" w:cs="Times New Roman"/>
                <w:b/>
                <w:bCs/>
                <w:i w:val="0"/>
                <w:iCs w:val="0"/>
                <w:color w:val="auto"/>
                <w:spacing w:val="11"/>
                <w:position w:val="0"/>
                <w:sz w:val="21"/>
                <w:szCs w:val="21"/>
                <w:u w:val="none" w:color="auto"/>
                <w:lang w:val="en-US" w:eastAsia="zh-CN"/>
              </w:rPr>
              <w:t xml:space="preserve">4-4 </w:t>
            </w:r>
            <w:r>
              <w:rPr>
                <w:rFonts w:hint="default" w:ascii="Times New Roman" w:hAnsi="Times New Roman" w:eastAsia="宋体" w:cs="Times New Roman"/>
                <w:b/>
                <w:bCs/>
                <w:i w:val="0"/>
                <w:iCs w:val="0"/>
                <w:color w:val="auto"/>
                <w:spacing w:val="11"/>
                <w:position w:val="0"/>
                <w:sz w:val="21"/>
                <w:szCs w:val="21"/>
                <w:u w:val="none" w:color="auto"/>
              </w:rPr>
              <w:t xml:space="preserve"> 项目噪声源强调查清单</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7"/>
              <w:gridCol w:w="2347"/>
              <w:gridCol w:w="2401"/>
            </w:tblGrid>
            <w:tr w14:paraId="2E996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1A97E2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序号</w:t>
                  </w:r>
                </w:p>
              </w:tc>
              <w:tc>
                <w:tcPr>
                  <w:tcW w:w="1480" w:type="pct"/>
                  <w:tcBorders>
                    <w:tl2br w:val="nil"/>
                    <w:tr2bl w:val="nil"/>
                  </w:tcBorders>
                  <w:noWrap w:val="0"/>
                  <w:vAlign w:val="center"/>
                </w:tcPr>
                <w:p w14:paraId="5E6EE7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设备名称</w:t>
                  </w:r>
                </w:p>
              </w:tc>
              <w:tc>
                <w:tcPr>
                  <w:tcW w:w="1480" w:type="pct"/>
                  <w:tcBorders>
                    <w:tl2br w:val="nil"/>
                    <w:tr2bl w:val="nil"/>
                  </w:tcBorders>
                  <w:noWrap w:val="0"/>
                  <w:vAlign w:val="center"/>
                </w:tcPr>
                <w:p w14:paraId="74C00F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测点距施工机具距离</w:t>
                  </w:r>
                </w:p>
              </w:tc>
              <w:tc>
                <w:tcPr>
                  <w:tcW w:w="1514" w:type="pct"/>
                  <w:tcBorders>
                    <w:tl2br w:val="nil"/>
                    <w:tr2bl w:val="nil"/>
                  </w:tcBorders>
                  <w:noWrap w:val="0"/>
                  <w:vAlign w:val="center"/>
                </w:tcPr>
                <w:p w14:paraId="2EF38F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最大声级（dB）</w:t>
                  </w:r>
                </w:p>
              </w:tc>
            </w:tr>
            <w:tr w14:paraId="33A17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23B012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1</w:t>
                  </w:r>
                </w:p>
              </w:tc>
              <w:tc>
                <w:tcPr>
                  <w:tcW w:w="1480" w:type="pct"/>
                  <w:tcBorders>
                    <w:tl2br w:val="nil"/>
                    <w:tr2bl w:val="nil"/>
                  </w:tcBorders>
                  <w:shd w:val="clear" w:color="auto" w:fill="auto"/>
                  <w:noWrap w:val="0"/>
                  <w:vAlign w:val="center"/>
                </w:tcPr>
                <w:p w14:paraId="7FF90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潜孔钻机</w:t>
                  </w:r>
                </w:p>
              </w:tc>
              <w:tc>
                <w:tcPr>
                  <w:tcW w:w="1480" w:type="pct"/>
                  <w:tcBorders>
                    <w:tl2br w:val="nil"/>
                    <w:tr2bl w:val="nil"/>
                  </w:tcBorders>
                  <w:noWrap w:val="0"/>
                  <w:vAlign w:val="center"/>
                </w:tcPr>
                <w:p w14:paraId="669791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30730D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14:paraId="08DA1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03AD62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2</w:t>
                  </w:r>
                </w:p>
              </w:tc>
              <w:tc>
                <w:tcPr>
                  <w:tcW w:w="1480" w:type="pct"/>
                  <w:tcBorders>
                    <w:tl2br w:val="nil"/>
                    <w:tr2bl w:val="nil"/>
                  </w:tcBorders>
                  <w:shd w:val="clear" w:color="auto" w:fill="auto"/>
                  <w:noWrap w:val="0"/>
                  <w:vAlign w:val="center"/>
                </w:tcPr>
                <w:p w14:paraId="2F5E5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挖掘机</w:t>
                  </w:r>
                </w:p>
              </w:tc>
              <w:tc>
                <w:tcPr>
                  <w:tcW w:w="1480" w:type="pct"/>
                  <w:tcBorders>
                    <w:tl2br w:val="nil"/>
                    <w:tr2bl w:val="nil"/>
                  </w:tcBorders>
                  <w:noWrap w:val="0"/>
                  <w:vAlign w:val="center"/>
                </w:tcPr>
                <w:p w14:paraId="38EF5D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6B1FCE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14:paraId="37553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314BC7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3</w:t>
                  </w:r>
                </w:p>
              </w:tc>
              <w:tc>
                <w:tcPr>
                  <w:tcW w:w="1480" w:type="pct"/>
                  <w:tcBorders>
                    <w:tl2br w:val="nil"/>
                    <w:tr2bl w:val="nil"/>
                  </w:tcBorders>
                  <w:shd w:val="clear" w:color="auto" w:fill="auto"/>
                  <w:noWrap w:val="0"/>
                  <w:vAlign w:val="center"/>
                </w:tcPr>
                <w:p w14:paraId="026AD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装载机</w:t>
                  </w:r>
                </w:p>
              </w:tc>
              <w:tc>
                <w:tcPr>
                  <w:tcW w:w="1480" w:type="pct"/>
                  <w:tcBorders>
                    <w:tl2br w:val="nil"/>
                    <w:tr2bl w:val="nil"/>
                  </w:tcBorders>
                  <w:noWrap w:val="0"/>
                  <w:vAlign w:val="center"/>
                </w:tcPr>
                <w:p w14:paraId="30E8B8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535CBF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14:paraId="668C5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7C7C6C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4</w:t>
                  </w:r>
                </w:p>
              </w:tc>
              <w:tc>
                <w:tcPr>
                  <w:tcW w:w="1480" w:type="pct"/>
                  <w:tcBorders>
                    <w:tl2br w:val="nil"/>
                    <w:tr2bl w:val="nil"/>
                  </w:tcBorders>
                  <w:shd w:val="clear" w:color="auto" w:fill="auto"/>
                  <w:noWrap w:val="0"/>
                  <w:vAlign w:val="center"/>
                </w:tcPr>
                <w:p w14:paraId="504E5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eastAsia="zh-CN"/>
                    </w:rPr>
                    <w:t>压路机</w:t>
                  </w:r>
                </w:p>
              </w:tc>
              <w:tc>
                <w:tcPr>
                  <w:tcW w:w="1480" w:type="pct"/>
                  <w:tcBorders>
                    <w:tl2br w:val="nil"/>
                    <w:tr2bl w:val="nil"/>
                  </w:tcBorders>
                  <w:noWrap w:val="0"/>
                  <w:vAlign w:val="center"/>
                </w:tcPr>
                <w:p w14:paraId="673B93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1CB5F1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14:paraId="3D76C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1CFB1B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5</w:t>
                  </w:r>
                </w:p>
              </w:tc>
              <w:tc>
                <w:tcPr>
                  <w:tcW w:w="1480" w:type="pct"/>
                  <w:tcBorders>
                    <w:tl2br w:val="nil"/>
                    <w:tr2bl w:val="nil"/>
                  </w:tcBorders>
                  <w:shd w:val="clear" w:color="auto" w:fill="auto"/>
                  <w:noWrap w:val="0"/>
                  <w:vAlign w:val="center"/>
                </w:tcPr>
                <w:p w14:paraId="260CE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皮带输送机</w:t>
                  </w:r>
                </w:p>
              </w:tc>
              <w:tc>
                <w:tcPr>
                  <w:tcW w:w="1480" w:type="pct"/>
                  <w:tcBorders>
                    <w:tl2br w:val="nil"/>
                    <w:tr2bl w:val="nil"/>
                  </w:tcBorders>
                  <w:noWrap w:val="0"/>
                  <w:vAlign w:val="center"/>
                </w:tcPr>
                <w:p w14:paraId="0AE029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63E3DD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14:paraId="2BBBF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7889FA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6</w:t>
                  </w:r>
                </w:p>
              </w:tc>
              <w:tc>
                <w:tcPr>
                  <w:tcW w:w="1480" w:type="pct"/>
                  <w:tcBorders>
                    <w:tl2br w:val="nil"/>
                    <w:tr2bl w:val="nil"/>
                  </w:tcBorders>
                  <w:shd w:val="clear" w:color="auto" w:fill="auto"/>
                  <w:noWrap w:val="0"/>
                  <w:vAlign w:val="center"/>
                </w:tcPr>
                <w:p w14:paraId="7B116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给料机</w:t>
                  </w:r>
                </w:p>
              </w:tc>
              <w:tc>
                <w:tcPr>
                  <w:tcW w:w="1480" w:type="pct"/>
                  <w:tcBorders>
                    <w:tl2br w:val="nil"/>
                    <w:tr2bl w:val="nil"/>
                  </w:tcBorders>
                  <w:noWrap w:val="0"/>
                  <w:vAlign w:val="center"/>
                </w:tcPr>
                <w:p w14:paraId="3A0C49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092C4F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75</w:t>
                  </w:r>
                </w:p>
              </w:tc>
            </w:tr>
            <w:tr w14:paraId="541D7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45DD9E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7</w:t>
                  </w:r>
                </w:p>
              </w:tc>
              <w:tc>
                <w:tcPr>
                  <w:tcW w:w="1480" w:type="pct"/>
                  <w:tcBorders>
                    <w:tl2br w:val="nil"/>
                    <w:tr2bl w:val="nil"/>
                  </w:tcBorders>
                  <w:shd w:val="clear" w:color="auto" w:fill="auto"/>
                  <w:noWrap w:val="0"/>
                  <w:vAlign w:val="center"/>
                </w:tcPr>
                <w:p w14:paraId="4B5F8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立轴破颚式破碎机</w:t>
                  </w:r>
                </w:p>
              </w:tc>
              <w:tc>
                <w:tcPr>
                  <w:tcW w:w="1480" w:type="pct"/>
                  <w:tcBorders>
                    <w:tl2br w:val="nil"/>
                    <w:tr2bl w:val="nil"/>
                  </w:tcBorders>
                  <w:noWrap w:val="0"/>
                  <w:vAlign w:val="center"/>
                </w:tcPr>
                <w:p w14:paraId="1E434D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07B837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r>
            <w:tr w14:paraId="0E1EB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14:paraId="20EB17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8</w:t>
                  </w:r>
                </w:p>
              </w:tc>
              <w:tc>
                <w:tcPr>
                  <w:tcW w:w="1480" w:type="pct"/>
                  <w:tcBorders>
                    <w:tl2br w:val="nil"/>
                    <w:tr2bl w:val="nil"/>
                  </w:tcBorders>
                  <w:shd w:val="clear" w:color="auto" w:fill="auto"/>
                  <w:noWrap w:val="0"/>
                  <w:vAlign w:val="center"/>
                </w:tcPr>
                <w:p w14:paraId="5F2C9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振动筛</w:t>
                  </w:r>
                </w:p>
              </w:tc>
              <w:tc>
                <w:tcPr>
                  <w:tcW w:w="1480" w:type="pct"/>
                  <w:tcBorders>
                    <w:tl2br w:val="nil"/>
                    <w:tr2bl w:val="nil"/>
                  </w:tcBorders>
                  <w:noWrap w:val="0"/>
                  <w:vAlign w:val="center"/>
                </w:tcPr>
                <w:p w14:paraId="41E26F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14:paraId="6B9A5D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14:paraId="5C9CA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51C690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9</w:t>
                  </w:r>
                </w:p>
              </w:tc>
              <w:tc>
                <w:tcPr>
                  <w:tcW w:w="2352" w:type="dxa"/>
                  <w:shd w:val="clear" w:color="auto" w:fill="auto"/>
                  <w:vAlign w:val="center"/>
                </w:tcPr>
                <w:p w14:paraId="53D28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反击式破碎机</w:t>
                  </w:r>
                </w:p>
              </w:tc>
              <w:tc>
                <w:tcPr>
                  <w:tcW w:w="1480" w:type="pct"/>
                  <w:vAlign w:val="center"/>
                </w:tcPr>
                <w:p w14:paraId="7CCE2E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00A011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r>
            <w:tr w14:paraId="5A6EC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7EEE14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10</w:t>
                  </w:r>
                </w:p>
              </w:tc>
              <w:tc>
                <w:tcPr>
                  <w:tcW w:w="2352" w:type="dxa"/>
                  <w:shd w:val="clear" w:color="auto" w:fill="auto"/>
                  <w:vAlign w:val="center"/>
                </w:tcPr>
                <w:p w14:paraId="14227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风机</w:t>
                  </w:r>
                </w:p>
              </w:tc>
              <w:tc>
                <w:tcPr>
                  <w:tcW w:w="1480" w:type="pct"/>
                  <w:vAlign w:val="center"/>
                </w:tcPr>
                <w:p w14:paraId="7E534A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27AB2B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14:paraId="6C0DD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626AAF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11</w:t>
                  </w:r>
                </w:p>
              </w:tc>
              <w:tc>
                <w:tcPr>
                  <w:tcW w:w="2352" w:type="dxa"/>
                  <w:shd w:val="clear" w:color="auto" w:fill="auto"/>
                  <w:vAlign w:val="center"/>
                </w:tcPr>
                <w:p w14:paraId="238BB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布袋除尘器</w:t>
                  </w:r>
                </w:p>
              </w:tc>
              <w:tc>
                <w:tcPr>
                  <w:tcW w:w="1480" w:type="pct"/>
                  <w:vAlign w:val="center"/>
                </w:tcPr>
                <w:p w14:paraId="2122F8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369F4B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szCs w:val="21"/>
                      <w:u w:val="none" w:color="auto"/>
                      <w:lang w:val="en-US" w:eastAsia="zh-CN" w:bidi="ar-SA"/>
                    </w:rPr>
                    <w:t>75</w:t>
                  </w:r>
                </w:p>
              </w:tc>
            </w:tr>
            <w:tr w14:paraId="60B01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55236F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12</w:t>
                  </w:r>
                </w:p>
              </w:tc>
              <w:tc>
                <w:tcPr>
                  <w:tcW w:w="2352" w:type="dxa"/>
                  <w:shd w:val="clear" w:color="auto" w:fill="auto"/>
                  <w:vAlign w:val="center"/>
                </w:tcPr>
                <w:p w14:paraId="0D876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val="en-US" w:eastAsia="zh-CN"/>
                    </w:rPr>
                    <w:t>水稳拌合站</w:t>
                  </w:r>
                </w:p>
              </w:tc>
              <w:tc>
                <w:tcPr>
                  <w:tcW w:w="1480" w:type="pct"/>
                  <w:vAlign w:val="center"/>
                </w:tcPr>
                <w:p w14:paraId="4291FF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22B19F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szCs w:val="21"/>
                      <w:u w:val="none" w:color="auto"/>
                      <w:lang w:val="en-US" w:eastAsia="zh-CN" w:bidi="ar-SA"/>
                    </w:rPr>
                    <w:t>85</w:t>
                  </w:r>
                </w:p>
              </w:tc>
            </w:tr>
            <w:tr w14:paraId="4C245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223035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13</w:t>
                  </w:r>
                </w:p>
              </w:tc>
              <w:tc>
                <w:tcPr>
                  <w:tcW w:w="2352" w:type="dxa"/>
                  <w:shd w:val="clear" w:color="auto" w:fill="auto"/>
                  <w:vAlign w:val="center"/>
                </w:tcPr>
                <w:p w14:paraId="0F768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空压机</w:t>
                  </w:r>
                </w:p>
              </w:tc>
              <w:tc>
                <w:tcPr>
                  <w:tcW w:w="1480" w:type="pct"/>
                  <w:vAlign w:val="center"/>
                </w:tcPr>
                <w:p w14:paraId="4743CD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7C3BDC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85</w:t>
                  </w:r>
                </w:p>
              </w:tc>
            </w:tr>
            <w:tr w14:paraId="6F2EE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1152CB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14</w:t>
                  </w:r>
                </w:p>
              </w:tc>
              <w:tc>
                <w:tcPr>
                  <w:tcW w:w="2352" w:type="dxa"/>
                  <w:shd w:val="clear" w:color="auto" w:fill="auto"/>
                  <w:vAlign w:val="center"/>
                </w:tcPr>
                <w:p w14:paraId="15BE8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水泵</w:t>
                  </w:r>
                </w:p>
              </w:tc>
              <w:tc>
                <w:tcPr>
                  <w:tcW w:w="1480" w:type="pct"/>
                  <w:vAlign w:val="center"/>
                </w:tcPr>
                <w:p w14:paraId="63C40C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249E8A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85</w:t>
                  </w:r>
                </w:p>
              </w:tc>
            </w:tr>
            <w:tr w14:paraId="23D90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dxa"/>
                  <w:vAlign w:val="center"/>
                </w:tcPr>
                <w:p w14:paraId="379F0C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15</w:t>
                  </w:r>
                </w:p>
              </w:tc>
              <w:tc>
                <w:tcPr>
                  <w:tcW w:w="2352" w:type="dxa"/>
                  <w:shd w:val="clear" w:color="auto" w:fill="auto"/>
                  <w:vAlign w:val="center"/>
                </w:tcPr>
                <w:p w14:paraId="5A0ED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val="en-US" w:eastAsia="zh-CN"/>
                    </w:rPr>
                    <w:t>运输车</w:t>
                  </w:r>
                </w:p>
              </w:tc>
              <w:tc>
                <w:tcPr>
                  <w:tcW w:w="1480" w:type="pct"/>
                  <w:vAlign w:val="center"/>
                </w:tcPr>
                <w:p w14:paraId="134DD2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14:paraId="273BD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bl>
          <w:p w14:paraId="740C6B92">
            <w:pPr>
              <w:pStyle w:val="69"/>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spacing w:val="11"/>
                <w:position w:val="0"/>
                <w:sz w:val="24"/>
                <w:u w:val="none" w:color="auto"/>
              </w:rPr>
            </w:pPr>
            <w:r>
              <w:rPr>
                <w:rFonts w:hint="default" w:ascii="Times New Roman" w:hAnsi="Times New Roman" w:eastAsia="宋体" w:cs="Times New Roman"/>
                <w:i w:val="0"/>
                <w:iCs w:val="0"/>
                <w:color w:val="auto"/>
                <w:spacing w:val="11"/>
                <w:position w:val="0"/>
                <w:sz w:val="24"/>
                <w:u w:val="none" w:color="auto"/>
              </w:rPr>
              <w:t>（</w:t>
            </w:r>
            <w:r>
              <w:rPr>
                <w:rFonts w:hint="eastAsia" w:ascii="Times New Roman" w:hAnsi="Times New Roman" w:eastAsia="宋体" w:cs="Times New Roman"/>
                <w:i w:val="0"/>
                <w:iCs w:val="0"/>
                <w:color w:val="auto"/>
                <w:spacing w:val="11"/>
                <w:position w:val="0"/>
                <w:sz w:val="24"/>
                <w:u w:val="none" w:color="auto"/>
                <w:lang w:val="en-US" w:eastAsia="zh-CN"/>
              </w:rPr>
              <w:t>2</w:t>
            </w:r>
            <w:r>
              <w:rPr>
                <w:rFonts w:hint="default" w:ascii="Times New Roman" w:hAnsi="Times New Roman" w:eastAsia="宋体" w:cs="Times New Roman"/>
                <w:i w:val="0"/>
                <w:iCs w:val="0"/>
                <w:color w:val="auto"/>
                <w:spacing w:val="11"/>
                <w:position w:val="0"/>
                <w:sz w:val="24"/>
                <w:u w:val="none" w:color="auto"/>
              </w:rPr>
              <w:t>）</w:t>
            </w:r>
            <w:r>
              <w:rPr>
                <w:spacing w:val="11"/>
                <w:position w:val="0"/>
                <w:sz w:val="24"/>
                <w:u w:val="none" w:color="auto"/>
              </w:rPr>
              <w:t>评价方法与预测模式</w:t>
            </w:r>
          </w:p>
          <w:p w14:paraId="5DFC2E52">
            <w:pPr>
              <w:pStyle w:val="69"/>
              <w:pageBreakBefore w:val="0"/>
              <w:kinsoku/>
              <w:wordWrap/>
              <w:overflowPunct/>
              <w:topLinePunct w:val="0"/>
              <w:bidi w:val="0"/>
              <w:adjustRightInd w:val="0"/>
              <w:snapToGrid w:val="0"/>
              <w:spacing w:line="360" w:lineRule="auto"/>
              <w:ind w:left="0" w:leftChars="0" w:right="0" w:firstLine="524" w:firstLineChars="200"/>
              <w:textAlignment w:val="auto"/>
              <w:rPr>
                <w:snapToGrid w:val="0"/>
                <w:spacing w:val="11"/>
                <w:position w:val="0"/>
                <w:sz w:val="24"/>
                <w:u w:val="none" w:color="auto"/>
              </w:rPr>
            </w:pPr>
            <w:r>
              <w:rPr>
                <w:snapToGrid w:val="0"/>
                <w:spacing w:val="11"/>
                <w:position w:val="0"/>
                <w:sz w:val="24"/>
                <w:u w:val="none" w:color="auto"/>
              </w:rPr>
              <w:t>根据《环境影响评价技术导则 声环境》（HJ 2.4-2021）的技术要求，本次评价采用导则推荐模式。</w:t>
            </w:r>
          </w:p>
          <w:p w14:paraId="782EDA3A">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建设项目声源在预测点产生的等效声级贡献值(L</w:t>
            </w:r>
            <w:r>
              <w:rPr>
                <w:i/>
                <w:iCs/>
                <w:spacing w:val="11"/>
                <w:position w:val="0"/>
                <w:sz w:val="24"/>
                <w:u w:val="none" w:color="auto"/>
                <w:vertAlign w:val="subscript"/>
              </w:rPr>
              <w:t>eqg</w:t>
            </w:r>
            <w:r>
              <w:rPr>
                <w:spacing w:val="11"/>
                <w:position w:val="0"/>
                <w:sz w:val="24"/>
                <w:u w:val="none" w:color="auto"/>
              </w:rPr>
              <w:t>)计算公式：</w:t>
            </w:r>
          </w:p>
          <w:p w14:paraId="2A2F389B">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object>
                <v:shape id="_x0000_i1026" o:spt="75" type="#_x0000_t75" style="height:26.85pt;width:131.1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14:paraId="50312C1E">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w:t>
            </w:r>
            <w:r>
              <w:rPr>
                <w:i/>
                <w:spacing w:val="11"/>
                <w:position w:val="0"/>
                <w:sz w:val="24"/>
                <w:u w:val="none" w:color="auto"/>
              </w:rPr>
              <w:t>L</w:t>
            </w:r>
            <w:r>
              <w:rPr>
                <w:i/>
                <w:spacing w:val="11"/>
                <w:position w:val="0"/>
                <w:sz w:val="24"/>
                <w:u w:val="none" w:color="auto"/>
                <w:vertAlign w:val="subscript"/>
              </w:rPr>
              <w:t>eqg</w:t>
            </w:r>
            <w:r>
              <w:rPr>
                <w:spacing w:val="11"/>
                <w:position w:val="0"/>
                <w:sz w:val="24"/>
                <w:u w:val="none" w:color="auto"/>
              </w:rPr>
              <w:t>—建设项目声源在预测点的等效声级贡献值，dB(A)；</w:t>
            </w:r>
          </w:p>
          <w:p w14:paraId="652446A6">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i/>
                <w:spacing w:val="11"/>
                <w:position w:val="0"/>
                <w:sz w:val="24"/>
                <w:u w:val="none" w:color="auto"/>
              </w:rPr>
              <w:t>L</w:t>
            </w:r>
            <w:r>
              <w:rPr>
                <w:i/>
                <w:spacing w:val="11"/>
                <w:position w:val="0"/>
                <w:sz w:val="24"/>
                <w:u w:val="none" w:color="auto"/>
                <w:vertAlign w:val="subscript"/>
              </w:rPr>
              <w:t xml:space="preserve">Ai </w:t>
            </w:r>
            <w:r>
              <w:rPr>
                <w:spacing w:val="11"/>
                <w:position w:val="0"/>
                <w:sz w:val="24"/>
                <w:u w:val="none" w:color="auto"/>
              </w:rPr>
              <w:t>— i声源在预测点产生的A 声级，dB(A)；</w:t>
            </w:r>
          </w:p>
          <w:p w14:paraId="05BF4DE1">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T —预测计算的时间段，s；</w:t>
            </w:r>
          </w:p>
          <w:p w14:paraId="5D149D04">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t</w:t>
            </w:r>
            <w:r>
              <w:rPr>
                <w:spacing w:val="11"/>
                <w:position w:val="0"/>
                <w:sz w:val="24"/>
                <w:u w:val="none" w:color="auto"/>
                <w:vertAlign w:val="subscript"/>
              </w:rPr>
              <w:t>i</w:t>
            </w:r>
            <w:r>
              <w:rPr>
                <w:spacing w:val="11"/>
                <w:position w:val="0"/>
                <w:sz w:val="24"/>
                <w:u w:val="none" w:color="auto"/>
              </w:rPr>
              <w:t xml:space="preserve"> — i 声源在T 时段内的运行时间，s。</w:t>
            </w:r>
          </w:p>
          <w:p w14:paraId="085D4C24">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rFonts w:hint="eastAsia" w:ascii="宋体" w:hAnsi="宋体" w:cs="宋体"/>
                <w:spacing w:val="11"/>
                <w:position w:val="0"/>
                <w:sz w:val="24"/>
                <w:u w:val="none" w:color="auto"/>
              </w:rPr>
              <w:t>①</w:t>
            </w:r>
            <w:r>
              <w:rPr>
                <w:spacing w:val="11"/>
                <w:position w:val="0"/>
                <w:sz w:val="24"/>
                <w:u w:val="none" w:color="auto"/>
              </w:rPr>
              <w:t>户外声传播衰减计算</w:t>
            </w:r>
          </w:p>
          <w:p w14:paraId="71E43C3D">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户外声传播衰减包括几何发散（A</w:t>
            </w:r>
            <w:r>
              <w:rPr>
                <w:spacing w:val="11"/>
                <w:position w:val="0"/>
                <w:sz w:val="24"/>
                <w:u w:val="none" w:color="auto"/>
                <w:vertAlign w:val="subscript"/>
              </w:rPr>
              <w:t>div</w:t>
            </w:r>
            <w:r>
              <w:rPr>
                <w:spacing w:val="11"/>
                <w:position w:val="0"/>
                <w:sz w:val="24"/>
                <w:u w:val="none" w:color="auto"/>
              </w:rPr>
              <w:t>）、大气吸收（A</w:t>
            </w:r>
            <w:r>
              <w:rPr>
                <w:spacing w:val="11"/>
                <w:position w:val="0"/>
                <w:sz w:val="24"/>
                <w:u w:val="none" w:color="auto"/>
                <w:vertAlign w:val="subscript"/>
              </w:rPr>
              <w:t>atm</w:t>
            </w:r>
            <w:r>
              <w:rPr>
                <w:spacing w:val="11"/>
                <w:position w:val="0"/>
                <w:sz w:val="24"/>
                <w:u w:val="none" w:color="auto"/>
              </w:rPr>
              <w:t>）、地面效应（A</w:t>
            </w:r>
            <w:r>
              <w:rPr>
                <w:spacing w:val="11"/>
                <w:position w:val="0"/>
                <w:sz w:val="24"/>
                <w:u w:val="none" w:color="auto"/>
                <w:vertAlign w:val="subscript"/>
              </w:rPr>
              <w:t>gr</w:t>
            </w:r>
            <w:r>
              <w:rPr>
                <w:spacing w:val="11"/>
                <w:position w:val="0"/>
                <w:sz w:val="24"/>
                <w:u w:val="none" w:color="auto"/>
              </w:rPr>
              <w:t>）、屏障屏蔽（A</w:t>
            </w:r>
            <w:r>
              <w:rPr>
                <w:spacing w:val="11"/>
                <w:position w:val="0"/>
                <w:sz w:val="24"/>
                <w:u w:val="none" w:color="auto"/>
                <w:vertAlign w:val="subscript"/>
              </w:rPr>
              <w:t>bar</w:t>
            </w:r>
            <w:r>
              <w:rPr>
                <w:spacing w:val="11"/>
                <w:position w:val="0"/>
                <w:sz w:val="24"/>
                <w:u w:val="none" w:color="auto"/>
              </w:rPr>
              <w:t>）、其他多方面效应（A</w:t>
            </w:r>
            <w:r>
              <w:rPr>
                <w:spacing w:val="11"/>
                <w:position w:val="0"/>
                <w:sz w:val="24"/>
                <w:u w:val="none" w:color="auto"/>
                <w:vertAlign w:val="subscript"/>
              </w:rPr>
              <w:t>misc</w:t>
            </w:r>
            <w:r>
              <w:rPr>
                <w:spacing w:val="11"/>
                <w:position w:val="0"/>
                <w:sz w:val="24"/>
                <w:u w:val="none" w:color="auto"/>
              </w:rPr>
              <w:t>）引起的衰减。</w:t>
            </w:r>
          </w:p>
          <w:p w14:paraId="27827527">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本次评价只考虑几何发散衰减，按下式计算：</w:t>
            </w:r>
          </w:p>
          <w:p w14:paraId="419FEE23">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drawing>
                <wp:inline distT="0" distB="0" distL="114300" distR="114300">
                  <wp:extent cx="1250315" cy="228600"/>
                  <wp:effectExtent l="0" t="0" r="14605"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1250315" cy="228600"/>
                          </a:xfrm>
                          <a:prstGeom prst="rect">
                            <a:avLst/>
                          </a:prstGeom>
                          <a:noFill/>
                          <a:ln>
                            <a:noFill/>
                          </a:ln>
                        </pic:spPr>
                      </pic:pic>
                    </a:graphicData>
                  </a:graphic>
                </wp:inline>
              </w:drawing>
            </w:r>
          </w:p>
          <w:p w14:paraId="0507E130">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式中：L</w:t>
            </w:r>
            <w:r>
              <w:rPr>
                <w:spacing w:val="11"/>
                <w:position w:val="0"/>
                <w:sz w:val="24"/>
                <w:u w:val="none" w:color="auto"/>
                <w:vertAlign w:val="subscript"/>
              </w:rPr>
              <w:t>A</w:t>
            </w:r>
            <w:r>
              <w:rPr>
                <w:spacing w:val="11"/>
                <w:position w:val="0"/>
                <w:sz w:val="24"/>
                <w:u w:val="none" w:color="auto"/>
              </w:rPr>
              <w:t>(r) —距声源 r 处的 A 声级，dB(A)；</w:t>
            </w:r>
          </w:p>
          <w:p w14:paraId="0DDFB63A">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L</w:t>
            </w:r>
            <w:r>
              <w:rPr>
                <w:spacing w:val="11"/>
                <w:position w:val="0"/>
                <w:sz w:val="24"/>
                <w:u w:val="none" w:color="auto"/>
                <w:vertAlign w:val="subscript"/>
              </w:rPr>
              <w:t>A</w:t>
            </w:r>
            <w:r>
              <w:rPr>
                <w:spacing w:val="11"/>
                <w:position w:val="0"/>
                <w:sz w:val="24"/>
                <w:u w:val="none" w:color="auto"/>
              </w:rPr>
              <w:t>(r</w:t>
            </w:r>
            <w:r>
              <w:rPr>
                <w:spacing w:val="11"/>
                <w:position w:val="0"/>
                <w:sz w:val="24"/>
                <w:u w:val="none" w:color="auto"/>
                <w:vertAlign w:val="subscript"/>
              </w:rPr>
              <w:t>0</w:t>
            </w:r>
            <w:r>
              <w:rPr>
                <w:spacing w:val="11"/>
                <w:position w:val="0"/>
                <w:sz w:val="24"/>
                <w:u w:val="none" w:color="auto"/>
              </w:rPr>
              <w:t>) —参考位置 r0处的 A 声级，dB(A)；</w:t>
            </w:r>
          </w:p>
          <w:p w14:paraId="21E91B0D">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A</w:t>
            </w:r>
            <w:r>
              <w:rPr>
                <w:spacing w:val="11"/>
                <w:position w:val="0"/>
                <w:sz w:val="24"/>
                <w:u w:val="none" w:color="auto"/>
                <w:vertAlign w:val="subscript"/>
              </w:rPr>
              <w:t>div</w:t>
            </w:r>
            <w:r>
              <w:rPr>
                <w:spacing w:val="11"/>
                <w:position w:val="0"/>
                <w:sz w:val="24"/>
                <w:u w:val="none" w:color="auto"/>
              </w:rPr>
              <w:t xml:space="preserve"> —几何发散引起的衰减，dB。</w:t>
            </w:r>
          </w:p>
          <w:p w14:paraId="4705762F">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无指向性点声源的几何发散衰减按下式计算：</w:t>
            </w:r>
          </w:p>
          <w:p w14:paraId="2BEECC13">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drawing>
                <wp:inline distT="0" distB="0" distL="114300" distR="114300">
                  <wp:extent cx="1129030" cy="248285"/>
                  <wp:effectExtent l="0" t="0" r="13970"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1129030" cy="248285"/>
                          </a:xfrm>
                          <a:prstGeom prst="rect">
                            <a:avLst/>
                          </a:prstGeom>
                          <a:noFill/>
                          <a:ln>
                            <a:noFill/>
                          </a:ln>
                        </pic:spPr>
                      </pic:pic>
                    </a:graphicData>
                  </a:graphic>
                </wp:inline>
              </w:drawing>
            </w:r>
          </w:p>
          <w:p w14:paraId="110E9BE8">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式中：A</w:t>
            </w:r>
            <w:r>
              <w:rPr>
                <w:spacing w:val="11"/>
                <w:position w:val="0"/>
                <w:sz w:val="24"/>
                <w:u w:val="none" w:color="auto"/>
                <w:vertAlign w:val="subscript"/>
              </w:rPr>
              <w:t>div</w:t>
            </w:r>
            <w:r>
              <w:rPr>
                <w:spacing w:val="11"/>
                <w:position w:val="0"/>
                <w:sz w:val="24"/>
                <w:u w:val="none" w:color="auto"/>
              </w:rPr>
              <w:t xml:space="preserve"> —几何发散引起的衰减，dB；</w:t>
            </w:r>
          </w:p>
          <w:p w14:paraId="73D3DCCB">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r—预测点距声源的距离；</w:t>
            </w:r>
          </w:p>
          <w:p w14:paraId="5D8E01DF">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r</w:t>
            </w:r>
            <w:r>
              <w:rPr>
                <w:spacing w:val="11"/>
                <w:position w:val="0"/>
                <w:sz w:val="24"/>
                <w:u w:val="none" w:color="auto"/>
                <w:vertAlign w:val="subscript"/>
              </w:rPr>
              <w:t>0</w:t>
            </w:r>
            <w:r>
              <w:rPr>
                <w:spacing w:val="11"/>
                <w:position w:val="0"/>
                <w:sz w:val="24"/>
                <w:u w:val="none" w:color="auto"/>
              </w:rPr>
              <w:t>—参考位置距声源的距离。</w:t>
            </w:r>
          </w:p>
          <w:p w14:paraId="723CAB42">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spacing w:val="11"/>
                <w:position w:val="0"/>
                <w:sz w:val="24"/>
                <w:szCs w:val="21"/>
                <w:u w:val="none" w:color="auto"/>
              </w:rPr>
            </w:pPr>
            <w:r>
              <w:rPr>
                <w:spacing w:val="11"/>
                <w:position w:val="0"/>
                <w:sz w:val="24"/>
                <w:szCs w:val="21"/>
                <w:u w:val="none" w:color="auto"/>
              </w:rPr>
              <w:t>（3）预测结果与评价</w:t>
            </w:r>
          </w:p>
          <w:p w14:paraId="6DC9BF01">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ascii="Times New Roman" w:hAnsi="Times New Roman" w:eastAsia="宋体" w:cs="Times New Roman"/>
                <w:spacing w:val="11"/>
                <w:position w:val="0"/>
                <w:sz w:val="24"/>
                <w:szCs w:val="24"/>
                <w:u w:val="none" w:color="auto"/>
              </w:rPr>
            </w:pPr>
            <w:r>
              <w:rPr>
                <w:rFonts w:ascii="Times New Roman" w:hAnsi="Times New Roman" w:eastAsia="宋体" w:cs="Times New Roman"/>
                <w:spacing w:val="11"/>
                <w:position w:val="0"/>
                <w:sz w:val="24"/>
                <w:szCs w:val="24"/>
                <w:u w:val="none" w:color="auto"/>
              </w:rPr>
              <w:t>本项目营运期厂界噪声预测结果见表4-</w:t>
            </w:r>
            <w:r>
              <w:rPr>
                <w:rFonts w:hint="eastAsia" w:cs="Times New Roman"/>
                <w:spacing w:val="11"/>
                <w:position w:val="0"/>
                <w:sz w:val="24"/>
                <w:szCs w:val="24"/>
                <w:u w:val="none" w:color="auto"/>
                <w:lang w:val="en-US" w:eastAsia="zh-CN"/>
              </w:rPr>
              <w:t>5</w:t>
            </w:r>
            <w:r>
              <w:rPr>
                <w:rFonts w:ascii="Times New Roman" w:hAnsi="Times New Roman" w:eastAsia="宋体" w:cs="Times New Roman"/>
                <w:spacing w:val="11"/>
                <w:position w:val="0"/>
                <w:sz w:val="24"/>
                <w:szCs w:val="24"/>
                <w:u w:val="none" w:color="auto"/>
              </w:rPr>
              <w:t>。</w:t>
            </w:r>
          </w:p>
          <w:p w14:paraId="51218D92">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lang w:val="en-US" w:eastAsia="zh-CN"/>
              </w:rPr>
              <w:t>-5</w:t>
            </w:r>
            <w:r>
              <w:rPr>
                <w:rFonts w:hint="eastAsia" w:ascii="Times New Roman" w:hAnsi="Times New Roman" w:eastAsia="宋体" w:cs="Times New Roman"/>
                <w:b/>
                <w:caps w:val="0"/>
                <w:smallCaps w:val="0"/>
                <w:color w:val="auto"/>
                <w:spacing w:val="11"/>
                <w:kern w:val="0"/>
                <w:positio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t>厂界噪声预测评价结果表单位：dB（A）</w:t>
            </w:r>
          </w:p>
          <w:tbl>
            <w:tblPr>
              <w:tblStyle w:val="61"/>
              <w:tblW w:w="4996"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67"/>
              <w:gridCol w:w="1710"/>
              <w:gridCol w:w="1176"/>
              <w:gridCol w:w="1043"/>
              <w:gridCol w:w="1032"/>
              <w:gridCol w:w="892"/>
            </w:tblGrid>
            <w:tr w14:paraId="5619C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vMerge w:val="restart"/>
                  <w:tcBorders>
                    <w:tl2br w:val="nil"/>
                    <w:tr2bl w:val="nil"/>
                  </w:tcBorders>
                  <w:vAlign w:val="center"/>
                </w:tcPr>
                <w:p w14:paraId="3AA694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位置</w:t>
                  </w:r>
                </w:p>
              </w:tc>
              <w:tc>
                <w:tcPr>
                  <w:tcW w:w="1079" w:type="pct"/>
                  <w:vMerge w:val="restart"/>
                  <w:tcBorders>
                    <w:tl2br w:val="nil"/>
                    <w:tr2bl w:val="nil"/>
                  </w:tcBorders>
                  <w:vAlign w:val="center"/>
                </w:tcPr>
                <w:p w14:paraId="3FF7358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主要噪声设备</w:t>
                  </w: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距离厂界的距离（m）</w:t>
                  </w:r>
                </w:p>
              </w:tc>
              <w:tc>
                <w:tcPr>
                  <w:tcW w:w="742" w:type="pct"/>
                  <w:vMerge w:val="restart"/>
                  <w:tcBorders>
                    <w:tl2br w:val="nil"/>
                    <w:tr2bl w:val="nil"/>
                  </w:tcBorders>
                  <w:vAlign w:val="center"/>
                </w:tcPr>
                <w:p w14:paraId="4D9E94C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贡献值</w:t>
                  </w:r>
                </w:p>
              </w:tc>
              <w:tc>
                <w:tcPr>
                  <w:tcW w:w="1309" w:type="pct"/>
                  <w:gridSpan w:val="2"/>
                  <w:tcBorders>
                    <w:tl2br w:val="nil"/>
                    <w:tr2bl w:val="nil"/>
                  </w:tcBorders>
                  <w:vAlign w:val="center"/>
                </w:tcPr>
                <w:p w14:paraId="2EA874A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标准值</w:t>
                  </w:r>
                </w:p>
              </w:tc>
              <w:tc>
                <w:tcPr>
                  <w:tcW w:w="563" w:type="pct"/>
                  <w:vMerge w:val="restart"/>
                  <w:tcBorders>
                    <w:tl2br w:val="nil"/>
                    <w:tr2bl w:val="nil"/>
                  </w:tcBorders>
                  <w:vAlign w:val="center"/>
                </w:tcPr>
                <w:p w14:paraId="4245C7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达标情况</w:t>
                  </w:r>
                </w:p>
              </w:tc>
            </w:tr>
            <w:tr w14:paraId="1F64C1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vMerge w:val="continue"/>
                  <w:tcBorders>
                    <w:tl2br w:val="nil"/>
                    <w:tr2bl w:val="nil"/>
                  </w:tcBorders>
                  <w:vAlign w:val="center"/>
                </w:tcPr>
                <w:p w14:paraId="1A2173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1079" w:type="pct"/>
                  <w:vMerge w:val="continue"/>
                  <w:tcBorders>
                    <w:tl2br w:val="nil"/>
                    <w:tr2bl w:val="nil"/>
                  </w:tcBorders>
                  <w:vAlign w:val="center"/>
                </w:tcPr>
                <w:p w14:paraId="430105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742" w:type="pct"/>
                  <w:vMerge w:val="continue"/>
                  <w:tcBorders>
                    <w:tl2br w:val="nil"/>
                    <w:tr2bl w:val="nil"/>
                  </w:tcBorders>
                  <w:vAlign w:val="center"/>
                </w:tcPr>
                <w:p w14:paraId="284DFF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658" w:type="pct"/>
                  <w:tcBorders>
                    <w:tl2br w:val="nil"/>
                    <w:tr2bl w:val="nil"/>
                  </w:tcBorders>
                  <w:shd w:val="clear" w:color="auto" w:fill="auto"/>
                  <w:vAlign w:val="center"/>
                </w:tcPr>
                <w:p w14:paraId="0FE7D12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昼间</w:t>
                  </w:r>
                </w:p>
              </w:tc>
              <w:tc>
                <w:tcPr>
                  <w:tcW w:w="651" w:type="pct"/>
                  <w:tcBorders>
                    <w:tl2br w:val="nil"/>
                    <w:tr2bl w:val="nil"/>
                  </w:tcBorders>
                  <w:shd w:val="clear" w:color="auto" w:fill="auto"/>
                  <w:vAlign w:val="center"/>
                </w:tcPr>
                <w:p w14:paraId="5D4364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夜间</w:t>
                  </w:r>
                </w:p>
              </w:tc>
              <w:tc>
                <w:tcPr>
                  <w:tcW w:w="563" w:type="pct"/>
                  <w:vMerge w:val="continue"/>
                  <w:tcBorders>
                    <w:tl2br w:val="nil"/>
                    <w:tr2bl w:val="nil"/>
                  </w:tcBorders>
                  <w:vAlign w:val="center"/>
                </w:tcPr>
                <w:p w14:paraId="32858F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r>
            <w:tr w14:paraId="329A9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tcBorders>
                    <w:tl2br w:val="nil"/>
                    <w:tr2bl w:val="nil"/>
                  </w:tcBorders>
                  <w:vAlign w:val="center"/>
                </w:tcPr>
                <w:p w14:paraId="25DCB13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厂界东侧1m处</w:t>
                  </w:r>
                </w:p>
              </w:tc>
              <w:tc>
                <w:tcPr>
                  <w:tcW w:w="1079" w:type="pct"/>
                  <w:tcBorders>
                    <w:tl2br w:val="nil"/>
                    <w:tr2bl w:val="nil"/>
                  </w:tcBorders>
                  <w:shd w:val="clear" w:color="auto" w:fill="auto"/>
                  <w:vAlign w:val="center"/>
                </w:tcPr>
                <w:p w14:paraId="601BB7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53</w:t>
                  </w:r>
                </w:p>
              </w:tc>
              <w:tc>
                <w:tcPr>
                  <w:tcW w:w="742" w:type="pct"/>
                  <w:tcBorders>
                    <w:tl2br w:val="nil"/>
                    <w:tr2bl w:val="nil"/>
                  </w:tcBorders>
                  <w:shd w:val="clear" w:color="auto" w:fill="auto"/>
                  <w:vAlign w:val="center"/>
                </w:tcPr>
                <w:p w14:paraId="47F62AF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43.42 </w:t>
                  </w:r>
                </w:p>
              </w:tc>
              <w:tc>
                <w:tcPr>
                  <w:tcW w:w="658" w:type="pct"/>
                  <w:tcBorders>
                    <w:tl2br w:val="nil"/>
                    <w:tr2bl w:val="nil"/>
                  </w:tcBorders>
                  <w:vAlign w:val="center"/>
                </w:tcPr>
                <w:p w14:paraId="6E65C1D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14:paraId="2E5AD3B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14:paraId="4CC40B2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14:paraId="3061B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tcBorders>
                    <w:tl2br w:val="nil"/>
                    <w:tr2bl w:val="nil"/>
                  </w:tcBorders>
                  <w:vAlign w:val="center"/>
                </w:tcPr>
                <w:p w14:paraId="710893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厂界南侧1m处</w:t>
                  </w:r>
                </w:p>
              </w:tc>
              <w:tc>
                <w:tcPr>
                  <w:tcW w:w="1079" w:type="pct"/>
                  <w:tcBorders>
                    <w:tl2br w:val="nil"/>
                    <w:tr2bl w:val="nil"/>
                  </w:tcBorders>
                  <w:shd w:val="clear" w:color="auto" w:fill="auto"/>
                  <w:vAlign w:val="center"/>
                </w:tcPr>
                <w:p w14:paraId="59922C6F">
                  <w:pPr>
                    <w:keepNext w:val="0"/>
                    <w:keepLines w:val="0"/>
                    <w:widowControl/>
                    <w:suppressLineNumbers w:val="0"/>
                    <w:jc w:val="center"/>
                    <w:textAlignment w:val="center"/>
                    <w:rPr>
                      <w:rFonts w:hint="default" w:ascii="Times New Roman" w:hAnsi="Times New Roman" w:eastAsia="宋体" w:cs="Times New Roman"/>
                      <w:i w:val="0"/>
                      <w:iCs w:val="0"/>
                      <w:color w:val="000000"/>
                      <w:spacing w:val="11"/>
                      <w:kern w:val="2"/>
                      <w:position w:val="0"/>
                      <w:sz w:val="21"/>
                      <w:szCs w:val="21"/>
                      <w:u w:val="none"/>
                      <w:lang w:val="en-US" w:eastAsia="zh-CN" w:bidi="ar-SA"/>
                    </w:rPr>
                  </w:pPr>
                  <w:r>
                    <w:rPr>
                      <w:rFonts w:hint="default" w:ascii="Times New Roman" w:hAnsi="Times New Roman" w:eastAsia="宋体" w:cs="Times New Roman"/>
                      <w:i w:val="0"/>
                      <w:iCs w:val="0"/>
                      <w:color w:val="000000"/>
                      <w:spacing w:val="11"/>
                      <w:kern w:val="0"/>
                      <w:position w:val="0"/>
                      <w:sz w:val="21"/>
                      <w:szCs w:val="21"/>
                      <w:u w:val="none"/>
                      <w:lang w:val="en-US" w:eastAsia="zh-CN" w:bidi="ar"/>
                    </w:rPr>
                    <w:t>27</w:t>
                  </w:r>
                </w:p>
              </w:tc>
              <w:tc>
                <w:tcPr>
                  <w:tcW w:w="742" w:type="pct"/>
                  <w:tcBorders>
                    <w:tl2br w:val="nil"/>
                    <w:tr2bl w:val="nil"/>
                  </w:tcBorders>
                  <w:shd w:val="clear" w:color="auto" w:fill="auto"/>
                  <w:vAlign w:val="center"/>
                </w:tcPr>
                <w:p w14:paraId="2D575B0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49.28 </w:t>
                  </w:r>
                </w:p>
              </w:tc>
              <w:tc>
                <w:tcPr>
                  <w:tcW w:w="658" w:type="pct"/>
                  <w:tcBorders>
                    <w:tl2br w:val="nil"/>
                    <w:tr2bl w:val="nil"/>
                  </w:tcBorders>
                  <w:shd w:val="clear" w:color="auto" w:fill="auto"/>
                  <w:vAlign w:val="center"/>
                </w:tcPr>
                <w:p w14:paraId="41C8635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shd w:val="clear" w:color="auto" w:fill="auto"/>
                  <w:vAlign w:val="center"/>
                </w:tcPr>
                <w:p w14:paraId="683CAE3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14:paraId="33A0FD4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14:paraId="77D17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tcBorders>
                    <w:tl2br w:val="nil"/>
                    <w:tr2bl w:val="nil"/>
                  </w:tcBorders>
                  <w:vAlign w:val="center"/>
                </w:tcPr>
                <w:p w14:paraId="6AD7384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厂界西侧1m处</w:t>
                  </w:r>
                </w:p>
              </w:tc>
              <w:tc>
                <w:tcPr>
                  <w:tcW w:w="1079" w:type="pct"/>
                  <w:tcBorders>
                    <w:tl2br w:val="nil"/>
                    <w:tr2bl w:val="nil"/>
                  </w:tcBorders>
                  <w:shd w:val="clear" w:color="auto" w:fill="auto"/>
                  <w:vAlign w:val="center"/>
                </w:tcPr>
                <w:p w14:paraId="45DD7C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65</w:t>
                  </w:r>
                </w:p>
              </w:tc>
              <w:tc>
                <w:tcPr>
                  <w:tcW w:w="742" w:type="pct"/>
                  <w:tcBorders>
                    <w:tl2br w:val="nil"/>
                    <w:tr2bl w:val="nil"/>
                  </w:tcBorders>
                  <w:shd w:val="clear" w:color="auto" w:fill="auto"/>
                  <w:vAlign w:val="center"/>
                </w:tcPr>
                <w:p w14:paraId="3339F50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41.65 </w:t>
                  </w:r>
                </w:p>
              </w:tc>
              <w:tc>
                <w:tcPr>
                  <w:tcW w:w="658" w:type="pct"/>
                  <w:tcBorders>
                    <w:tl2br w:val="nil"/>
                    <w:tr2bl w:val="nil"/>
                  </w:tcBorders>
                  <w:vAlign w:val="center"/>
                </w:tcPr>
                <w:p w14:paraId="6AA10BB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14:paraId="68BB172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14:paraId="398F16B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14:paraId="7E449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tcBorders>
                    <w:tl2br w:val="nil"/>
                    <w:tr2bl w:val="nil"/>
                  </w:tcBorders>
                  <w:vAlign w:val="center"/>
                </w:tcPr>
                <w:p w14:paraId="61222F0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厂界北侧1m处</w:t>
                  </w:r>
                </w:p>
              </w:tc>
              <w:tc>
                <w:tcPr>
                  <w:tcW w:w="1079" w:type="pct"/>
                  <w:tcBorders>
                    <w:tl2br w:val="nil"/>
                    <w:tr2bl w:val="nil"/>
                  </w:tcBorders>
                  <w:shd w:val="clear" w:color="auto" w:fill="auto"/>
                  <w:vAlign w:val="center"/>
                </w:tcPr>
                <w:p w14:paraId="51C8E7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46</w:t>
                  </w:r>
                </w:p>
              </w:tc>
              <w:tc>
                <w:tcPr>
                  <w:tcW w:w="742" w:type="pct"/>
                  <w:tcBorders>
                    <w:tl2br w:val="nil"/>
                    <w:tr2bl w:val="nil"/>
                  </w:tcBorders>
                  <w:shd w:val="clear" w:color="auto" w:fill="auto"/>
                  <w:vAlign w:val="center"/>
                </w:tcPr>
                <w:p w14:paraId="5B29C3F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44.65 </w:t>
                  </w:r>
                </w:p>
              </w:tc>
              <w:tc>
                <w:tcPr>
                  <w:tcW w:w="658" w:type="pct"/>
                  <w:tcBorders>
                    <w:tl2br w:val="nil"/>
                    <w:tr2bl w:val="nil"/>
                  </w:tcBorders>
                  <w:vAlign w:val="center"/>
                </w:tcPr>
                <w:p w14:paraId="5EF1202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14:paraId="4C0E79DD">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14:paraId="566EBF4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bl>
          <w:p w14:paraId="27488BE4">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jc w:val="left"/>
              <w:textAlignment w:val="auto"/>
              <w:rPr>
                <w:rFonts w:ascii="Times New Roman" w:hAnsi="Times New Roman" w:eastAsia="宋体" w:cs="Times New Roman"/>
                <w:bCs/>
                <w:spacing w:val="11"/>
                <w:position w:val="0"/>
                <w:sz w:val="24"/>
                <w:szCs w:val="24"/>
                <w:u w:val="none" w:color="auto"/>
              </w:rPr>
            </w:pPr>
            <w:r>
              <w:rPr>
                <w:rFonts w:ascii="Times New Roman" w:hAnsi="Times New Roman" w:eastAsia="宋体" w:cs="Times New Roman"/>
                <w:bCs/>
                <w:spacing w:val="11"/>
                <w:position w:val="0"/>
                <w:sz w:val="24"/>
                <w:szCs w:val="24"/>
                <w:u w:val="none" w:color="auto"/>
              </w:rPr>
              <w:t>本项目营运期间厂界噪声贡献值在</w:t>
            </w:r>
            <w:r>
              <w:rPr>
                <w:rFonts w:hint="eastAsia" w:ascii="Times New Roman" w:hAnsi="Times New Roman" w:eastAsia="宋体" w:cs="Times New Roman"/>
                <w:bCs/>
                <w:spacing w:val="11"/>
                <w:position w:val="0"/>
                <w:sz w:val="24"/>
                <w:szCs w:val="24"/>
                <w:u w:val="none" w:color="auto"/>
                <w:lang w:val="en-US" w:eastAsia="zh-CN"/>
              </w:rPr>
              <w:t>41.65~49.28</w:t>
            </w:r>
            <w:r>
              <w:rPr>
                <w:rFonts w:ascii="Times New Roman" w:hAnsi="Times New Roman" w:eastAsia="宋体" w:cs="Times New Roman"/>
                <w:bCs/>
                <w:spacing w:val="11"/>
                <w:position w:val="0"/>
                <w:sz w:val="24"/>
                <w:szCs w:val="24"/>
                <w:u w:val="none" w:color="auto"/>
              </w:rPr>
              <w:t>dB（A）之间，说明本项目营运期间各厂界噪声满足（GB12348-2008）《工业企业厂界环境噪声排放标准》2类排放标准。</w:t>
            </w:r>
          </w:p>
          <w:p w14:paraId="5BE4E3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spacing w:val="11"/>
                <w:position w:val="0"/>
                <w:sz w:val="24"/>
                <w:szCs w:val="24"/>
                <w:u w:val="none" w:color="auto"/>
              </w:rPr>
            </w:pPr>
            <w:r>
              <w:rPr>
                <w:rFonts w:hint="eastAsia" w:ascii="Times New Roman" w:hAnsi="Times New Roman" w:eastAsia="宋体" w:cs="Times New Roman"/>
                <w:spacing w:val="11"/>
                <w:position w:val="0"/>
                <w:sz w:val="24"/>
                <w:szCs w:val="24"/>
                <w:u w:val="none" w:color="auto"/>
              </w:rPr>
              <w:t>由于矿区周边50m范围内无声环境保护目标，因此，不对声环境保护目标进行预测。</w:t>
            </w:r>
          </w:p>
          <w:p w14:paraId="03550A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outlineLvl w:val="9"/>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lang w:val="en-US" w:eastAsia="zh-CN"/>
              </w:rPr>
              <w:t>（</w:t>
            </w:r>
            <w:r>
              <w:rPr>
                <w:rFonts w:hint="eastAsia" w:ascii="Times New Roman" w:hAnsi="Times New Roman" w:eastAsia="宋体" w:cs="Times New Roman"/>
                <w:bCs/>
                <w:color w:val="000000"/>
                <w:spacing w:val="11"/>
                <w:position w:val="0"/>
                <w:sz w:val="24"/>
                <w:szCs w:val="24"/>
                <w:u w:val="none" w:color="auto"/>
                <w:lang w:val="en-US" w:eastAsia="zh-CN"/>
              </w:rPr>
              <w:t>4</w:t>
            </w:r>
            <w:r>
              <w:rPr>
                <w:rFonts w:hint="default" w:ascii="Times New Roman" w:hAnsi="Times New Roman" w:eastAsia="宋体" w:cs="Times New Roman"/>
                <w:bCs/>
                <w:color w:val="000000"/>
                <w:spacing w:val="11"/>
                <w:position w:val="0"/>
                <w:sz w:val="24"/>
                <w:szCs w:val="24"/>
                <w:u w:val="none" w:color="auto"/>
                <w:lang w:val="en-US" w:eastAsia="zh-CN"/>
              </w:rPr>
              <w:t>）声环境影响分析</w:t>
            </w:r>
          </w:p>
          <w:p w14:paraId="16D20311">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1）设备噪声</w:t>
            </w:r>
          </w:p>
          <w:p w14:paraId="025FE4B3">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噪声设备噪声源强</w:t>
            </w:r>
            <w:r>
              <w:rPr>
                <w:rFonts w:hint="default" w:ascii="Times New Roman" w:hAnsi="Times New Roman" w:eastAsia="宋体" w:cs="Times New Roman"/>
                <w:color w:val="000000"/>
                <w:spacing w:val="11"/>
                <w:position w:val="0"/>
                <w:sz w:val="24"/>
                <w:szCs w:val="24"/>
                <w:u w:val="none" w:color="auto"/>
                <w:lang w:val="en-US" w:eastAsia="zh-CN"/>
              </w:rPr>
              <w:t>约</w:t>
            </w:r>
            <w:r>
              <w:rPr>
                <w:rFonts w:hint="default" w:ascii="Times New Roman" w:hAnsi="Times New Roman" w:eastAsia="宋体" w:cs="Times New Roman"/>
                <w:color w:val="000000"/>
                <w:spacing w:val="11"/>
                <w:position w:val="0"/>
                <w:sz w:val="24"/>
                <w:szCs w:val="24"/>
                <w:u w:val="none" w:color="auto"/>
              </w:rPr>
              <w:t>为75-9</w:t>
            </w:r>
            <w:r>
              <w:rPr>
                <w:rFonts w:hint="default" w:ascii="Times New Roman" w:hAnsi="Times New Roman" w:eastAsia="宋体" w:cs="Times New Roman"/>
                <w:color w:val="000000"/>
                <w:spacing w:val="11"/>
                <w:position w:val="0"/>
                <w:sz w:val="24"/>
                <w:szCs w:val="24"/>
                <w:u w:val="none" w:color="auto"/>
                <w:lang w:val="en-US" w:eastAsia="zh-CN"/>
              </w:rPr>
              <w:t>0</w:t>
            </w:r>
            <w:r>
              <w:rPr>
                <w:rFonts w:hint="default" w:ascii="Times New Roman" w:hAnsi="Times New Roman" w:eastAsia="宋体" w:cs="Times New Roman"/>
                <w:color w:val="000000"/>
                <w:spacing w:val="11"/>
                <w:position w:val="0"/>
                <w:sz w:val="24"/>
                <w:szCs w:val="24"/>
                <w:u w:val="none" w:color="auto"/>
              </w:rPr>
              <w:t>dB（A）。</w:t>
            </w:r>
            <w:r>
              <w:rPr>
                <w:rFonts w:hint="default" w:ascii="Times New Roman" w:hAnsi="Times New Roman" w:eastAsia="宋体" w:cs="Times New Roman"/>
                <w:color w:val="000000"/>
                <w:spacing w:val="11"/>
                <w:position w:val="0"/>
                <w:sz w:val="24"/>
                <w:szCs w:val="24"/>
                <w:u w:val="none" w:color="auto"/>
                <w:lang w:val="en-US" w:eastAsia="zh-CN"/>
              </w:rPr>
              <w:t>建设单位拟</w:t>
            </w:r>
            <w:r>
              <w:rPr>
                <w:rFonts w:hint="default" w:ascii="Times New Roman" w:hAnsi="Times New Roman" w:eastAsia="宋体" w:cs="Times New Roman"/>
                <w:color w:val="000000"/>
                <w:spacing w:val="11"/>
                <w:position w:val="0"/>
                <w:sz w:val="24"/>
                <w:szCs w:val="24"/>
                <w:u w:val="none" w:color="auto"/>
              </w:rPr>
              <w:t>对产生噪声的设备在基础上加装振动垫、消声器、隔声罩等降噪措施，减震降噪效果为</w:t>
            </w:r>
            <w:r>
              <w:rPr>
                <w:rFonts w:hint="default" w:ascii="Times New Roman" w:hAnsi="Times New Roman" w:eastAsia="宋体" w:cs="Times New Roman"/>
                <w:color w:val="000000"/>
                <w:spacing w:val="11"/>
                <w:position w:val="0"/>
                <w:sz w:val="24"/>
                <w:szCs w:val="24"/>
                <w:u w:val="none" w:color="auto"/>
                <w:lang w:val="en-US" w:eastAsia="zh-CN"/>
              </w:rPr>
              <w:t>20</w:t>
            </w:r>
            <w:r>
              <w:rPr>
                <w:rFonts w:hint="default" w:ascii="Times New Roman" w:hAnsi="Times New Roman" w:eastAsia="宋体" w:cs="Times New Roman"/>
                <w:color w:val="000000"/>
                <w:spacing w:val="11"/>
                <w:position w:val="0"/>
                <w:sz w:val="24"/>
                <w:szCs w:val="24"/>
                <w:u w:val="none" w:color="auto"/>
              </w:rPr>
              <w:t>dB（A）。另外项目最近的居民点</w:t>
            </w:r>
            <w:r>
              <w:rPr>
                <w:rFonts w:hint="default" w:ascii="Times New Roman" w:hAnsi="Times New Roman" w:eastAsia="宋体" w:cs="Times New Roman"/>
                <w:color w:val="000000"/>
                <w:spacing w:val="11"/>
                <w:position w:val="0"/>
                <w:sz w:val="24"/>
                <w:szCs w:val="24"/>
                <w:u w:val="none" w:color="auto"/>
                <w:lang w:val="en-US" w:eastAsia="zh-CN"/>
              </w:rPr>
              <w:t>位于</w:t>
            </w:r>
            <w:r>
              <w:rPr>
                <w:rFonts w:hint="eastAsia" w:ascii="Times New Roman" w:hAnsi="Times New Roman" w:eastAsia="宋体" w:cs="Times New Roman"/>
                <w:color w:val="000000"/>
                <w:spacing w:val="11"/>
                <w:position w:val="0"/>
                <w:sz w:val="24"/>
                <w:szCs w:val="24"/>
                <w:u w:val="none" w:color="auto"/>
                <w:lang w:val="en-US" w:eastAsia="zh-CN"/>
              </w:rPr>
              <w:t>西北面</w:t>
            </w:r>
            <w:r>
              <w:rPr>
                <w:rFonts w:hint="default" w:ascii="Times New Roman" w:hAnsi="Times New Roman" w:eastAsia="宋体" w:cs="Times New Roman"/>
                <w:color w:val="000000"/>
                <w:spacing w:val="11"/>
                <w:position w:val="0"/>
                <w:sz w:val="24"/>
                <w:szCs w:val="24"/>
                <w:u w:val="none" w:color="auto"/>
              </w:rPr>
              <w:t>距离较远（约</w:t>
            </w:r>
            <w:r>
              <w:rPr>
                <w:rFonts w:hint="eastAsia" w:ascii="Times New Roman" w:hAnsi="Times New Roman" w:eastAsia="宋体" w:cs="Times New Roman"/>
                <w:color w:val="000000"/>
                <w:spacing w:val="11"/>
                <w:position w:val="0"/>
                <w:sz w:val="24"/>
                <w:szCs w:val="24"/>
                <w:u w:val="none" w:color="auto"/>
                <w:lang w:val="en-US" w:eastAsia="zh-CN"/>
              </w:rPr>
              <w:t>310</w:t>
            </w:r>
            <w:r>
              <w:rPr>
                <w:rFonts w:hint="default" w:ascii="Times New Roman" w:hAnsi="Times New Roman" w:eastAsia="宋体" w:cs="Times New Roman"/>
                <w:color w:val="000000"/>
                <w:spacing w:val="11"/>
                <w:position w:val="0"/>
                <w:sz w:val="24"/>
                <w:szCs w:val="24"/>
                <w:u w:val="none" w:color="auto"/>
              </w:rPr>
              <w:t>m）</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其中项目生产区距离周边居民点均超过了200m范围，超出了声环境评价范围。周边居民与生产作业区有山体阻隔，设备噪声经自然衰减、植被降噪、山体阻隔后，能够满足</w:t>
            </w:r>
            <w:r>
              <w:rPr>
                <w:rFonts w:hint="default" w:ascii="Times New Roman" w:hAnsi="Times New Roman" w:eastAsia="宋体" w:cs="Times New Roman"/>
                <w:color w:val="000000"/>
                <w:spacing w:val="11"/>
                <w:position w:val="0"/>
                <w:sz w:val="24"/>
                <w:szCs w:val="24"/>
                <w:u w:val="none" w:color="auto"/>
              </w:rPr>
              <w:t>《工业企业厂界环境噪声排放标准》（GB12348-2008）的2类标准限值要求</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对周边环境影响较小。</w:t>
            </w:r>
          </w:p>
          <w:p w14:paraId="55FF3DFE">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2）爆破噪声、震动</w:t>
            </w:r>
          </w:p>
          <w:p w14:paraId="7B20D67A">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矿山爆破瞬间将产生局部地表震动和巨大声响，震动的强弱、声响的高低与爆破的装药量成正比。</w:t>
            </w:r>
          </w:p>
          <w:p w14:paraId="75F4D931">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爆破噪声：项目</w:t>
            </w:r>
            <w:r>
              <w:rPr>
                <w:rFonts w:hint="default" w:ascii="Times New Roman" w:hAnsi="Times New Roman" w:eastAsia="宋体" w:cs="Times New Roman"/>
                <w:color w:val="000000"/>
                <w:spacing w:val="11"/>
                <w:position w:val="0"/>
                <w:sz w:val="24"/>
                <w:szCs w:val="24"/>
                <w:u w:val="none" w:color="auto"/>
                <w:lang w:val="en-US" w:eastAsia="zh-CN"/>
              </w:rPr>
              <w:t>爆破点外</w:t>
            </w:r>
            <w:r>
              <w:rPr>
                <w:rFonts w:hint="eastAsia" w:ascii="Times New Roman" w:hAnsi="Times New Roman" w:eastAsia="宋体" w:cs="Times New Roman"/>
                <w:color w:val="000000"/>
                <w:spacing w:val="11"/>
                <w:position w:val="0"/>
                <w:sz w:val="24"/>
                <w:szCs w:val="24"/>
                <w:u w:val="none" w:color="auto"/>
                <w:lang w:val="en-US" w:eastAsia="zh-CN"/>
              </w:rPr>
              <w:t>2</w:t>
            </w:r>
            <w:r>
              <w:rPr>
                <w:rFonts w:hint="default" w:ascii="Times New Roman" w:hAnsi="Times New Roman" w:eastAsia="宋体" w:cs="Times New Roman"/>
                <w:color w:val="000000"/>
                <w:spacing w:val="11"/>
                <w:position w:val="0"/>
                <w:sz w:val="24"/>
                <w:szCs w:val="24"/>
                <w:u w:val="none" w:color="auto"/>
                <w:lang w:val="en-US" w:eastAsia="zh-CN"/>
              </w:rPr>
              <w:t>00m范围内无居民点</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矿石爆破的瞬间爆响声虽大，但有自然山体阻隔爆破产生的强噪声源通过距离衰减可得到适量的缓解。</w:t>
            </w:r>
          </w:p>
          <w:p w14:paraId="3EC30983">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震动：爆破震动对相距较近的居民区房屋结构及居民生活有一定的影响，因此，采石场要对居民房屋实时监控，及时掌握情况，同时爆破时要科学、合理配置炸药用量，尽量减少爆破作业产生的震动，降低对居民房屋结构产生的震动影响。</w:t>
            </w:r>
          </w:p>
          <w:p w14:paraId="36C20A77">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本项目爆破产生的噪声、震动影响是瞬时的，爆破结束后马上消失。经核定，项目周边居民均在矿山安全生产距离之外，符合爆破的安全距离要求。</w:t>
            </w:r>
          </w:p>
          <w:p w14:paraId="5C3255CD">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3）</w:t>
            </w:r>
            <w:r>
              <w:rPr>
                <w:rFonts w:hint="default" w:ascii="Times New Roman" w:hAnsi="Times New Roman" w:eastAsia="宋体" w:cs="Times New Roman"/>
                <w:color w:val="000000"/>
                <w:spacing w:val="11"/>
                <w:position w:val="0"/>
                <w:sz w:val="24"/>
                <w:szCs w:val="24"/>
                <w:u w:val="none" w:color="auto"/>
              </w:rPr>
              <w:t>噪声及振动防控措施</w:t>
            </w:r>
          </w:p>
          <w:p w14:paraId="472B5C80">
            <w:pPr>
              <w:pStyle w:val="38"/>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为了进一步减小噪声及振动对最近居民的影响，建议采取以下措施加以防控：</w:t>
            </w:r>
          </w:p>
          <w:p w14:paraId="14B3B4DD">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①采取矿山爆破新技术，如：预裂爆破、缓冲爆破、减振孔、密集空孔爆破法联合技术。</w:t>
            </w:r>
          </w:p>
          <w:p w14:paraId="1DEE329C">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②采用超深预裂孔、新的装药结构（径向不耦合或轴向不耦合装药结构）、针对不同边坡地质条件，选取适宜的预裂爆破参数。</w:t>
            </w:r>
          </w:p>
          <w:p w14:paraId="306285C2">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w:t>
            </w:r>
            <w:r>
              <w:rPr>
                <w:rFonts w:hint="default" w:ascii="Times New Roman" w:hAnsi="Times New Roman" w:eastAsia="宋体" w:cs="Times New Roman"/>
                <w:color w:val="000000"/>
                <w:spacing w:val="11"/>
                <w:position w:val="0"/>
                <w:sz w:val="24"/>
                <w:szCs w:val="24"/>
                <w:u w:val="none" w:color="auto"/>
                <w:lang w:val="en-US" w:eastAsia="zh-CN"/>
              </w:rPr>
              <w:t>在满足生产需要的前提下，尽可能选取噪声低、振动小、能耗小的先进设备；注意机械保养，使机械保持最低声级水平</w:t>
            </w:r>
            <w:r>
              <w:rPr>
                <w:rFonts w:hint="eastAsia" w:ascii="Times New Roman" w:cs="Times New Roman"/>
                <w:color w:val="000000"/>
                <w:spacing w:val="11"/>
                <w:position w:val="0"/>
                <w:sz w:val="24"/>
                <w:szCs w:val="24"/>
                <w:u w:val="none" w:color="auto"/>
                <w:lang w:val="en-US" w:eastAsia="zh-CN"/>
              </w:rPr>
              <w:t>。</w:t>
            </w:r>
          </w:p>
          <w:p w14:paraId="2D158657">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④爆破作业人员应经过安全技术培训考核，取得爆破安全作业证，方可准担任爆破作业，禁止非爆破员进行爆破作业，且必须使用符合国家标准的爆破器材进行爆破。</w:t>
            </w:r>
          </w:p>
          <w:p w14:paraId="7E9F82EA">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⑤严格遵守爆破安全操作规程，负责爆破器材的保管使用，不得丢失；负责爆破后工作面检查，发现盲炮及不安全因素，及时处理或上报。</w:t>
            </w:r>
          </w:p>
          <w:p w14:paraId="4400925F">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⑥爆破前应发布爆破通告，内容包括:爆破地点、每次爆破起爆时间、安全警戒范围、警戒标志、起爆信号等。</w:t>
            </w:r>
          </w:p>
          <w:p w14:paraId="1A6CF742">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⑦合理安排矿山爆破作业和生产作业时间，爆破（作业）时间应避开午休时间（12:00-14:00），禁止夜间生产作业、爆破。</w:t>
            </w:r>
          </w:p>
          <w:p w14:paraId="0B565951">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⑧加强机械设备的维护和维修工作，定期委托维修厂进行维护，确保设备设施正常运行；</w:t>
            </w:r>
          </w:p>
          <w:p w14:paraId="3258ECAB">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ascii="Times New Roman" w:cs="Times New Roman"/>
                <w:color w:val="000000"/>
                <w:spacing w:val="11"/>
                <w:position w:val="0"/>
                <w:sz w:val="24"/>
                <w:szCs w:val="24"/>
                <w:u w:val="none" w:color="auto"/>
                <w:lang w:val="en-US" w:eastAsia="zh-CN"/>
              </w:rPr>
              <w:t>⑨</w:t>
            </w:r>
            <w:r>
              <w:rPr>
                <w:rFonts w:hint="default" w:ascii="Times New Roman" w:hAnsi="Times New Roman" w:eastAsia="宋体" w:cs="Times New Roman"/>
                <w:color w:val="000000"/>
                <w:spacing w:val="11"/>
                <w:position w:val="0"/>
                <w:sz w:val="24"/>
                <w:szCs w:val="24"/>
                <w:u w:val="none" w:color="auto"/>
              </w:rPr>
              <w:t>建议边开采边覆绿，加强绿化降噪效果，在矿区内种植花草、乔灌结合的绿化带，以消减噪声</w:t>
            </w:r>
          </w:p>
          <w:p w14:paraId="618F2C0C">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通过以上一系列控制措施，可有效降低噪声、震动影响。</w:t>
            </w:r>
          </w:p>
          <w:p w14:paraId="048DE6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rPr>
              <w:t>4、固体废物</w:t>
            </w:r>
          </w:p>
          <w:p w14:paraId="454F4046">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项目营运期</w:t>
            </w:r>
            <w:r>
              <w:rPr>
                <w:rFonts w:hint="default" w:ascii="Times New Roman" w:hAnsi="Times New Roman" w:eastAsia="宋体" w:cs="Times New Roman"/>
                <w:color w:val="000000"/>
                <w:spacing w:val="11"/>
                <w:position w:val="0"/>
                <w:sz w:val="24"/>
                <w:szCs w:val="24"/>
                <w:u w:val="single" w:color="auto"/>
                <w:lang w:val="en-US" w:eastAsia="zh-CN"/>
              </w:rPr>
              <w:t>产生的</w:t>
            </w:r>
            <w:r>
              <w:rPr>
                <w:rFonts w:hint="default" w:ascii="Times New Roman" w:hAnsi="Times New Roman" w:eastAsia="宋体" w:cs="Times New Roman"/>
                <w:color w:val="000000"/>
                <w:spacing w:val="11"/>
                <w:position w:val="0"/>
                <w:sz w:val="24"/>
                <w:szCs w:val="24"/>
                <w:u w:val="single" w:color="auto"/>
              </w:rPr>
              <w:t>固体废弃物包括生活垃圾、</w:t>
            </w:r>
            <w:r>
              <w:rPr>
                <w:rFonts w:hint="default" w:ascii="Times New Roman" w:hAnsi="Times New Roman" w:eastAsia="宋体" w:cs="Times New Roman"/>
                <w:color w:val="000000"/>
                <w:spacing w:val="11"/>
                <w:position w:val="0"/>
                <w:sz w:val="24"/>
                <w:szCs w:val="24"/>
                <w:u w:val="single" w:color="auto"/>
                <w:lang w:val="en-US" w:eastAsia="zh-CN"/>
              </w:rPr>
              <w:t>沉淀池污泥</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剥离物</w:t>
            </w:r>
            <w:r>
              <w:rPr>
                <w:rFonts w:hint="default" w:ascii="Times New Roman" w:hAnsi="Times New Roman" w:eastAsia="宋体" w:cs="Times New Roman"/>
                <w:bCs/>
                <w:color w:val="000000"/>
                <w:spacing w:val="11"/>
                <w:position w:val="0"/>
                <w:sz w:val="24"/>
                <w:szCs w:val="24"/>
                <w:u w:val="single" w:color="auto"/>
                <w:lang w:val="en-US" w:eastAsia="zh-CN"/>
              </w:rPr>
              <w:t>和废</w:t>
            </w:r>
            <w:r>
              <w:rPr>
                <w:rFonts w:hint="eastAsia" w:ascii="Times New Roman" w:hAnsi="Times New Roman" w:eastAsia="宋体" w:cs="Times New Roman"/>
                <w:bCs/>
                <w:color w:val="000000"/>
                <w:spacing w:val="11"/>
                <w:position w:val="0"/>
                <w:sz w:val="24"/>
                <w:szCs w:val="24"/>
                <w:u w:val="single" w:color="auto"/>
                <w:lang w:val="en-US" w:eastAsia="zh-CN"/>
              </w:rPr>
              <w:t>润滑油</w:t>
            </w:r>
            <w:r>
              <w:rPr>
                <w:rFonts w:hint="default" w:ascii="Times New Roman" w:hAnsi="Times New Roman" w:eastAsia="宋体" w:cs="Times New Roman"/>
                <w:color w:val="000000"/>
                <w:spacing w:val="11"/>
                <w:position w:val="0"/>
                <w:sz w:val="24"/>
                <w:szCs w:val="24"/>
                <w:u w:val="single" w:color="auto"/>
              </w:rPr>
              <w:t>。</w:t>
            </w:r>
          </w:p>
          <w:p w14:paraId="4993731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（1）剥离物</w:t>
            </w:r>
          </w:p>
          <w:p w14:paraId="0DAFCCDF">
            <w:pPr>
              <w:keepNext w:val="0"/>
              <w:keepLines w:val="0"/>
              <w:pageBreakBefore w:val="0"/>
              <w:tabs>
                <w:tab w:val="left" w:pos="1440"/>
                <w:tab w:val="left" w:pos="1800"/>
              </w:tabs>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rPr>
            </w:pPr>
            <w:r>
              <w:rPr>
                <w:rFonts w:hint="default" w:ascii="Times New Roman" w:hAnsi="Times New Roman" w:eastAsia="宋体" w:cs="Times New Roman"/>
                <w:bCs/>
                <w:color w:val="000000"/>
                <w:spacing w:val="11"/>
                <w:position w:val="0"/>
                <w:sz w:val="24"/>
                <w:szCs w:val="24"/>
                <w:u w:val="single" w:color="auto"/>
              </w:rPr>
              <w:t>剥离量分外剥离量和内剥离量。外剥离量是指矿体上覆岩层及开拓安全角部分岩层的剥离量</w:t>
            </w:r>
            <w:r>
              <w:rPr>
                <w:rFonts w:hint="eastAsia"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bCs/>
                <w:color w:val="000000"/>
                <w:spacing w:val="11"/>
                <w:position w:val="0"/>
                <w:sz w:val="24"/>
                <w:szCs w:val="24"/>
                <w:u w:val="single" w:color="auto"/>
              </w:rPr>
              <w:t>内剥离层是指矿体内部夹层和矿体与矿体之间夹层的剥离量。</w:t>
            </w:r>
            <w:r>
              <w:rPr>
                <w:rFonts w:hint="default" w:ascii="Times New Roman" w:hAnsi="Times New Roman" w:eastAsia="宋体" w:cs="Times New Roman"/>
                <w:bCs/>
                <w:color w:val="000000"/>
                <w:spacing w:val="11"/>
                <w:position w:val="0"/>
                <w:sz w:val="24"/>
                <w:szCs w:val="24"/>
                <w:u w:val="single" w:color="auto"/>
                <w:lang w:val="en-US" w:eastAsia="zh-CN"/>
              </w:rPr>
              <w:t>经计算，区内矿体内总剥离量为13.2万m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，其中内剥离量为8.3万m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，可用于采坑整平基地垫层，外剥离量为4.9万m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，可用于开采后矿区生</w:t>
            </w:r>
            <w:r>
              <w:rPr>
                <w:rFonts w:hint="default" w:ascii="Times New Roman" w:hAnsi="Times New Roman" w:eastAsia="宋体" w:cs="Times New Roman"/>
                <w:bCs/>
                <w:color w:val="000000"/>
                <w:spacing w:val="11"/>
                <w:position w:val="0"/>
                <w:sz w:val="24"/>
                <w:szCs w:val="24"/>
                <w:highlight w:val="none"/>
                <w:u w:val="single" w:color="auto"/>
                <w:lang w:val="en-US" w:eastAsia="zh-CN"/>
              </w:rPr>
              <w:t>态修复使用，矿区总剥采比0.10:1（m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r>
              <w:rPr>
                <w:rFonts w:hint="eastAsia" w:cs="Times New Roman"/>
                <w:bCs/>
                <w:color w:val="000000"/>
                <w:spacing w:val="11"/>
                <w:position w:val="0"/>
                <w:sz w:val="24"/>
                <w:szCs w:val="24"/>
                <w:highlight w:val="none"/>
                <w:u w:val="single" w:color="auto"/>
                <w:lang w:val="en-US" w:eastAsia="zh-CN"/>
              </w:rPr>
              <w:t>，本项目产生的剥离物暂存至临时堆土场，在场内进行回填，用于矿区环境治理、土地复垦和复绿，回填后产生的余方拖运至新田县龙兴环保建材有限公司用于生产及建筑利用使用</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p>
          <w:p w14:paraId="1D3B8B2F">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kern w:val="1"/>
                <w:position w:val="0"/>
                <w:sz w:val="24"/>
                <w:szCs w:val="24"/>
                <w:u w:val="single" w:color="auto"/>
                <w:lang w:val="en-US" w:eastAsia="zh-CN"/>
              </w:rPr>
            </w:pPr>
            <w:r>
              <w:rPr>
                <w:rFonts w:hint="eastAsia" w:cs="Times New Roman"/>
                <w:color w:val="000000"/>
                <w:spacing w:val="11"/>
                <w:kern w:val="1"/>
                <w:position w:val="0"/>
                <w:sz w:val="24"/>
                <w:szCs w:val="24"/>
                <w:u w:val="single" w:color="auto"/>
                <w:lang w:val="en-US" w:eastAsia="zh-CN"/>
              </w:rPr>
              <w:t>（2）沉淀池污泥</w:t>
            </w:r>
          </w:p>
          <w:p w14:paraId="5A778FD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kern w:val="1"/>
                <w:position w:val="0"/>
                <w:sz w:val="24"/>
                <w:szCs w:val="24"/>
                <w:u w:val="single" w:color="auto"/>
                <w:lang w:val="en-US" w:eastAsia="zh-CN"/>
              </w:rPr>
            </w:pPr>
            <w:r>
              <w:rPr>
                <w:rFonts w:hint="default" w:ascii="Times New Roman" w:hAnsi="Times New Roman" w:eastAsia="宋体" w:cs="Times New Roman"/>
                <w:color w:val="000000"/>
                <w:spacing w:val="11"/>
                <w:kern w:val="1"/>
                <w:position w:val="0"/>
                <w:sz w:val="24"/>
                <w:szCs w:val="24"/>
                <w:u w:val="single" w:color="auto"/>
                <w:lang w:val="en-US" w:eastAsia="zh-CN"/>
              </w:rPr>
              <w:t>初期雨水、车辆冲洗废水等沉淀处理后均会产生一定量的固废，</w:t>
            </w:r>
            <w:r>
              <w:rPr>
                <w:rFonts w:hint="eastAsia" w:cs="Times New Roman"/>
                <w:color w:val="000000"/>
                <w:spacing w:val="11"/>
                <w:kern w:val="1"/>
                <w:position w:val="0"/>
                <w:sz w:val="24"/>
                <w:szCs w:val="24"/>
                <w:u w:val="single" w:color="auto"/>
                <w:lang w:val="en-US" w:eastAsia="zh-CN"/>
              </w:rPr>
              <w:t>根据企业提供资料，</w:t>
            </w:r>
            <w:r>
              <w:rPr>
                <w:rFonts w:hint="default" w:ascii="Times New Roman" w:hAnsi="Times New Roman" w:eastAsia="宋体" w:cs="Times New Roman"/>
                <w:color w:val="000000"/>
                <w:spacing w:val="11"/>
                <w:kern w:val="1"/>
                <w:position w:val="0"/>
                <w:sz w:val="24"/>
                <w:szCs w:val="24"/>
                <w:u w:val="single" w:color="auto"/>
                <w:lang w:val="en-US" w:eastAsia="zh-CN"/>
              </w:rPr>
              <w:t>年产生量</w:t>
            </w:r>
            <w:r>
              <w:rPr>
                <w:rFonts w:hint="eastAsia" w:cs="Times New Roman"/>
                <w:color w:val="000000"/>
                <w:spacing w:val="11"/>
                <w:kern w:val="1"/>
                <w:position w:val="0"/>
                <w:sz w:val="24"/>
                <w:szCs w:val="24"/>
                <w:u w:val="single" w:color="auto"/>
                <w:lang w:val="en-US" w:eastAsia="zh-CN"/>
              </w:rPr>
              <w:t>约为5.25</w:t>
            </w:r>
            <w:r>
              <w:rPr>
                <w:rFonts w:hint="default" w:ascii="Times New Roman" w:hAnsi="Times New Roman" w:eastAsia="宋体" w:cs="Times New Roman"/>
                <w:color w:val="000000"/>
                <w:spacing w:val="11"/>
                <w:kern w:val="1"/>
                <w:position w:val="0"/>
                <w:sz w:val="24"/>
                <w:szCs w:val="24"/>
                <w:u w:val="single" w:color="auto"/>
                <w:lang w:val="en-US" w:eastAsia="zh-CN"/>
              </w:rPr>
              <w:t>t/a，该部分污泥主要成分为砂石颗粒，沉淀池定期清理后作为附近低洼地填平和绿化。</w:t>
            </w:r>
          </w:p>
          <w:p w14:paraId="2D1A60A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kern w:val="1"/>
                <w:position w:val="0"/>
                <w:sz w:val="24"/>
                <w:szCs w:val="24"/>
                <w:u w:val="single" w:color="auto"/>
                <w:lang w:val="en-US" w:eastAsia="zh-CN"/>
              </w:rPr>
              <w:t>（</w:t>
            </w:r>
            <w:r>
              <w:rPr>
                <w:rFonts w:hint="eastAsia" w:cs="Times New Roman"/>
                <w:color w:val="000000"/>
                <w:spacing w:val="11"/>
                <w:kern w:val="1"/>
                <w:position w:val="0"/>
                <w:sz w:val="24"/>
                <w:szCs w:val="24"/>
                <w:u w:val="single" w:color="auto"/>
                <w:lang w:val="en-US" w:eastAsia="zh-CN"/>
              </w:rPr>
              <w:t>3</w:t>
            </w:r>
            <w:r>
              <w:rPr>
                <w:rFonts w:hint="default" w:ascii="Times New Roman" w:hAnsi="Times New Roman" w:eastAsia="宋体" w:cs="Times New Roman"/>
                <w:color w:val="000000"/>
                <w:spacing w:val="11"/>
                <w:kern w:val="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生活垃圾</w:t>
            </w:r>
          </w:p>
          <w:p w14:paraId="4C5858A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生活垃圾产生于员工办公生活过程，</w:t>
            </w:r>
            <w:r>
              <w:rPr>
                <w:rFonts w:hint="default" w:ascii="Times New Roman" w:hAnsi="Times New Roman" w:eastAsia="宋体" w:cs="Times New Roman"/>
                <w:color w:val="000000"/>
                <w:spacing w:val="11"/>
                <w:position w:val="0"/>
                <w:sz w:val="24"/>
                <w:szCs w:val="24"/>
                <w:u w:val="single" w:color="auto"/>
                <w:lang w:val="en-US" w:eastAsia="zh-CN"/>
              </w:rPr>
              <w:t>其主要污染物成分为</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rPr>
              <w:t>蔬菜叶、水果皮、废弃食品类</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lang w:eastAsia="zh-CN"/>
              </w:rPr>
              <w:t>、</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lang w:val="en-US" w:eastAsia="zh-CN"/>
              </w:rPr>
              <w:t>杂草等，</w:t>
            </w:r>
            <w:r>
              <w:rPr>
                <w:rFonts w:hint="default" w:ascii="Times New Roman" w:hAnsi="Times New Roman" w:eastAsia="宋体" w:cs="Times New Roman"/>
                <w:color w:val="000000"/>
                <w:spacing w:val="11"/>
                <w:position w:val="0"/>
                <w:sz w:val="24"/>
                <w:szCs w:val="24"/>
                <w:u w:val="single" w:color="auto"/>
              </w:rPr>
              <w:t>产生系数按照每人1kg/d计，劳动定员为</w:t>
            </w:r>
            <w:r>
              <w:rPr>
                <w:rFonts w:hint="eastAsia" w:ascii="Times New Roman" w:hAnsi="Times New Roman" w:eastAsia="宋体" w:cs="Times New Roman"/>
                <w:color w:val="000000"/>
                <w:spacing w:val="11"/>
                <w:position w:val="0"/>
                <w:sz w:val="24"/>
                <w:szCs w:val="24"/>
                <w:u w:val="single" w:color="auto"/>
                <w:lang w:val="en-US" w:eastAsia="zh-CN"/>
              </w:rPr>
              <w:t>20</w:t>
            </w:r>
            <w:r>
              <w:rPr>
                <w:rFonts w:hint="default" w:ascii="Times New Roman" w:hAnsi="Times New Roman" w:eastAsia="宋体" w:cs="Times New Roman"/>
                <w:color w:val="000000"/>
                <w:spacing w:val="11"/>
                <w:position w:val="0"/>
                <w:sz w:val="24"/>
                <w:szCs w:val="24"/>
                <w:u w:val="single" w:color="auto"/>
              </w:rPr>
              <w:t>人，则员工生活垃圾量为</w:t>
            </w:r>
            <w:r>
              <w:rPr>
                <w:rFonts w:hint="eastAsia" w:ascii="Times New Roman" w:hAnsi="Times New Roman" w:eastAsia="宋体" w:cs="Times New Roman"/>
                <w:color w:val="000000"/>
                <w:spacing w:val="11"/>
                <w:position w:val="0"/>
                <w:sz w:val="24"/>
                <w:szCs w:val="24"/>
                <w:u w:val="single" w:color="auto"/>
                <w:lang w:val="en-US" w:eastAsia="zh-CN"/>
              </w:rPr>
              <w:t>20</w:t>
            </w:r>
            <w:r>
              <w:rPr>
                <w:rFonts w:hint="default" w:ascii="Times New Roman" w:hAnsi="Times New Roman" w:eastAsia="宋体" w:cs="Times New Roman"/>
                <w:color w:val="000000"/>
                <w:spacing w:val="11"/>
                <w:position w:val="0"/>
                <w:sz w:val="24"/>
                <w:szCs w:val="24"/>
                <w:u w:val="single" w:color="auto"/>
              </w:rPr>
              <w:t>kg/d（</w:t>
            </w:r>
            <w:r>
              <w:rPr>
                <w:rFonts w:hint="eastAsia" w:ascii="Times New Roman" w:hAnsi="Times New Roman" w:eastAsia="宋体" w:cs="Times New Roman"/>
                <w:color w:val="000000"/>
                <w:spacing w:val="11"/>
                <w:position w:val="0"/>
                <w:sz w:val="24"/>
                <w:szCs w:val="24"/>
                <w:u w:val="single" w:color="auto"/>
                <w:lang w:val="en-US" w:eastAsia="zh-CN"/>
              </w:rPr>
              <w:t>6</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val="en-US" w:eastAsia="zh-CN"/>
              </w:rPr>
              <w:t>建设单位拟设置</w:t>
            </w:r>
            <w:r>
              <w:rPr>
                <w:rFonts w:hint="default" w:ascii="Times New Roman" w:hAnsi="Times New Roman" w:eastAsia="宋体" w:cs="Times New Roman"/>
                <w:color w:val="000000"/>
                <w:spacing w:val="11"/>
                <w:position w:val="0"/>
                <w:sz w:val="24"/>
                <w:szCs w:val="24"/>
                <w:u w:val="single" w:color="auto"/>
              </w:rPr>
              <w:t>垃圾桶</w:t>
            </w:r>
            <w:r>
              <w:rPr>
                <w:rFonts w:hint="default" w:ascii="Times New Roman" w:hAnsi="Times New Roman" w:eastAsia="宋体" w:cs="Times New Roman"/>
                <w:color w:val="000000"/>
                <w:spacing w:val="11"/>
                <w:position w:val="0"/>
                <w:sz w:val="24"/>
                <w:szCs w:val="24"/>
                <w:u w:val="single" w:color="auto"/>
                <w:lang w:val="en-US" w:eastAsia="zh-CN"/>
              </w:rPr>
              <w:t>进行</w:t>
            </w:r>
            <w:r>
              <w:rPr>
                <w:rFonts w:hint="default" w:ascii="Times New Roman" w:hAnsi="Times New Roman" w:eastAsia="宋体" w:cs="Times New Roman"/>
                <w:color w:val="000000"/>
                <w:spacing w:val="11"/>
                <w:position w:val="0"/>
                <w:sz w:val="24"/>
                <w:szCs w:val="24"/>
                <w:u w:val="single" w:color="auto"/>
              </w:rPr>
              <w:t>统一收集，</w:t>
            </w:r>
            <w:r>
              <w:rPr>
                <w:rFonts w:hint="default" w:ascii="Times New Roman" w:hAnsi="Times New Roman" w:eastAsia="宋体" w:cs="Times New Roman"/>
                <w:color w:val="000000"/>
                <w:spacing w:val="11"/>
                <w:position w:val="0"/>
                <w:sz w:val="24"/>
                <w:szCs w:val="24"/>
                <w:u w:val="single" w:color="auto"/>
                <w:lang w:val="en-US" w:eastAsia="zh-CN"/>
              </w:rPr>
              <w:t>定期由</w:t>
            </w:r>
            <w:r>
              <w:rPr>
                <w:rFonts w:hint="default" w:ascii="Times New Roman" w:hAnsi="Times New Roman" w:eastAsia="宋体" w:cs="Times New Roman"/>
                <w:color w:val="000000"/>
                <w:spacing w:val="11"/>
                <w:position w:val="0"/>
                <w:sz w:val="24"/>
                <w:szCs w:val="24"/>
                <w:u w:val="single" w:color="auto"/>
              </w:rPr>
              <w:t>环卫部门</w:t>
            </w:r>
            <w:r>
              <w:rPr>
                <w:rFonts w:hint="default" w:ascii="Times New Roman" w:hAnsi="Times New Roman" w:eastAsia="宋体" w:cs="Times New Roman"/>
                <w:color w:val="000000"/>
                <w:spacing w:val="11"/>
                <w:position w:val="0"/>
                <w:sz w:val="24"/>
                <w:szCs w:val="24"/>
                <w:u w:val="single" w:color="auto"/>
                <w:lang w:val="en-US" w:eastAsia="zh-CN"/>
              </w:rPr>
              <w:t>清运</w:t>
            </w:r>
            <w:r>
              <w:rPr>
                <w:rFonts w:hint="default" w:ascii="Times New Roman" w:hAnsi="Times New Roman" w:eastAsia="宋体" w:cs="Times New Roman"/>
                <w:color w:val="000000"/>
                <w:spacing w:val="11"/>
                <w:position w:val="0"/>
                <w:sz w:val="24"/>
                <w:szCs w:val="24"/>
                <w:u w:val="single" w:color="auto"/>
              </w:rPr>
              <w:t>处理</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在采取以上措施加以处理后，不会对周边环境产生环境污染</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根据现有工程生活垃圾处置情况，此部分固废均得到了有效收集，未出现生活垃圾乱扔乱弃情形，未对周边环境产生明显影响，措施可行。</w:t>
            </w:r>
          </w:p>
          <w:p w14:paraId="5D1E692A">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lang w:val="en-US" w:eastAsia="zh-CN"/>
              </w:rPr>
            </w:pPr>
            <w:r>
              <w:rPr>
                <w:rFonts w:hint="default" w:ascii="Times New Roman" w:hAnsi="Times New Roman" w:eastAsia="宋体" w:cs="Times New Roman"/>
                <w:bCs/>
                <w:color w:val="000000"/>
                <w:spacing w:val="11"/>
                <w:position w:val="0"/>
                <w:sz w:val="24"/>
                <w:szCs w:val="24"/>
                <w:u w:val="single" w:color="auto"/>
                <w:lang w:eastAsia="zh-CN"/>
              </w:rPr>
              <w:t>（</w:t>
            </w:r>
            <w:r>
              <w:rPr>
                <w:rFonts w:hint="eastAsia" w:cs="Times New Roman"/>
                <w:bCs/>
                <w:color w:val="000000"/>
                <w:spacing w:val="11"/>
                <w:position w:val="0"/>
                <w:sz w:val="24"/>
                <w:szCs w:val="24"/>
                <w:u w:val="single" w:color="auto"/>
                <w:lang w:val="en-US" w:eastAsia="zh-CN"/>
              </w:rPr>
              <w:t>4</w:t>
            </w:r>
            <w:r>
              <w:rPr>
                <w:rFonts w:hint="default"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bCs/>
                <w:color w:val="000000"/>
                <w:spacing w:val="11"/>
                <w:position w:val="0"/>
                <w:sz w:val="24"/>
                <w:szCs w:val="24"/>
                <w:u w:val="single" w:color="auto"/>
              </w:rPr>
              <w:t>废</w:t>
            </w:r>
            <w:r>
              <w:rPr>
                <w:rFonts w:hint="default" w:ascii="Times New Roman" w:hAnsi="Times New Roman" w:eastAsia="宋体" w:cs="Times New Roman"/>
                <w:bCs/>
                <w:color w:val="000000"/>
                <w:spacing w:val="11"/>
                <w:position w:val="0"/>
                <w:sz w:val="24"/>
                <w:szCs w:val="24"/>
                <w:u w:val="single" w:color="auto"/>
                <w:lang w:val="en-US" w:eastAsia="zh-CN"/>
              </w:rPr>
              <w:t>润滑油</w:t>
            </w:r>
          </w:p>
          <w:p w14:paraId="7EB511B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lang w:val="en-US" w:eastAsia="zh-CN"/>
              </w:rPr>
            </w:pPr>
            <w:r>
              <w:rPr>
                <w:rFonts w:hint="default" w:ascii="Times New Roman" w:hAnsi="Times New Roman" w:eastAsia="宋体" w:cs="Times New Roman"/>
                <w:bCs/>
                <w:color w:val="000000"/>
                <w:spacing w:val="11"/>
                <w:position w:val="0"/>
                <w:sz w:val="24"/>
                <w:szCs w:val="24"/>
                <w:u w:val="single" w:color="auto"/>
                <w:lang w:val="en-US" w:eastAsia="zh-CN"/>
              </w:rPr>
              <w:t>项目机械设备使用过程中会产生废</w:t>
            </w:r>
            <w:r>
              <w:rPr>
                <w:rFonts w:hint="eastAsia" w:ascii="Times New Roman" w:hAnsi="Times New Roman" w:eastAsia="宋体" w:cs="Times New Roman"/>
                <w:bCs/>
                <w:color w:val="000000"/>
                <w:spacing w:val="11"/>
                <w:position w:val="0"/>
                <w:sz w:val="24"/>
                <w:szCs w:val="24"/>
                <w:u w:val="single" w:color="auto"/>
                <w:lang w:val="en-US" w:eastAsia="zh-CN"/>
              </w:rPr>
              <w:t>润滑油</w:t>
            </w:r>
            <w:r>
              <w:rPr>
                <w:rFonts w:hint="default" w:ascii="Times New Roman" w:hAnsi="Times New Roman" w:eastAsia="宋体" w:cs="Times New Roman"/>
                <w:bCs/>
                <w:color w:val="000000"/>
                <w:spacing w:val="11"/>
                <w:position w:val="0"/>
                <w:sz w:val="24"/>
                <w:szCs w:val="24"/>
                <w:u w:val="single" w:color="auto"/>
                <w:lang w:val="en-US" w:eastAsia="zh-CN"/>
              </w:rPr>
              <w:t>，根据《国家危险废物名录》（2025年版），废润滑油属于HW08废矿物油与含矿物油废物类别，危废代码为900-214-08。废机油产生量约为0.</w:t>
            </w:r>
            <w:r>
              <w:rPr>
                <w:rFonts w:hint="eastAsia" w:ascii="Times New Roman" w:hAnsi="Times New Roman" w:eastAsia="宋体" w:cs="Times New Roman"/>
                <w:bCs/>
                <w:color w:val="000000"/>
                <w:spacing w:val="11"/>
                <w:position w:val="0"/>
                <w:sz w:val="24"/>
                <w:szCs w:val="24"/>
                <w:u w:val="single" w:color="auto"/>
                <w:lang w:val="en-US" w:eastAsia="zh-CN"/>
              </w:rPr>
              <w:t>4</w:t>
            </w:r>
            <w:r>
              <w:rPr>
                <w:rFonts w:hint="default" w:ascii="Times New Roman" w:hAnsi="Times New Roman" w:eastAsia="宋体" w:cs="Times New Roman"/>
                <w:bCs/>
                <w:color w:val="000000"/>
                <w:spacing w:val="11"/>
                <w:position w:val="0"/>
                <w:sz w:val="24"/>
                <w:szCs w:val="24"/>
                <w:u w:val="single" w:color="auto"/>
                <w:lang w:val="en-US" w:eastAsia="zh-CN"/>
              </w:rPr>
              <w:t>t/a，经危废暂存间暂存后委托有资质单位处置。</w:t>
            </w:r>
          </w:p>
          <w:p w14:paraId="00C8A77A">
            <w:pPr>
              <w:pStyle w:val="70"/>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在落实以上措施后，此部分固废不会对周边环境产生明显影响。</w:t>
            </w:r>
          </w:p>
          <w:p w14:paraId="49030AF3">
            <w:pPr>
              <w:pStyle w:val="70"/>
              <w:keepNext w:val="0"/>
              <w:keepLines w:val="0"/>
              <w:pageBreakBefore w:val="0"/>
              <w:widowControl/>
              <w:numPr>
                <w:ilvl w:val="0"/>
                <w:numId w:val="0"/>
              </w:numPr>
              <w:tabs>
                <w:tab w:val="left" w:pos="4831"/>
              </w:tabs>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eastAsia" w:ascii="Times New Roman" w:hAnsi="Times New Roman" w:eastAsia="宋体" w:cs="Times New Roman"/>
                <w:b w:val="0"/>
                <w:bCs w:val="0"/>
                <w:color w:val="000000"/>
                <w:spacing w:val="11"/>
                <w:position w:val="0"/>
                <w:sz w:val="24"/>
                <w:szCs w:val="24"/>
                <w:u w:val="none" w:color="auto"/>
                <w:lang w:val="en-US" w:eastAsia="zh-CN"/>
              </w:rPr>
              <w:t>（5）管理要求</w:t>
            </w:r>
          </w:p>
          <w:p w14:paraId="4A463F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1）一般工业固废</w:t>
            </w:r>
          </w:p>
          <w:p w14:paraId="4C5A849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yellow"/>
                <w:u w:val="none" w:color="auto"/>
                <w:lang w:val="en-US" w:eastAsia="zh-CN"/>
              </w:rPr>
            </w:pPr>
            <w:r>
              <w:rPr>
                <w:rFonts w:ascii="Times New Roman" w:hAnsi="Times New Roman" w:eastAsia="宋体" w:cs="Times New Roman"/>
                <w:color w:val="auto"/>
                <w:spacing w:val="11"/>
                <w:position w:val="0"/>
                <w:sz w:val="24"/>
                <w:szCs w:val="24"/>
                <w:highlight w:val="none"/>
                <w:u w:val="none" w:color="auto"/>
              </w:rPr>
              <w:t>项目所有固废要按照“减量化、资源化、无害化”处理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eastAsia="宋体" w:cs="Times New Roman"/>
                <w:color w:val="auto"/>
                <w:spacing w:val="11"/>
                <w:position w:val="0"/>
                <w:sz w:val="24"/>
                <w:szCs w:val="24"/>
                <w:highlight w:val="none"/>
                <w:u w:val="none" w:color="auto"/>
                <w:lang w:val="en-US" w:eastAsia="zh-CN"/>
              </w:rPr>
              <w:t>应</w:t>
            </w:r>
            <w:r>
              <w:rPr>
                <w:rFonts w:ascii="Times New Roman" w:hAnsi="Times New Roman" w:eastAsia="宋体" w:cs="Times New Roman"/>
                <w:color w:val="auto"/>
                <w:spacing w:val="11"/>
                <w:position w:val="0"/>
                <w:sz w:val="24"/>
                <w:szCs w:val="24"/>
                <w:highlight w:val="none"/>
                <w:u w:val="none" w:color="auto"/>
              </w:rPr>
              <w:t>按照</w:t>
            </w:r>
            <w:r>
              <w:rPr>
                <w:rFonts w:hint="default" w:ascii="Times New Roman" w:hAnsi="Times New Roman" w:eastAsia="宋体" w:cs="Times New Roman"/>
                <w:color w:val="auto"/>
                <w:spacing w:val="11"/>
                <w:position w:val="0"/>
                <w:sz w:val="24"/>
                <w:szCs w:val="24"/>
                <w:highlight w:val="none"/>
                <w:u w:val="none" w:color="auto"/>
                <w:lang w:val="en-US" w:eastAsia="zh-CN"/>
              </w:rPr>
              <w:t>《一般工业废物储存、处置场污染控制标准》（GB18599-2020）中规定其贮存过程应满足相应防渗漏、防雨淋、防扬尘等环境保护要求</w:t>
            </w:r>
            <w:r>
              <w:rPr>
                <w:rFonts w:ascii="Times New Roman" w:hAnsi="Times New Roman" w:eastAsia="宋体" w:cs="Times New Roman"/>
                <w:color w:val="auto"/>
                <w:spacing w:val="11"/>
                <w:position w:val="0"/>
                <w:sz w:val="24"/>
                <w:szCs w:val="24"/>
                <w:highlight w:val="none"/>
                <w:u w:val="none" w:color="auto"/>
              </w:rPr>
              <w:t>，固废按相关标准和要求妥善处置</w:t>
            </w:r>
            <w:r>
              <w:rPr>
                <w:rFonts w:hint="default" w:ascii="Times New Roman" w:hAnsi="Times New Roman" w:eastAsia="宋体" w:cs="Times New Roman"/>
                <w:color w:val="auto"/>
                <w:spacing w:val="11"/>
                <w:position w:val="0"/>
                <w:sz w:val="24"/>
                <w:szCs w:val="24"/>
                <w:highlight w:val="none"/>
                <w:u w:val="none" w:color="auto"/>
                <w:lang w:val="en-US" w:eastAsia="zh-CN"/>
              </w:rPr>
              <w:t>。</w:t>
            </w:r>
          </w:p>
          <w:p w14:paraId="2A4454D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2）危险废物</w:t>
            </w:r>
          </w:p>
          <w:p w14:paraId="6D3A54C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建设单位应委托有资质的单位进行处理处置，本项目拟设置危险废物暂存间（</w:t>
            </w:r>
            <w:r>
              <w:rPr>
                <w:rFonts w:hint="eastAsia" w:ascii="Times New Roman" w:hAnsi="Times New Roman" w:cs="Times New Roman"/>
                <w:color w:val="auto"/>
                <w:spacing w:val="11"/>
                <w:position w:val="0"/>
                <w:sz w:val="24"/>
                <w:szCs w:val="24"/>
                <w:highlight w:val="none"/>
                <w:u w:val="none"/>
                <w:lang w:val="en-US" w:eastAsia="zh-CN"/>
              </w:rPr>
              <w:t>2</w:t>
            </w:r>
            <w:r>
              <w:rPr>
                <w:rFonts w:hint="eastAsia" w:ascii="Times New Roman" w:hAnsi="Times New Roman" w:eastAsia="宋体" w:cs="Times New Roman"/>
                <w:color w:val="auto"/>
                <w:spacing w:val="11"/>
                <w:position w:val="0"/>
                <w:sz w:val="24"/>
                <w:szCs w:val="24"/>
                <w:highlight w:val="none"/>
                <w:u w:val="none"/>
                <w:lang w:val="en-US" w:eastAsia="zh-CN"/>
              </w:rPr>
              <w:t>0</w:t>
            </w:r>
            <w:r>
              <w:rPr>
                <w:rFonts w:hint="default" w:ascii="Times New Roman" w:hAnsi="Times New Roman" w:eastAsia="宋体" w:cs="Times New Roman"/>
                <w:color w:val="auto"/>
                <w:spacing w:val="11"/>
                <w:position w:val="0"/>
                <w:sz w:val="24"/>
                <w:szCs w:val="24"/>
                <w:highlight w:val="none"/>
                <w:u w:val="none"/>
                <w:lang w:val="en-US" w:eastAsia="zh-CN"/>
              </w:rPr>
              <w:t>m</w:t>
            </w:r>
            <w:r>
              <w:rPr>
                <w:rFonts w:hint="default" w:ascii="Times New Roman" w:hAnsi="Times New Roman" w:eastAsia="宋体" w:cs="Times New Roman"/>
                <w:color w:val="auto"/>
                <w:spacing w:val="11"/>
                <w:position w:val="0"/>
                <w:sz w:val="24"/>
                <w:szCs w:val="24"/>
                <w:highlight w:val="none"/>
                <w:u w:val="none"/>
                <w:vertAlign w:val="superscript"/>
                <w:lang w:val="en-US" w:eastAsia="zh-CN"/>
              </w:rPr>
              <w:t>2</w:t>
            </w:r>
            <w:r>
              <w:rPr>
                <w:rFonts w:hint="default" w:ascii="Times New Roman" w:hAnsi="Times New Roman" w:eastAsia="宋体" w:cs="Times New Roman"/>
                <w:color w:val="auto"/>
                <w:spacing w:val="11"/>
                <w:position w:val="0"/>
                <w:sz w:val="24"/>
                <w:szCs w:val="24"/>
                <w:highlight w:val="none"/>
                <w:u w:val="none"/>
                <w:lang w:val="en-US" w:eastAsia="zh-CN"/>
              </w:rPr>
              <w:t xml:space="preserve">），并加以防风、防渗、防雨、防晒处理，其储存处设置明显的危险废物临时储存场所标识，并严格按照国家危险废物的相关管理要求及规范进行管理。 </w:t>
            </w:r>
          </w:p>
          <w:p w14:paraId="10A091F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 </w:t>
            </w:r>
          </w:p>
          <w:p w14:paraId="1BB0789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厂内危险废物暂存场所应按照《危险废物贮存污染物控制标准》（GB18597-20</w:t>
            </w:r>
            <w:r>
              <w:rPr>
                <w:rFonts w:hint="eastAsia" w:ascii="Times New Roman" w:hAnsi="Times New Roman" w:eastAsia="宋体" w:cs="Times New Roman"/>
                <w:color w:val="auto"/>
                <w:spacing w:val="11"/>
                <w:position w:val="0"/>
                <w:sz w:val="24"/>
                <w:szCs w:val="24"/>
                <w:highlight w:val="none"/>
                <w:u w:val="none"/>
                <w:lang w:val="en-US" w:eastAsia="zh-CN"/>
              </w:rPr>
              <w:t>23</w:t>
            </w:r>
            <w:r>
              <w:rPr>
                <w:rFonts w:hint="default" w:ascii="Times New Roman" w:hAnsi="Times New Roman" w:eastAsia="宋体" w:cs="Times New Roman"/>
                <w:color w:val="auto"/>
                <w:spacing w:val="11"/>
                <w:position w:val="0"/>
                <w:sz w:val="24"/>
                <w:szCs w:val="24"/>
                <w:highlight w:val="none"/>
                <w:u w:val="none"/>
                <w:lang w:val="en-US" w:eastAsia="zh-CN"/>
              </w:rPr>
              <w:t xml:space="preserve">）及修改单的规定设置，具体要求如下： </w:t>
            </w:r>
          </w:p>
          <w:p w14:paraId="59BC41E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①</w:t>
            </w:r>
            <w:r>
              <w:rPr>
                <w:rFonts w:hint="default" w:ascii="Times New Roman" w:hAnsi="Times New Roman" w:eastAsia="宋体" w:cs="Times New Roman"/>
                <w:color w:val="auto"/>
                <w:spacing w:val="11"/>
                <w:position w:val="0"/>
                <w:sz w:val="24"/>
                <w:szCs w:val="24"/>
                <w:highlight w:val="none"/>
                <w:u w:val="none"/>
                <w:lang w:val="en-US" w:eastAsia="zh-CN"/>
              </w:rPr>
              <w:t xml:space="preserve">所有产生的危险废物均应使用符合标准要求的容器盛装，装载危险废物的容器及材质要满足相应的强度要求，且必须完好无损； </w:t>
            </w:r>
          </w:p>
          <w:p w14:paraId="06E7C54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②</w:t>
            </w:r>
            <w:r>
              <w:rPr>
                <w:rFonts w:hint="default" w:ascii="Times New Roman" w:hAnsi="Times New Roman" w:eastAsia="宋体" w:cs="Times New Roman"/>
                <w:color w:val="auto"/>
                <w:spacing w:val="11"/>
                <w:position w:val="0"/>
                <w:sz w:val="24"/>
                <w:szCs w:val="24"/>
                <w:highlight w:val="none"/>
                <w:u w:val="none"/>
                <w:lang w:val="en-US" w:eastAsia="zh-CN"/>
              </w:rPr>
              <w:t xml:space="preserve">禁止将不相容（相互反应）的危险废物在同一容器内混装，装危险废物的容器上必须粘贴符合标准附录A所示的标签； </w:t>
            </w:r>
          </w:p>
          <w:p w14:paraId="6B3E003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③</w:t>
            </w:r>
            <w:r>
              <w:rPr>
                <w:rFonts w:hint="default" w:ascii="Times New Roman" w:hAnsi="Times New Roman" w:eastAsia="宋体" w:cs="Times New Roman"/>
                <w:color w:val="auto"/>
                <w:spacing w:val="11"/>
                <w:position w:val="0"/>
                <w:sz w:val="24"/>
                <w:szCs w:val="24"/>
                <w:highlight w:val="none"/>
                <w:u w:val="none"/>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14:paraId="01FBB91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④</w:t>
            </w:r>
            <w:r>
              <w:rPr>
                <w:rFonts w:hint="default" w:ascii="Times New Roman" w:hAnsi="Times New Roman" w:eastAsia="宋体" w:cs="Times New Roman"/>
                <w:color w:val="auto"/>
                <w:spacing w:val="11"/>
                <w:position w:val="0"/>
                <w:sz w:val="24"/>
                <w:szCs w:val="24"/>
                <w:highlight w:val="none"/>
                <w:u w:val="none"/>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14:paraId="0480D41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⑤</w:t>
            </w:r>
            <w:r>
              <w:rPr>
                <w:rFonts w:hint="default" w:ascii="Times New Roman" w:hAnsi="Times New Roman" w:eastAsia="宋体" w:cs="Times New Roman"/>
                <w:color w:val="auto"/>
                <w:spacing w:val="11"/>
                <w:position w:val="0"/>
                <w:sz w:val="24"/>
                <w:szCs w:val="24"/>
                <w:highlight w:val="none"/>
                <w:u w:val="none"/>
                <w:lang w:val="en-US" w:eastAsia="zh-CN"/>
              </w:rPr>
              <w:t xml:space="preserve">必须定期对贮存的危险废物包装容器及贮存设施进行检查，发现破损，应及时采取措施清理更换； </w:t>
            </w:r>
          </w:p>
          <w:p w14:paraId="0EC7BC3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⑥</w:t>
            </w:r>
            <w:r>
              <w:rPr>
                <w:rFonts w:hint="default" w:ascii="Times New Roman" w:hAnsi="Times New Roman" w:eastAsia="宋体" w:cs="Times New Roman"/>
                <w:color w:val="auto"/>
                <w:spacing w:val="11"/>
                <w:position w:val="0"/>
                <w:sz w:val="24"/>
                <w:szCs w:val="24"/>
                <w:highlight w:val="none"/>
                <w:u w:val="none"/>
                <w:lang w:val="en-US" w:eastAsia="zh-CN"/>
              </w:rPr>
              <w:t>危险废物贮存设施必须按照《环境保护图形标志 固体废物贮存（处置）场》（GB15562.2‐1995）</w:t>
            </w:r>
            <w:r>
              <w:rPr>
                <w:rFonts w:hint="eastAsia" w:ascii="Times New Roman" w:hAnsi="Times New Roman" w:eastAsia="宋体" w:cs="Times New Roman"/>
                <w:color w:val="auto"/>
                <w:spacing w:val="11"/>
                <w:position w:val="0"/>
                <w:sz w:val="24"/>
                <w:szCs w:val="24"/>
                <w:highlight w:val="none"/>
                <w:u w:val="none"/>
                <w:lang w:val="en-US" w:eastAsia="zh-CN"/>
              </w:rPr>
              <w:t>及修改清单</w:t>
            </w:r>
            <w:r>
              <w:rPr>
                <w:rFonts w:hint="default" w:ascii="Times New Roman" w:hAnsi="Times New Roman" w:eastAsia="宋体" w:cs="Times New Roman"/>
                <w:color w:val="auto"/>
                <w:spacing w:val="11"/>
                <w:position w:val="0"/>
                <w:sz w:val="24"/>
                <w:szCs w:val="24"/>
                <w:highlight w:val="none"/>
                <w:u w:val="none"/>
                <w:lang w:val="en-US" w:eastAsia="zh-CN"/>
              </w:rPr>
              <w:t>的规定设置警示标志。</w:t>
            </w:r>
          </w:p>
          <w:p w14:paraId="0F14DCAE">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lang w:val="en-US" w:eastAsia="zh-CN"/>
              </w:rPr>
            </w:pPr>
            <w:r>
              <w:rPr>
                <w:rFonts w:hint="default" w:ascii="Times New Roman" w:hAnsi="Times New Roman" w:eastAsia="宋体" w:cs="Times New Roman"/>
                <w:b/>
                <w:bCs/>
                <w:color w:val="auto"/>
                <w:spacing w:val="11"/>
                <w:position w:val="0"/>
                <w:sz w:val="24"/>
                <w:szCs w:val="24"/>
                <w:highlight w:val="none"/>
                <w:u w:val="none"/>
                <w:lang w:val="en-US" w:eastAsia="zh-CN"/>
              </w:rPr>
              <w:t xml:space="preserve">危险固废相关管理计划： </w:t>
            </w:r>
          </w:p>
          <w:p w14:paraId="4EF2804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①</w:t>
            </w:r>
            <w:r>
              <w:rPr>
                <w:rFonts w:hint="default" w:ascii="Times New Roman" w:hAnsi="Times New Roman" w:eastAsia="宋体" w:cs="Times New Roman"/>
                <w:color w:val="auto"/>
                <w:spacing w:val="11"/>
                <w:position w:val="0"/>
                <w:sz w:val="24"/>
                <w:szCs w:val="24"/>
                <w:highlight w:val="none"/>
                <w:u w:val="none"/>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14:paraId="1A17192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②</w:t>
            </w:r>
            <w:r>
              <w:rPr>
                <w:rFonts w:hint="default" w:ascii="Times New Roman" w:hAnsi="Times New Roman" w:eastAsia="宋体" w:cs="Times New Roman"/>
                <w:color w:val="auto"/>
                <w:spacing w:val="11"/>
                <w:position w:val="0"/>
                <w:sz w:val="24"/>
                <w:szCs w:val="24"/>
                <w:highlight w:val="none"/>
                <w:u w:val="none"/>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14:paraId="0AA06AD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14:paraId="2802BEC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通过采取上述措施后，本项目固体废物均可得到妥善的处理，对区域环境影响较小。</w:t>
            </w:r>
          </w:p>
          <w:p w14:paraId="1D15A998">
            <w:pPr>
              <w:pStyle w:val="38"/>
              <w:keepNext w:val="0"/>
              <w:keepLines w:val="0"/>
              <w:pageBreakBefore w:val="0"/>
              <w:widowControl w:val="0"/>
              <w:kinsoku/>
              <w:wordWrap/>
              <w:overflowPunct/>
              <w:topLinePunct w:val="0"/>
              <w:autoSpaceDE w:val="0"/>
              <w:autoSpaceDN w:val="0"/>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single" w:color="auto"/>
                <w:lang w:val="en-US" w:eastAsia="zh-CN"/>
              </w:rPr>
            </w:pPr>
            <w:r>
              <w:rPr>
                <w:rFonts w:hint="eastAsia" w:ascii="Times New Roman" w:cs="Times New Roman"/>
                <w:b/>
                <w:bCs/>
                <w:color w:val="auto"/>
                <w:spacing w:val="11"/>
                <w:position w:val="0"/>
                <w:sz w:val="24"/>
                <w:szCs w:val="24"/>
                <w:highlight w:val="none"/>
                <w:u w:val="single" w:color="auto"/>
                <w:lang w:val="en-US" w:eastAsia="zh-CN"/>
              </w:rPr>
              <w:t>5、三本账分析</w:t>
            </w:r>
          </w:p>
          <w:p w14:paraId="713F1E73">
            <w:pPr>
              <w:adjustRightInd w:val="0"/>
              <w:snapToGrid w:val="0"/>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eastAsia="宋体" w:cs="Times New Roman"/>
                <w:b/>
                <w:bCs/>
                <w:color w:val="auto"/>
                <w:spacing w:val="11"/>
                <w:position w:val="0"/>
                <w:sz w:val="21"/>
                <w:szCs w:val="21"/>
                <w:highlight w:val="none"/>
                <w:u w:val="single" w:color="auto"/>
                <w:lang w:val="en-US" w:eastAsia="zh-CN"/>
              </w:rPr>
              <w:t>6</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项目建成后污染物排放“三本帐"一览表</w:t>
            </w:r>
          </w:p>
          <w:tbl>
            <w:tblPr>
              <w:tblStyle w:val="3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2"/>
              <w:gridCol w:w="464"/>
              <w:gridCol w:w="941"/>
              <w:gridCol w:w="927"/>
              <w:gridCol w:w="908"/>
              <w:gridCol w:w="678"/>
              <w:gridCol w:w="1148"/>
              <w:gridCol w:w="1216"/>
              <w:gridCol w:w="1276"/>
            </w:tblGrid>
            <w:tr w14:paraId="179A6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5" w:type="pct"/>
                  <w:gridSpan w:val="3"/>
                  <w:tcBorders>
                    <w:tl2br w:val="nil"/>
                    <w:tr2bl w:val="nil"/>
                  </w:tcBorders>
                  <w:vAlign w:val="center"/>
                </w:tcPr>
                <w:p w14:paraId="60AEDB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85" w:type="pct"/>
                  <w:tcBorders>
                    <w:tl2br w:val="nil"/>
                    <w:tr2bl w:val="nil"/>
                  </w:tcBorders>
                  <w:vAlign w:val="center"/>
                </w:tcPr>
                <w:p w14:paraId="45C16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3" w:type="pct"/>
                  <w:tcBorders>
                    <w:tl2br w:val="nil"/>
                    <w:tr2bl w:val="nil"/>
                  </w:tcBorders>
                  <w:vAlign w:val="center"/>
                </w:tcPr>
                <w:p w14:paraId="31FDF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428" w:type="pct"/>
                  <w:tcBorders>
                    <w:tl2br w:val="nil"/>
                    <w:tr2bl w:val="nil"/>
                  </w:tcBorders>
                  <w:vAlign w:val="center"/>
                </w:tcPr>
                <w:p w14:paraId="25204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eastAsia="宋体"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724" w:type="pct"/>
                  <w:tcBorders>
                    <w:tl2br w:val="nil"/>
                    <w:tr2bl w:val="nil"/>
                  </w:tcBorders>
                  <w:vAlign w:val="center"/>
                </w:tcPr>
                <w:p w14:paraId="6BDA5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7" w:type="pct"/>
                  <w:tcBorders>
                    <w:tl2br w:val="nil"/>
                    <w:tr2bl w:val="nil"/>
                  </w:tcBorders>
                  <w:vAlign w:val="center"/>
                </w:tcPr>
                <w:p w14:paraId="0B59D7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w:t>
                  </w:r>
                  <w:r>
                    <w:rPr>
                      <w:rFonts w:hint="eastAsia" w:eastAsia="宋体" w:cs="Times New Roman"/>
                      <w:color w:val="auto"/>
                      <w:spacing w:val="11"/>
                      <w:position w:val="0"/>
                      <w:sz w:val="21"/>
                      <w:szCs w:val="21"/>
                      <w:highlight w:val="none"/>
                      <w:u w:val="single" w:color="auto"/>
                      <w:lang w:val="en-US" w:eastAsia="zh-CN"/>
                    </w:rPr>
                    <w:t>厂</w:t>
                  </w:r>
                  <w:r>
                    <w:rPr>
                      <w:rFonts w:hint="default" w:ascii="Times New Roman" w:hAnsi="Times New Roman" w:eastAsia="宋体" w:cs="Times New Roman"/>
                      <w:color w:val="auto"/>
                      <w:spacing w:val="11"/>
                      <w:position w:val="0"/>
                      <w:sz w:val="21"/>
                      <w:szCs w:val="21"/>
                      <w:highlight w:val="none"/>
                      <w:u w:val="single" w:color="auto"/>
                      <w:lang w:val="en-US" w:eastAsia="zh-CN"/>
                    </w:rPr>
                    <w:t>排放量</w:t>
                  </w:r>
                </w:p>
              </w:tc>
              <w:tc>
                <w:tcPr>
                  <w:tcW w:w="805" w:type="pct"/>
                  <w:tcBorders>
                    <w:tl2br w:val="nil"/>
                    <w:tr2bl w:val="nil"/>
                  </w:tcBorders>
                  <w:vAlign w:val="center"/>
                </w:tcPr>
                <w:p w14:paraId="14850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yellow"/>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14:paraId="364E1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restart"/>
                  <w:tcBorders>
                    <w:tl2br w:val="nil"/>
                    <w:tr2bl w:val="nil"/>
                  </w:tcBorders>
                  <w:vAlign w:val="center"/>
                </w:tcPr>
                <w:p w14:paraId="6EAAD40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85" w:type="pct"/>
                  <w:tcBorders>
                    <w:tl2br w:val="nil"/>
                    <w:tr2bl w:val="nil"/>
                  </w:tcBorders>
                  <w:shd w:val="clear" w:color="auto" w:fill="auto"/>
                  <w:vAlign w:val="center"/>
                </w:tcPr>
                <w:p w14:paraId="5742C78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COD</w:t>
                  </w:r>
                  <w:r>
                    <w:rPr>
                      <w:rFonts w:ascii="Times New Roman" w:hAnsi="Times New Roman" w:eastAsia="宋体" w:cs="Times New Roman"/>
                      <w:b w:val="0"/>
                      <w:bCs w:val="0"/>
                      <w:color w:val="000000"/>
                      <w:sz w:val="21"/>
                      <w:szCs w:val="21"/>
                      <w:highlight w:val="none"/>
                      <w:u w:val="single" w:color="auto"/>
                      <w:vertAlign w:val="subscript"/>
                    </w:rPr>
                    <w:t>Cr</w:t>
                  </w:r>
                </w:p>
              </w:tc>
              <w:tc>
                <w:tcPr>
                  <w:tcW w:w="573" w:type="pct"/>
                  <w:tcBorders>
                    <w:tl2br w:val="nil"/>
                    <w:tr2bl w:val="nil"/>
                  </w:tcBorders>
                  <w:shd w:val="clear" w:color="auto" w:fill="auto"/>
                  <w:vAlign w:val="center"/>
                </w:tcPr>
                <w:p w14:paraId="739A6BF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0.057t/a</w:t>
                  </w:r>
                </w:p>
              </w:tc>
              <w:tc>
                <w:tcPr>
                  <w:tcW w:w="428" w:type="pct"/>
                  <w:tcBorders>
                    <w:tl2br w:val="nil"/>
                    <w:tr2bl w:val="nil"/>
                  </w:tcBorders>
                  <w:vAlign w:val="center"/>
                </w:tcPr>
                <w:p w14:paraId="6E7B6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38133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767" w:type="pct"/>
                  <w:tcBorders>
                    <w:tl2br w:val="nil"/>
                    <w:tr2bl w:val="nil"/>
                  </w:tcBorders>
                  <w:shd w:val="clear" w:color="auto" w:fill="auto"/>
                  <w:vAlign w:val="center"/>
                </w:tcPr>
                <w:p w14:paraId="624A5F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805" w:type="pct"/>
                  <w:tcBorders>
                    <w:tl2br w:val="nil"/>
                    <w:tr2bl w:val="nil"/>
                  </w:tcBorders>
                  <w:shd w:val="clear" w:color="auto" w:fill="auto"/>
                  <w:vAlign w:val="center"/>
                </w:tcPr>
                <w:p w14:paraId="2A215D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0.0294</w:t>
                  </w:r>
                </w:p>
              </w:tc>
            </w:tr>
            <w:tr w14:paraId="2A484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1FE1339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14:paraId="4B389CC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BOD</w:t>
                  </w:r>
                  <w:r>
                    <w:rPr>
                      <w:rFonts w:ascii="Times New Roman" w:hAnsi="Times New Roman" w:eastAsia="宋体" w:cs="Times New Roman"/>
                      <w:b w:val="0"/>
                      <w:bCs w:val="0"/>
                      <w:color w:val="000000"/>
                      <w:sz w:val="21"/>
                      <w:szCs w:val="21"/>
                      <w:highlight w:val="none"/>
                      <w:u w:val="single" w:color="auto"/>
                      <w:vertAlign w:val="subscript"/>
                    </w:rPr>
                    <w:t>5</w:t>
                  </w:r>
                </w:p>
              </w:tc>
              <w:tc>
                <w:tcPr>
                  <w:tcW w:w="573" w:type="pct"/>
                  <w:tcBorders>
                    <w:tl2br w:val="nil"/>
                    <w:tr2bl w:val="nil"/>
                  </w:tcBorders>
                  <w:shd w:val="clear" w:color="auto" w:fill="auto"/>
                  <w:vAlign w:val="center"/>
                </w:tcPr>
                <w:p w14:paraId="512A6DA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0.041t/a</w:t>
                  </w:r>
                </w:p>
              </w:tc>
              <w:tc>
                <w:tcPr>
                  <w:tcW w:w="428" w:type="pct"/>
                  <w:tcBorders>
                    <w:tl2br w:val="nil"/>
                    <w:tr2bl w:val="nil"/>
                  </w:tcBorders>
                  <w:vAlign w:val="center"/>
                </w:tcPr>
                <w:p w14:paraId="4F79B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02364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0.0432t/a</w:t>
                  </w:r>
                </w:p>
              </w:tc>
              <w:tc>
                <w:tcPr>
                  <w:tcW w:w="767" w:type="pct"/>
                  <w:tcBorders>
                    <w:tl2br w:val="nil"/>
                    <w:tr2bl w:val="nil"/>
                  </w:tcBorders>
                  <w:shd w:val="clear" w:color="auto" w:fill="auto"/>
                  <w:vAlign w:val="center"/>
                </w:tcPr>
                <w:p w14:paraId="79440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0.0432t/a</w:t>
                  </w:r>
                </w:p>
              </w:tc>
              <w:tc>
                <w:tcPr>
                  <w:tcW w:w="805" w:type="pct"/>
                  <w:tcBorders>
                    <w:tl2br w:val="nil"/>
                    <w:tr2bl w:val="nil"/>
                  </w:tcBorders>
                  <w:shd w:val="clear" w:color="auto" w:fill="auto"/>
                  <w:vAlign w:val="center"/>
                </w:tcPr>
                <w:p w14:paraId="16473B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0.0022</w:t>
                  </w:r>
                </w:p>
              </w:tc>
            </w:tr>
            <w:tr w14:paraId="4E252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1DB46C3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14:paraId="6B25099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NH</w:t>
                  </w:r>
                  <w:r>
                    <w:rPr>
                      <w:rFonts w:ascii="Times New Roman" w:hAnsi="Times New Roman" w:eastAsia="宋体" w:cs="Times New Roman"/>
                      <w:b w:val="0"/>
                      <w:bCs w:val="0"/>
                      <w:color w:val="000000"/>
                      <w:sz w:val="21"/>
                      <w:szCs w:val="21"/>
                      <w:highlight w:val="none"/>
                      <w:u w:val="single" w:color="auto"/>
                      <w:vertAlign w:val="subscript"/>
                    </w:rPr>
                    <w:t>3</w:t>
                  </w:r>
                  <w:r>
                    <w:rPr>
                      <w:rFonts w:ascii="Times New Roman" w:hAnsi="Times New Roman" w:eastAsia="宋体" w:cs="Times New Roman"/>
                      <w:b w:val="0"/>
                      <w:bCs w:val="0"/>
                      <w:color w:val="000000"/>
                      <w:sz w:val="21"/>
                      <w:szCs w:val="21"/>
                      <w:highlight w:val="none"/>
                      <w:u w:val="single" w:color="auto"/>
                    </w:rPr>
                    <w:t>-N</w:t>
                  </w:r>
                </w:p>
              </w:tc>
              <w:tc>
                <w:tcPr>
                  <w:tcW w:w="573" w:type="pct"/>
                  <w:tcBorders>
                    <w:tl2br w:val="nil"/>
                    <w:tr2bl w:val="nil"/>
                  </w:tcBorders>
                  <w:shd w:val="clear" w:color="auto" w:fill="auto"/>
                  <w:vAlign w:val="center"/>
                </w:tcPr>
                <w:p w14:paraId="4D5663E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0.006t/a</w:t>
                  </w:r>
                </w:p>
              </w:tc>
              <w:tc>
                <w:tcPr>
                  <w:tcW w:w="428" w:type="pct"/>
                  <w:tcBorders>
                    <w:tl2br w:val="nil"/>
                    <w:tr2bl w:val="nil"/>
                  </w:tcBorders>
                  <w:vAlign w:val="center"/>
                </w:tcPr>
                <w:p w14:paraId="44AF7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23F13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0.00864t/a</w:t>
                  </w:r>
                </w:p>
              </w:tc>
              <w:tc>
                <w:tcPr>
                  <w:tcW w:w="767" w:type="pct"/>
                  <w:tcBorders>
                    <w:tl2br w:val="nil"/>
                    <w:tr2bl w:val="nil"/>
                  </w:tcBorders>
                  <w:shd w:val="clear" w:color="auto" w:fill="auto"/>
                  <w:vAlign w:val="center"/>
                </w:tcPr>
                <w:p w14:paraId="3C797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0.00864t/a</w:t>
                  </w:r>
                </w:p>
              </w:tc>
              <w:tc>
                <w:tcPr>
                  <w:tcW w:w="805" w:type="pct"/>
                  <w:tcBorders>
                    <w:tl2br w:val="nil"/>
                    <w:tr2bl w:val="nil"/>
                  </w:tcBorders>
                  <w:shd w:val="clear" w:color="auto" w:fill="auto"/>
                  <w:vAlign w:val="center"/>
                </w:tcPr>
                <w:p w14:paraId="6A7A33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0.00264</w:t>
                  </w:r>
                </w:p>
              </w:tc>
            </w:tr>
            <w:tr w14:paraId="110F2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2938855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14:paraId="2E64FCF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SS</w:t>
                  </w:r>
                </w:p>
              </w:tc>
              <w:tc>
                <w:tcPr>
                  <w:tcW w:w="573" w:type="pct"/>
                  <w:tcBorders>
                    <w:tl2br w:val="nil"/>
                    <w:tr2bl w:val="nil"/>
                  </w:tcBorders>
                  <w:shd w:val="clear" w:color="auto" w:fill="auto"/>
                  <w:vAlign w:val="center"/>
                </w:tcPr>
                <w:p w14:paraId="22AA539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0.046t/a</w:t>
                  </w:r>
                </w:p>
              </w:tc>
              <w:tc>
                <w:tcPr>
                  <w:tcW w:w="428" w:type="pct"/>
                  <w:tcBorders>
                    <w:tl2br w:val="nil"/>
                    <w:tr2bl w:val="nil"/>
                  </w:tcBorders>
                  <w:vAlign w:val="center"/>
                </w:tcPr>
                <w:p w14:paraId="6DFBB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09409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767" w:type="pct"/>
                  <w:tcBorders>
                    <w:tl2br w:val="nil"/>
                    <w:tr2bl w:val="nil"/>
                  </w:tcBorders>
                  <w:shd w:val="clear" w:color="auto" w:fill="auto"/>
                  <w:vAlign w:val="center"/>
                </w:tcPr>
                <w:p w14:paraId="45368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805" w:type="pct"/>
                  <w:tcBorders>
                    <w:tl2br w:val="nil"/>
                    <w:tr2bl w:val="nil"/>
                  </w:tcBorders>
                  <w:shd w:val="clear" w:color="auto" w:fill="auto"/>
                  <w:vAlign w:val="center"/>
                </w:tcPr>
                <w:p w14:paraId="60C053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0.0404</w:t>
                  </w:r>
                </w:p>
              </w:tc>
            </w:tr>
            <w:tr w14:paraId="69B3B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restart"/>
                  <w:tcBorders>
                    <w:tl2br w:val="nil"/>
                    <w:tr2bl w:val="nil"/>
                  </w:tcBorders>
                  <w:vAlign w:val="center"/>
                </w:tcPr>
                <w:p w14:paraId="650B3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92" w:type="pct"/>
                  <w:tcBorders>
                    <w:tl2br w:val="nil"/>
                    <w:tr2bl w:val="nil"/>
                  </w:tcBorders>
                  <w:vAlign w:val="center"/>
                </w:tcPr>
                <w:p w14:paraId="71C5D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594" w:type="pct"/>
                  <w:tcBorders>
                    <w:tl2br w:val="nil"/>
                    <w:tr2bl w:val="nil"/>
                  </w:tcBorders>
                  <w:shd w:val="clear" w:color="auto" w:fill="auto"/>
                  <w:vAlign w:val="center"/>
                </w:tcPr>
                <w:p w14:paraId="7F7469C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破碎筛分区</w:t>
                  </w:r>
                </w:p>
              </w:tc>
              <w:tc>
                <w:tcPr>
                  <w:tcW w:w="585" w:type="pct"/>
                  <w:tcBorders>
                    <w:tl2br w:val="nil"/>
                    <w:tr2bl w:val="nil"/>
                  </w:tcBorders>
                  <w:shd w:val="clear" w:color="auto" w:fill="auto"/>
                  <w:vAlign w:val="center"/>
                </w:tcPr>
                <w:p w14:paraId="79A6980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vAlign w:val="center"/>
                </w:tcPr>
                <w:p w14:paraId="38128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0.2234t/a</w:t>
                  </w:r>
                </w:p>
              </w:tc>
              <w:tc>
                <w:tcPr>
                  <w:tcW w:w="428" w:type="pct"/>
                  <w:tcBorders>
                    <w:tl2br w:val="nil"/>
                    <w:tr2bl w:val="nil"/>
                  </w:tcBorders>
                  <w:vAlign w:val="center"/>
                </w:tcPr>
                <w:p w14:paraId="35D48B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750F9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6</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767" w:type="pct"/>
                  <w:tcBorders>
                    <w:tl2br w:val="nil"/>
                    <w:tr2bl w:val="nil"/>
                  </w:tcBorders>
                  <w:shd w:val="clear" w:color="auto" w:fill="auto"/>
                  <w:vAlign w:val="center"/>
                </w:tcPr>
                <w:p w14:paraId="492AA2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6</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805" w:type="pct"/>
                  <w:tcBorders>
                    <w:tl2br w:val="nil"/>
                    <w:tr2bl w:val="nil"/>
                  </w:tcBorders>
                  <w:shd w:val="clear" w:color="auto" w:fill="auto"/>
                  <w:vAlign w:val="center"/>
                </w:tcPr>
                <w:p w14:paraId="155B6A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5.7766</w:t>
                  </w:r>
                </w:p>
              </w:tc>
            </w:tr>
            <w:tr w14:paraId="06DB1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1D072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restart"/>
                  <w:tcBorders>
                    <w:tl2br w:val="nil"/>
                    <w:tr2bl w:val="nil"/>
                  </w:tcBorders>
                  <w:vAlign w:val="center"/>
                </w:tcPr>
                <w:p w14:paraId="72375B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594" w:type="pct"/>
                  <w:tcBorders>
                    <w:tl2br w:val="nil"/>
                    <w:tr2bl w:val="nil"/>
                  </w:tcBorders>
                  <w:shd w:val="clear" w:color="auto" w:fill="auto"/>
                  <w:vAlign w:val="center"/>
                </w:tcPr>
                <w:p w14:paraId="736546F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single" w:color="auto"/>
                      <w:lang w:val="en-US" w:eastAsia="zh-CN"/>
                    </w:rPr>
                  </w:pPr>
                  <w:r>
                    <w:rPr>
                      <w:rFonts w:hint="eastAsia" w:eastAsia="宋体" w:cs="Times New Roman"/>
                      <w:color w:val="000000"/>
                      <w:sz w:val="21"/>
                      <w:szCs w:val="24"/>
                      <w:highlight w:val="none"/>
                      <w:u w:val="single" w:color="auto"/>
                      <w:lang w:val="en-US" w:eastAsia="zh-CN"/>
                    </w:rPr>
                    <w:t>水稳拌合</w:t>
                  </w:r>
                </w:p>
              </w:tc>
              <w:tc>
                <w:tcPr>
                  <w:tcW w:w="585" w:type="pct"/>
                  <w:tcBorders>
                    <w:tl2br w:val="nil"/>
                    <w:tr2bl w:val="nil"/>
                  </w:tcBorders>
                  <w:shd w:val="clear" w:color="auto" w:fill="auto"/>
                  <w:vAlign w:val="center"/>
                </w:tcPr>
                <w:p w14:paraId="1089F93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single" w:color="auto"/>
                      <w:lang w:val="en-US" w:eastAsia="zh-CN"/>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vAlign w:val="center"/>
                </w:tcPr>
                <w:p w14:paraId="57BCE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428" w:type="pct"/>
                  <w:tcBorders>
                    <w:tl2br w:val="nil"/>
                    <w:tr2bl w:val="nil"/>
                  </w:tcBorders>
                  <w:vAlign w:val="center"/>
                </w:tcPr>
                <w:p w14:paraId="4C4782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42A78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0.008t/a</w:t>
                  </w:r>
                </w:p>
              </w:tc>
              <w:tc>
                <w:tcPr>
                  <w:tcW w:w="767" w:type="pct"/>
                  <w:tcBorders>
                    <w:tl2br w:val="nil"/>
                    <w:tr2bl w:val="nil"/>
                  </w:tcBorders>
                  <w:shd w:val="clear" w:color="auto" w:fill="auto"/>
                  <w:vAlign w:val="center"/>
                </w:tcPr>
                <w:p w14:paraId="66A49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0.008t/a</w:t>
                  </w:r>
                </w:p>
              </w:tc>
              <w:tc>
                <w:tcPr>
                  <w:tcW w:w="805" w:type="pct"/>
                  <w:tcBorders>
                    <w:tl2br w:val="nil"/>
                    <w:tr2bl w:val="nil"/>
                  </w:tcBorders>
                  <w:shd w:val="clear" w:color="auto" w:fill="auto"/>
                  <w:vAlign w:val="center"/>
                </w:tcPr>
                <w:p w14:paraId="264D0DB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+0.008</w:t>
                  </w:r>
                </w:p>
              </w:tc>
            </w:tr>
            <w:tr w14:paraId="4C08A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0A990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14:paraId="12D9B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vAlign w:val="center"/>
                </w:tcPr>
                <w:p w14:paraId="1A15CD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开采工作面</w:t>
                  </w:r>
                </w:p>
              </w:tc>
              <w:tc>
                <w:tcPr>
                  <w:tcW w:w="585" w:type="pct"/>
                  <w:tcBorders>
                    <w:tl2br w:val="nil"/>
                    <w:tr2bl w:val="nil"/>
                  </w:tcBorders>
                  <w:shd w:val="clear" w:color="auto" w:fill="auto"/>
                  <w:vAlign w:val="center"/>
                </w:tcPr>
                <w:p w14:paraId="2C24106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14:paraId="1C21AAC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2.5t/a</w:t>
                  </w:r>
                </w:p>
              </w:tc>
              <w:tc>
                <w:tcPr>
                  <w:tcW w:w="428" w:type="pct"/>
                  <w:tcBorders>
                    <w:tl2br w:val="nil"/>
                    <w:tr2bl w:val="nil"/>
                  </w:tcBorders>
                  <w:vAlign w:val="center"/>
                </w:tcPr>
                <w:p w14:paraId="5F269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shd w:val="clear" w:color="auto" w:fill="auto"/>
                  <w:vAlign w:val="center"/>
                </w:tcPr>
                <w:p w14:paraId="0BBAEDEF">
                  <w:pPr>
                    <w:adjustRightInd/>
                    <w:snapToGrid/>
                    <w:spacing w:line="240" w:lineRule="auto"/>
                    <w:ind w:firstLine="0" w:firstLineChars="0"/>
                    <w:jc w:val="center"/>
                    <w:rPr>
                      <w:rFonts w:hint="default" w:ascii="Times New Roman" w:hAnsi="Times New Roman" w:eastAsia="宋体" w:cs="Times New Roman"/>
                      <w:spacing w:val="11"/>
                      <w:kern w:val="2"/>
                      <w:sz w:val="21"/>
                      <w:szCs w:val="21"/>
                      <w:highlight w:val="none"/>
                      <w:u w:val="single" w:color="auto"/>
                      <w:lang w:val="en-US" w:eastAsia="zh-CN" w:bidi="ar-SA"/>
                    </w:rPr>
                  </w:pPr>
                  <w:r>
                    <w:rPr>
                      <w:rFonts w:hint="eastAsia" w:eastAsia="宋体" w:cs="Times New Roman"/>
                      <w:spacing w:val="11"/>
                      <w:kern w:val="2"/>
                      <w:sz w:val="21"/>
                      <w:szCs w:val="21"/>
                      <w:highlight w:val="none"/>
                      <w:u w:val="single" w:color="auto"/>
                      <w:lang w:val="en-US" w:eastAsia="zh-CN" w:bidi="ar-SA"/>
                    </w:rPr>
                    <w:t>10.086t/a</w:t>
                  </w:r>
                </w:p>
              </w:tc>
              <w:tc>
                <w:tcPr>
                  <w:tcW w:w="767" w:type="pct"/>
                  <w:tcBorders>
                    <w:tl2br w:val="nil"/>
                    <w:tr2bl w:val="nil"/>
                  </w:tcBorders>
                  <w:shd w:val="clear" w:color="auto" w:fill="auto"/>
                  <w:vAlign w:val="center"/>
                </w:tcPr>
                <w:p w14:paraId="2ED16F5A">
                  <w:pPr>
                    <w:adjustRightInd/>
                    <w:snapToGrid/>
                    <w:spacing w:line="240" w:lineRule="auto"/>
                    <w:ind w:firstLine="0" w:firstLineChars="0"/>
                    <w:jc w:val="center"/>
                    <w:rPr>
                      <w:rFonts w:hint="default" w:ascii="Times New Roman" w:hAnsi="Times New Roman" w:eastAsia="宋体" w:cs="Times New Roman"/>
                      <w:spacing w:val="11"/>
                      <w:kern w:val="2"/>
                      <w:sz w:val="21"/>
                      <w:szCs w:val="21"/>
                      <w:highlight w:val="none"/>
                      <w:u w:val="single" w:color="auto"/>
                      <w:lang w:val="en-US" w:eastAsia="zh-CN" w:bidi="ar-SA"/>
                    </w:rPr>
                  </w:pPr>
                  <w:r>
                    <w:rPr>
                      <w:rFonts w:hint="eastAsia" w:eastAsia="宋体" w:cs="Times New Roman"/>
                      <w:spacing w:val="11"/>
                      <w:kern w:val="2"/>
                      <w:sz w:val="21"/>
                      <w:szCs w:val="21"/>
                      <w:highlight w:val="none"/>
                      <w:u w:val="single" w:color="auto"/>
                      <w:lang w:val="en-US" w:eastAsia="zh-CN" w:bidi="ar-SA"/>
                    </w:rPr>
                    <w:t>10.086t/a</w:t>
                  </w:r>
                </w:p>
              </w:tc>
              <w:tc>
                <w:tcPr>
                  <w:tcW w:w="805" w:type="pct"/>
                  <w:tcBorders>
                    <w:tl2br w:val="nil"/>
                    <w:tr2bl w:val="nil"/>
                  </w:tcBorders>
                  <w:shd w:val="clear" w:color="auto" w:fill="auto"/>
                  <w:vAlign w:val="center"/>
                </w:tcPr>
                <w:p w14:paraId="0F5743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+7.586</w:t>
                  </w:r>
                </w:p>
              </w:tc>
            </w:tr>
            <w:tr w14:paraId="2BA46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36382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14:paraId="3825B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shd w:val="clear" w:color="auto" w:fill="auto"/>
                  <w:vAlign w:val="center"/>
                </w:tcPr>
                <w:p w14:paraId="719FFF8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ascii="Times New Roman" w:hAnsi="Times New Roman" w:eastAsia="宋体" w:cs="Times New Roman"/>
                      <w:color w:val="000000"/>
                      <w:sz w:val="21"/>
                      <w:szCs w:val="24"/>
                      <w:highlight w:val="none"/>
                      <w:u w:val="single" w:color="auto"/>
                      <w:lang w:val="en-US" w:eastAsia="zh-CN"/>
                    </w:rPr>
                    <w:t>产品堆场</w:t>
                  </w:r>
                </w:p>
              </w:tc>
              <w:tc>
                <w:tcPr>
                  <w:tcW w:w="585" w:type="pct"/>
                  <w:tcBorders>
                    <w:tl2br w:val="nil"/>
                    <w:tr2bl w:val="nil"/>
                  </w:tcBorders>
                  <w:shd w:val="clear" w:color="auto" w:fill="auto"/>
                  <w:vAlign w:val="center"/>
                </w:tcPr>
                <w:p w14:paraId="10A7492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14:paraId="225B1FA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1.892t/a</w:t>
                  </w:r>
                </w:p>
              </w:tc>
              <w:tc>
                <w:tcPr>
                  <w:tcW w:w="428" w:type="pct"/>
                  <w:tcBorders>
                    <w:tl2br w:val="nil"/>
                    <w:tr2bl w:val="nil"/>
                  </w:tcBorders>
                  <w:vAlign w:val="center"/>
                </w:tcPr>
                <w:p w14:paraId="0FB83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4C22D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0.003816t/a</w:t>
                  </w:r>
                </w:p>
              </w:tc>
              <w:tc>
                <w:tcPr>
                  <w:tcW w:w="767" w:type="pct"/>
                  <w:tcBorders>
                    <w:tl2br w:val="nil"/>
                    <w:tr2bl w:val="nil"/>
                  </w:tcBorders>
                  <w:shd w:val="clear" w:color="auto" w:fill="auto"/>
                  <w:vAlign w:val="center"/>
                </w:tcPr>
                <w:p w14:paraId="004FD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0.003816t/a</w:t>
                  </w:r>
                </w:p>
              </w:tc>
              <w:tc>
                <w:tcPr>
                  <w:tcW w:w="805" w:type="pct"/>
                  <w:tcBorders>
                    <w:tl2br w:val="nil"/>
                    <w:tr2bl w:val="nil"/>
                  </w:tcBorders>
                  <w:shd w:val="clear" w:color="auto" w:fill="auto"/>
                  <w:vAlign w:val="center"/>
                </w:tcPr>
                <w:p w14:paraId="39CAD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-1.888184</w:t>
                  </w:r>
                </w:p>
              </w:tc>
            </w:tr>
            <w:tr w14:paraId="68C53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35E95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14:paraId="5BCCD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vAlign w:val="center"/>
                </w:tcPr>
                <w:p w14:paraId="4A2F7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开采区、排土场</w:t>
                  </w:r>
                </w:p>
              </w:tc>
              <w:tc>
                <w:tcPr>
                  <w:tcW w:w="585" w:type="pct"/>
                  <w:tcBorders>
                    <w:tl2br w:val="nil"/>
                    <w:tr2bl w:val="nil"/>
                  </w:tcBorders>
                  <w:shd w:val="clear" w:color="auto" w:fill="auto"/>
                  <w:vAlign w:val="center"/>
                </w:tcPr>
                <w:p w14:paraId="46E25FD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14:paraId="2705B03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较少</w:t>
                  </w:r>
                </w:p>
              </w:tc>
              <w:tc>
                <w:tcPr>
                  <w:tcW w:w="428" w:type="pct"/>
                  <w:tcBorders>
                    <w:tl2br w:val="nil"/>
                    <w:tr2bl w:val="nil"/>
                  </w:tcBorders>
                  <w:vAlign w:val="center"/>
                </w:tcPr>
                <w:p w14:paraId="56367F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shd w:val="clear" w:color="auto" w:fill="auto"/>
                  <w:vAlign w:val="center"/>
                </w:tcPr>
                <w:p w14:paraId="3B3CB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0.17478</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767" w:type="pct"/>
                  <w:tcBorders>
                    <w:tl2br w:val="nil"/>
                    <w:tr2bl w:val="nil"/>
                  </w:tcBorders>
                  <w:shd w:val="clear" w:color="auto" w:fill="auto"/>
                  <w:vAlign w:val="center"/>
                </w:tcPr>
                <w:p w14:paraId="4EC7A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0.17478</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805" w:type="pct"/>
                  <w:tcBorders>
                    <w:tl2br w:val="nil"/>
                    <w:tr2bl w:val="nil"/>
                  </w:tcBorders>
                  <w:vAlign w:val="center"/>
                </w:tcPr>
                <w:p w14:paraId="4BC81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增加少量</w:t>
                  </w:r>
                </w:p>
              </w:tc>
            </w:tr>
            <w:tr w14:paraId="3A677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5799A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14:paraId="16396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vMerge w:val="restart"/>
                  <w:tcBorders>
                    <w:tl2br w:val="nil"/>
                    <w:tr2bl w:val="nil"/>
                  </w:tcBorders>
                  <w:vAlign w:val="center"/>
                </w:tcPr>
                <w:p w14:paraId="6C76C9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机械尾气</w:t>
                  </w:r>
                </w:p>
              </w:tc>
              <w:tc>
                <w:tcPr>
                  <w:tcW w:w="585" w:type="pct"/>
                  <w:tcBorders>
                    <w:tl2br w:val="nil"/>
                    <w:tr2bl w:val="nil"/>
                  </w:tcBorders>
                  <w:shd w:val="clear" w:color="auto" w:fill="auto"/>
                  <w:vAlign w:val="center"/>
                </w:tcPr>
                <w:p w14:paraId="26FBDA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SO</w:t>
                  </w:r>
                  <w:r>
                    <w:rPr>
                      <w:rFonts w:hint="eastAsia" w:eastAsia="宋体" w:cs="Times New Roman"/>
                      <w:color w:val="000000"/>
                      <w:sz w:val="21"/>
                      <w:szCs w:val="24"/>
                      <w:highlight w:val="none"/>
                      <w:u w:val="single" w:color="auto"/>
                      <w:vertAlign w:val="subscript"/>
                      <w:lang w:val="en-US" w:eastAsia="zh-CN"/>
                    </w:rPr>
                    <w:t>2</w:t>
                  </w:r>
                </w:p>
              </w:tc>
              <w:tc>
                <w:tcPr>
                  <w:tcW w:w="573" w:type="pct"/>
                  <w:tcBorders>
                    <w:tl2br w:val="nil"/>
                    <w:tr2bl w:val="nil"/>
                  </w:tcBorders>
                  <w:shd w:val="clear" w:color="auto" w:fill="auto"/>
                  <w:vAlign w:val="center"/>
                </w:tcPr>
                <w:p w14:paraId="6524A23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4.704t/a</w:t>
                  </w:r>
                </w:p>
              </w:tc>
              <w:tc>
                <w:tcPr>
                  <w:tcW w:w="428" w:type="pct"/>
                  <w:tcBorders>
                    <w:tl2br w:val="nil"/>
                    <w:tr2bl w:val="nil"/>
                  </w:tcBorders>
                  <w:vAlign w:val="center"/>
                </w:tcPr>
                <w:p w14:paraId="64E2F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restart"/>
                  <w:tcBorders>
                    <w:tl2br w:val="nil"/>
                    <w:tr2bl w:val="nil"/>
                  </w:tcBorders>
                  <w:vAlign w:val="center"/>
                </w:tcPr>
                <w:p w14:paraId="7A778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少量</w:t>
                  </w:r>
                </w:p>
              </w:tc>
              <w:tc>
                <w:tcPr>
                  <w:tcW w:w="767" w:type="pct"/>
                  <w:vMerge w:val="restart"/>
                  <w:tcBorders>
                    <w:tl2br w:val="nil"/>
                    <w:tr2bl w:val="nil"/>
                  </w:tcBorders>
                  <w:vAlign w:val="center"/>
                </w:tcPr>
                <w:p w14:paraId="45E724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805" w:type="pct"/>
                  <w:vMerge w:val="restart"/>
                  <w:tcBorders>
                    <w:tl2br w:val="nil"/>
                    <w:tr2bl w:val="nil"/>
                  </w:tcBorders>
                  <w:vAlign w:val="center"/>
                </w:tcPr>
                <w:p w14:paraId="11A9F1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7CE9E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vMerge w:val="continue"/>
                  <w:tcBorders>
                    <w:tl2br w:val="nil"/>
                    <w:tr2bl w:val="nil"/>
                  </w:tcBorders>
                  <w:vAlign w:val="center"/>
                </w:tcPr>
                <w:p w14:paraId="18056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14:paraId="1EA50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vMerge w:val="continue"/>
                  <w:tcBorders>
                    <w:tl2br w:val="nil"/>
                    <w:tr2bl w:val="nil"/>
                  </w:tcBorders>
                  <w:vAlign w:val="center"/>
                </w:tcPr>
                <w:p w14:paraId="17654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14:paraId="7CBA196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NO</w:t>
                  </w:r>
                  <w:r>
                    <w:rPr>
                      <w:rFonts w:hint="eastAsia" w:eastAsia="宋体" w:cs="Times New Roman"/>
                      <w:color w:val="000000"/>
                      <w:sz w:val="21"/>
                      <w:szCs w:val="24"/>
                      <w:highlight w:val="none"/>
                      <w:u w:val="single" w:color="auto"/>
                      <w:vertAlign w:val="subscript"/>
                      <w:lang w:val="en-US" w:eastAsia="zh-CN"/>
                    </w:rPr>
                    <w:t>2</w:t>
                  </w:r>
                </w:p>
              </w:tc>
              <w:tc>
                <w:tcPr>
                  <w:tcW w:w="573" w:type="pct"/>
                  <w:tcBorders>
                    <w:tl2br w:val="nil"/>
                    <w:tr2bl w:val="nil"/>
                  </w:tcBorders>
                  <w:shd w:val="clear" w:color="auto" w:fill="auto"/>
                  <w:vAlign w:val="center"/>
                </w:tcPr>
                <w:p w14:paraId="0970119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4.031t/a</w:t>
                  </w:r>
                </w:p>
              </w:tc>
              <w:tc>
                <w:tcPr>
                  <w:tcW w:w="428" w:type="pct"/>
                  <w:tcBorders>
                    <w:tl2br w:val="nil"/>
                    <w:tr2bl w:val="nil"/>
                  </w:tcBorders>
                  <w:vAlign w:val="center"/>
                </w:tcPr>
                <w:p w14:paraId="448EA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continue"/>
                  <w:tcBorders>
                    <w:tl2br w:val="nil"/>
                    <w:tr2bl w:val="nil"/>
                  </w:tcBorders>
                  <w:vAlign w:val="center"/>
                </w:tcPr>
                <w:p w14:paraId="735F9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c>
                <w:tcPr>
                  <w:tcW w:w="767" w:type="pct"/>
                  <w:vMerge w:val="continue"/>
                  <w:tcBorders>
                    <w:tl2br w:val="nil"/>
                    <w:tr2bl w:val="nil"/>
                  </w:tcBorders>
                  <w:vAlign w:val="center"/>
                </w:tcPr>
                <w:p w14:paraId="284F1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805" w:type="pct"/>
                  <w:vMerge w:val="continue"/>
                  <w:tcBorders>
                    <w:tl2br w:val="nil"/>
                    <w:tr2bl w:val="nil"/>
                  </w:tcBorders>
                  <w:vAlign w:val="center"/>
                </w:tcPr>
                <w:p w14:paraId="6A177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r>
            <w:tr w14:paraId="07A10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restart"/>
                  <w:tcBorders>
                    <w:tl2br w:val="nil"/>
                    <w:tr2bl w:val="nil"/>
                  </w:tcBorders>
                  <w:vAlign w:val="center"/>
                </w:tcPr>
                <w:p w14:paraId="28CFA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固废</w:t>
                  </w:r>
                </w:p>
              </w:tc>
              <w:tc>
                <w:tcPr>
                  <w:tcW w:w="585" w:type="pct"/>
                  <w:tcBorders>
                    <w:tl2br w:val="nil"/>
                    <w:tr2bl w:val="nil"/>
                  </w:tcBorders>
                  <w:shd w:val="clear" w:color="auto" w:fill="auto"/>
                  <w:vAlign w:val="center"/>
                </w:tcPr>
                <w:p w14:paraId="5068385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kern w:val="2"/>
                      <w:sz w:val="21"/>
                      <w:szCs w:val="21"/>
                      <w:highlight w:val="none"/>
                      <w:u w:val="single" w:color="auto"/>
                      <w:lang w:val="en-US" w:eastAsia="zh-CN" w:bidi="ar-SA"/>
                    </w:rPr>
                    <w:t>生活垃圾</w:t>
                  </w:r>
                </w:p>
              </w:tc>
              <w:tc>
                <w:tcPr>
                  <w:tcW w:w="573" w:type="pct"/>
                  <w:tcBorders>
                    <w:tl2br w:val="nil"/>
                    <w:tr2bl w:val="nil"/>
                  </w:tcBorders>
                  <w:shd w:val="clear" w:color="auto" w:fill="auto"/>
                  <w:vAlign w:val="center"/>
                </w:tcPr>
                <w:p w14:paraId="479A0B3D">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6t/a</w:t>
                  </w:r>
                </w:p>
              </w:tc>
              <w:tc>
                <w:tcPr>
                  <w:tcW w:w="428" w:type="pct"/>
                  <w:tcBorders>
                    <w:tl2br w:val="nil"/>
                    <w:tr2bl w:val="nil"/>
                  </w:tcBorders>
                  <w:vAlign w:val="center"/>
                </w:tcPr>
                <w:p w14:paraId="108AA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2CFC9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6t/a</w:t>
                  </w:r>
                </w:p>
              </w:tc>
              <w:tc>
                <w:tcPr>
                  <w:tcW w:w="767" w:type="pct"/>
                  <w:tcBorders>
                    <w:tl2br w:val="nil"/>
                    <w:tr2bl w:val="nil"/>
                  </w:tcBorders>
                  <w:shd w:val="clear" w:color="auto" w:fill="auto"/>
                  <w:vAlign w:val="center"/>
                </w:tcPr>
                <w:p w14:paraId="465F4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6t/a</w:t>
                  </w:r>
                </w:p>
              </w:tc>
              <w:tc>
                <w:tcPr>
                  <w:tcW w:w="805" w:type="pct"/>
                  <w:tcBorders>
                    <w:tl2br w:val="nil"/>
                    <w:tr2bl w:val="nil"/>
                  </w:tcBorders>
                  <w:shd w:val="clear" w:color="auto" w:fill="auto"/>
                  <w:vAlign w:val="center"/>
                </w:tcPr>
                <w:p w14:paraId="2A8D6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0</w:t>
                  </w:r>
                </w:p>
              </w:tc>
            </w:tr>
            <w:tr w14:paraId="2875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0D3CA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14:paraId="0386B7E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表土</w:t>
                  </w:r>
                </w:p>
              </w:tc>
              <w:tc>
                <w:tcPr>
                  <w:tcW w:w="573" w:type="pct"/>
                  <w:tcBorders>
                    <w:tl2br w:val="nil"/>
                    <w:tr2bl w:val="nil"/>
                  </w:tcBorders>
                  <w:shd w:val="clear" w:color="auto" w:fill="auto"/>
                  <w:vAlign w:val="center"/>
                </w:tcPr>
                <w:p w14:paraId="6AB9664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17.1万m</w:t>
                  </w:r>
                  <w:r>
                    <w:rPr>
                      <w:rFonts w:hint="eastAsia" w:eastAsia="宋体" w:cs="Times New Roman"/>
                      <w:b w:val="0"/>
                      <w:bCs w:val="0"/>
                      <w:color w:val="000000"/>
                      <w:sz w:val="21"/>
                      <w:szCs w:val="21"/>
                      <w:highlight w:val="none"/>
                      <w:u w:val="single" w:color="auto"/>
                      <w:vertAlign w:val="superscript"/>
                      <w:lang w:val="en-US" w:eastAsia="zh-CN"/>
                    </w:rPr>
                    <w:t>3</w:t>
                  </w:r>
                </w:p>
              </w:tc>
              <w:tc>
                <w:tcPr>
                  <w:tcW w:w="428" w:type="pct"/>
                  <w:tcBorders>
                    <w:tl2br w:val="nil"/>
                    <w:tr2bl w:val="nil"/>
                  </w:tcBorders>
                  <w:vAlign w:val="center"/>
                </w:tcPr>
                <w:p w14:paraId="1361F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restart"/>
                  <w:tcBorders>
                    <w:tl2br w:val="nil"/>
                    <w:tr2bl w:val="nil"/>
                  </w:tcBorders>
                  <w:vAlign w:val="center"/>
                </w:tcPr>
                <w:p w14:paraId="3077C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13.2万m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c>
                <w:tcPr>
                  <w:tcW w:w="767" w:type="pct"/>
                  <w:vMerge w:val="restart"/>
                  <w:tcBorders>
                    <w:tl2br w:val="nil"/>
                    <w:tr2bl w:val="nil"/>
                  </w:tcBorders>
                  <w:shd w:val="clear" w:color="auto" w:fill="auto"/>
                  <w:vAlign w:val="center"/>
                </w:tcPr>
                <w:p w14:paraId="7C687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13.2万m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c>
                <w:tcPr>
                  <w:tcW w:w="805" w:type="pct"/>
                  <w:vMerge w:val="restart"/>
                  <w:tcBorders>
                    <w:tl2br w:val="nil"/>
                    <w:tr2bl w:val="nil"/>
                  </w:tcBorders>
                  <w:shd w:val="clear" w:color="auto" w:fill="auto"/>
                  <w:vAlign w:val="center"/>
                </w:tcPr>
                <w:p w14:paraId="36D984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-38.22</w:t>
                  </w:r>
                  <w:r>
                    <w:rPr>
                      <w:rFonts w:hint="default" w:ascii="Times New Roman" w:hAnsi="Times New Roman" w:eastAsia="宋体" w:cs="Times New Roman"/>
                      <w:color w:val="auto"/>
                      <w:spacing w:val="11"/>
                      <w:position w:val="0"/>
                      <w:sz w:val="21"/>
                      <w:szCs w:val="21"/>
                      <w:highlight w:val="none"/>
                      <w:u w:val="single" w:color="auto"/>
                      <w:lang w:val="en-US" w:eastAsia="zh-CN"/>
                    </w:rPr>
                    <w:t>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r>
            <w:tr w14:paraId="1B90A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6C771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14:paraId="2282A34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废土石方</w:t>
                  </w:r>
                </w:p>
              </w:tc>
              <w:tc>
                <w:tcPr>
                  <w:tcW w:w="573" w:type="pct"/>
                  <w:tcBorders>
                    <w:tl2br w:val="nil"/>
                    <w:tr2bl w:val="nil"/>
                  </w:tcBorders>
                  <w:shd w:val="clear" w:color="auto" w:fill="auto"/>
                  <w:vAlign w:val="center"/>
                </w:tcPr>
                <w:p w14:paraId="2927C2B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34.32万t/a</w:t>
                  </w:r>
                </w:p>
              </w:tc>
              <w:tc>
                <w:tcPr>
                  <w:tcW w:w="428" w:type="pct"/>
                  <w:tcBorders>
                    <w:tl2br w:val="nil"/>
                    <w:tr2bl w:val="nil"/>
                  </w:tcBorders>
                  <w:vAlign w:val="center"/>
                </w:tcPr>
                <w:p w14:paraId="5E34E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continue"/>
                  <w:tcBorders>
                    <w:tl2br w:val="nil"/>
                    <w:tr2bl w:val="nil"/>
                  </w:tcBorders>
                  <w:vAlign w:val="center"/>
                </w:tcPr>
                <w:p w14:paraId="57538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767" w:type="pct"/>
                  <w:vMerge w:val="continue"/>
                  <w:tcBorders>
                    <w:tl2br w:val="nil"/>
                    <w:tr2bl w:val="nil"/>
                  </w:tcBorders>
                  <w:shd w:val="clear" w:color="auto" w:fill="auto"/>
                  <w:vAlign w:val="center"/>
                </w:tcPr>
                <w:p w14:paraId="56C3F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805" w:type="pct"/>
                  <w:vMerge w:val="continue"/>
                  <w:tcBorders>
                    <w:tl2br w:val="nil"/>
                    <w:tr2bl w:val="nil"/>
                  </w:tcBorders>
                  <w:shd w:val="clear" w:color="auto" w:fill="auto"/>
                  <w:vAlign w:val="center"/>
                </w:tcPr>
                <w:p w14:paraId="08D52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p>
              </w:tc>
            </w:tr>
            <w:tr w14:paraId="7AD23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0A044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14:paraId="69A4716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沉淀池沉渣</w:t>
                  </w:r>
                </w:p>
              </w:tc>
              <w:tc>
                <w:tcPr>
                  <w:tcW w:w="573" w:type="pct"/>
                  <w:tcBorders>
                    <w:tl2br w:val="nil"/>
                    <w:tr2bl w:val="nil"/>
                  </w:tcBorders>
                  <w:shd w:val="clear" w:color="auto" w:fill="auto"/>
                  <w:vAlign w:val="center"/>
                </w:tcPr>
                <w:p w14:paraId="6C1C4FA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2.1t/a</w:t>
                  </w:r>
                </w:p>
              </w:tc>
              <w:tc>
                <w:tcPr>
                  <w:tcW w:w="428" w:type="pct"/>
                  <w:tcBorders>
                    <w:tl2br w:val="nil"/>
                    <w:tr2bl w:val="nil"/>
                  </w:tcBorders>
                  <w:vAlign w:val="center"/>
                </w:tcPr>
                <w:p w14:paraId="647B0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c>
                <w:tcPr>
                  <w:tcW w:w="724" w:type="pct"/>
                  <w:tcBorders>
                    <w:tl2br w:val="nil"/>
                    <w:tr2bl w:val="nil"/>
                  </w:tcBorders>
                  <w:vAlign w:val="center"/>
                </w:tcPr>
                <w:p w14:paraId="30685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5.25t/a</w:t>
                  </w:r>
                </w:p>
              </w:tc>
              <w:tc>
                <w:tcPr>
                  <w:tcW w:w="767" w:type="pct"/>
                  <w:tcBorders>
                    <w:tl2br w:val="nil"/>
                    <w:tr2bl w:val="nil"/>
                  </w:tcBorders>
                  <w:shd w:val="clear" w:color="auto" w:fill="auto"/>
                  <w:vAlign w:val="center"/>
                </w:tcPr>
                <w:p w14:paraId="099C2A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5.25t/a</w:t>
                  </w:r>
                </w:p>
              </w:tc>
              <w:tc>
                <w:tcPr>
                  <w:tcW w:w="805" w:type="pct"/>
                  <w:tcBorders>
                    <w:tl2br w:val="nil"/>
                    <w:tr2bl w:val="nil"/>
                  </w:tcBorders>
                  <w:shd w:val="clear" w:color="auto" w:fill="auto"/>
                  <w:vAlign w:val="center"/>
                </w:tcPr>
                <w:p w14:paraId="3A068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+3.15t/a</w:t>
                  </w:r>
                </w:p>
              </w:tc>
            </w:tr>
            <w:tr w14:paraId="738AD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gridSpan w:val="3"/>
                  <w:vMerge w:val="continue"/>
                  <w:tcBorders>
                    <w:tl2br w:val="nil"/>
                    <w:tr2bl w:val="nil"/>
                  </w:tcBorders>
                  <w:vAlign w:val="center"/>
                </w:tcPr>
                <w:p w14:paraId="7B54B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14:paraId="2FF7E88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废润滑油</w:t>
                  </w:r>
                </w:p>
              </w:tc>
              <w:tc>
                <w:tcPr>
                  <w:tcW w:w="573" w:type="pct"/>
                  <w:tcBorders>
                    <w:tl2br w:val="nil"/>
                    <w:tr2bl w:val="nil"/>
                  </w:tcBorders>
                  <w:shd w:val="clear" w:color="auto" w:fill="auto"/>
                  <w:vAlign w:val="center"/>
                </w:tcPr>
                <w:p w14:paraId="3D05D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428" w:type="pct"/>
                  <w:tcBorders>
                    <w:tl2br w:val="nil"/>
                    <w:tr2bl w:val="nil"/>
                  </w:tcBorders>
                  <w:vAlign w:val="center"/>
                </w:tcPr>
                <w:p w14:paraId="36F6D8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14:paraId="6BA79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0.4t/a</w:t>
                  </w:r>
                </w:p>
              </w:tc>
              <w:tc>
                <w:tcPr>
                  <w:tcW w:w="767" w:type="pct"/>
                  <w:tcBorders>
                    <w:tl2br w:val="nil"/>
                    <w:tr2bl w:val="nil"/>
                  </w:tcBorders>
                  <w:shd w:val="clear" w:color="auto" w:fill="auto"/>
                  <w:vAlign w:val="center"/>
                </w:tcPr>
                <w:p w14:paraId="3BD5F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0.4t/a</w:t>
                  </w:r>
                </w:p>
              </w:tc>
              <w:tc>
                <w:tcPr>
                  <w:tcW w:w="805" w:type="pct"/>
                  <w:tcBorders>
                    <w:tl2br w:val="nil"/>
                    <w:tr2bl w:val="nil"/>
                  </w:tcBorders>
                  <w:shd w:val="clear" w:color="auto" w:fill="auto"/>
                  <w:vAlign w:val="center"/>
                </w:tcPr>
                <w:p w14:paraId="76FE9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r>
                    <w:rPr>
                      <w:rFonts w:hint="eastAsia" w:ascii="Times New Roman" w:hAnsi="Times New Roman" w:eastAsia="宋体" w:cs="Times New Roman"/>
                      <w:color w:val="auto"/>
                      <w:spacing w:val="11"/>
                      <w:position w:val="0"/>
                      <w:sz w:val="21"/>
                      <w:szCs w:val="21"/>
                      <w:highlight w:val="none"/>
                      <w:u w:val="single" w:color="auto"/>
                      <w:lang w:val="en-US" w:eastAsia="zh-CN"/>
                    </w:rPr>
                    <w:t>0.4t/a</w:t>
                  </w:r>
                </w:p>
              </w:tc>
            </w:tr>
          </w:tbl>
          <w:p w14:paraId="76DAEA9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6" w:firstLineChars="200"/>
              <w:textAlignment w:val="auto"/>
              <w:rPr>
                <w:rFonts w:hint="default" w:ascii="Times New Roman" w:hAnsi="Times New Roman" w:eastAsia="宋体" w:cs="Times New Roman"/>
                <w:b/>
                <w:snapToGrid w:val="0"/>
                <w:color w:val="000000"/>
                <w:spacing w:val="11"/>
                <w:kern w:val="0"/>
                <w:position w:val="0"/>
                <w:sz w:val="24"/>
                <w:szCs w:val="24"/>
                <w:u w:val="none" w:color="auto"/>
              </w:rPr>
            </w:pPr>
            <w:r>
              <w:rPr>
                <w:rFonts w:hint="eastAsia" w:cs="Times New Roman"/>
                <w:b/>
                <w:snapToGrid w:val="0"/>
                <w:color w:val="000000"/>
                <w:spacing w:val="11"/>
                <w:kern w:val="0"/>
                <w:position w:val="0"/>
                <w:sz w:val="24"/>
                <w:szCs w:val="24"/>
                <w:u w:val="none" w:color="auto"/>
                <w:lang w:val="en-US" w:eastAsia="zh-CN"/>
              </w:rPr>
              <w:t>6</w:t>
            </w:r>
            <w:r>
              <w:rPr>
                <w:rFonts w:hint="eastAsia" w:ascii="Times New Roman" w:hAnsi="Times New Roman" w:eastAsia="宋体" w:cs="Times New Roman"/>
                <w:b/>
                <w:snapToGrid w:val="0"/>
                <w:color w:val="000000"/>
                <w:spacing w:val="11"/>
                <w:kern w:val="0"/>
                <w:position w:val="0"/>
                <w:sz w:val="24"/>
                <w:szCs w:val="24"/>
                <w:u w:val="none" w:color="auto"/>
                <w:lang w:val="en-US" w:eastAsia="zh-CN"/>
              </w:rPr>
              <w:t>、</w:t>
            </w:r>
            <w:r>
              <w:rPr>
                <w:rFonts w:hint="default" w:ascii="Times New Roman" w:hAnsi="Times New Roman" w:eastAsia="宋体" w:cs="Times New Roman"/>
                <w:b/>
                <w:snapToGrid w:val="0"/>
                <w:color w:val="000000"/>
                <w:spacing w:val="11"/>
                <w:kern w:val="0"/>
                <w:position w:val="0"/>
                <w:sz w:val="24"/>
                <w:szCs w:val="24"/>
                <w:u w:val="none" w:color="auto"/>
              </w:rPr>
              <w:t>运营期生态环境影响分析</w:t>
            </w:r>
          </w:p>
          <w:p w14:paraId="0D5EB7FF">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生态环境影响评价是对人类开发建设活动可能导致的生态环境影响进行分析与预测，并提出减少影响或改善生态环境的策略和措施。矿山开发对自然生态系统的影响包括直接影响和间接影响，其中直接影响包括占地引起的植被砍伐和分隔生态环境；间接影响包括边界效应（林地边缘日照增加、风力加大、干燥度增加等）、水土流失和动植物种减少等。</w:t>
            </w:r>
          </w:p>
          <w:p w14:paraId="1943429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本矿区地处低山丘陵区。矿区大部分的植被基本完好。矿区未剥离山体地表为表土覆盖，坡顶主要为杂草。区域内未发现受国家保护的珍贵野生动植物，周边无受保护建筑物和生态区，生态环境条件较好。</w:t>
            </w:r>
          </w:p>
          <w:p w14:paraId="01F592F8">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矿山建设及矿石开采过程中大量土石方爆破开挖、运输等均会对该区域生态环境产生一定影响，项目拟建地不属于生物多样性保护区域或生态敏感区域，在对开采区采取复垦回填措施后项目对生态环境影响较小。</w:t>
            </w:r>
          </w:p>
          <w:p w14:paraId="768C273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w:t>
            </w:r>
            <w:r>
              <w:rPr>
                <w:rFonts w:hint="default" w:ascii="Times New Roman" w:hAnsi="Times New Roman" w:eastAsia="宋体" w:cs="Times New Roman"/>
                <w:b w:val="0"/>
                <w:bCs/>
                <w:snapToGrid w:val="0"/>
                <w:color w:val="000000"/>
                <w:spacing w:val="11"/>
                <w:kern w:val="0"/>
                <w:position w:val="0"/>
                <w:sz w:val="24"/>
                <w:szCs w:val="24"/>
                <w:u w:val="none" w:color="auto"/>
              </w:rPr>
              <w:t>土地利用影响分析</w:t>
            </w:r>
          </w:p>
          <w:p w14:paraId="7DF460D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项目占用土地类型</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主要</w:t>
            </w:r>
            <w:r>
              <w:rPr>
                <w:rFonts w:hint="default" w:ascii="Times New Roman" w:hAnsi="Times New Roman" w:eastAsia="宋体" w:cs="Times New Roman"/>
                <w:b w:val="0"/>
                <w:bCs/>
                <w:snapToGrid w:val="0"/>
                <w:color w:val="000000"/>
                <w:spacing w:val="11"/>
                <w:kern w:val="0"/>
                <w:position w:val="0"/>
                <w:sz w:val="24"/>
                <w:szCs w:val="24"/>
                <w:u w:val="none" w:color="auto"/>
              </w:rPr>
              <w:t>为林地。本项目对生态环境的影响主要体现在项目实施对土石环境的破坏较重，造成地形地貌改变、植被损毁，动物迁移，</w:t>
            </w:r>
            <w:r>
              <w:rPr>
                <w:rFonts w:hint="default" w:ascii="Times New Roman" w:hAnsi="Times New Roman" w:eastAsia="宋体" w:cs="Times New Roman"/>
                <w:b w:val="0"/>
                <w:bCs/>
                <w:snapToGrid w:val="0"/>
                <w:color w:val="000000"/>
                <w:spacing w:val="11"/>
                <w:kern w:val="0"/>
                <w:position w:val="0"/>
                <w:sz w:val="24"/>
                <w:szCs w:val="24"/>
                <w:u w:val="none" w:color="auto"/>
                <w:lang w:val="en-GB"/>
              </w:rPr>
              <w:t>水土流失、区域景观影响等。</w:t>
            </w:r>
          </w:p>
          <w:p w14:paraId="41243AB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根据项目总体布局，结合项目区土地利用现状统计分析，项目占地面积为</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101800</w:t>
            </w:r>
            <w:r>
              <w:rPr>
                <w:rFonts w:hint="default" w:ascii="Times New Roman" w:hAnsi="Times New Roman" w:eastAsia="宋体" w:cs="Times New Roman"/>
                <w:b w:val="0"/>
                <w:bCs/>
                <w:snapToGrid w:val="0"/>
                <w:color w:val="000000"/>
                <w:spacing w:val="11"/>
                <w:kern w:val="0"/>
                <w:position w:val="0"/>
                <w:sz w:val="24"/>
                <w:szCs w:val="24"/>
                <w:u w:val="none" w:color="auto"/>
              </w:rPr>
              <w:t>m²，整个项目的扰动主要集中于开采区、运输道路等，且改变了项目的用地性质。本次</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拟设采矿权范围内有林地0.022km</w:t>
            </w:r>
            <w:r>
              <w:rPr>
                <w:rFonts w:hint="default" w:ascii="Times New Roman" w:hAnsi="Times New Roman" w:eastAsia="宋体" w:cs="Times New Roman"/>
                <w:b w:val="0"/>
                <w:bCs/>
                <w:snapToGrid w:val="0"/>
                <w:color w:val="000000"/>
                <w:spacing w:val="11"/>
                <w:kern w:val="0"/>
                <w:position w:val="0"/>
                <w:sz w:val="24"/>
                <w:szCs w:val="24"/>
                <w:u w:val="none" w:color="auto"/>
                <w:vertAlign w:val="superscript"/>
                <w:lang w:val="en-US" w:eastAsia="zh-CN"/>
              </w:rPr>
              <w:t>2</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本</w:t>
            </w:r>
            <w:r>
              <w:rPr>
                <w:rFonts w:hint="default" w:ascii="Times New Roman" w:hAnsi="Times New Roman" w:eastAsia="宋体" w:cs="Times New Roman"/>
                <w:b w:val="0"/>
                <w:bCs/>
                <w:snapToGrid w:val="0"/>
                <w:color w:val="000000"/>
                <w:spacing w:val="11"/>
                <w:kern w:val="0"/>
                <w:position w:val="0"/>
                <w:sz w:val="24"/>
                <w:szCs w:val="24"/>
                <w:u w:val="none" w:color="auto"/>
              </w:rPr>
              <w:t>评价要求建设单位</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在开采前，应按林业部门有关要求办理好相关手续</w:t>
            </w:r>
            <w:r>
              <w:rPr>
                <w:rFonts w:hint="default" w:ascii="Times New Roman" w:hAnsi="Times New Roman" w:eastAsia="宋体" w:cs="Times New Roman"/>
                <w:b w:val="0"/>
                <w:bCs/>
                <w:snapToGrid w:val="0"/>
                <w:color w:val="000000"/>
                <w:spacing w:val="11"/>
                <w:kern w:val="0"/>
                <w:position w:val="0"/>
                <w:sz w:val="24"/>
                <w:szCs w:val="24"/>
                <w:u w:val="none" w:color="auto"/>
              </w:rPr>
              <w:t>，严禁违规、违法使用林地。采矿结束后，项目将对临时占用场地进行土地整治、植被恢复或复林，以最大限度的恢复土地功能。</w:t>
            </w:r>
          </w:p>
          <w:p w14:paraId="303287F5">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本</w:t>
            </w:r>
            <w:r>
              <w:rPr>
                <w:rFonts w:hint="default" w:ascii="Times New Roman" w:hAnsi="Times New Roman" w:eastAsia="宋体" w:cs="Times New Roman"/>
                <w:b w:val="0"/>
                <w:bCs/>
                <w:snapToGrid w:val="0"/>
                <w:color w:val="000000"/>
                <w:spacing w:val="11"/>
                <w:kern w:val="0"/>
                <w:position w:val="0"/>
                <w:sz w:val="24"/>
                <w:szCs w:val="24"/>
                <w:u w:val="none" w:color="auto"/>
              </w:rPr>
              <w:t>项目采矿权符合矿产资源规划，项目采矿权不涉及自然保护区、国家公园、世界自然遗产地、风景名胜区、森林公园、水资源保护区、地质公园、地质遗迹、永久基本农田保护区、建设项目压覆区、矿产资源规划禁止区、生态红线保护范围等重要地区范围，</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本项目</w:t>
            </w:r>
            <w:r>
              <w:rPr>
                <w:rFonts w:hint="default" w:ascii="Times New Roman" w:hAnsi="Times New Roman" w:eastAsia="宋体" w:cs="Times New Roman"/>
                <w:b w:val="0"/>
                <w:bCs/>
                <w:snapToGrid w:val="0"/>
                <w:color w:val="000000"/>
                <w:spacing w:val="11"/>
                <w:kern w:val="0"/>
                <w:position w:val="0"/>
                <w:sz w:val="24"/>
                <w:szCs w:val="24"/>
                <w:u w:val="none" w:color="auto"/>
              </w:rPr>
              <w:t>不在生态保护红线范围，不涉及基本农田保护区。</w:t>
            </w:r>
          </w:p>
          <w:p w14:paraId="6E81124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（2）</w:t>
            </w:r>
            <w:r>
              <w:rPr>
                <w:rFonts w:hint="default" w:ascii="Times New Roman" w:hAnsi="Times New Roman" w:eastAsia="宋体" w:cs="Times New Roman"/>
                <w:b w:val="0"/>
                <w:bCs/>
                <w:snapToGrid w:val="0"/>
                <w:color w:val="000000"/>
                <w:spacing w:val="11"/>
                <w:kern w:val="0"/>
                <w:position w:val="0"/>
                <w:sz w:val="24"/>
                <w:szCs w:val="24"/>
                <w:u w:val="none" w:color="auto"/>
              </w:rPr>
              <w:t>对植物的影响</w:t>
            </w:r>
          </w:p>
          <w:p w14:paraId="4BD1475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项目开采平台及运输道路等的建设会使大面积的水土保持设施遭到破坏，林草覆盖度降低，影响局域生态环境。</w:t>
            </w:r>
          </w:p>
          <w:p w14:paraId="617E2F2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开采过程中会因表土剥离使部分植被完全被铲除，进而易造成地表裸露，对原生的地形地貌景观产生影响。建设时需临时占用林地，清理一定面积的地表植被，此外，人为踩踏也会对地表植被造成直接影响，此类人为活动产生的最直接影响为导致生物量的毁损，间接影响是导致整体生产力的少量降低。</w:t>
            </w:r>
          </w:p>
          <w:p w14:paraId="667FD8F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项目对植被影响主要集中于开采区及运输道路，开采区及运输道路面积为</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101800</w:t>
            </w:r>
            <w:r>
              <w:rPr>
                <w:rFonts w:hint="default" w:ascii="Times New Roman" w:hAnsi="Times New Roman" w:eastAsia="宋体" w:cs="Times New Roman"/>
                <w:b w:val="0"/>
                <w:bCs/>
                <w:snapToGrid w:val="0"/>
                <w:color w:val="000000"/>
                <w:spacing w:val="11"/>
                <w:kern w:val="0"/>
                <w:position w:val="0"/>
                <w:sz w:val="24"/>
                <w:szCs w:val="24"/>
                <w:u w:val="none" w:color="auto"/>
              </w:rPr>
              <w:t>m</w:t>
            </w:r>
            <w:r>
              <w:rPr>
                <w:rFonts w:hint="default" w:ascii="Times New Roman" w:hAnsi="Times New Roman" w:eastAsia="宋体" w:cs="Times New Roman"/>
                <w:b w:val="0"/>
                <w:bCs/>
                <w:snapToGrid w:val="0"/>
                <w:color w:val="000000"/>
                <w:spacing w:val="11"/>
                <w:kern w:val="0"/>
                <w:position w:val="0"/>
                <w:sz w:val="24"/>
                <w:szCs w:val="24"/>
                <w:u w:val="none" w:color="auto"/>
                <w:vertAlign w:val="superscript"/>
              </w:rPr>
              <w:t>2</w:t>
            </w:r>
            <w:r>
              <w:rPr>
                <w:rFonts w:hint="default" w:ascii="Times New Roman" w:hAnsi="Times New Roman" w:eastAsia="宋体" w:cs="Times New Roman"/>
                <w:b w:val="0"/>
                <w:bCs/>
                <w:snapToGrid w:val="0"/>
                <w:color w:val="000000"/>
                <w:spacing w:val="11"/>
                <w:kern w:val="0"/>
                <w:position w:val="0"/>
                <w:sz w:val="24"/>
                <w:szCs w:val="24"/>
                <w:u w:val="none" w:color="auto"/>
              </w:rPr>
              <w:t>，占用植被类型主要为灌木草丛、暖温性针叶林，植被结构简单，物种组成单一，自然植被生长情况良好；评价区周边还有较多同类植被类型分布，工程建设对植被造成的影响十分有限；生态环境质量现状调查范围内目前未发现国家重点保护野生植物，也未发现省级重点保护野生植物分布，也未见珍稀、濒危植物、名木古树及其他需要特殊保护的狭域种及特有树种分布，因此，项目开采工作不会导致珍稀物种灭绝问题，亦不会造成当地常见树种出现基因交流阻隔，不会打断种子生产和种子库更新等过程。</w:t>
            </w:r>
          </w:p>
          <w:p w14:paraId="60BA04C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矿区采剥会使地表裸露，由此诱发的滑坡、泥石流等，滑坡使基岩裸露、植被破坏，泥石流的发生则会冲毁或掩埋沿途植被，物种的多样性和植被覆盖度及植物群落生产力逐渐下降。但矿山开采对植被的影响仅限于矿区范围内，对周边其他区域内的植被不会造成破坏，且在矿山关闭之后，随着矿山生态恢复计划的实施，开采区将进行复垦及生态建设工作，矿区内因工程遭受破坏的植被将逐渐得以恢复。</w:t>
            </w:r>
          </w:p>
          <w:p w14:paraId="01462B1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本评价要求建设单位在开采工作过程中，加强生态环境保护，最大限度地控制对地表植被的清理破坏面积；若开采过程中发现保护植物，应立即上报给相关部门，由相关部门组织对其采取保护措施，不得实施破坏行为；开采工作结束后，采取积极有效的生态环境保护措施，进行生态恢复，减少对地表植被的影响。</w:t>
            </w:r>
          </w:p>
          <w:p w14:paraId="701D8B4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eastAsia="zh-CN"/>
              </w:rPr>
              <w:t>（</w:t>
            </w:r>
            <w:r>
              <w:rPr>
                <w:rFonts w:hint="default" w:ascii="Times New Roman" w:hAnsi="Times New Roman" w:eastAsia="宋体" w:cs="Times New Roman"/>
                <w:b w:val="0"/>
                <w:bCs/>
                <w:snapToGrid w:val="0"/>
                <w:color w:val="000000"/>
                <w:spacing w:val="11"/>
                <w:kern w:val="0"/>
                <w:position w:val="0"/>
                <w:sz w:val="24"/>
                <w:szCs w:val="24"/>
                <w:u w:val="none" w:color="auto"/>
              </w:rPr>
              <w:t>3</w:t>
            </w:r>
            <w:r>
              <w:rPr>
                <w:rFonts w:hint="eastAsia" w:ascii="Times New Roman" w:hAnsi="Times New Roman" w:eastAsia="宋体" w:cs="Times New Roman"/>
                <w:b w:val="0"/>
                <w:bCs/>
                <w:snapToGrid w:val="0"/>
                <w:color w:val="000000"/>
                <w:spacing w:val="11"/>
                <w:kern w:val="0"/>
                <w:position w:val="0"/>
                <w:sz w:val="24"/>
                <w:szCs w:val="24"/>
                <w:u w:val="none" w:color="auto"/>
                <w:lang w:eastAsia="zh-CN"/>
              </w:rPr>
              <w:t>）</w:t>
            </w:r>
            <w:r>
              <w:rPr>
                <w:rFonts w:hint="default" w:ascii="Times New Roman" w:hAnsi="Times New Roman" w:eastAsia="宋体" w:cs="Times New Roman"/>
                <w:b w:val="0"/>
                <w:bCs/>
                <w:snapToGrid w:val="0"/>
                <w:color w:val="000000"/>
                <w:spacing w:val="11"/>
                <w:kern w:val="0"/>
                <w:position w:val="0"/>
                <w:sz w:val="24"/>
                <w:szCs w:val="24"/>
                <w:u w:val="none" w:color="auto"/>
              </w:rPr>
              <w:t>对动物的影响</w:t>
            </w:r>
          </w:p>
          <w:p w14:paraId="23BDA288">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 xml:space="preserve">本项目所在区域大部分属于灌草地，但由于历史的采矿活动导致区域内的动植物资源较为单一，对于本工程矿区来说，植物资源主要为灌草丛、灌木丛、乔木林等，动物资源主要为蛇类、田鼠、青蛙、壁虎、山雀、八哥、黄鼠狼等常见物种，未见珍稀动植物。因此，本工程的建设，虽然破坏这些物种的生存条件，导致这些物种的迁移或数量减少，但影响面积和数量有限，且工程服务期满后通过生态治理，植物资源将得到部分恢复，目前存在的常见动物也将重新得到生存空间。 </w:t>
            </w:r>
          </w:p>
          <w:p w14:paraId="4C602576">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工程运营期间，工程占地使荒山灌丛类动物生境缩小。运营期间各种机械作业和人为活动惊扰开采区的野生动物，会对它们的觅食与正常活动产生一定影响，尤其是钻机噪声将对鸟类产生惊吓，对繁殖期的鸟类来说噪声影响更加明显，可造成鸟类的显著不安，甚至弃巢放弃繁殖。鸟类繁殖期进行机械施工还会破坏鸟巢及鸟卵，造成鸟类的繁殖失败；施工人员的日常生活及工作会对当地的鸟类产生一定的干扰，妨碍鸟类取食、繁殖等日常活动的进行。</w:t>
            </w:r>
          </w:p>
          <w:p w14:paraId="065C2BC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由于人类活动的增加会影响野生动植物的栖息地和生活条件，弱度影响动物的活动与觅食，干扰野生动物栖息环境与迁徙路线。周边无珍稀濒危野生动物的栖息地，因此，项目建设基本上不会影响野生动物的活动与觅食，干扰野生动物栖息环境与迁徙路线，而建筑周边的动物（如老鼠等）可以在附近找到新的生存地点，不会对其栖息和繁殖产生长久的影响。</w:t>
            </w:r>
          </w:p>
          <w:p w14:paraId="73CD080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none" w:color="auto"/>
              </w:rPr>
            </w:pPr>
            <w:r>
              <w:rPr>
                <w:rFonts w:hint="eastAsia" w:cs="Times New Roman"/>
                <w:color w:val="000000"/>
                <w:spacing w:val="11"/>
                <w:kern w:val="0"/>
                <w:position w:val="0"/>
                <w:sz w:val="24"/>
                <w:szCs w:val="24"/>
                <w:highlight w:val="none"/>
                <w:u w:val="none" w:color="auto"/>
                <w:lang w:eastAsia="zh-CN"/>
              </w:rPr>
              <w:t>（</w:t>
            </w:r>
            <w:r>
              <w:rPr>
                <w:rFonts w:hint="eastAsia" w:cs="Times New Roman"/>
                <w:color w:val="000000"/>
                <w:spacing w:val="11"/>
                <w:kern w:val="0"/>
                <w:position w:val="0"/>
                <w:sz w:val="24"/>
                <w:szCs w:val="24"/>
                <w:highlight w:val="none"/>
                <w:u w:val="none" w:color="auto"/>
                <w:lang w:val="en-US" w:eastAsia="zh-CN"/>
              </w:rPr>
              <w:t>4</w:t>
            </w:r>
            <w:r>
              <w:rPr>
                <w:rFonts w:hint="eastAsia" w:cs="Times New Roman"/>
                <w:color w:val="000000"/>
                <w:spacing w:val="11"/>
                <w:kern w:val="0"/>
                <w:position w:val="0"/>
                <w:sz w:val="24"/>
                <w:szCs w:val="24"/>
                <w:highlight w:val="none"/>
                <w:u w:val="none" w:color="auto"/>
                <w:lang w:eastAsia="zh-CN"/>
              </w:rPr>
              <w:t>）</w:t>
            </w:r>
            <w:r>
              <w:rPr>
                <w:rFonts w:hint="default" w:ascii="Times New Roman" w:hAnsi="Times New Roman" w:eastAsia="宋体" w:cs="Times New Roman"/>
                <w:color w:val="000000"/>
                <w:spacing w:val="11"/>
                <w:position w:val="0"/>
                <w:sz w:val="24"/>
                <w:szCs w:val="24"/>
                <w:highlight w:val="none"/>
                <w:u w:val="none" w:color="auto"/>
              </w:rPr>
              <w:t>水土流失</w:t>
            </w:r>
          </w:p>
          <w:p w14:paraId="7A761CC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开采期是水土流失防治的重点时段，</w:t>
            </w:r>
            <w:r>
              <w:rPr>
                <w:rFonts w:hint="default" w:ascii="Times New Roman" w:hAnsi="Times New Roman" w:eastAsia="宋体" w:cs="Times New Roman"/>
                <w:color w:val="000000"/>
                <w:spacing w:val="11"/>
                <w:position w:val="0"/>
                <w:sz w:val="24"/>
                <w:szCs w:val="24"/>
                <w:u w:val="none" w:color="auto"/>
                <w:lang w:val="en-US" w:eastAsia="zh-CN"/>
              </w:rPr>
              <w:t>露天开采区</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运输道路区</w:t>
            </w:r>
            <w:r>
              <w:rPr>
                <w:rFonts w:hint="eastAsia" w:ascii="Times New Roman" w:hAnsi="Times New Roman" w:eastAsia="宋体" w:cs="Times New Roman"/>
                <w:color w:val="000000"/>
                <w:spacing w:val="11"/>
                <w:position w:val="0"/>
                <w:sz w:val="24"/>
                <w:szCs w:val="24"/>
                <w:u w:val="none" w:color="auto"/>
                <w:lang w:val="en-US" w:eastAsia="zh-CN"/>
              </w:rPr>
              <w:t>、生产加工区</w:t>
            </w:r>
            <w:r>
              <w:rPr>
                <w:rFonts w:hint="default" w:ascii="Times New Roman" w:hAnsi="Times New Roman" w:eastAsia="宋体" w:cs="Times New Roman"/>
                <w:color w:val="000000"/>
                <w:spacing w:val="11"/>
                <w:position w:val="0"/>
                <w:sz w:val="24"/>
                <w:szCs w:val="24"/>
                <w:u w:val="none" w:color="auto"/>
              </w:rPr>
              <w:t>是产生水土流失的重点区域，也是水土流失防治和监测的重点区域。另外，在工程营运期需对这些区域进行水土保持监测和巡查，及时发现工程造成的水土流失现象及其防治过程中存在的问题，并加以解决和处理。因此上述重点区域在建设和生产过程中必须及时采取防护措施，施工后期及时实施植被恢复措施，保护生态环境，确保水土流失量控制到最低限度。</w:t>
            </w:r>
          </w:p>
          <w:p w14:paraId="6B0014C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矿山开采所带来的经济效益是显著的，但是开采过程中所造成的水土流失也是不容忽视的。目前，项目所在地的水土流失现状为轻度流失。本工程施工期间山体开挖等施工活动，严重破坏原地貌、土壤植被，导致土壤结构破坏，降低表层土壤的抗侵蚀性，造成一定的水土流失。结合矿区地形、地质、土壤、植被以及施工方式、开采方式等特点，本工程可能造成水土流失危害主要表现在以下几方面：</w:t>
            </w:r>
          </w:p>
          <w:p w14:paraId="39A9B058">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A、占用破坏土地资源</w:t>
            </w:r>
          </w:p>
          <w:p w14:paraId="6EF2A58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建设区域占用的土地以灌木丛为主，开采过程中将破坏区域内的植被和土地资源，露天开采区开挖量较大，破坏了原地貌，增大了裸露面积。故项目结束之后需在各标高平台及底部进行复土、适当种植一些灌木和攀爬植物以恢复植被。</w:t>
            </w:r>
          </w:p>
          <w:p w14:paraId="2B2672A8">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B、加剧水土流失</w:t>
            </w:r>
          </w:p>
          <w:p w14:paraId="60D2DB18">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建设区域属于丘陵区，开采过程中形成了大量的松散堆积物、区域植被遭到严重破坏，在降雨条件下水土流失会急剧增大。项目采用露天开采的方式，工程开挖量较大，形成的松散土石方和堆积物多，在暴雨和重力的作用下，极易产生大量的水土流失，对料场本身安全生产也可能带来隐患。</w:t>
            </w:r>
          </w:p>
          <w:p w14:paraId="555D1390">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C、淤积排水沟渠</w:t>
            </w:r>
          </w:p>
          <w:p w14:paraId="60E5BB0D">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由于工程的生产建设，可能将导致短期内水土流失量大幅度增加，大部分泥砂会进入排水沟渠而造成淤积。</w:t>
            </w:r>
          </w:p>
          <w:p w14:paraId="3B0C9306">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D、形成潜在的水土流失因素</w:t>
            </w:r>
          </w:p>
          <w:p w14:paraId="78DB5DF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施工期间会造成一定的水土流失，但进入工程运行初期，因施工破坏而影响水土流失的各种因素在各项水土保持措施实施后逐渐消失，并且随着时间的推移，水土保持措施功能日益得到发挥，生态环境逐步得到新的稳定状态。水土流失带来的影响较小。</w:t>
            </w:r>
          </w:p>
          <w:p w14:paraId="5457E54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根据《新田县振新建材有限公司石灰石开采、建筑材料开采项目水土保持方案报告书》，项目属于建设生产类项目，根据本矿山开采建设的特点，结合矿区降雨季节等，划分水土流失预测时段。项目预测时段分建设期、运营期和自然修复期，每个预测单元的预测时段按最不利的情况考虑。施工期预测时间应按连续12个月为一年计；不足12个月，但达到一个雨季长度的，按一年计；不足一个雨季长度的，按占雨季长度的比例计算。本项目雨季为每年的4~9月。</w:t>
            </w:r>
          </w:p>
          <w:p w14:paraId="7E027054">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val="en-US" w:eastAsia="zh-CN"/>
              </w:rPr>
              <w:t>项目土壤流失预测范围和时段见表4</w:t>
            </w:r>
            <w:r>
              <w:rPr>
                <w:rFonts w:hint="eastAsia" w:cs="Times New Roman"/>
                <w:color w:val="000000"/>
                <w:spacing w:val="11"/>
                <w:position w:val="0"/>
                <w:sz w:val="24"/>
                <w:szCs w:val="24"/>
                <w:u w:val="single" w:color="auto"/>
                <w:lang w:val="en-US" w:eastAsia="zh-CN"/>
              </w:rPr>
              <w:t>-7</w:t>
            </w:r>
            <w:r>
              <w:rPr>
                <w:rFonts w:hint="default" w:ascii="Times New Roman" w:hAnsi="Times New Roman" w:eastAsia="宋体" w:cs="Times New Roman"/>
                <w:color w:val="000000"/>
                <w:spacing w:val="11"/>
                <w:position w:val="0"/>
                <w:sz w:val="24"/>
                <w:szCs w:val="24"/>
                <w:u w:val="single" w:color="auto"/>
                <w:lang w:val="en-US" w:eastAsia="zh-CN"/>
              </w:rPr>
              <w:t>。</w:t>
            </w:r>
          </w:p>
          <w:p w14:paraId="3A9B1D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spacing w:val="11"/>
                <w:position w:val="0"/>
                <w:sz w:val="21"/>
                <w:szCs w:val="21"/>
                <w:u w:val="single" w:color="auto"/>
                <w:lang w:val="en-US" w:eastAsia="zh-CN"/>
              </w:rPr>
            </w:pPr>
            <w:r>
              <w:rPr>
                <w:rFonts w:hint="default" w:ascii="Times New Roman" w:hAnsi="Times New Roman" w:eastAsia="宋体" w:cs="Times New Roman"/>
                <w:b/>
                <w:bCs/>
                <w:color w:val="000000"/>
                <w:spacing w:val="11"/>
                <w:position w:val="0"/>
                <w:sz w:val="21"/>
                <w:szCs w:val="21"/>
                <w:u w:val="single" w:color="auto"/>
                <w:lang w:val="en-US" w:eastAsia="zh-CN"/>
              </w:rPr>
              <w:t>表4</w:t>
            </w:r>
            <w:r>
              <w:rPr>
                <w:rFonts w:hint="eastAsia" w:ascii="Times New Roman" w:hAnsi="Times New Roman" w:eastAsia="宋体" w:cs="Times New Roman"/>
                <w:b/>
                <w:bCs/>
                <w:color w:val="000000"/>
                <w:spacing w:val="11"/>
                <w:position w:val="0"/>
                <w:sz w:val="21"/>
                <w:szCs w:val="21"/>
                <w:u w:val="single" w:color="auto"/>
                <w:lang w:val="en-US" w:eastAsia="zh-CN"/>
              </w:rPr>
              <w:t>-7</w:t>
            </w:r>
            <w:r>
              <w:rPr>
                <w:rFonts w:hint="default" w:ascii="Times New Roman" w:hAnsi="Times New Roman" w:eastAsia="宋体" w:cs="Times New Roman"/>
                <w:b/>
                <w:bCs/>
                <w:color w:val="000000"/>
                <w:spacing w:val="11"/>
                <w:position w:val="0"/>
                <w:sz w:val="21"/>
                <w:szCs w:val="21"/>
                <w:u w:val="single" w:color="auto"/>
                <w:lang w:val="en-US" w:eastAsia="zh-CN"/>
              </w:rPr>
              <w:t xml:space="preserve">  水土流失预测范围和时段一览表</w:t>
            </w:r>
          </w:p>
          <w:tbl>
            <w:tblPr>
              <w:tblStyle w:val="33"/>
              <w:tblW w:w="51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8"/>
              <w:gridCol w:w="2008"/>
              <w:gridCol w:w="865"/>
              <w:gridCol w:w="1440"/>
              <w:gridCol w:w="865"/>
              <w:gridCol w:w="1460"/>
            </w:tblGrid>
            <w:tr w14:paraId="347F9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14:paraId="2ACEEB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预测时期</w:t>
                  </w:r>
                </w:p>
              </w:tc>
              <w:tc>
                <w:tcPr>
                  <w:tcW w:w="1241" w:type="pct"/>
                  <w:vMerge w:val="restart"/>
                  <w:tcBorders>
                    <w:tl2br w:val="nil"/>
                    <w:tr2bl w:val="nil"/>
                  </w:tcBorders>
                  <w:shd w:val="clear" w:color="auto" w:fill="auto"/>
                  <w:vAlign w:val="center"/>
                </w:tcPr>
                <w:p w14:paraId="44B491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预测分区</w:t>
                  </w:r>
                </w:p>
              </w:tc>
              <w:tc>
                <w:tcPr>
                  <w:tcW w:w="1425" w:type="pct"/>
                  <w:gridSpan w:val="2"/>
                  <w:tcBorders>
                    <w:tl2br w:val="nil"/>
                    <w:tr2bl w:val="nil"/>
                  </w:tcBorders>
                  <w:shd w:val="clear" w:color="auto" w:fill="auto"/>
                  <w:vAlign w:val="center"/>
                </w:tcPr>
                <w:p w14:paraId="3D07F7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预测范围（hm</w:t>
                  </w:r>
                  <w:r>
                    <w:rPr>
                      <w:rFonts w:hint="default" w:ascii="Times New Roman" w:hAnsi="Times New Roman" w:eastAsia="宋体" w:cs="Times New Roman"/>
                      <w:color w:val="000000"/>
                      <w:spacing w:val="11"/>
                      <w:position w:val="0"/>
                      <w:sz w:val="21"/>
                      <w:szCs w:val="21"/>
                      <w:u w:val="single" w:color="auto"/>
                      <w:vertAlign w:val="superscript"/>
                      <w:lang w:val="en-US" w:eastAsia="zh-CN"/>
                    </w:rPr>
                    <w:t>2</w:t>
                  </w:r>
                  <w:r>
                    <w:rPr>
                      <w:rFonts w:hint="default" w:ascii="Times New Roman" w:hAnsi="Times New Roman" w:eastAsia="宋体" w:cs="Times New Roman"/>
                      <w:color w:val="000000"/>
                      <w:spacing w:val="11"/>
                      <w:position w:val="0"/>
                      <w:sz w:val="21"/>
                      <w:szCs w:val="21"/>
                      <w:u w:val="single" w:color="auto"/>
                      <w:lang w:val="en-US" w:eastAsia="zh-CN"/>
                    </w:rPr>
                    <w:t>）</w:t>
                  </w:r>
                </w:p>
              </w:tc>
              <w:tc>
                <w:tcPr>
                  <w:tcW w:w="1437" w:type="pct"/>
                  <w:gridSpan w:val="2"/>
                  <w:tcBorders>
                    <w:tl2br w:val="nil"/>
                    <w:tr2bl w:val="nil"/>
                  </w:tcBorders>
                  <w:shd w:val="clear" w:color="auto" w:fill="auto"/>
                  <w:vAlign w:val="center"/>
                </w:tcPr>
                <w:p w14:paraId="2808BF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预测时段(a)</w:t>
                  </w:r>
                </w:p>
              </w:tc>
            </w:tr>
            <w:tr w14:paraId="77543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581ED2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1241" w:type="pct"/>
                  <w:vMerge w:val="continue"/>
                  <w:tcBorders>
                    <w:tl2br w:val="nil"/>
                    <w:tr2bl w:val="nil"/>
                  </w:tcBorders>
                  <w:shd w:val="clear" w:color="auto" w:fill="auto"/>
                  <w:vAlign w:val="center"/>
                </w:tcPr>
                <w:p w14:paraId="67C576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535" w:type="pct"/>
                  <w:tcBorders>
                    <w:tl2br w:val="nil"/>
                    <w:tr2bl w:val="nil"/>
                  </w:tcBorders>
                  <w:shd w:val="clear" w:color="auto" w:fill="auto"/>
                  <w:vAlign w:val="center"/>
                </w:tcPr>
                <w:p w14:paraId="4FFB22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rPr>
                    <w:t>施工期</w:t>
                  </w:r>
                </w:p>
              </w:tc>
              <w:tc>
                <w:tcPr>
                  <w:tcW w:w="890" w:type="pct"/>
                  <w:tcBorders>
                    <w:tl2br w:val="nil"/>
                    <w:tr2bl w:val="nil"/>
                  </w:tcBorders>
                  <w:shd w:val="clear" w:color="auto" w:fill="auto"/>
                  <w:vAlign w:val="center"/>
                </w:tcPr>
                <w:p w14:paraId="4305A2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rPr>
                    <w:t>自然恢复期</w:t>
                  </w:r>
                </w:p>
              </w:tc>
              <w:tc>
                <w:tcPr>
                  <w:tcW w:w="535" w:type="pct"/>
                  <w:tcBorders>
                    <w:tl2br w:val="nil"/>
                    <w:tr2bl w:val="nil"/>
                  </w:tcBorders>
                  <w:shd w:val="clear" w:color="auto" w:fill="auto"/>
                  <w:vAlign w:val="center"/>
                </w:tcPr>
                <w:p w14:paraId="507B85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施工期</w:t>
                  </w:r>
                </w:p>
              </w:tc>
              <w:tc>
                <w:tcPr>
                  <w:tcW w:w="902" w:type="pct"/>
                  <w:tcBorders>
                    <w:tl2br w:val="nil"/>
                    <w:tr2bl w:val="nil"/>
                  </w:tcBorders>
                  <w:shd w:val="clear" w:color="auto" w:fill="auto"/>
                  <w:vAlign w:val="center"/>
                </w:tcPr>
                <w:p w14:paraId="611021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自然恢复期</w:t>
                  </w:r>
                </w:p>
              </w:tc>
            </w:tr>
            <w:tr w14:paraId="13374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14:paraId="72312E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基建期</w:t>
                  </w:r>
                </w:p>
              </w:tc>
              <w:tc>
                <w:tcPr>
                  <w:tcW w:w="1241" w:type="pct"/>
                  <w:tcBorders>
                    <w:tl2br w:val="nil"/>
                    <w:tr2bl w:val="nil"/>
                  </w:tcBorders>
                  <w:shd w:val="clear" w:color="auto" w:fill="auto"/>
                  <w:vAlign w:val="center"/>
                </w:tcPr>
                <w:p w14:paraId="1EE029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14:paraId="54562E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8.91</w:t>
                  </w:r>
                </w:p>
              </w:tc>
              <w:tc>
                <w:tcPr>
                  <w:tcW w:w="890" w:type="pct"/>
                  <w:tcBorders>
                    <w:tl2br w:val="nil"/>
                    <w:tr2bl w:val="nil"/>
                  </w:tcBorders>
                  <w:shd w:val="clear" w:color="auto" w:fill="auto"/>
                  <w:vAlign w:val="center"/>
                </w:tcPr>
                <w:p w14:paraId="4811FF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2AC02E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14:paraId="6F9673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17352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895" w:type="pct"/>
                  <w:vMerge w:val="continue"/>
                  <w:tcBorders>
                    <w:tl2br w:val="nil"/>
                    <w:tr2bl w:val="nil"/>
                  </w:tcBorders>
                  <w:shd w:val="clear" w:color="auto" w:fill="auto"/>
                  <w:vAlign w:val="center"/>
                </w:tcPr>
                <w:p w14:paraId="272B24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14:paraId="77845B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运输道路区</w:t>
                  </w:r>
                </w:p>
              </w:tc>
              <w:tc>
                <w:tcPr>
                  <w:tcW w:w="535" w:type="pct"/>
                  <w:tcBorders>
                    <w:tl2br w:val="nil"/>
                    <w:tr2bl w:val="nil"/>
                  </w:tcBorders>
                  <w:shd w:val="clear" w:color="auto" w:fill="auto"/>
                  <w:vAlign w:val="center"/>
                </w:tcPr>
                <w:p w14:paraId="2D946E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0.32</w:t>
                  </w:r>
                </w:p>
              </w:tc>
              <w:tc>
                <w:tcPr>
                  <w:tcW w:w="890" w:type="pct"/>
                  <w:tcBorders>
                    <w:tl2br w:val="nil"/>
                    <w:tr2bl w:val="nil"/>
                  </w:tcBorders>
                  <w:shd w:val="clear" w:color="auto" w:fill="auto"/>
                  <w:vAlign w:val="center"/>
                </w:tcPr>
                <w:p w14:paraId="273895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3B22E6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14:paraId="2C25B5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5AEB7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0AD100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14:paraId="3E2FC2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生产加工区</w:t>
                  </w:r>
                </w:p>
              </w:tc>
              <w:tc>
                <w:tcPr>
                  <w:tcW w:w="535" w:type="pct"/>
                  <w:tcBorders>
                    <w:tl2br w:val="nil"/>
                    <w:tr2bl w:val="nil"/>
                  </w:tcBorders>
                  <w:shd w:val="clear" w:color="auto" w:fill="auto"/>
                  <w:vAlign w:val="center"/>
                </w:tcPr>
                <w:p w14:paraId="5FE803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2.33</w:t>
                  </w:r>
                </w:p>
              </w:tc>
              <w:tc>
                <w:tcPr>
                  <w:tcW w:w="890" w:type="pct"/>
                  <w:tcBorders>
                    <w:tl2br w:val="nil"/>
                    <w:tr2bl w:val="nil"/>
                  </w:tcBorders>
                  <w:shd w:val="clear" w:color="auto" w:fill="auto"/>
                  <w:vAlign w:val="center"/>
                </w:tcPr>
                <w:p w14:paraId="036992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52F904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14:paraId="727FC2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4D01D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49D2F3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14:paraId="4D07BF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施工生活区</w:t>
                  </w:r>
                </w:p>
              </w:tc>
              <w:tc>
                <w:tcPr>
                  <w:tcW w:w="535" w:type="pct"/>
                  <w:tcBorders>
                    <w:tl2br w:val="nil"/>
                    <w:tr2bl w:val="nil"/>
                  </w:tcBorders>
                  <w:shd w:val="clear" w:color="auto" w:fill="auto"/>
                  <w:vAlign w:val="center"/>
                </w:tcPr>
                <w:p w14:paraId="730F7F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0.28</w:t>
                  </w:r>
                </w:p>
              </w:tc>
              <w:tc>
                <w:tcPr>
                  <w:tcW w:w="890" w:type="pct"/>
                  <w:tcBorders>
                    <w:tl2br w:val="nil"/>
                    <w:tr2bl w:val="nil"/>
                  </w:tcBorders>
                  <w:shd w:val="clear" w:color="auto" w:fill="auto"/>
                  <w:vAlign w:val="center"/>
                </w:tcPr>
                <w:p w14:paraId="191C44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606F01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14:paraId="054E40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23069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1E2E8A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14:paraId="369DD8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rPr>
                  </w:pPr>
                  <w:r>
                    <w:rPr>
                      <w:rFonts w:hint="eastAsia" w:cs="Times New Roman"/>
                      <w:color w:val="000000"/>
                      <w:spacing w:val="11"/>
                      <w:position w:val="0"/>
                      <w:sz w:val="21"/>
                      <w:szCs w:val="21"/>
                      <w:highlight w:val="none"/>
                      <w:u w:val="single" w:color="auto"/>
                      <w:lang w:val="en-US" w:eastAsia="zh-CN"/>
                    </w:rPr>
                    <w:t>表土堆存区</w:t>
                  </w:r>
                </w:p>
              </w:tc>
              <w:tc>
                <w:tcPr>
                  <w:tcW w:w="535" w:type="pct"/>
                  <w:tcBorders>
                    <w:tl2br w:val="nil"/>
                    <w:tr2bl w:val="nil"/>
                  </w:tcBorders>
                  <w:shd w:val="clear" w:color="auto" w:fill="auto"/>
                  <w:vAlign w:val="center"/>
                </w:tcPr>
                <w:p w14:paraId="4D0773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0.20</w:t>
                  </w:r>
                </w:p>
              </w:tc>
              <w:tc>
                <w:tcPr>
                  <w:tcW w:w="890" w:type="pct"/>
                  <w:tcBorders>
                    <w:tl2br w:val="nil"/>
                    <w:tr2bl w:val="nil"/>
                  </w:tcBorders>
                  <w:shd w:val="clear" w:color="auto" w:fill="auto"/>
                  <w:vAlign w:val="center"/>
                </w:tcPr>
                <w:p w14:paraId="199C68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0F77A5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14:paraId="3309A0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42603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14:paraId="7DDC91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开采期</w:t>
                  </w:r>
                </w:p>
              </w:tc>
              <w:tc>
                <w:tcPr>
                  <w:tcW w:w="1241" w:type="pct"/>
                  <w:tcBorders>
                    <w:tl2br w:val="nil"/>
                    <w:tr2bl w:val="nil"/>
                  </w:tcBorders>
                  <w:shd w:val="clear" w:color="auto" w:fill="auto"/>
                  <w:vAlign w:val="center"/>
                </w:tcPr>
                <w:p w14:paraId="1D5054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14:paraId="3790D0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8.91</w:t>
                  </w:r>
                </w:p>
              </w:tc>
              <w:tc>
                <w:tcPr>
                  <w:tcW w:w="890" w:type="pct"/>
                  <w:tcBorders>
                    <w:tl2br w:val="nil"/>
                    <w:tr2bl w:val="nil"/>
                  </w:tcBorders>
                  <w:shd w:val="clear" w:color="auto" w:fill="auto"/>
                  <w:vAlign w:val="center"/>
                </w:tcPr>
                <w:p w14:paraId="1E63BC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599EB5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14:paraId="6A4DC1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688CA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59DCF4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14:paraId="7053A9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运输道路区</w:t>
                  </w:r>
                </w:p>
              </w:tc>
              <w:tc>
                <w:tcPr>
                  <w:tcW w:w="535" w:type="pct"/>
                  <w:tcBorders>
                    <w:tl2br w:val="nil"/>
                    <w:tr2bl w:val="nil"/>
                  </w:tcBorders>
                  <w:shd w:val="clear" w:color="auto" w:fill="auto"/>
                  <w:vAlign w:val="center"/>
                </w:tcPr>
                <w:p w14:paraId="0F30AD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0.32</w:t>
                  </w:r>
                </w:p>
              </w:tc>
              <w:tc>
                <w:tcPr>
                  <w:tcW w:w="890" w:type="pct"/>
                  <w:tcBorders>
                    <w:tl2br w:val="nil"/>
                    <w:tr2bl w:val="nil"/>
                  </w:tcBorders>
                  <w:shd w:val="clear" w:color="auto" w:fill="auto"/>
                  <w:vAlign w:val="center"/>
                </w:tcPr>
                <w:p w14:paraId="7ABC6D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21C56A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14:paraId="6A5004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78467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304B55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14:paraId="6E190D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生产加工区</w:t>
                  </w:r>
                </w:p>
              </w:tc>
              <w:tc>
                <w:tcPr>
                  <w:tcW w:w="535" w:type="pct"/>
                  <w:tcBorders>
                    <w:tl2br w:val="nil"/>
                    <w:tr2bl w:val="nil"/>
                  </w:tcBorders>
                  <w:shd w:val="clear" w:color="auto" w:fill="auto"/>
                  <w:vAlign w:val="center"/>
                </w:tcPr>
                <w:p w14:paraId="2C6142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2.33</w:t>
                  </w:r>
                </w:p>
              </w:tc>
              <w:tc>
                <w:tcPr>
                  <w:tcW w:w="890" w:type="pct"/>
                  <w:tcBorders>
                    <w:tl2br w:val="nil"/>
                    <w:tr2bl w:val="nil"/>
                  </w:tcBorders>
                  <w:shd w:val="clear" w:color="auto" w:fill="auto"/>
                  <w:vAlign w:val="center"/>
                </w:tcPr>
                <w:p w14:paraId="221F1D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214750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14:paraId="216FCB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7DE8D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78D086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14:paraId="46F9A8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施工生活区</w:t>
                  </w:r>
                </w:p>
              </w:tc>
              <w:tc>
                <w:tcPr>
                  <w:tcW w:w="535" w:type="pct"/>
                  <w:tcBorders>
                    <w:tl2br w:val="nil"/>
                    <w:tr2bl w:val="nil"/>
                  </w:tcBorders>
                  <w:shd w:val="clear" w:color="auto" w:fill="auto"/>
                  <w:vAlign w:val="center"/>
                </w:tcPr>
                <w:p w14:paraId="5999FD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0.28</w:t>
                  </w:r>
                </w:p>
              </w:tc>
              <w:tc>
                <w:tcPr>
                  <w:tcW w:w="890" w:type="pct"/>
                  <w:tcBorders>
                    <w:tl2br w:val="nil"/>
                    <w:tr2bl w:val="nil"/>
                  </w:tcBorders>
                  <w:shd w:val="clear" w:color="auto" w:fill="auto"/>
                  <w:vAlign w:val="center"/>
                </w:tcPr>
                <w:p w14:paraId="654FCA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017FB3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14:paraId="46119E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14:paraId="18D17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14:paraId="77C00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14:paraId="0E8153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表土堆存区</w:t>
                  </w:r>
                </w:p>
              </w:tc>
              <w:tc>
                <w:tcPr>
                  <w:tcW w:w="535" w:type="pct"/>
                  <w:tcBorders>
                    <w:tl2br w:val="nil"/>
                    <w:tr2bl w:val="nil"/>
                  </w:tcBorders>
                  <w:shd w:val="clear" w:color="auto" w:fill="auto"/>
                  <w:vAlign w:val="center"/>
                </w:tcPr>
                <w:p w14:paraId="47B84B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0.20</w:t>
                  </w:r>
                </w:p>
              </w:tc>
              <w:tc>
                <w:tcPr>
                  <w:tcW w:w="890" w:type="pct"/>
                  <w:tcBorders>
                    <w:tl2br w:val="nil"/>
                    <w:tr2bl w:val="nil"/>
                  </w:tcBorders>
                  <w:shd w:val="clear" w:color="auto" w:fill="auto"/>
                  <w:vAlign w:val="center"/>
                </w:tcPr>
                <w:p w14:paraId="3B4D4C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14:paraId="42750F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14:paraId="26620A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r>
            <w:tr w14:paraId="147E4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tcBorders>
                    <w:tl2br w:val="nil"/>
                    <w:tr2bl w:val="nil"/>
                  </w:tcBorders>
                  <w:shd w:val="clear" w:color="auto" w:fill="auto"/>
                  <w:vAlign w:val="center"/>
                </w:tcPr>
                <w:p w14:paraId="687361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自然恢复期</w:t>
                  </w:r>
                </w:p>
              </w:tc>
              <w:tc>
                <w:tcPr>
                  <w:tcW w:w="1241" w:type="pct"/>
                  <w:tcBorders>
                    <w:tl2br w:val="nil"/>
                    <w:tr2bl w:val="nil"/>
                  </w:tcBorders>
                  <w:shd w:val="clear" w:color="auto" w:fill="auto"/>
                  <w:vAlign w:val="center"/>
                </w:tcPr>
                <w:p w14:paraId="07C286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14:paraId="785165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890" w:type="pct"/>
                  <w:tcBorders>
                    <w:tl2br w:val="nil"/>
                    <w:tr2bl w:val="nil"/>
                  </w:tcBorders>
                  <w:shd w:val="clear" w:color="auto" w:fill="auto"/>
                  <w:vAlign w:val="center"/>
                </w:tcPr>
                <w:p w14:paraId="449DFA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10.07</w:t>
                  </w:r>
                </w:p>
              </w:tc>
              <w:tc>
                <w:tcPr>
                  <w:tcW w:w="535" w:type="pct"/>
                  <w:tcBorders>
                    <w:tl2br w:val="nil"/>
                    <w:tr2bl w:val="nil"/>
                  </w:tcBorders>
                  <w:shd w:val="clear" w:color="auto" w:fill="auto"/>
                  <w:vAlign w:val="center"/>
                </w:tcPr>
                <w:p w14:paraId="7800F1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902" w:type="pct"/>
                  <w:tcBorders>
                    <w:tl2br w:val="nil"/>
                    <w:tr2bl w:val="nil"/>
                  </w:tcBorders>
                  <w:shd w:val="clear" w:color="auto" w:fill="auto"/>
                  <w:vAlign w:val="center"/>
                </w:tcPr>
                <w:p w14:paraId="64D602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2.0</w:t>
                  </w:r>
                </w:p>
              </w:tc>
            </w:tr>
          </w:tbl>
          <w:p w14:paraId="7180AED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土壤流失量按照下式计算：</w:t>
            </w:r>
          </w:p>
          <w:p w14:paraId="5FD4B8D7">
            <w:pPr>
              <w:keepNext w:val="0"/>
              <w:keepLines w:val="0"/>
              <w:pageBreakBefore w:val="0"/>
              <w:kinsoku/>
              <w:wordWrap/>
              <w:overflowPunct/>
              <w:topLinePunct w:val="0"/>
              <w:bidi w:val="0"/>
              <w:adjustRightInd w:val="0"/>
              <w:snapToGrid w:val="0"/>
              <w:spacing w:line="360" w:lineRule="auto"/>
              <w:ind w:right="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drawing>
                <wp:inline distT="0" distB="0" distL="114300" distR="114300">
                  <wp:extent cx="2051685" cy="512445"/>
                  <wp:effectExtent l="0" t="0" r="5715" b="190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51685" cy="512445"/>
                          </a:xfrm>
                          <a:prstGeom prst="rect">
                            <a:avLst/>
                          </a:prstGeom>
                          <a:noFill/>
                          <a:ln>
                            <a:noFill/>
                          </a:ln>
                        </pic:spPr>
                      </pic:pic>
                    </a:graphicData>
                  </a:graphic>
                </wp:inline>
              </w:drawing>
            </w:r>
          </w:p>
          <w:p w14:paraId="373712D6">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式中：W ——土壤流失量，t；</w:t>
            </w:r>
          </w:p>
          <w:p w14:paraId="4FF32416">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J ——预测时段，j=1，2，指施工期（含施工准备期）和自然恢复期；</w:t>
            </w:r>
          </w:p>
          <w:p w14:paraId="02416E22">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I ——预测单元，i=1，2，3，……，n-1，n；</w:t>
            </w:r>
          </w:p>
          <w:p w14:paraId="6B7BB0A8">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Fji——第j个预测时段、第i个预测单元的面积，k</w:t>
            </w:r>
            <w:r>
              <w:rPr>
                <w:rFonts w:hint="default" w:ascii="Times New Roman" w:hAnsi="Times New Roman" w:eastAsia="宋体" w:cs="Times New Roman"/>
                <w:color w:val="000000"/>
                <w:spacing w:val="11"/>
                <w:position w:val="0"/>
                <w:sz w:val="24"/>
                <w:szCs w:val="24"/>
                <w:u w:val="single" w:color="auto"/>
                <w:lang w:eastAsia="zh-CN"/>
              </w:rPr>
              <w:t>m</w:t>
            </w:r>
            <w:r>
              <w:rPr>
                <w:rFonts w:hint="default" w:ascii="Times New Roman" w:hAnsi="Times New Roman" w:eastAsia="宋体" w:cs="Times New Roman"/>
                <w:color w:val="000000"/>
                <w:spacing w:val="11"/>
                <w:position w:val="0"/>
                <w:sz w:val="24"/>
                <w:szCs w:val="24"/>
                <w:u w:val="single" w:color="auto"/>
                <w:vertAlign w:val="superscript"/>
                <w:lang w:eastAsia="zh-CN"/>
              </w:rPr>
              <w:t>2</w:t>
            </w:r>
            <w:r>
              <w:rPr>
                <w:rFonts w:hint="default" w:ascii="Times New Roman" w:hAnsi="Times New Roman" w:eastAsia="宋体" w:cs="Times New Roman"/>
                <w:color w:val="000000"/>
                <w:spacing w:val="11"/>
                <w:position w:val="0"/>
                <w:sz w:val="24"/>
                <w:szCs w:val="24"/>
                <w:u w:val="single" w:color="auto"/>
              </w:rPr>
              <w:t>；</w:t>
            </w:r>
          </w:p>
          <w:p w14:paraId="50227B99">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Mji——第j个预测时段、第i个预测单元的土壤侵蚀模数，t/k</w:t>
            </w:r>
            <w:r>
              <w:rPr>
                <w:rFonts w:hint="default" w:ascii="Times New Roman" w:hAnsi="Times New Roman" w:eastAsia="宋体" w:cs="Times New Roman"/>
                <w:color w:val="000000"/>
                <w:spacing w:val="11"/>
                <w:position w:val="0"/>
                <w:sz w:val="24"/>
                <w:szCs w:val="24"/>
                <w:u w:val="single" w:color="auto"/>
                <w:lang w:eastAsia="zh-CN"/>
              </w:rPr>
              <w:t>m</w:t>
            </w:r>
            <w:r>
              <w:rPr>
                <w:rFonts w:hint="default" w:ascii="Times New Roman" w:hAnsi="Times New Roman" w:eastAsia="宋体" w:cs="Times New Roman"/>
                <w:color w:val="000000"/>
                <w:spacing w:val="11"/>
                <w:position w:val="0"/>
                <w:sz w:val="24"/>
                <w:szCs w:val="24"/>
                <w:u w:val="single" w:color="auto"/>
                <w:vertAlign w:val="superscript"/>
                <w:lang w:eastAsia="zh-CN"/>
              </w:rPr>
              <w:t>2</w:t>
            </w:r>
            <w:r>
              <w:rPr>
                <w:rFonts w:hint="default" w:ascii="Times New Roman" w:hAnsi="Times New Roman" w:eastAsia="宋体" w:cs="Times New Roman"/>
                <w:color w:val="000000"/>
                <w:spacing w:val="11"/>
                <w:position w:val="0"/>
                <w:sz w:val="24"/>
                <w:szCs w:val="24"/>
                <w:u w:val="single" w:color="auto"/>
              </w:rPr>
              <w:t>·a；</w:t>
            </w:r>
          </w:p>
          <w:p w14:paraId="33515FB2">
            <w:pPr>
              <w:keepNext w:val="0"/>
              <w:keepLines w:val="0"/>
              <w:pageBreakBefore w:val="0"/>
              <w:kinsoku/>
              <w:wordWrap/>
              <w:overflowPunct/>
              <w:topLinePunct w:val="0"/>
              <w:bidi w:val="0"/>
              <w:adjustRightInd w:val="0"/>
              <w:snapToGrid w:val="0"/>
              <w:spacing w:line="360" w:lineRule="auto"/>
              <w:ind w:left="0" w:leftChars="0" w:right="0" w:firstLine="1048" w:firstLineChars="4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Tji——第j个预测时段、第i个预测单元的预测时段长，a。</w:t>
            </w:r>
          </w:p>
          <w:p w14:paraId="1439A43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经预测计算，预测期项目可能产生的</w:t>
            </w:r>
            <w:r>
              <w:rPr>
                <w:rFonts w:hint="default" w:ascii="Times New Roman" w:hAnsi="Times New Roman" w:eastAsia="宋体" w:cs="Times New Roman"/>
                <w:color w:val="000000"/>
                <w:spacing w:val="11"/>
                <w:position w:val="0"/>
                <w:sz w:val="24"/>
                <w:szCs w:val="24"/>
                <w:u w:val="single" w:color="auto"/>
                <w:lang w:val="en-US" w:eastAsia="zh-CN"/>
              </w:rPr>
              <w:t>土壤</w:t>
            </w:r>
            <w:r>
              <w:rPr>
                <w:rFonts w:hint="default" w:ascii="Times New Roman" w:hAnsi="Times New Roman" w:eastAsia="宋体" w:cs="Times New Roman"/>
                <w:color w:val="000000"/>
                <w:spacing w:val="11"/>
                <w:position w:val="0"/>
                <w:sz w:val="24"/>
                <w:szCs w:val="24"/>
                <w:u w:val="single" w:color="auto"/>
              </w:rPr>
              <w:t>流失总量</w:t>
            </w:r>
            <w:r>
              <w:rPr>
                <w:rFonts w:hint="default" w:ascii="Times New Roman" w:hAnsi="Times New Roman" w:eastAsia="宋体" w:cs="Times New Roman"/>
                <w:color w:val="000000"/>
                <w:spacing w:val="11"/>
                <w:position w:val="0"/>
                <w:sz w:val="24"/>
                <w:szCs w:val="24"/>
                <w:u w:val="single" w:color="auto"/>
                <w:lang w:val="en-US" w:eastAsia="zh-CN"/>
              </w:rPr>
              <w:t>3282.4t</w:t>
            </w:r>
            <w:r>
              <w:rPr>
                <w:rFonts w:hint="default" w:ascii="Times New Roman" w:hAnsi="Times New Roman" w:eastAsia="宋体" w:cs="Times New Roman"/>
                <w:color w:val="000000"/>
                <w:spacing w:val="11"/>
                <w:position w:val="0"/>
                <w:sz w:val="24"/>
                <w:szCs w:val="24"/>
                <w:u w:val="single" w:color="auto"/>
              </w:rPr>
              <w:t>，相应地表新增的</w:t>
            </w:r>
            <w:r>
              <w:rPr>
                <w:rFonts w:hint="default" w:ascii="Times New Roman" w:hAnsi="Times New Roman" w:eastAsia="宋体" w:cs="Times New Roman"/>
                <w:color w:val="000000"/>
                <w:spacing w:val="11"/>
                <w:position w:val="0"/>
                <w:sz w:val="24"/>
                <w:szCs w:val="24"/>
                <w:u w:val="single" w:color="auto"/>
                <w:lang w:val="en-US" w:eastAsia="zh-CN"/>
              </w:rPr>
              <w:t>土壤</w:t>
            </w:r>
            <w:r>
              <w:rPr>
                <w:rFonts w:hint="default" w:ascii="Times New Roman" w:hAnsi="Times New Roman" w:eastAsia="宋体" w:cs="Times New Roman"/>
                <w:color w:val="000000"/>
                <w:spacing w:val="11"/>
                <w:position w:val="0"/>
                <w:sz w:val="24"/>
                <w:szCs w:val="24"/>
                <w:u w:val="single" w:color="auto"/>
              </w:rPr>
              <w:t>流失量为</w:t>
            </w:r>
            <w:r>
              <w:rPr>
                <w:rFonts w:hint="default" w:ascii="Times New Roman" w:hAnsi="Times New Roman" w:eastAsia="宋体" w:cs="Times New Roman"/>
                <w:color w:val="000000"/>
                <w:spacing w:val="11"/>
                <w:position w:val="0"/>
                <w:sz w:val="24"/>
                <w:szCs w:val="24"/>
                <w:u w:val="single" w:color="auto"/>
                <w:lang w:val="en-US" w:eastAsia="zh-CN"/>
              </w:rPr>
              <w:t>2557.5</w:t>
            </w:r>
            <w:r>
              <w:rPr>
                <w:rFonts w:hint="default" w:ascii="Times New Roman" w:hAnsi="Times New Roman" w:eastAsia="宋体" w:cs="Times New Roman"/>
                <w:color w:val="000000"/>
                <w:spacing w:val="11"/>
                <w:position w:val="0"/>
                <w:sz w:val="24"/>
                <w:szCs w:val="24"/>
                <w:u w:val="single" w:color="auto"/>
              </w:rPr>
              <w:t>t</w:t>
            </w:r>
            <w:r>
              <w:rPr>
                <w:rFonts w:hint="default" w:ascii="Times New Roman" w:hAnsi="Times New Roman" w:eastAsia="宋体" w:cs="Times New Roman"/>
                <w:color w:val="000000"/>
                <w:spacing w:val="11"/>
                <w:position w:val="0"/>
                <w:sz w:val="24"/>
                <w:szCs w:val="24"/>
                <w:u w:val="single" w:color="auto"/>
                <w:lang w:eastAsia="zh-CN"/>
              </w:rPr>
              <w:t>。</w:t>
            </w:r>
          </w:p>
          <w:p w14:paraId="64E6E1F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cs="Times New Roman"/>
                <w:color w:val="000000"/>
                <w:spacing w:val="11"/>
                <w:position w:val="0"/>
                <w:sz w:val="24"/>
                <w:szCs w:val="24"/>
                <w:u w:val="none" w:color="auto"/>
                <w:lang w:val="en-US" w:eastAsia="zh-CN"/>
              </w:rPr>
              <w:t>（5）</w:t>
            </w:r>
            <w:r>
              <w:rPr>
                <w:rFonts w:hint="default" w:ascii="Times New Roman" w:hAnsi="Times New Roman" w:eastAsia="宋体" w:cs="Times New Roman"/>
                <w:color w:val="000000"/>
                <w:spacing w:val="11"/>
                <w:position w:val="0"/>
                <w:sz w:val="24"/>
                <w:szCs w:val="24"/>
                <w:u w:val="none" w:color="auto"/>
              </w:rPr>
              <w:t>景观影响分析</w:t>
            </w:r>
          </w:p>
          <w:p w14:paraId="42D16D75">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区表层剥离，植被清除，石料开采、生活设施的布置等改变了矿区原有的地形、地貌，破坏了地表结构，影响地表形态的连续性和协调性。植被、土壤及山体的破坏将造成地表裸露，高边坡，人工痕迹明显，与地表生物群落景观不和谐，影响视感景观，在原来较为单纯的山地景观上增加了“斑块”。因此，矿山应注重土地、边坡整理与植被恢复，使项目建设对景观的影响降低到最低。</w:t>
            </w:r>
          </w:p>
          <w:p w14:paraId="10571016">
            <w:pPr>
              <w:keepNext w:val="0"/>
              <w:keepLines w:val="0"/>
              <w:pageBreakBefore w:val="0"/>
              <w:kinsoku/>
              <w:wordWrap/>
              <w:overflowPunct/>
              <w:topLinePunct w:val="0"/>
              <w:bidi w:val="0"/>
              <w:adjustRightInd w:val="0"/>
              <w:snapToGrid w:val="0"/>
              <w:spacing w:line="360"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u w:val="none" w:color="auto"/>
              </w:rPr>
            </w:pPr>
            <w:r>
              <w:rPr>
                <w:rFonts w:hint="eastAsia" w:cs="Times New Roman"/>
                <w:b/>
                <w:color w:val="000000"/>
                <w:spacing w:val="11"/>
                <w:position w:val="0"/>
                <w:sz w:val="24"/>
                <w:szCs w:val="24"/>
                <w:u w:val="none" w:color="auto"/>
                <w:lang w:val="en-US" w:eastAsia="zh-CN"/>
              </w:rPr>
              <w:t>7</w:t>
            </w:r>
            <w:r>
              <w:rPr>
                <w:rFonts w:hint="default" w:ascii="Times New Roman" w:hAnsi="Times New Roman" w:eastAsia="宋体" w:cs="Times New Roman"/>
                <w:b/>
                <w:color w:val="000000"/>
                <w:spacing w:val="11"/>
                <w:position w:val="0"/>
                <w:sz w:val="24"/>
                <w:szCs w:val="24"/>
                <w:u w:val="none" w:color="auto"/>
              </w:rPr>
              <w:t>、闭矿期环境影响分析</w:t>
            </w:r>
          </w:p>
          <w:p w14:paraId="7286D53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采矿业作为仅次于农业的人类第二大生产活动，除了在矿体开采和生产加工过程中对区域环境造成不同程度污染外，采矿和生产活动结束后整个矿区的生态恢复越来越受到人们的重视。根据我国《矿产资源法》和其他相关法律，目前正</w:t>
            </w:r>
            <w:r>
              <w:rPr>
                <w:rFonts w:hint="default" w:ascii="Times New Roman" w:hAnsi="Times New Roman" w:eastAsia="宋体" w:cs="Times New Roman"/>
                <w:b w:val="0"/>
                <w:bCs w:val="0"/>
                <w:color w:val="000000"/>
                <w:spacing w:val="11"/>
                <w:position w:val="0"/>
                <w:sz w:val="24"/>
                <w:szCs w:val="24"/>
                <w:u w:val="none" w:color="auto"/>
              </w:rPr>
              <w:t>在开采或即将开采的矿山，在矿山开采过程中和开采活动结束后，应该有完善的废弃物处置与土地生态恢复的方案。</w:t>
            </w:r>
          </w:p>
          <w:p w14:paraId="5F48E91F">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（1）生产设备处理</w:t>
            </w:r>
          </w:p>
          <w:p w14:paraId="012D605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企业闭矿以后，应处置其设备。属于行业淘汰的范围、不符合当时国家产业政策和地方政策的设备，应予报废，设备可按废品出售给回收单位。不属于行业淘汰范围的、符合当时国家产业政策和地方政策的设备，可出售给同行业企业。</w:t>
            </w:r>
          </w:p>
          <w:p w14:paraId="2377018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（2）原材料和产品处理</w:t>
            </w:r>
          </w:p>
          <w:p w14:paraId="2C824F5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该项目原材料和产品均不含危险物品，可出售给相关企业，对环境无影响。</w:t>
            </w:r>
          </w:p>
          <w:p w14:paraId="482313A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（3）土地生态恢复</w:t>
            </w:r>
          </w:p>
          <w:p w14:paraId="09BE1C28">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项目闭矿后，应由企</w:t>
            </w:r>
            <w:r>
              <w:rPr>
                <w:rFonts w:hint="default" w:ascii="Times New Roman" w:hAnsi="Times New Roman" w:eastAsia="宋体" w:cs="Times New Roman"/>
                <w:color w:val="000000"/>
                <w:spacing w:val="11"/>
                <w:position w:val="0"/>
                <w:sz w:val="24"/>
                <w:szCs w:val="24"/>
                <w:u w:val="none" w:color="auto"/>
              </w:rPr>
              <w:t>业负责进行生态恢复，防治因土壤裸露而造成水土流失等环境问题。生态恢复在不同时期和不同国家因社会经济发展程度不同，其所要求达到的目的也不尽相同。</w:t>
            </w:r>
          </w:p>
          <w:p w14:paraId="20E15BC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评价所称生态恢复是指对采矿过程引发的结构缺损、功能失调的极度退化的生态系统，借助人工支持和诱导，对其组成、结构和功能进行超前性的计划、规划、安排和调控，使已退化生态系统发生逆向演替，最终重建一个符合实际需求的可持续的生态系统。</w:t>
            </w:r>
          </w:p>
          <w:p w14:paraId="18267325">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1）恢复目标</w:t>
            </w:r>
          </w:p>
          <w:p w14:paraId="5153BBE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生态恢复是一个多目标的活动，主要体现在三个方面：环境污染控制、社会经济利用和自身维持系统的监理。这三个目标相互是紧密联系的，环境污染的长期和有效控制必须依赖于自身维持生态系统的建立，废弃的社会经济利用必须是基于良好的生态环境的基础，同时，社会经济利用也可能是污染控制的一个有效手段。</w:t>
            </w:r>
          </w:p>
          <w:p w14:paraId="61AC60C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对于本项目而言，闭矿后生态恢复的具体目标为以下几项：</w:t>
            </w:r>
          </w:p>
          <w:p w14:paraId="26AD660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环境污染控制</w:t>
            </w:r>
          </w:p>
          <w:p w14:paraId="52994A16">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景观改善</w:t>
            </w:r>
          </w:p>
          <w:p w14:paraId="3495CEC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3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③</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生物多向性保护</w:t>
            </w:r>
          </w:p>
          <w:p w14:paraId="49B5C4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4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④</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生态系统复原。</w:t>
            </w:r>
          </w:p>
          <w:p w14:paraId="2320CD6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2）技术指标</w:t>
            </w:r>
          </w:p>
          <w:p w14:paraId="16749A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矿山生态恢复主要是对矿业开发损毁压占的土地，采取和整治措施，经过林地和监测、管理、修复两个阶段，使其变成林地等，恢复土地的使用价值和环境生态。</w:t>
            </w:r>
          </w:p>
          <w:p w14:paraId="4B3BCA8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主要技术指标如下：</w:t>
            </w:r>
          </w:p>
          <w:p w14:paraId="62FE7BD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有土复垦农业种植技术，复垦后2~3年成为有持续农业生产力的农田，其农作物产量达到或超过当地平均水平。粮食作物无污染，可食用。</w:t>
            </w:r>
          </w:p>
          <w:p w14:paraId="0A75287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无土复垦生态恢复技术，使复垦后的土地具有自我维持和发展能力，植被覆盖率可达到或超过90%以上。达到生态多样目标，草坪、灌木、乔木多品种互生，昆虫小鸟等小动物在此栖息。</w:t>
            </w:r>
          </w:p>
          <w:p w14:paraId="76319A7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3）生态恢复的技术手段</w:t>
            </w:r>
          </w:p>
          <w:p w14:paraId="74BFDDE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的生态恢复问题是一个技术复杂的问题，它与生态、地址、土壤、废料、作物栽培、农林、农田水利、环境保护、毒理、没学、农艺、地理等许多学科有关。就当前各学科发展和生态恢复理论研究水平来看，一下集中技术手段通常被认为是可行的。</w:t>
            </w:r>
          </w:p>
          <w:p w14:paraId="6D0F8EC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植被重建技术</w:t>
            </w:r>
          </w:p>
          <w:p w14:paraId="677469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32"/>
                <w:szCs w:val="32"/>
                <w:u w:val="none" w:color="auto"/>
              </w:rPr>
            </w:pPr>
            <w:r>
              <w:rPr>
                <w:rFonts w:hint="default" w:ascii="Times New Roman" w:hAnsi="Times New Roman" w:eastAsia="宋体" w:cs="Times New Roman"/>
                <w:color w:val="000000"/>
                <w:spacing w:val="11"/>
                <w:position w:val="0"/>
                <w:sz w:val="24"/>
                <w:szCs w:val="24"/>
                <w:u w:val="none" w:color="auto"/>
              </w:rPr>
              <w:t>根据废弃地地理化性质，基本的植被重建技术有三类：直接种植普通植物、改良基质后种植耐性植物和表层处理后种植植物。各种植被重建方法都有其优势和问题，见表</w:t>
            </w:r>
            <w:r>
              <w:rPr>
                <w:rFonts w:hint="eastAsia" w:ascii="Times New Roman" w:hAnsi="Times New Roman" w:eastAsia="宋体" w:cs="Times New Roman"/>
                <w:color w:val="000000"/>
                <w:spacing w:val="11"/>
                <w:position w:val="0"/>
                <w:sz w:val="24"/>
                <w:szCs w:val="24"/>
                <w:u w:val="none" w:color="auto"/>
                <w:lang w:val="en-US" w:eastAsia="zh-CN"/>
              </w:rPr>
              <w:t>4-</w:t>
            </w:r>
            <w:r>
              <w:rPr>
                <w:rFonts w:hint="eastAsia" w:cs="Times New Roman"/>
                <w:color w:val="000000"/>
                <w:spacing w:val="11"/>
                <w:position w:val="0"/>
                <w:sz w:val="24"/>
                <w:szCs w:val="24"/>
                <w:u w:val="none" w:color="auto"/>
                <w:lang w:val="en-US" w:eastAsia="zh-CN"/>
              </w:rPr>
              <w:t>8</w:t>
            </w:r>
            <w:r>
              <w:rPr>
                <w:rFonts w:hint="default" w:ascii="Times New Roman" w:hAnsi="Times New Roman" w:eastAsia="宋体" w:cs="Times New Roman"/>
                <w:color w:val="000000"/>
                <w:spacing w:val="11"/>
                <w:position w:val="0"/>
                <w:sz w:val="24"/>
                <w:szCs w:val="24"/>
                <w:u w:val="none" w:color="auto"/>
              </w:rPr>
              <w:t>。</w:t>
            </w:r>
          </w:p>
          <w:p w14:paraId="213CF0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spacing w:val="11"/>
                <w:position w:val="0"/>
                <w:sz w:val="21"/>
                <w:szCs w:val="21"/>
                <w:u w:val="none" w:color="auto"/>
              </w:rPr>
            </w:pPr>
            <w:r>
              <w:rPr>
                <w:rFonts w:hint="default" w:ascii="Times New Roman" w:hAnsi="Times New Roman" w:eastAsia="宋体" w:cs="Times New Roman"/>
                <w:b/>
                <w:bCs/>
                <w:color w:val="000000"/>
                <w:spacing w:val="11"/>
                <w:position w:val="0"/>
                <w:sz w:val="21"/>
                <w:szCs w:val="21"/>
                <w:u w:val="none" w:color="auto"/>
              </w:rPr>
              <w:t>表</w:t>
            </w:r>
            <w:r>
              <w:rPr>
                <w:rFonts w:hint="eastAsia" w:ascii="Times New Roman" w:hAnsi="Times New Roman" w:eastAsia="宋体" w:cs="Times New Roman"/>
                <w:b/>
                <w:bCs/>
                <w:color w:val="000000"/>
                <w:spacing w:val="11"/>
                <w:position w:val="0"/>
                <w:sz w:val="21"/>
                <w:szCs w:val="21"/>
                <w:u w:val="none" w:color="auto"/>
                <w:lang w:val="en-US" w:eastAsia="zh-CN"/>
              </w:rPr>
              <w:t>4-</w:t>
            </w:r>
            <w:r>
              <w:rPr>
                <w:rFonts w:hint="eastAsia" w:cs="Times New Roman"/>
                <w:b/>
                <w:bCs/>
                <w:color w:val="000000"/>
                <w:spacing w:val="11"/>
                <w:position w:val="0"/>
                <w:sz w:val="21"/>
                <w:szCs w:val="21"/>
                <w:u w:val="none" w:color="auto"/>
                <w:lang w:val="en-US" w:eastAsia="zh-CN"/>
              </w:rPr>
              <w:t>8</w:t>
            </w:r>
            <w:r>
              <w:rPr>
                <w:rFonts w:hint="default" w:ascii="Times New Roman" w:hAnsi="Times New Roman" w:eastAsia="宋体" w:cs="Times New Roman"/>
                <w:b/>
                <w:bCs/>
                <w:color w:val="000000"/>
                <w:spacing w:val="11"/>
                <w:position w:val="0"/>
                <w:sz w:val="21"/>
                <w:szCs w:val="21"/>
                <w:u w:val="none" w:color="auto"/>
                <w:lang w:val="en-US" w:eastAsia="zh-CN"/>
              </w:rPr>
              <w:t xml:space="preserve">  </w:t>
            </w:r>
            <w:r>
              <w:rPr>
                <w:rFonts w:hint="default" w:ascii="Times New Roman" w:hAnsi="Times New Roman" w:eastAsia="宋体" w:cs="Times New Roman"/>
                <w:b/>
                <w:bCs/>
                <w:color w:val="000000"/>
                <w:spacing w:val="11"/>
                <w:position w:val="0"/>
                <w:sz w:val="21"/>
                <w:szCs w:val="21"/>
                <w:u w:val="none" w:color="auto"/>
              </w:rPr>
              <w:t>基本的植被重建技术比较</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3716"/>
              <w:gridCol w:w="3026"/>
            </w:tblGrid>
            <w:tr w14:paraId="09802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744B77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性质</w:t>
                  </w:r>
                </w:p>
              </w:tc>
              <w:tc>
                <w:tcPr>
                  <w:tcW w:w="2344" w:type="pct"/>
                  <w:tcBorders>
                    <w:tl2br w:val="nil"/>
                    <w:tr2bl w:val="nil"/>
                  </w:tcBorders>
                  <w:noWrap w:val="0"/>
                  <w:vAlign w:val="center"/>
                </w:tcPr>
                <w:p w14:paraId="2AE5CB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植被重建技术</w:t>
                  </w:r>
                </w:p>
              </w:tc>
              <w:tc>
                <w:tcPr>
                  <w:tcW w:w="1909" w:type="pct"/>
                  <w:tcBorders>
                    <w:tl2br w:val="nil"/>
                    <w:tr2bl w:val="nil"/>
                  </w:tcBorders>
                  <w:noWrap w:val="0"/>
                  <w:vAlign w:val="center"/>
                </w:tcPr>
                <w:p w14:paraId="270980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面临问题</w:t>
                  </w:r>
                </w:p>
              </w:tc>
            </w:tr>
            <w:tr w14:paraId="03C46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3F0420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重金属毒性低酸碱度不强</w:t>
                  </w:r>
                </w:p>
              </w:tc>
              <w:tc>
                <w:tcPr>
                  <w:tcW w:w="2344" w:type="pct"/>
                  <w:tcBorders>
                    <w:tl2br w:val="nil"/>
                    <w:tr2bl w:val="nil"/>
                  </w:tcBorders>
                  <w:noWrap w:val="0"/>
                  <w:vAlign w:val="center"/>
                </w:tcPr>
                <w:p w14:paraId="3D0561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1、经改良后或直接播种农作物、观赏草类或豆科植物。若pH＜6可使用石灰，物理性质不良则添加有机质，亦可添加颗粒状复合肥，普通方法播种或水播均可。</w:t>
                  </w:r>
                </w:p>
              </w:tc>
              <w:tc>
                <w:tcPr>
                  <w:tcW w:w="1909" w:type="pct"/>
                  <w:tcBorders>
                    <w:tl2br w:val="nil"/>
                    <w:tr2bl w:val="nil"/>
                  </w:tcBorders>
                  <w:noWrap w:val="0"/>
                  <w:vAlign w:val="center"/>
                </w:tcPr>
                <w:p w14:paraId="6EA7E0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可能需要长期维护。在某些情况下，需严格检测植物本中有毒元素的积累情况，并严格控制动物取食。</w:t>
                  </w:r>
                </w:p>
              </w:tc>
            </w:tr>
            <w:tr w14:paraId="7CBD8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1A1A94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重金属毒性低，气候适宜、酸碱度不强、重金属毒性高或较高、盐分含量高</w:t>
                  </w:r>
                </w:p>
              </w:tc>
              <w:tc>
                <w:tcPr>
                  <w:tcW w:w="2344" w:type="pct"/>
                  <w:tcBorders>
                    <w:tl2br w:val="nil"/>
                    <w:tr2bl w:val="nil"/>
                  </w:tcBorders>
                  <w:noWrap w:val="0"/>
                  <w:vAlign w:val="center"/>
                </w:tcPr>
                <w:p w14:paraId="089BA3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2、改良并直接种植乡土植物或耐性植物。基质改良（如化肥、石灰）后直接播种或种植乡土植物，也可散播薄薄一层本地表土以引入种子库。</w:t>
                  </w:r>
                </w:p>
                <w:p w14:paraId="506E2C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3、表层处理后直接播种农作物、观赏曹磊或豆科植物。表层覆盖10~50cm无毒性的矿业废弃物（如剥离土）。必要时施工用石灰、化肥或有机质。</w:t>
                  </w:r>
                </w:p>
              </w:tc>
              <w:tc>
                <w:tcPr>
                  <w:tcW w:w="1909" w:type="pct"/>
                  <w:tcBorders>
                    <w:tl2br w:val="nil"/>
                    <w:tr2bl w:val="nil"/>
                  </w:tcBorders>
                  <w:noWrap w:val="0"/>
                  <w:vAlign w:val="center"/>
                </w:tcPr>
                <w:p w14:paraId="53935E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干旱季必须灌溉。选择乡土种需要专业知识，劳动强度大。可能需要长期施肥。相对而言，只有少数植物才能形成耐性生态型，不宜动物取食，商品化的耐性植物尤其少。若覆盖层较薄，重金属会向表层迁移，从而导致重建植被的退化。表面覆盖材料难于获得，或是运输、施工成本很高。</w:t>
                  </w:r>
                </w:p>
              </w:tc>
            </w:tr>
            <w:tr w14:paraId="7F7FF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6595C8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重金属含量非常高、毒性极大极度的酸、碱性</w:t>
                  </w:r>
                </w:p>
              </w:tc>
              <w:tc>
                <w:tcPr>
                  <w:tcW w:w="2344" w:type="pct"/>
                  <w:tcBorders>
                    <w:tl2br w:val="nil"/>
                    <w:tr2bl w:val="nil"/>
                  </w:tcBorders>
                  <w:noWrap w:val="0"/>
                  <w:vAlign w:val="center"/>
                </w:tcPr>
                <w:p w14:paraId="001033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4隔离层。在废弃物表层铺上30~100cm无毒性的材料（如非矿质岩石）作为隔离层，在隔离层上面再铺上一层能提供植物生长的基质（如亚层基质土壤），必要时使用石灰、化肥或有机质。</w:t>
                  </w:r>
                </w:p>
              </w:tc>
              <w:tc>
                <w:tcPr>
                  <w:tcW w:w="1909" w:type="pct"/>
                  <w:tcBorders>
                    <w:tl2br w:val="nil"/>
                    <w:tr2bl w:val="nil"/>
                  </w:tcBorders>
                  <w:noWrap w:val="0"/>
                  <w:vAlign w:val="center"/>
                </w:tcPr>
                <w:p w14:paraId="2BAED5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如果表层覆盖物的持水性能不好或厚度不够，植被受干旱影响较大。作为隔离底层的材料难于获得，且费用高昂，植物根系的渗透作用也会影响隔离层的完整性。</w:t>
                  </w:r>
                </w:p>
              </w:tc>
            </w:tr>
          </w:tbl>
          <w:p w14:paraId="271FAF8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废弃地基质改良技术</w:t>
            </w:r>
          </w:p>
          <w:p w14:paraId="545808E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矿山废弃地是一种极端生境，不具备正常土壤的基本结构和肥力，土壤生物不复存在，几乎没有具活力植物繁殖体，作为一种极端裸地，植物地自然定居和生态系统地原生演替过程及其缓慢。</w:t>
            </w:r>
          </w:p>
          <w:p w14:paraId="44884DC2">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考察矿山废弃地中影响植物定居的胁迫因子，主要有以下几项：</w:t>
            </w:r>
          </w:p>
          <w:p w14:paraId="0552927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a、不良的物理结构和较差持水保肥能力；</w:t>
            </w:r>
          </w:p>
          <w:p w14:paraId="59620AA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b、极端贫瘠，N、P、K和有机质含量极低，或是养分不平衡；</w:t>
            </w:r>
          </w:p>
          <w:p w14:paraId="3290501D">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c、有害元素含量过高，影响植物代谢途径，植物吸收营养元素和植物根系的生长；</w:t>
            </w:r>
          </w:p>
          <w:p w14:paraId="0265454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d、极端pH。硫化物氧化后产生硫酸，严重时pH接近2；酸性条件加剧了有害元素的溶出和增强了其毒性，强碱性条件也会引起植物的养分不足和酶的不稳定性等；</w:t>
            </w:r>
          </w:p>
          <w:p w14:paraId="7A23FD2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e、干旱或盐分过高引起的生理干旱。</w:t>
            </w:r>
          </w:p>
          <w:p w14:paraId="33FD9A00">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上述不利因素可单独或几种同时出现在各种不同类型的矿山废弃地中。因而在生态恢复中必须有正对性的采取相关的短期或长期措施来解决这些不利因素。</w:t>
            </w:r>
          </w:p>
          <w:p w14:paraId="575B1BDD">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根据当前已经具备的成熟技术手段，参考过国内已有矿山的成功经验，对本项目退役后的废弃地进行生态恢复规划。</w:t>
            </w:r>
          </w:p>
          <w:p w14:paraId="1238DF5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4）矿山闭矿植被修复</w:t>
            </w:r>
          </w:p>
          <w:p w14:paraId="408906C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矿山开采完毕后，对矿区滑坡、地表水水量进行监测，在出现滑坡后，对其进行圈围，并划出危险区域，禁止人、牲畜进入。其次对其采矿区内破坏地表和石料加工场进行植被恢复。</w:t>
            </w:r>
          </w:p>
          <w:p w14:paraId="246541F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植被复垦时必须引入耐性强的草种植被作为先锋植被，在进行植被复垦之前必须进行表层覆土。</w:t>
            </w:r>
          </w:p>
          <w:p w14:paraId="2C1AA3C6">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南方第七的气候特征和本矿的特性，采用“立地植被恢复演替”的模式进行生态恢复。该模式是利用改善植被群落演替规律，根据矿山废弃地立地条件，通过植被种类筛选和合理的植被顺序，达到矿山废弃地利用和植被恢复的目的，从而恢复矿区的植被，改善矿区的生态环境，最终实现林业利用。</w:t>
            </w:r>
          </w:p>
          <w:p w14:paraId="491CA0F8">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由于土地贫瘠可先选择耐受性强的草本之辈如：芒草、类芦、百喜草、香根草、象草等，使得裸地迅速被植被所覆盖，当立地生境得到一定的改善后，可逐渐采用对土壤改良作用较强的紫花苜蓿、沙棘、田菁等最为更新草种，草本植物群落发展到一定阶段，及时引进一些阳性、吸光先锋灌木，逐渐形成针叶林、针阔混交林，从而矿山区域的生态环境，栽树时应栽混交林，不得栽纯林，以利于树苗生长和防治病虫害。</w:t>
            </w:r>
          </w:p>
          <w:p w14:paraId="42A7B226">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项目业主还必须在闭矿后的生态环境恢复这段时间负责进行生态恢复措施实施情况进行监管，以防治出现生态恢复措施落实不到位的现象。</w:t>
            </w:r>
          </w:p>
          <w:p w14:paraId="191D7734">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（4）生态恢复措施</w:t>
            </w:r>
          </w:p>
          <w:p w14:paraId="52003BEF">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矿山生态恢复工程措施闭矿期生态恢复工作主要是对矿山周围生态环境受到破坏的地区，进行复绿、复垦治理工作，是治理后的生态环境不存在地质灾害的隐患点，不存在岩土体直接裸露地表的地段，破坏区域内的植被得以恢复。</w:t>
            </w:r>
          </w:p>
          <w:p w14:paraId="55A2C211">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①露天采场治理措施：矿山闭矿后，为避免上体裸露造成水土流失和坍塌、滑坡的危险，应对裸露的山体和最终边坡进行绿化，恢复植被。将矿山开采剥离的表土用于终了平台覆土、平整，恢复植被。</w:t>
            </w:r>
          </w:p>
          <w:p w14:paraId="088F6767">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②不稳定边坡治理措施：矿山闭矿后，最终边坡角应小于或等于安全边坡角45-65°及时处理危石、险石，整治好的边坡，加固护坡，进行绿化，恢复植被，防止水土流失和坍塌、滑坡的危险。</w:t>
            </w:r>
          </w:p>
          <w:p w14:paraId="177A95F5">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③矿山道路治理措施：矿山闭矿后，应对矿区范围内的矿山道路进行治理，通过在道路内侧挖掘排水沟，在道路旁进行植树等措施，以恢复绿化，防止水土流失。</w:t>
            </w:r>
          </w:p>
          <w:p w14:paraId="1BEF99E6">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2）矿山开采完毕，采坑占用了一部分土地，破坏了原有的自然生态景观，既浪费了土地资源又容易造成水体流失，本矿开采堆积的废渣为表土，风化岩石已用于修路，</w:t>
            </w:r>
            <w:r>
              <w:rPr>
                <w:rFonts w:hint="eastAsia" w:cs="Times New Roman"/>
                <w:color w:val="000000"/>
                <w:spacing w:val="11"/>
                <w:position w:val="0"/>
                <w:sz w:val="24"/>
                <w:szCs w:val="24"/>
                <w:u w:val="none" w:color="auto"/>
                <w:lang w:val="en-US" w:eastAsia="zh-CN"/>
              </w:rPr>
              <w:t>开采过程中产生的表土已进行回填用于</w:t>
            </w:r>
            <w:r>
              <w:rPr>
                <w:rFonts w:hint="default" w:ascii="Times New Roman" w:hAnsi="Times New Roman" w:eastAsia="宋体" w:cs="Times New Roman"/>
                <w:color w:val="000000"/>
                <w:spacing w:val="11"/>
                <w:position w:val="0"/>
                <w:sz w:val="24"/>
                <w:szCs w:val="24"/>
                <w:u w:val="none" w:color="auto"/>
              </w:rPr>
              <w:t>复绿。本矿复垦方案如下：</w:t>
            </w:r>
          </w:p>
          <w:p w14:paraId="7790A164">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严格按照设计方案设计台阶开采，边坡角不超过设计边坡角50°，一般不会出现边坡失稳。边坡上的危岩要及时清理，在开采过程中应注意节理裂隙的发育情况，以确定节理裂隙对边坡稳定性的影响；对局部裂隙发育等因素造成的边坡不稳定地段，要进行放坡处理，要求边开采边治理，确保边坡稳定和开采安全。在矿山结束开采后，对边坡稳定性作出最终安全评估及治理措施。</w:t>
            </w:r>
          </w:p>
          <w:p w14:paraId="5A58EFE5">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highlight w:val="none"/>
                <w:u w:val="none" w:color="auto"/>
                <w:lang w:val="en-US" w:eastAsia="zh-CN"/>
              </w:rPr>
            </w:pPr>
            <w:r>
              <w:rPr>
                <w:rFonts w:hint="eastAsia" w:cs="Times New Roman"/>
                <w:b/>
                <w:color w:val="000000"/>
                <w:spacing w:val="11"/>
                <w:position w:val="0"/>
                <w:sz w:val="24"/>
                <w:szCs w:val="24"/>
                <w:highlight w:val="none"/>
                <w:u w:val="none" w:color="auto"/>
                <w:lang w:val="en-US" w:eastAsia="zh-CN"/>
              </w:rPr>
              <w:t>8</w:t>
            </w:r>
            <w:r>
              <w:rPr>
                <w:rFonts w:hint="default" w:ascii="Times New Roman" w:hAnsi="Times New Roman" w:eastAsia="宋体" w:cs="Times New Roman"/>
                <w:b/>
                <w:color w:val="000000"/>
                <w:spacing w:val="11"/>
                <w:position w:val="0"/>
                <w:sz w:val="24"/>
                <w:szCs w:val="24"/>
                <w:highlight w:val="none"/>
                <w:u w:val="none" w:color="auto"/>
                <w:lang w:val="en-US" w:eastAsia="zh-CN"/>
              </w:rPr>
              <w:t>、地下水及土壤环境影响及措施分析</w:t>
            </w:r>
          </w:p>
          <w:p w14:paraId="5A629A16">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未来矿业活动对水环境</w:t>
            </w:r>
            <w:r>
              <w:rPr>
                <w:rFonts w:hint="eastAsia" w:cs="Times New Roman"/>
                <w:bCs/>
                <w:color w:val="000000"/>
                <w:spacing w:val="11"/>
                <w:kern w:val="0"/>
                <w:position w:val="0"/>
                <w:sz w:val="24"/>
                <w:szCs w:val="24"/>
                <w:u w:val="single" w:color="auto"/>
                <w:lang w:val="en-US" w:eastAsia="zh-CN" w:bidi="ar-SA"/>
              </w:rPr>
              <w:t>、土壤环境</w:t>
            </w:r>
            <w:r>
              <w:rPr>
                <w:rFonts w:hint="eastAsia" w:ascii="Times New Roman" w:hAnsi="Times New Roman" w:eastAsia="宋体" w:cs="Times New Roman"/>
                <w:bCs/>
                <w:color w:val="000000"/>
                <w:spacing w:val="11"/>
                <w:kern w:val="0"/>
                <w:position w:val="0"/>
                <w:sz w:val="24"/>
                <w:szCs w:val="24"/>
                <w:u w:val="single" w:color="auto"/>
                <w:lang w:val="en-US" w:eastAsia="zh-CN" w:bidi="ar-SA"/>
              </w:rPr>
              <w:t>的影响主要</w:t>
            </w:r>
            <w:r>
              <w:rPr>
                <w:rFonts w:hint="eastAsia" w:cs="Times New Roman"/>
                <w:bCs/>
                <w:color w:val="000000"/>
                <w:spacing w:val="11"/>
                <w:kern w:val="0"/>
                <w:position w:val="0"/>
                <w:sz w:val="24"/>
                <w:szCs w:val="24"/>
                <w:u w:val="single" w:color="auto"/>
                <w:lang w:val="en-US" w:eastAsia="zh-CN" w:bidi="ar-SA"/>
              </w:rPr>
              <w:t>为两个方面，一</w:t>
            </w:r>
            <w:r>
              <w:rPr>
                <w:rFonts w:hint="eastAsia" w:ascii="Times New Roman" w:hAnsi="Times New Roman" w:eastAsia="宋体" w:cs="Times New Roman"/>
                <w:bCs/>
                <w:color w:val="000000"/>
                <w:spacing w:val="11"/>
                <w:kern w:val="0"/>
                <w:position w:val="0"/>
                <w:sz w:val="24"/>
                <w:szCs w:val="24"/>
                <w:u w:val="single" w:color="auto"/>
                <w:lang w:val="en-US" w:eastAsia="zh-CN" w:bidi="ar-SA"/>
              </w:rPr>
              <w:t>是采场废水和废石堆淋浸水对地表水</w:t>
            </w:r>
            <w:r>
              <w:rPr>
                <w:rFonts w:hint="eastAsia" w:cs="Times New Roman"/>
                <w:bCs/>
                <w:color w:val="000000"/>
                <w:spacing w:val="11"/>
                <w:kern w:val="0"/>
                <w:position w:val="0"/>
                <w:sz w:val="24"/>
                <w:szCs w:val="24"/>
                <w:u w:val="single" w:color="auto"/>
                <w:lang w:val="en-US" w:eastAsia="zh-CN" w:bidi="ar-SA"/>
              </w:rPr>
              <w:t>、</w:t>
            </w:r>
            <w:r>
              <w:rPr>
                <w:rFonts w:hint="eastAsia" w:ascii="Times New Roman" w:hAnsi="Times New Roman" w:eastAsia="宋体" w:cs="Times New Roman"/>
                <w:bCs/>
                <w:color w:val="000000"/>
                <w:spacing w:val="11"/>
                <w:kern w:val="0"/>
                <w:position w:val="0"/>
                <w:sz w:val="24"/>
                <w:szCs w:val="24"/>
                <w:u w:val="single" w:color="auto"/>
                <w:lang w:val="en-US" w:eastAsia="zh-CN" w:bidi="ar-SA"/>
              </w:rPr>
              <w:t>地下水</w:t>
            </w:r>
            <w:r>
              <w:rPr>
                <w:rFonts w:hint="eastAsia" w:cs="Times New Roman"/>
                <w:bCs/>
                <w:color w:val="000000"/>
                <w:spacing w:val="11"/>
                <w:kern w:val="0"/>
                <w:position w:val="0"/>
                <w:sz w:val="24"/>
                <w:szCs w:val="24"/>
                <w:u w:val="single" w:color="auto"/>
                <w:lang w:val="en-US" w:eastAsia="zh-CN" w:bidi="ar-SA"/>
              </w:rPr>
              <w:t>和土壤</w:t>
            </w:r>
            <w:r>
              <w:rPr>
                <w:rFonts w:hint="eastAsia" w:ascii="Times New Roman" w:hAnsi="Times New Roman" w:eastAsia="宋体" w:cs="Times New Roman"/>
                <w:bCs/>
                <w:color w:val="000000"/>
                <w:spacing w:val="11"/>
                <w:kern w:val="0"/>
                <w:position w:val="0"/>
                <w:sz w:val="24"/>
                <w:szCs w:val="24"/>
                <w:u w:val="single" w:color="auto"/>
                <w:lang w:val="en-US" w:eastAsia="zh-CN" w:bidi="ar-SA"/>
              </w:rPr>
              <w:t>的污染</w:t>
            </w:r>
            <w:r>
              <w:rPr>
                <w:rFonts w:hint="eastAsia" w:cs="Times New Roman"/>
                <w:bCs/>
                <w:color w:val="000000"/>
                <w:spacing w:val="11"/>
                <w:kern w:val="0"/>
                <w:position w:val="0"/>
                <w:sz w:val="24"/>
                <w:szCs w:val="24"/>
                <w:u w:val="single" w:color="auto"/>
                <w:lang w:val="en-US" w:eastAsia="zh-CN" w:bidi="ar-SA"/>
              </w:rPr>
              <w:t>；二是厂内储存的柴油、设备维修所用润滑油和维修后的废润滑油属于风险物质，存在泄漏的风险</w:t>
            </w:r>
            <w:r>
              <w:rPr>
                <w:rFonts w:hint="eastAsia" w:ascii="Times New Roman" w:hAnsi="Times New Roman" w:eastAsia="宋体" w:cs="Times New Roman"/>
                <w:bCs/>
                <w:color w:val="000000"/>
                <w:spacing w:val="11"/>
                <w:kern w:val="0"/>
                <w:position w:val="0"/>
                <w:sz w:val="24"/>
                <w:szCs w:val="24"/>
                <w:u w:val="single" w:color="auto"/>
                <w:lang w:val="en-US" w:eastAsia="zh-CN" w:bidi="ar-SA"/>
              </w:rPr>
              <w:t>。</w:t>
            </w:r>
          </w:p>
          <w:p w14:paraId="7E2B430A">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未来矿山为原矿生产，不进行选矿，矿山废水主要成分为悬浮物，无有毒有害重金属及砷、汞等有毒有害元素，其对地表水、地下水和土壤污染较轻，影响范围仅局限于废水排放范围内及废石堆周围局部地段，所造成的损失小，故预测评估未来矿业活动对水环境</w:t>
            </w:r>
            <w:r>
              <w:rPr>
                <w:rFonts w:hint="eastAsia" w:cs="Times New Roman"/>
                <w:bCs/>
                <w:color w:val="000000"/>
                <w:spacing w:val="11"/>
                <w:kern w:val="0"/>
                <w:position w:val="0"/>
                <w:sz w:val="24"/>
                <w:szCs w:val="24"/>
                <w:u w:val="single" w:color="auto"/>
                <w:lang w:val="en-US" w:eastAsia="zh-CN" w:bidi="ar-SA"/>
              </w:rPr>
              <w:t>、土壤环境</w:t>
            </w:r>
            <w:r>
              <w:rPr>
                <w:rFonts w:hint="eastAsia" w:ascii="Times New Roman" w:hAnsi="Times New Roman" w:eastAsia="宋体" w:cs="Times New Roman"/>
                <w:bCs/>
                <w:color w:val="000000"/>
                <w:spacing w:val="11"/>
                <w:kern w:val="0"/>
                <w:position w:val="0"/>
                <w:sz w:val="24"/>
                <w:szCs w:val="24"/>
                <w:u w:val="single" w:color="auto"/>
                <w:lang w:val="en-US" w:eastAsia="zh-CN" w:bidi="ar-SA"/>
              </w:rPr>
              <w:t>影响较轻。</w:t>
            </w:r>
          </w:p>
          <w:p w14:paraId="2E797B77">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default"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厂内储存的柴油、</w:t>
            </w:r>
            <w:r>
              <w:rPr>
                <w:rFonts w:hint="default" w:ascii="Times New Roman" w:hAnsi="Times New Roman" w:eastAsia="宋体" w:cs="Times New Roman"/>
                <w:bCs/>
                <w:color w:val="000000"/>
                <w:spacing w:val="11"/>
                <w:kern w:val="0"/>
                <w:position w:val="0"/>
                <w:sz w:val="24"/>
                <w:szCs w:val="24"/>
                <w:u w:val="single" w:color="auto"/>
                <w:lang w:val="en-US" w:eastAsia="zh-CN" w:bidi="ar-SA"/>
              </w:rPr>
              <w:t>设备维修所用润滑油和维修后的废润滑油属于风险物质，存在泄漏的风险。对危废暂存间</w:t>
            </w:r>
            <w:r>
              <w:rPr>
                <w:rFonts w:hint="eastAsia" w:ascii="Times New Roman" w:hAnsi="Times New Roman" w:eastAsia="宋体" w:cs="Times New Roman"/>
                <w:bCs/>
                <w:color w:val="000000"/>
                <w:spacing w:val="11"/>
                <w:kern w:val="0"/>
                <w:position w:val="0"/>
                <w:sz w:val="24"/>
                <w:szCs w:val="24"/>
                <w:u w:val="single" w:color="auto"/>
                <w:lang w:val="en-US" w:eastAsia="zh-CN" w:bidi="ar-SA"/>
              </w:rPr>
              <w:t>以及柴油储存间</w:t>
            </w:r>
            <w:r>
              <w:rPr>
                <w:rFonts w:hint="default" w:ascii="Times New Roman" w:hAnsi="Times New Roman" w:eastAsia="宋体" w:cs="Times New Roman"/>
                <w:bCs/>
                <w:color w:val="000000"/>
                <w:spacing w:val="11"/>
                <w:kern w:val="0"/>
                <w:position w:val="0"/>
                <w:sz w:val="24"/>
                <w:szCs w:val="24"/>
                <w:u w:val="single" w:color="auto"/>
                <w:lang w:val="en-US" w:eastAsia="zh-CN" w:bidi="ar-SA"/>
              </w:rPr>
              <w:t>采取重点防渗措施，防渗层为2mm厚高密度聚乙烯，渗透系数≤10</w:t>
            </w:r>
            <w:r>
              <w:rPr>
                <w:rFonts w:hint="default" w:ascii="Times New Roman" w:hAnsi="Times New Roman" w:eastAsia="宋体" w:cs="Times New Roman"/>
                <w:bCs/>
                <w:color w:val="000000"/>
                <w:spacing w:val="11"/>
                <w:kern w:val="0"/>
                <w:position w:val="0"/>
                <w:sz w:val="24"/>
                <w:szCs w:val="24"/>
                <w:u w:val="single" w:color="auto"/>
                <w:vertAlign w:val="superscript"/>
                <w:lang w:val="en-US" w:eastAsia="zh-CN" w:bidi="ar-SA"/>
              </w:rPr>
              <w:t>-10</w:t>
            </w:r>
            <w:r>
              <w:rPr>
                <w:rFonts w:hint="default" w:ascii="Times New Roman" w:hAnsi="Times New Roman" w:eastAsia="宋体" w:cs="Times New Roman"/>
                <w:bCs/>
                <w:color w:val="000000"/>
                <w:spacing w:val="11"/>
                <w:kern w:val="0"/>
                <w:position w:val="0"/>
                <w:sz w:val="24"/>
                <w:szCs w:val="24"/>
                <w:u w:val="single" w:color="auto"/>
                <w:lang w:val="en-US" w:eastAsia="zh-CN" w:bidi="ar-SA"/>
              </w:rPr>
              <w:t>cm/s；危废暂存间</w:t>
            </w:r>
            <w:r>
              <w:rPr>
                <w:rFonts w:hint="eastAsia" w:ascii="Times New Roman" w:hAnsi="Times New Roman" w:eastAsia="宋体" w:cs="Times New Roman"/>
                <w:bCs/>
                <w:color w:val="000000"/>
                <w:spacing w:val="11"/>
                <w:kern w:val="0"/>
                <w:position w:val="0"/>
                <w:sz w:val="24"/>
                <w:szCs w:val="24"/>
                <w:u w:val="single" w:color="auto"/>
                <w:lang w:val="en-US" w:eastAsia="zh-CN" w:bidi="ar-SA"/>
              </w:rPr>
              <w:t>设置</w:t>
            </w:r>
            <w:r>
              <w:rPr>
                <w:rFonts w:hint="default" w:ascii="Times New Roman" w:hAnsi="Times New Roman" w:eastAsia="宋体" w:cs="Times New Roman"/>
                <w:bCs/>
                <w:color w:val="000000"/>
                <w:spacing w:val="11"/>
                <w:kern w:val="0"/>
                <w:position w:val="0"/>
                <w:sz w:val="24"/>
                <w:szCs w:val="24"/>
                <w:u w:val="single" w:color="auto"/>
                <w:lang w:val="en-US" w:eastAsia="zh-CN" w:bidi="ar-SA"/>
              </w:rPr>
              <w:t>容积不小于0.2m</w:t>
            </w:r>
            <w:r>
              <w:rPr>
                <w:rFonts w:hint="default" w:ascii="Times New Roman" w:hAnsi="Times New Roman" w:eastAsia="宋体" w:cs="Times New Roman"/>
                <w:bCs/>
                <w:color w:val="000000"/>
                <w:spacing w:val="11"/>
                <w:kern w:val="0"/>
                <w:position w:val="0"/>
                <w:sz w:val="24"/>
                <w:szCs w:val="24"/>
                <w:u w:val="single" w:color="auto"/>
                <w:vertAlign w:val="superscript"/>
                <w:lang w:val="en-US" w:eastAsia="zh-CN" w:bidi="ar-SA"/>
              </w:rPr>
              <w:t>3</w:t>
            </w:r>
            <w:r>
              <w:rPr>
                <w:rFonts w:hint="default" w:ascii="Times New Roman" w:hAnsi="Times New Roman" w:eastAsia="宋体" w:cs="Times New Roman"/>
                <w:bCs/>
                <w:color w:val="000000"/>
                <w:spacing w:val="11"/>
                <w:kern w:val="0"/>
                <w:position w:val="0"/>
                <w:sz w:val="24"/>
                <w:szCs w:val="24"/>
                <w:u w:val="single" w:color="auto"/>
                <w:lang w:val="en-US" w:eastAsia="zh-CN" w:bidi="ar-SA"/>
              </w:rPr>
              <w:t>的托盘</w:t>
            </w:r>
            <w:r>
              <w:rPr>
                <w:rFonts w:hint="eastAsia" w:ascii="Times New Roman" w:hAnsi="Times New Roman" w:eastAsia="宋体" w:cs="Times New Roman"/>
                <w:bCs/>
                <w:color w:val="000000"/>
                <w:spacing w:val="11"/>
                <w:kern w:val="0"/>
                <w:position w:val="0"/>
                <w:sz w:val="24"/>
                <w:szCs w:val="24"/>
                <w:u w:val="single" w:color="auto"/>
                <w:lang w:val="en-US" w:eastAsia="zh-CN" w:bidi="ar-SA"/>
              </w:rPr>
              <w:t>，柴油储存间设置围堰</w:t>
            </w:r>
            <w:r>
              <w:rPr>
                <w:rFonts w:hint="default" w:ascii="Times New Roman" w:hAnsi="Times New Roman" w:eastAsia="宋体" w:cs="Times New Roman"/>
                <w:bCs/>
                <w:color w:val="000000"/>
                <w:spacing w:val="11"/>
                <w:kern w:val="0"/>
                <w:position w:val="0"/>
                <w:sz w:val="24"/>
                <w:szCs w:val="24"/>
                <w:u w:val="single" w:color="auto"/>
                <w:lang w:val="en-US" w:eastAsia="zh-CN" w:bidi="ar-SA"/>
              </w:rPr>
              <w:t>，一旦发生泄漏，风险物质可</w:t>
            </w:r>
            <w:r>
              <w:rPr>
                <w:rFonts w:hint="eastAsia" w:ascii="Times New Roman" w:hAnsi="Times New Roman" w:eastAsia="宋体" w:cs="Times New Roman"/>
                <w:bCs/>
                <w:color w:val="000000"/>
                <w:spacing w:val="11"/>
                <w:kern w:val="0"/>
                <w:position w:val="0"/>
                <w:sz w:val="24"/>
                <w:szCs w:val="24"/>
                <w:u w:val="single" w:color="auto"/>
                <w:lang w:val="en-US" w:eastAsia="zh-CN" w:bidi="ar-SA"/>
              </w:rPr>
              <w:t>得到控制</w:t>
            </w:r>
            <w:r>
              <w:rPr>
                <w:rFonts w:hint="default" w:ascii="Times New Roman" w:hAnsi="Times New Roman" w:eastAsia="宋体" w:cs="Times New Roman"/>
                <w:bCs/>
                <w:color w:val="000000"/>
                <w:spacing w:val="11"/>
                <w:kern w:val="0"/>
                <w:position w:val="0"/>
                <w:sz w:val="24"/>
                <w:szCs w:val="24"/>
                <w:u w:val="single" w:color="auto"/>
                <w:lang w:val="en-US" w:eastAsia="zh-CN" w:bidi="ar-SA"/>
              </w:rPr>
              <w:t>，不会污染周边的地下水及土壤。</w:t>
            </w:r>
          </w:p>
          <w:p w14:paraId="19D6286F">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cs="Times New Roman"/>
                <w:b/>
                <w:color w:val="000000"/>
                <w:spacing w:val="11"/>
                <w:position w:val="0"/>
                <w:sz w:val="24"/>
                <w:szCs w:val="24"/>
                <w:highlight w:val="none"/>
                <w:u w:val="none" w:color="auto"/>
                <w:lang w:val="en-US" w:eastAsia="zh-CN"/>
              </w:rPr>
            </w:pPr>
            <w:r>
              <w:rPr>
                <w:rFonts w:hint="default" w:ascii="Times New Roman" w:hAnsi="Times New Roman" w:eastAsia="宋体" w:cs="Times New Roman"/>
                <w:bCs/>
                <w:color w:val="000000"/>
                <w:spacing w:val="11"/>
                <w:kern w:val="0"/>
                <w:position w:val="0"/>
                <w:sz w:val="24"/>
                <w:szCs w:val="24"/>
                <w:u w:val="single" w:color="auto"/>
                <w:lang w:val="en-US" w:eastAsia="zh-CN" w:bidi="ar-SA"/>
              </w:rPr>
              <w:t>矿山</w:t>
            </w:r>
            <w:r>
              <w:rPr>
                <w:rFonts w:hint="eastAsia" w:cs="Times New Roman"/>
                <w:bCs/>
                <w:color w:val="000000"/>
                <w:spacing w:val="11"/>
                <w:kern w:val="0"/>
                <w:position w:val="0"/>
                <w:sz w:val="24"/>
                <w:szCs w:val="24"/>
                <w:u w:val="single" w:color="auto"/>
                <w:lang w:val="en-US" w:eastAsia="zh-CN" w:bidi="ar-SA"/>
              </w:rPr>
              <w:t>所在区域</w:t>
            </w:r>
            <w:r>
              <w:rPr>
                <w:rFonts w:hint="default" w:ascii="Times New Roman" w:hAnsi="Times New Roman" w:eastAsia="宋体" w:cs="Times New Roman"/>
                <w:bCs/>
                <w:color w:val="000000"/>
                <w:spacing w:val="11"/>
                <w:kern w:val="0"/>
                <w:position w:val="0"/>
                <w:sz w:val="24"/>
                <w:szCs w:val="24"/>
                <w:u w:val="single" w:color="auto"/>
                <w:lang w:val="en-US" w:eastAsia="zh-CN" w:bidi="ar-SA"/>
              </w:rPr>
              <w:t>地下水类型主要为碳酸盐岩类裂隙溶洞水，赋存于石炭系下统石凳子组（C1s）灰岩岩组，水量贫乏</w:t>
            </w:r>
            <w:r>
              <w:rPr>
                <w:rFonts w:hint="eastAsia" w:cs="Times New Roman"/>
                <w:bCs/>
                <w:color w:val="000000"/>
                <w:spacing w:val="11"/>
                <w:kern w:val="0"/>
                <w:position w:val="0"/>
                <w:sz w:val="24"/>
                <w:szCs w:val="24"/>
                <w:u w:val="single" w:color="auto"/>
                <w:lang w:val="en-US" w:eastAsia="zh-CN" w:bidi="ar-SA"/>
              </w:rPr>
              <w:t>。未来矿山拟采用露天开采方式，拟采最低标高为+177m，高于周边最低侵蚀基准面标高+154m，开采深度内出现地下水涌水的可能性小，界外的水库、水塘水体不能直接倒灌采场。区内无供水泉井，项目东北面有一水塘，矿业活动对地表水产生轻微物理污染，但因废水废渣中不含有毒物质，不产生化学污染，因此未来矿业活动对地表水环境影响较轻。故本项目对水环境影响较小。</w:t>
            </w:r>
          </w:p>
          <w:p w14:paraId="04C308A7">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6" w:firstLineChars="200"/>
              <w:jc w:val="left"/>
              <w:textAlignment w:val="auto"/>
              <w:rPr>
                <w:rFonts w:hint="default" w:ascii="Times New Roman" w:hAnsi="Times New Roman" w:eastAsia="宋体" w:cs="Times New Roman"/>
                <w:b/>
                <w:bCs w:val="0"/>
                <w:color w:val="000000"/>
                <w:spacing w:val="11"/>
                <w:position w:val="0"/>
                <w:sz w:val="24"/>
                <w:szCs w:val="24"/>
                <w:u w:val="none" w:color="auto"/>
                <w:lang w:val="en-US" w:eastAsia="zh-CN"/>
              </w:rPr>
            </w:pPr>
            <w:r>
              <w:rPr>
                <w:rFonts w:hint="eastAsia" w:cs="Times New Roman"/>
                <w:b/>
                <w:color w:val="000000"/>
                <w:spacing w:val="11"/>
                <w:position w:val="0"/>
                <w:sz w:val="24"/>
                <w:szCs w:val="24"/>
                <w:highlight w:val="none"/>
                <w:u w:val="none" w:color="auto"/>
                <w:lang w:val="en-US" w:eastAsia="zh-CN"/>
              </w:rPr>
              <w:t>9</w:t>
            </w:r>
            <w:r>
              <w:rPr>
                <w:rFonts w:hint="default" w:ascii="Times New Roman" w:hAnsi="Times New Roman" w:eastAsia="宋体" w:cs="Times New Roman"/>
                <w:b/>
                <w:color w:val="000000"/>
                <w:spacing w:val="11"/>
                <w:position w:val="0"/>
                <w:sz w:val="24"/>
                <w:szCs w:val="24"/>
                <w:highlight w:val="none"/>
                <w:u w:val="none" w:color="auto"/>
                <w:lang w:val="en-US" w:eastAsia="zh-CN"/>
              </w:rPr>
              <w:t>、环境风险分析</w:t>
            </w:r>
            <w:r>
              <w:rPr>
                <w:rFonts w:hint="default" w:ascii="Times New Roman" w:hAnsi="Times New Roman" w:eastAsia="宋体" w:cs="Times New Roman"/>
                <w:b/>
                <w:bCs w:val="0"/>
                <w:color w:val="000000"/>
                <w:spacing w:val="11"/>
                <w:position w:val="0"/>
                <w:sz w:val="24"/>
                <w:szCs w:val="24"/>
                <w:u w:val="none" w:color="auto"/>
                <w:lang w:val="en-US" w:eastAsia="zh-CN"/>
              </w:rPr>
              <w:tab/>
            </w:r>
          </w:p>
          <w:p w14:paraId="4964CA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firstLine="524" w:firstLineChars="200"/>
              <w:textAlignment w:val="auto"/>
              <w:rPr>
                <w:rFonts w:hint="default" w:ascii="Times New Roman" w:hAnsi="Times New Roman" w:eastAsia="宋体" w:cs="Times New Roman"/>
                <w:b w:val="0"/>
                <w:bCs w:val="0"/>
                <w:color w:val="auto"/>
                <w:spacing w:val="11"/>
                <w:position w:val="0"/>
                <w:sz w:val="24"/>
                <w:szCs w:val="24"/>
                <w:highlight w:val="none"/>
                <w:u w:val="none" w:color="auto"/>
                <w:lang w:val="en-US" w:eastAsia="zh-CN"/>
              </w:rPr>
            </w:pPr>
            <w:r>
              <w:rPr>
                <w:rFonts w:hint="eastAsia" w:ascii="Times New Roman" w:hAnsi="Times New Roman" w:cs="Times New Roman"/>
                <w:b w:val="0"/>
                <w:bCs w:val="0"/>
                <w:color w:val="auto"/>
                <w:spacing w:val="11"/>
                <w:position w:val="0"/>
                <w:sz w:val="24"/>
                <w:szCs w:val="24"/>
                <w:highlight w:val="none"/>
                <w:u w:val="none" w:color="auto"/>
                <w:lang w:val="en-US" w:eastAsia="zh-CN"/>
              </w:rPr>
              <w:t>（1）</w:t>
            </w:r>
            <w:r>
              <w:rPr>
                <w:rFonts w:hint="default" w:ascii="Times New Roman" w:hAnsi="Times New Roman" w:eastAsia="宋体" w:cs="Times New Roman"/>
                <w:b w:val="0"/>
                <w:bCs w:val="0"/>
                <w:color w:val="auto"/>
                <w:spacing w:val="11"/>
                <w:position w:val="0"/>
                <w:sz w:val="24"/>
                <w:szCs w:val="24"/>
                <w:highlight w:val="none"/>
                <w:u w:val="none" w:color="auto"/>
                <w:lang w:val="en-US" w:eastAsia="zh-CN"/>
              </w:rPr>
              <w:t>环境风险评价等级</w:t>
            </w:r>
          </w:p>
          <w:p w14:paraId="51525C97">
            <w:pPr>
              <w:keepNext w:val="0"/>
              <w:keepLines w:val="0"/>
              <w:pageBreakBefore w:val="0"/>
              <w:kinsoku/>
              <w:wordWrap/>
              <w:overflowPunct/>
              <w:topLinePunct w:val="0"/>
              <w:autoSpaceDE/>
              <w:autoSpaceDN/>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25BDE43">
            <w:pPr>
              <w:keepNext w:val="0"/>
              <w:keepLines w:val="0"/>
              <w:pageBreakBefore w:val="0"/>
              <w:kinsoku/>
              <w:wordWrap/>
              <w:overflowPunct/>
              <w:topLinePunct w:val="0"/>
              <w:autoSpaceDE/>
              <w:autoSpaceDN/>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14:paraId="0255986C">
            <w:pPr>
              <w:adjustRightInd w:val="0"/>
              <w:snapToGrid w:val="0"/>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cs="Times New Roman"/>
                <w:b/>
                <w:bCs/>
                <w:color w:val="auto"/>
                <w:spacing w:val="11"/>
                <w:position w:val="0"/>
                <w:sz w:val="21"/>
                <w:szCs w:val="21"/>
                <w:highlight w:val="none"/>
                <w:u w:val="single" w:color="auto"/>
                <w:lang w:val="en-US" w:eastAsia="zh-CN"/>
              </w:rPr>
              <w:t>9</w:t>
            </w:r>
            <w:r>
              <w:rPr>
                <w:rFonts w:hint="eastAsia" w:ascii="Times New Roman" w:hAnsi="Times New Roman" w:eastAsia="宋体" w:cs="Times New Roman"/>
                <w:b/>
                <w:bCs/>
                <w:color w:val="auto"/>
                <w:spacing w:val="11"/>
                <w:position w:val="0"/>
                <w:sz w:val="21"/>
                <w:szCs w:val="21"/>
                <w:highlight w:val="none"/>
                <w:u w:val="single" w:color="auto"/>
              </w:rPr>
              <w:t xml:space="preserve">  </w:t>
            </w:r>
            <w:r>
              <w:rPr>
                <w:rFonts w:ascii="Times New Roman" w:hAnsi="Times New Roman" w:eastAsia="宋体" w:cs="Times New Roman"/>
                <w:b/>
                <w:bCs/>
                <w:color w:val="auto"/>
                <w:spacing w:val="11"/>
                <w:position w:val="0"/>
                <w:sz w:val="21"/>
                <w:szCs w:val="21"/>
                <w:highlight w:val="none"/>
                <w:u w:val="single" w:color="auto"/>
              </w:rPr>
              <w:t>项目重大危险源判别表</w:t>
            </w:r>
          </w:p>
          <w:tbl>
            <w:tblPr>
              <w:tblStyle w:val="33"/>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647"/>
              <w:gridCol w:w="1435"/>
              <w:gridCol w:w="995"/>
              <w:gridCol w:w="1555"/>
              <w:gridCol w:w="1381"/>
            </w:tblGrid>
            <w:tr w14:paraId="44198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tcBorders>
                    <w:tl2br w:val="nil"/>
                    <w:tr2bl w:val="nil"/>
                  </w:tcBorders>
                  <w:noWrap w:val="0"/>
                  <w:vAlign w:val="center"/>
                </w:tcPr>
                <w:p w14:paraId="288D8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序号</w:t>
                  </w:r>
                </w:p>
              </w:tc>
              <w:tc>
                <w:tcPr>
                  <w:tcW w:w="1054" w:type="pct"/>
                  <w:tcBorders>
                    <w:tl2br w:val="nil"/>
                    <w:tr2bl w:val="nil"/>
                  </w:tcBorders>
                  <w:noWrap w:val="0"/>
                  <w:vAlign w:val="center"/>
                </w:tcPr>
                <w:p w14:paraId="1707E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危险物质类别</w:t>
                  </w:r>
                </w:p>
              </w:tc>
              <w:tc>
                <w:tcPr>
                  <w:tcW w:w="919" w:type="pct"/>
                  <w:tcBorders>
                    <w:tl2br w:val="nil"/>
                    <w:tr2bl w:val="nil"/>
                  </w:tcBorders>
                  <w:noWrap w:val="0"/>
                  <w:vAlign w:val="center"/>
                </w:tcPr>
                <w:p w14:paraId="66166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最大存在总量qn/t</w:t>
                  </w:r>
                </w:p>
              </w:tc>
              <w:tc>
                <w:tcPr>
                  <w:tcW w:w="637" w:type="pct"/>
                  <w:tcBorders>
                    <w:tl2br w:val="nil"/>
                    <w:tr2bl w:val="nil"/>
                  </w:tcBorders>
                  <w:noWrap w:val="0"/>
                  <w:vAlign w:val="center"/>
                </w:tcPr>
                <w:p w14:paraId="0F2F66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临界量Qn/t</w:t>
                  </w:r>
                </w:p>
              </w:tc>
              <w:tc>
                <w:tcPr>
                  <w:tcW w:w="995" w:type="pct"/>
                  <w:tcBorders>
                    <w:tl2br w:val="nil"/>
                    <w:tr2bl w:val="nil"/>
                  </w:tcBorders>
                  <w:noWrap w:val="0"/>
                  <w:vAlign w:val="center"/>
                </w:tcPr>
                <w:p w14:paraId="0C5E3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该危险物质</w:t>
                  </w:r>
                </w:p>
                <w:p w14:paraId="51C3C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q/Q值</w:t>
                  </w:r>
                </w:p>
              </w:tc>
              <w:tc>
                <w:tcPr>
                  <w:tcW w:w="884" w:type="pct"/>
                  <w:tcBorders>
                    <w:tl2br w:val="nil"/>
                    <w:tr2bl w:val="nil"/>
                  </w:tcBorders>
                  <w:noWrap w:val="0"/>
                  <w:vAlign w:val="center"/>
                </w:tcPr>
                <w:p w14:paraId="79982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所在位置</w:t>
                  </w:r>
                </w:p>
              </w:tc>
            </w:tr>
            <w:tr w14:paraId="7D49A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tcBorders>
                    <w:tl2br w:val="nil"/>
                    <w:tr2bl w:val="nil"/>
                  </w:tcBorders>
                  <w:noWrap w:val="0"/>
                  <w:vAlign w:val="center"/>
                </w:tcPr>
                <w:p w14:paraId="7CEE31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1</w:t>
                  </w:r>
                </w:p>
              </w:tc>
              <w:tc>
                <w:tcPr>
                  <w:tcW w:w="1054" w:type="pct"/>
                  <w:tcBorders>
                    <w:tl2br w:val="nil"/>
                    <w:tr2bl w:val="nil"/>
                  </w:tcBorders>
                  <w:shd w:val="clear" w:color="auto" w:fill="auto"/>
                  <w:noWrap w:val="0"/>
                  <w:vAlign w:val="center"/>
                </w:tcPr>
                <w:p w14:paraId="152036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润滑油</w:t>
                  </w:r>
                </w:p>
              </w:tc>
              <w:tc>
                <w:tcPr>
                  <w:tcW w:w="919" w:type="pct"/>
                  <w:tcBorders>
                    <w:tl2br w:val="nil"/>
                    <w:tr2bl w:val="nil"/>
                  </w:tcBorders>
                  <w:shd w:val="clear" w:color="auto" w:fill="auto"/>
                  <w:noWrap w:val="0"/>
                  <w:vAlign w:val="center"/>
                </w:tcPr>
                <w:p w14:paraId="67F14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0.1</w:t>
                  </w:r>
                </w:p>
              </w:tc>
              <w:tc>
                <w:tcPr>
                  <w:tcW w:w="637" w:type="pct"/>
                  <w:tcBorders>
                    <w:tl2br w:val="nil"/>
                    <w:tr2bl w:val="nil"/>
                  </w:tcBorders>
                  <w:noWrap w:val="0"/>
                  <w:vAlign w:val="center"/>
                </w:tcPr>
                <w:p w14:paraId="72BAA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14:paraId="3F5AD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0.00004</w:t>
                  </w:r>
                </w:p>
              </w:tc>
              <w:tc>
                <w:tcPr>
                  <w:tcW w:w="884" w:type="pct"/>
                  <w:tcBorders>
                    <w:tl2br w:val="nil"/>
                    <w:tr2bl w:val="nil"/>
                  </w:tcBorders>
                  <w:noWrap w:val="0"/>
                  <w:vAlign w:val="center"/>
                </w:tcPr>
                <w:p w14:paraId="03CCA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材料库房</w:t>
                  </w:r>
                </w:p>
              </w:tc>
            </w:tr>
            <w:tr w14:paraId="05379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tcBorders>
                    <w:tl2br w:val="nil"/>
                    <w:tr2bl w:val="nil"/>
                  </w:tcBorders>
                  <w:noWrap w:val="0"/>
                  <w:vAlign w:val="center"/>
                </w:tcPr>
                <w:p w14:paraId="711C0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w:t>
                  </w:r>
                </w:p>
              </w:tc>
              <w:tc>
                <w:tcPr>
                  <w:tcW w:w="1054" w:type="pct"/>
                  <w:tcBorders>
                    <w:tl2br w:val="nil"/>
                    <w:tr2bl w:val="nil"/>
                  </w:tcBorders>
                  <w:shd w:val="clear" w:color="auto" w:fill="auto"/>
                  <w:noWrap w:val="0"/>
                  <w:vAlign w:val="center"/>
                </w:tcPr>
                <w:p w14:paraId="79658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废</w:t>
                  </w:r>
                  <w:r>
                    <w:rPr>
                      <w:rFonts w:hint="eastAsia" w:ascii="Times New Roman" w:hAnsi="Times New Roman" w:eastAsia="宋体" w:cs="Times New Roman"/>
                      <w:color w:val="auto"/>
                      <w:spacing w:val="11"/>
                      <w:position w:val="0"/>
                      <w:sz w:val="21"/>
                      <w:szCs w:val="21"/>
                      <w:highlight w:val="none"/>
                      <w:u w:val="single" w:color="auto"/>
                      <w:lang w:val="en-US" w:eastAsia="zh-CN"/>
                    </w:rPr>
                    <w:t>润滑油</w:t>
                  </w:r>
                </w:p>
              </w:tc>
              <w:tc>
                <w:tcPr>
                  <w:tcW w:w="919" w:type="pct"/>
                  <w:tcBorders>
                    <w:tl2br w:val="nil"/>
                    <w:tr2bl w:val="nil"/>
                  </w:tcBorders>
                  <w:shd w:val="clear" w:color="auto" w:fill="auto"/>
                  <w:noWrap w:val="0"/>
                  <w:vAlign w:val="center"/>
                </w:tcPr>
                <w:p w14:paraId="3E1F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0.4</w:t>
                  </w:r>
                </w:p>
              </w:tc>
              <w:tc>
                <w:tcPr>
                  <w:tcW w:w="637" w:type="pct"/>
                  <w:tcBorders>
                    <w:tl2br w:val="nil"/>
                    <w:tr2bl w:val="nil"/>
                  </w:tcBorders>
                  <w:noWrap w:val="0"/>
                  <w:vAlign w:val="center"/>
                </w:tcPr>
                <w:p w14:paraId="02BDD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14:paraId="0A1B8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0.00016</w:t>
                  </w:r>
                </w:p>
              </w:tc>
              <w:tc>
                <w:tcPr>
                  <w:tcW w:w="884" w:type="pct"/>
                  <w:tcBorders>
                    <w:tl2br w:val="nil"/>
                    <w:tr2bl w:val="nil"/>
                  </w:tcBorders>
                  <w:noWrap w:val="0"/>
                  <w:vAlign w:val="center"/>
                </w:tcPr>
                <w:p w14:paraId="6509C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危废暂存间</w:t>
                  </w:r>
                </w:p>
              </w:tc>
            </w:tr>
            <w:tr w14:paraId="3591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tcBorders>
                    <w:tl2br w:val="nil"/>
                    <w:tr2bl w:val="nil"/>
                  </w:tcBorders>
                  <w:noWrap w:val="0"/>
                  <w:vAlign w:val="center"/>
                </w:tcPr>
                <w:p w14:paraId="435D4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3</w:t>
                  </w:r>
                </w:p>
              </w:tc>
              <w:tc>
                <w:tcPr>
                  <w:tcW w:w="1054" w:type="pct"/>
                  <w:tcBorders>
                    <w:tl2br w:val="nil"/>
                    <w:tr2bl w:val="nil"/>
                  </w:tcBorders>
                  <w:shd w:val="clear" w:color="auto" w:fill="auto"/>
                  <w:noWrap w:val="0"/>
                  <w:vAlign w:val="center"/>
                </w:tcPr>
                <w:p w14:paraId="4D9E3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柴油</w:t>
                  </w:r>
                </w:p>
              </w:tc>
              <w:tc>
                <w:tcPr>
                  <w:tcW w:w="919" w:type="pct"/>
                  <w:tcBorders>
                    <w:tl2br w:val="nil"/>
                    <w:tr2bl w:val="nil"/>
                  </w:tcBorders>
                  <w:shd w:val="clear" w:color="auto" w:fill="auto"/>
                  <w:noWrap w:val="0"/>
                  <w:vAlign w:val="center"/>
                </w:tcPr>
                <w:p w14:paraId="6D615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3</w:t>
                  </w:r>
                </w:p>
              </w:tc>
              <w:tc>
                <w:tcPr>
                  <w:tcW w:w="637" w:type="pct"/>
                  <w:tcBorders>
                    <w:tl2br w:val="nil"/>
                    <w:tr2bl w:val="nil"/>
                  </w:tcBorders>
                  <w:noWrap w:val="0"/>
                  <w:vAlign w:val="center"/>
                </w:tcPr>
                <w:p w14:paraId="70DD6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14:paraId="2EF97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0.0012</w:t>
                  </w:r>
                </w:p>
              </w:tc>
              <w:tc>
                <w:tcPr>
                  <w:tcW w:w="884" w:type="pct"/>
                  <w:tcBorders>
                    <w:tl2br w:val="nil"/>
                    <w:tr2bl w:val="nil"/>
                  </w:tcBorders>
                  <w:noWrap w:val="0"/>
                  <w:vAlign w:val="center"/>
                </w:tcPr>
                <w:p w14:paraId="43FDA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柴油储存间</w:t>
                  </w:r>
                </w:p>
              </w:tc>
            </w:tr>
            <w:tr w14:paraId="38A1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9" w:type="pct"/>
                  <w:gridSpan w:val="4"/>
                  <w:tcBorders>
                    <w:tl2br w:val="nil"/>
                    <w:tr2bl w:val="nil"/>
                  </w:tcBorders>
                  <w:noWrap w:val="0"/>
                  <w:vAlign w:val="center"/>
                </w:tcPr>
                <w:p w14:paraId="4D7B3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合计</w:t>
                  </w:r>
                </w:p>
              </w:tc>
              <w:tc>
                <w:tcPr>
                  <w:tcW w:w="995" w:type="pct"/>
                  <w:tcBorders>
                    <w:tl2br w:val="nil"/>
                    <w:tr2bl w:val="nil"/>
                  </w:tcBorders>
                  <w:noWrap w:val="0"/>
                  <w:vAlign w:val="center"/>
                </w:tcPr>
                <w:p w14:paraId="0593F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0.0014</w:t>
                  </w:r>
                </w:p>
              </w:tc>
              <w:tc>
                <w:tcPr>
                  <w:tcW w:w="884" w:type="pct"/>
                  <w:tcBorders>
                    <w:tl2br w:val="nil"/>
                    <w:tr2bl w:val="nil"/>
                  </w:tcBorders>
                  <w:noWrap w:val="0"/>
                  <w:vAlign w:val="center"/>
                </w:tcPr>
                <w:p w14:paraId="743EB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r>
          </w:tbl>
          <w:p w14:paraId="792DCF69">
            <w:pPr>
              <w:keepNext w:val="0"/>
              <w:keepLines w:val="0"/>
              <w:pageBreakBefore w:val="0"/>
              <w:widowControl w:val="0"/>
              <w:kinsoku/>
              <w:wordWrap/>
              <w:overflowPunct/>
              <w:topLinePunct w:val="0"/>
              <w:autoSpaceDE/>
              <w:autoSpaceDN/>
              <w:bidi w:val="0"/>
              <w:adjustRightInd w:val="0"/>
              <w:snapToGrid w:val="0"/>
              <w:spacing w:before="167" w:beforeLines="50"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根据《建设项目环境风险评价技术导则》（HJ169-2018）附录C，按下式计算物质总量与其临界量的比值（Q）：</w:t>
            </w:r>
          </w:p>
          <w:p w14:paraId="06539B15">
            <w:pPr>
              <w:keepNext w:val="0"/>
              <w:keepLines w:val="0"/>
              <w:pageBreakBefore w:val="0"/>
              <w:widowControl w:val="0"/>
              <w:kinsoku/>
              <w:wordWrap/>
              <w:overflowPunct/>
              <w:topLinePunct w:val="0"/>
              <w:bidi w:val="0"/>
              <w:adjustRightInd/>
              <w:snapToGrid/>
              <w:spacing w:line="336" w:lineRule="auto"/>
              <w:ind w:firstLine="0" w:firstLineChars="0"/>
              <w:jc w:val="center"/>
              <w:textAlignment w:val="auto"/>
              <w:rPr>
                <w:rFonts w:ascii="Times New Roman" w:hAnsi="Times New Roman" w:eastAsia="宋体" w:cs="Times New Roman"/>
                <w:color w:val="auto"/>
                <w:spacing w:val="11"/>
                <w:position w:val="0"/>
                <w:sz w:val="21"/>
                <w:szCs w:val="20"/>
                <w:u w:val="none"/>
              </w:rPr>
            </w:pPr>
            <w:r>
              <w:rPr>
                <w:rFonts w:ascii="Times New Roman" w:hAnsi="Times New Roman" w:eastAsia="宋体" w:cs="Times New Roman"/>
                <w:color w:val="auto"/>
                <w:spacing w:val="11"/>
                <w:position w:val="0"/>
                <w:sz w:val="21"/>
                <w:szCs w:val="20"/>
                <w:u w:val="none"/>
              </w:rPr>
              <w:drawing>
                <wp:inline distT="0" distB="0" distL="114300" distR="114300">
                  <wp:extent cx="1175385" cy="406400"/>
                  <wp:effectExtent l="0" t="0" r="1333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14:paraId="3ADB0E25">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式中：q</w:t>
            </w:r>
            <w:r>
              <w:rPr>
                <w:rFonts w:ascii="Times New Roman" w:hAnsi="Times New Roman" w:eastAsia="宋体" w:cs="Times New Roman"/>
                <w:color w:val="auto"/>
                <w:spacing w:val="11"/>
                <w:position w:val="0"/>
                <w:sz w:val="24"/>
                <w:szCs w:val="24"/>
                <w:u w:val="none"/>
                <w:vertAlign w:val="subscript"/>
              </w:rPr>
              <w:t>1</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2</w:t>
            </w:r>
            <w:r>
              <w:rPr>
                <w:rFonts w:ascii="Times New Roman" w:hAnsi="Times New Roman" w:eastAsia="宋体" w:cs="Times New Roman"/>
                <w:color w:val="auto"/>
                <w:spacing w:val="11"/>
                <w:position w:val="0"/>
                <w:sz w:val="24"/>
                <w:szCs w:val="24"/>
                <w:u w:val="none"/>
              </w:rPr>
              <w:t>,…qn—每种危险物质的最大存在量，t；</w:t>
            </w:r>
          </w:p>
          <w:p w14:paraId="2D80E169">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1</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2</w:t>
            </w:r>
            <w:r>
              <w:rPr>
                <w:rFonts w:ascii="Times New Roman" w:hAnsi="Times New Roman" w:eastAsia="宋体" w:cs="Times New Roman"/>
                <w:color w:val="auto"/>
                <w:spacing w:val="11"/>
                <w:position w:val="0"/>
                <w:sz w:val="24"/>
                <w:szCs w:val="24"/>
                <w:u w:val="none"/>
              </w:rPr>
              <w:t>,…Qn—每种危险物质的临界量，t。</w:t>
            </w:r>
          </w:p>
          <w:p w14:paraId="16F28F37">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当Q＜1时，该项目环境风险潜势为Ⅰ。</w:t>
            </w:r>
          </w:p>
          <w:p w14:paraId="11B36068">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当Q≥1时，将Q值划分为：（1）1≤Q＜10；（2）10≤Q＜100；（3）Q≥100。</w:t>
            </w:r>
          </w:p>
          <w:p w14:paraId="0F20635D">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经计算，项目危险物质数量与临界量比值（Q）=</w:t>
            </w:r>
            <w:r>
              <w:rPr>
                <w:rFonts w:hint="eastAsia" w:ascii="Times New Roman" w:hAnsi="Times New Roman" w:eastAsia="宋体" w:cs="Times New Roman"/>
                <w:color w:val="auto"/>
                <w:spacing w:val="11"/>
                <w:position w:val="0"/>
                <w:sz w:val="24"/>
                <w:szCs w:val="24"/>
                <w:u w:val="none"/>
                <w:lang w:val="en-US" w:eastAsia="zh-CN"/>
              </w:rPr>
              <w:t>0.0014</w:t>
            </w:r>
            <w:r>
              <w:rPr>
                <w:rFonts w:ascii="Times New Roman" w:hAnsi="Times New Roman" w:eastAsia="宋体" w:cs="Times New Roman"/>
                <w:color w:val="auto"/>
                <w:spacing w:val="11"/>
                <w:position w:val="0"/>
                <w:sz w:val="24"/>
                <w:szCs w:val="24"/>
                <w:u w:val="none"/>
              </w:rPr>
              <w:t>&lt;1。根据《建设项目环境风险评价技术导则》（HJ/T169-2018）附录C</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险物质数量及工艺系统危险性（P）分级</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中C.1.1规定：当Q&lt;1时，项目风险潜势为I。本项目的环境风险评价可开展简要分析。</w:t>
            </w:r>
          </w:p>
          <w:p w14:paraId="7D94EF65">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524" w:firstLineChars="200"/>
              <w:jc w:val="both"/>
              <w:textAlignment w:val="auto"/>
              <w:outlineLvl w:val="2"/>
              <w:rPr>
                <w:rFonts w:hint="default" w:ascii="Times New Roman" w:hAnsi="Times New Roman" w:eastAsia="宋体" w:cs="Times New Roman"/>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b w:val="0"/>
                <w:bCs w:val="0"/>
                <w:color w:val="auto"/>
                <w:spacing w:val="11"/>
                <w:kern w:val="2"/>
                <w:position w:val="0"/>
                <w:sz w:val="24"/>
                <w:szCs w:val="22"/>
                <w:highlight w:val="none"/>
                <w:u w:val="single" w:color="auto"/>
                <w:lang w:val="en-US" w:eastAsia="zh-CN" w:bidi="ar-SA"/>
              </w:rPr>
              <w:t>（2）</w:t>
            </w:r>
            <w:r>
              <w:rPr>
                <w:rFonts w:hint="default" w:ascii="Times New Roman" w:hAnsi="Times New Roman" w:eastAsia="宋体" w:cs="Times New Roman"/>
                <w:b w:val="0"/>
                <w:bCs w:val="0"/>
                <w:color w:val="auto"/>
                <w:spacing w:val="11"/>
                <w:kern w:val="2"/>
                <w:position w:val="0"/>
                <w:sz w:val="24"/>
                <w:szCs w:val="22"/>
                <w:highlight w:val="none"/>
                <w:u w:val="single" w:color="auto"/>
                <w:lang w:val="en-US" w:eastAsia="zh-CN" w:bidi="ar-SA"/>
              </w:rPr>
              <w:t>环境风险识别</w:t>
            </w:r>
          </w:p>
          <w:p w14:paraId="527C8EC6">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本项目采矿过程中主要为爆破炸开矿石，使用的炸药、雷管均为易燃易爆危险品。因此该类危险品的储存、使用都存在风险隐患。项目爆破委托具有资质的公司，所需的炸药均由其自行携带，厂区不存在炸药、雷管等存储不当引起库区火灾或爆炸事件。所以本项目营运期主要风险为：凿岩钻孔、爆破时对周围环境的影响。</w:t>
            </w:r>
          </w:p>
          <w:p w14:paraId="558468C9">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②项目矿区位于山体之上，露天开采导致植被覆盖率下降，采矿产生的废土石如随意堆放可能存在泥石流灾害，排渣作业不规范、排水设施不完善，容易造成边坡失稳，进而引发滑坡，产生泥石流灾害。</w:t>
            </w:r>
          </w:p>
          <w:p w14:paraId="22294235">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③润滑油储存区包装桶破裂、危废间废润滑油包装桶破裂</w:t>
            </w:r>
            <w:r>
              <w:rPr>
                <w:rFonts w:hint="eastAsia"/>
                <w:spacing w:val="11"/>
                <w:position w:val="0"/>
                <w:sz w:val="24"/>
                <w:u w:val="single" w:color="auto"/>
                <w:lang w:eastAsia="zh-CN"/>
              </w:rPr>
              <w:t>、</w:t>
            </w:r>
            <w:r>
              <w:rPr>
                <w:rFonts w:hint="eastAsia"/>
                <w:spacing w:val="11"/>
                <w:position w:val="0"/>
                <w:sz w:val="24"/>
                <w:u w:val="single" w:color="auto"/>
                <w:lang w:val="en-US" w:eastAsia="zh-CN"/>
              </w:rPr>
              <w:t>柴油储存破裂导致</w:t>
            </w:r>
            <w:r>
              <w:rPr>
                <w:rFonts w:hint="eastAsia"/>
                <w:spacing w:val="11"/>
                <w:position w:val="0"/>
                <w:sz w:val="24"/>
                <w:u w:val="single" w:color="auto"/>
              </w:rPr>
              <w:t>润滑油、废润滑油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出单元可能会污染水环境和土壤环境。由于这种渗漏必然穿过较厚的土壤层，使土壤层中吸附了大量的油污，不仅会造成植物生物的死亡，而且土壤层吸附的油污还会随着地表水的下渗对土壤层的冲刷作用补充到地下水区域导致污染。地下水一旦遭到油性物质的污染，将使地下水产生严重异味，并具有较强的致畸致癌性，导致地下水无法饮用。</w:t>
            </w:r>
          </w:p>
          <w:p w14:paraId="5247533A">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（2）环境风险分析</w:t>
            </w:r>
          </w:p>
          <w:p w14:paraId="3472F1CA">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1）爆破事故影响分析</w:t>
            </w:r>
          </w:p>
          <w:p w14:paraId="5B1C1C37">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采剥过程中的爆破工序往往伴随着巨大的能量释放，这些能量对岩石作功外，还可产生多种危害，如冲击波、振动、飞石以及扬尘等。它对附近的人、畜、建筑物、生态环境可产生较大的影响，因此必须给以足够的重视。</w:t>
            </w:r>
          </w:p>
          <w:p w14:paraId="19EE9510">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2）润滑油储存区、危废间</w:t>
            </w:r>
            <w:r>
              <w:rPr>
                <w:rFonts w:hint="eastAsia"/>
                <w:spacing w:val="11"/>
                <w:position w:val="0"/>
                <w:sz w:val="24"/>
                <w:u w:val="single" w:color="auto"/>
                <w:lang w:val="en-US" w:eastAsia="zh-CN"/>
              </w:rPr>
              <w:t>废</w:t>
            </w:r>
            <w:r>
              <w:rPr>
                <w:rFonts w:hint="eastAsia"/>
                <w:spacing w:val="11"/>
                <w:position w:val="0"/>
                <w:sz w:val="24"/>
                <w:u w:val="single" w:color="auto"/>
              </w:rPr>
              <w:t>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泄漏事故影响分析</w:t>
            </w:r>
          </w:p>
          <w:p w14:paraId="6E85B5A2">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润滑油储存区设接液托盘</w:t>
            </w:r>
            <w:r>
              <w:rPr>
                <w:rFonts w:hint="eastAsia"/>
                <w:spacing w:val="11"/>
                <w:position w:val="0"/>
                <w:sz w:val="24"/>
                <w:u w:val="single" w:color="auto"/>
                <w:lang w:eastAsia="zh-CN"/>
              </w:rPr>
              <w:t>、</w:t>
            </w:r>
            <w:r>
              <w:rPr>
                <w:rFonts w:hint="eastAsia"/>
                <w:spacing w:val="11"/>
                <w:position w:val="0"/>
                <w:sz w:val="24"/>
                <w:u w:val="single" w:color="auto"/>
                <w:lang w:val="en-US" w:eastAsia="zh-CN"/>
              </w:rPr>
              <w:t>柴油储罐区设置围堰</w:t>
            </w:r>
            <w:r>
              <w:rPr>
                <w:rFonts w:hint="eastAsia"/>
                <w:spacing w:val="11"/>
                <w:position w:val="0"/>
                <w:sz w:val="24"/>
                <w:u w:val="single" w:color="auto"/>
              </w:rPr>
              <w:t>，防止润滑油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泄漏流入外环境污染周边土壤及水环境。</w:t>
            </w:r>
          </w:p>
          <w:p w14:paraId="6AB05C6F">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废润滑油贮存于危废间中，储存区设接液托盘，将废油桶放置在接液托盘内，定期委托有资质单位进行转移，转移频次为1次/年。本项目危废间按照《危险废物贮存污染控制标准》（GB18597-2023）要求进行建设，按要求设置危废标识。危废间设有堵截泄漏的裙角，地面和裙角采用厚度为15cm水泥防渗，渗透系数≤10</w:t>
            </w:r>
            <w:r>
              <w:rPr>
                <w:rFonts w:hint="eastAsia"/>
                <w:spacing w:val="11"/>
                <w:position w:val="0"/>
                <w:sz w:val="24"/>
                <w:u w:val="single" w:color="auto"/>
                <w:vertAlign w:val="superscript"/>
              </w:rPr>
              <w:t>-10</w:t>
            </w:r>
            <w:r>
              <w:rPr>
                <w:rFonts w:hint="eastAsia"/>
                <w:spacing w:val="11"/>
                <w:position w:val="0"/>
                <w:sz w:val="24"/>
                <w:u w:val="single" w:color="auto"/>
              </w:rPr>
              <w:t>cm/s，盛装危险废物的容器上必须粘贴符合《危险废物识别标志设置技术规范》（</w:t>
            </w:r>
            <w:r>
              <w:rPr>
                <w:spacing w:val="11"/>
                <w:position w:val="0"/>
                <w:sz w:val="24"/>
                <w:u w:val="single" w:color="auto"/>
              </w:rPr>
              <w:t>HJ1276</w:t>
            </w:r>
            <w:r>
              <w:rPr>
                <w:rFonts w:hint="eastAsia"/>
                <w:spacing w:val="11"/>
                <w:position w:val="0"/>
                <w:sz w:val="24"/>
                <w:u w:val="single" w:color="auto"/>
              </w:rPr>
              <w:t>-</w:t>
            </w:r>
            <w:r>
              <w:rPr>
                <w:spacing w:val="11"/>
                <w:position w:val="0"/>
                <w:sz w:val="24"/>
                <w:u w:val="single" w:color="auto"/>
              </w:rPr>
              <w:t>022</w:t>
            </w:r>
            <w:r>
              <w:rPr>
                <w:rFonts w:hint="eastAsia"/>
                <w:spacing w:val="11"/>
                <w:position w:val="0"/>
                <w:sz w:val="24"/>
                <w:u w:val="single" w:color="auto"/>
              </w:rPr>
              <w:t>）中图示危险废物标签。危险废物在厂区内转运过程需要根据实际情况确定转运路线，避开办公区和生活区，转运结束后对转运路线进行检查清理，确保无危险废物遗失在转运路线上；危险废物外部运输至有资质单位进行处理，运输由持有危险废物经营许可证的的单位负责实施，承担危险废物运输的单位当获得交通运输部颁发的危险货物运输资质。上述措施实施后，废机油泄漏产生环境污染可能性较低。</w:t>
            </w:r>
          </w:p>
          <w:p w14:paraId="257D024B">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（3）环境风险防范措施及应急要求</w:t>
            </w:r>
          </w:p>
          <w:p w14:paraId="3A70554B">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1）防范措施：爆破过程中安全防治措施主要以下几个途径：</w:t>
            </w:r>
          </w:p>
          <w:p w14:paraId="4E2EE7D0">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①冲击波的强度是由装药量决定的，因此在爆破时根据敏感点分布情况确定合适的装药量；</w:t>
            </w:r>
          </w:p>
          <w:p w14:paraId="5FBCBFCB">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②确定合理的爆破参数，以促使爆炸能充分用于破碎岩石，减少形成空气冲击波的条件；</w:t>
            </w:r>
          </w:p>
          <w:p w14:paraId="09BF0DDF">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③保证有足够的充填长度，提高充填质量，必要时可采取分段装药反向起爆，以防止产生冲天炮；</w:t>
            </w:r>
          </w:p>
          <w:p w14:paraId="6F9CB72C">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④禁止采用裸露药包破碎大块岩石；在地面洒水，减少地面扬尘；</w:t>
            </w:r>
          </w:p>
          <w:p w14:paraId="2068D1BD">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⑤选择合理的最小抵抗线，保护充分破碎岩石，消除夹制爆破条件，防止大量爆炸气体从顶部集中送出；</w:t>
            </w:r>
          </w:p>
          <w:p w14:paraId="6E00581C">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⑥爆破前应通知附近的居民、单位，并选择影响最小的时段进行爆破，爆破时间确定后不要任意变更；</w:t>
            </w:r>
          </w:p>
          <w:p w14:paraId="5A7206D5">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⑦加强现场的管理，；加强汛前、汛期、安全工作的领导，安全防汛制度，落实安全责任。</w:t>
            </w:r>
          </w:p>
          <w:p w14:paraId="6DBAF0A1">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default" w:eastAsia="宋体"/>
                <w:spacing w:val="11"/>
                <w:position w:val="0"/>
                <w:sz w:val="24"/>
                <w:u w:val="single" w:color="auto"/>
                <w:lang w:val="en-US" w:eastAsia="zh-CN"/>
              </w:rPr>
            </w:pPr>
            <w:r>
              <w:rPr>
                <w:rFonts w:hint="eastAsia"/>
                <w:spacing w:val="11"/>
                <w:position w:val="0"/>
                <w:sz w:val="24"/>
                <w:u w:val="single" w:color="auto"/>
              </w:rPr>
              <w:t>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防治措施：泄漏润滑油设置接液托盘，将泄漏至接液托盘内的油品及时转移至完好容器内，制止事故成功后，应对润滑油罐体内的残液实施输转作业，以避免造成二次泄漏。并将破损容器一并交由资质单位处置。</w:t>
            </w:r>
            <w:r>
              <w:rPr>
                <w:rFonts w:hint="eastAsia"/>
                <w:spacing w:val="11"/>
                <w:position w:val="0"/>
                <w:sz w:val="24"/>
                <w:u w:val="single" w:color="auto"/>
                <w:lang w:val="en-US" w:eastAsia="zh-CN"/>
              </w:rPr>
              <w:t>当柴油发生泄露时，应尽快对泄露至围堰里的柴油进行收集，将废油交由有资质单位进行处理。</w:t>
            </w:r>
          </w:p>
          <w:p w14:paraId="4DC7A8E5">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废机油泄漏防治措施：废机油储存区设防泄漏接液盘，将废油桶放置在接液盘上。一旦发生泄漏，将接液盘泄漏的废机油及时转移至应急桶内，收集后交由有资质单位进行无害化处理与处置。</w:t>
            </w:r>
          </w:p>
          <w:p w14:paraId="62792462">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2）应急要求</w:t>
            </w:r>
          </w:p>
          <w:p w14:paraId="166C900E">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本次评价根据爆破事故分析，制定应急预案，建设单位及管理部门参考，事故应急预案应在安全管理中具体化和进一步完善。本项目最主要是事故爆炸及泄漏事故影响的周边地区的建筑、道路等。</w:t>
            </w:r>
          </w:p>
          <w:p w14:paraId="695C067E">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企业的应急救援指挥部应由公司总经理任总指挥，各部门领导出任副总指挥；②制定事故应急救援预案；③组成应急救援专业队伍，监督检查和做好各项救援准备工作；④发布和解除应急救援令，指挥应急队伍，实施应急行动；⑤向上级汇报并向社会救援组织通报事故情况；⑥组织调查事故原因，总结应急救援工作的经验教训，并做好善后工作；⑦总指挥：发布和解除应急救援令，指挥应急队伍和应急救援行动；⑧副总指挥：协助总指挥协调应急救援行动，负责事故报警与日报告，报救援情况及事故处理工作的协调工作；⑨并设有专人负责事故报警、报告及事故处理工作；协助领导做好事故处理及布置安全、环保防范措施，落实事故现场环境监测工作；组织成立抢险、抢修队，负责现场抢险、抢险工作；负责治安、警戒、疏散人群和现场保卫工作；负责现场医疗救护，受伤人员抢救及护送工作。企业在发生事故后，应进行事故后果评价，并将有关情况通报上级环保主管部门。</w:t>
            </w:r>
          </w:p>
          <w:p w14:paraId="7F324304">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u w:val="single" w:color="auto"/>
              </w:rPr>
            </w:pPr>
            <w:r>
              <w:rPr>
                <w:rFonts w:hint="eastAsia" w:ascii="Times New Roman" w:hAnsi="Times New Roman" w:eastAsia="宋体" w:cs="Times New Roman"/>
                <w:color w:val="auto"/>
                <w:spacing w:val="11"/>
                <w:position w:val="0"/>
                <w:sz w:val="24"/>
                <w:szCs w:val="24"/>
                <w:u w:val="single" w:color="auto"/>
              </w:rPr>
              <w:t>建设单位在发生火灾爆炸事故时，将所有废水妥善收集，引入事故池中暂存，待事故结束后，对事故池内废水进行检测分析，根据水质情况拟定相应处理、处置措施，可有效防止污染物进入水体。</w:t>
            </w:r>
          </w:p>
          <w:p w14:paraId="4A7E075A">
            <w:pPr>
              <w:keepNext w:val="0"/>
              <w:keepLines w:val="0"/>
              <w:pageBreakBefore w:val="0"/>
              <w:widowControl w:val="0"/>
              <w:kinsoku/>
              <w:wordWrap/>
              <w:overflowPunct/>
              <w:topLinePunct w:val="0"/>
              <w:autoSpaceDE w:val="0"/>
              <w:autoSpaceDN w:val="0"/>
              <w:bidi w:val="0"/>
              <w:adjustRightInd w:val="0"/>
              <w:snapToGrid w:val="0"/>
              <w:spacing w:line="336" w:lineRule="auto"/>
              <w:ind w:firstLine="524" w:firstLineChars="200"/>
              <w:textAlignment w:val="auto"/>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根据《建筑设计防火规范》（GB50016-2014[2018年版]），本项目按同一时间发生火灾次数1次，需水量最大的一座建筑物计算。火灾危险性最高的为办公生活区，属于</w:t>
            </w:r>
            <w:r>
              <w:rPr>
                <w:rFonts w:hint="eastAsia" w:eastAsia="宋体" w:cs="Times New Roman"/>
                <w:caps w:val="0"/>
                <w:smallCaps w:val="0"/>
                <w:color w:val="auto"/>
                <w:spacing w:val="11"/>
                <w:kern w:val="0"/>
                <w:position w:val="0"/>
                <w:sz w:val="24"/>
                <w:szCs w:val="24"/>
                <w:u w:val="single" w:color="auto"/>
                <w:lang w:val="en-US" w:eastAsia="zh-CN"/>
              </w:rPr>
              <w:t>丁</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类，二级。根据《消防给水及消火栓系统技术规范》（GB50974-2014）中消防给水的规定，消防用水量：厂房建筑体积V</w:t>
            </w:r>
            <w:r>
              <w:rPr>
                <w:rFonts w:hint="eastAsia" w:eastAsia="宋体" w:cs="Times New Roman"/>
                <w:caps w:val="0"/>
                <w:smallCaps w:val="0"/>
                <w:color w:val="auto"/>
                <w:spacing w:val="11"/>
                <w:kern w:val="0"/>
                <w:position w:val="0"/>
                <w:sz w:val="24"/>
                <w:szCs w:val="24"/>
                <w:u w:val="single" w:color="auto"/>
                <w:lang w:val="en-US" w:eastAsia="zh-CN"/>
              </w:rPr>
              <w:t>≤1500</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m</w:t>
            </w:r>
            <w:r>
              <w:rPr>
                <w:rFonts w:hint="default" w:ascii="Times New Roman" w:hAnsi="Times New Roman" w:eastAsia="宋体" w:cs="Times New Roman"/>
                <w:caps w:val="0"/>
                <w:smallCaps w:val="0"/>
                <w:color w:val="auto"/>
                <w:spacing w:val="11"/>
                <w:kern w:val="0"/>
                <w:position w:val="0"/>
                <w:sz w:val="24"/>
                <w:szCs w:val="24"/>
                <w:u w:val="single" w:color="auto"/>
                <w:vertAlign w:val="superscript"/>
                <w:lang w:val="en-US" w:eastAsia="zh-CN"/>
              </w:rPr>
              <w:t>3</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，建筑物室外</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消火栓设计流量为</w:t>
            </w:r>
            <w:r>
              <w:rPr>
                <w:rFonts w:hint="eastAsia" w:eastAsia="宋体" w:cs="Times New Roman"/>
                <w:caps w:val="0"/>
                <w:smallCaps w:val="0"/>
                <w:color w:val="auto"/>
                <w:spacing w:val="11"/>
                <w:kern w:val="0"/>
                <w:position w:val="0"/>
                <w:sz w:val="24"/>
                <w:szCs w:val="24"/>
                <w:highlight w:val="none"/>
                <w:u w:val="single" w:color="auto"/>
                <w:lang w:val="en-US" w:eastAsia="zh-CN"/>
              </w:rPr>
              <w:t>15</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L/s，火灾延续时间为</w:t>
            </w:r>
            <w:r>
              <w:rPr>
                <w:rFonts w:hint="eastAsia" w:ascii="Times New Roman" w:hAnsi="Times New Roman" w:eastAsia="宋体" w:cs="Times New Roman"/>
                <w:caps w:val="0"/>
                <w:smallCaps w:val="0"/>
                <w:color w:val="auto"/>
                <w:spacing w:val="11"/>
                <w:kern w:val="0"/>
                <w:position w:val="0"/>
                <w:sz w:val="24"/>
                <w:szCs w:val="24"/>
                <w:highlight w:val="none"/>
                <w:u w:val="single" w:color="auto"/>
                <w:lang w:val="en-US" w:eastAsia="zh-CN"/>
              </w:rPr>
              <w:t>30min</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，则产生消防废水为</w:t>
            </w:r>
            <w:r>
              <w:rPr>
                <w:rFonts w:hint="eastAsia" w:eastAsia="宋体" w:cs="Times New Roman"/>
                <w:caps w:val="0"/>
                <w:smallCaps w:val="0"/>
                <w:color w:val="auto"/>
                <w:spacing w:val="11"/>
                <w:kern w:val="0"/>
                <w:position w:val="0"/>
                <w:sz w:val="24"/>
                <w:szCs w:val="24"/>
                <w:highlight w:val="none"/>
                <w:u w:val="single" w:color="auto"/>
                <w:lang w:val="en-US" w:eastAsia="zh-CN"/>
              </w:rPr>
              <w:t>27</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m</w:t>
            </w:r>
            <w:r>
              <w:rPr>
                <w:rFonts w:hint="default" w:ascii="Times New Roman" w:hAnsi="Times New Roman" w:eastAsia="宋体" w:cs="Times New Roman"/>
                <w:caps w:val="0"/>
                <w:smallCaps w:val="0"/>
                <w:color w:val="auto"/>
                <w:spacing w:val="11"/>
                <w:kern w:val="0"/>
                <w:position w:val="0"/>
                <w:sz w:val="24"/>
                <w:szCs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w:t>
            </w:r>
          </w:p>
          <w:p w14:paraId="793A096D">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hint="eastAsia"/>
                <w:u w:val="single" w:color="auto"/>
              </w:rPr>
            </w:pPr>
            <w:r>
              <w:rPr>
                <w:rFonts w:hint="eastAsia" w:ascii="Times New Roman" w:hAnsi="Times New Roman" w:eastAsia="宋体" w:cs="Times New Roman"/>
                <w:color w:val="auto"/>
                <w:spacing w:val="11"/>
                <w:position w:val="0"/>
                <w:sz w:val="24"/>
                <w:szCs w:val="24"/>
                <w:highlight w:val="none"/>
                <w:u w:val="single" w:color="auto"/>
                <w:lang w:val="en-US" w:eastAsia="zh-CN"/>
              </w:rPr>
              <w:t>因此需</w:t>
            </w:r>
            <w:r>
              <w:rPr>
                <w:rFonts w:hint="eastAsia" w:ascii="Times New Roman" w:hAnsi="Times New Roman" w:eastAsia="宋体" w:cs="Times New Roman"/>
                <w:color w:val="auto"/>
                <w:spacing w:val="11"/>
                <w:position w:val="0"/>
                <w:sz w:val="24"/>
                <w:szCs w:val="24"/>
                <w:highlight w:val="none"/>
                <w:u w:val="single" w:color="auto"/>
              </w:rPr>
              <w:t>建立风险事故应急池</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eastAsia="宋体" w:cs="Times New Roman"/>
                <w:color w:val="auto"/>
                <w:spacing w:val="11"/>
                <w:position w:val="0"/>
                <w:sz w:val="24"/>
                <w:szCs w:val="24"/>
                <w:highlight w:val="none"/>
                <w:u w:val="single" w:color="auto"/>
                <w:lang w:val="en-US" w:eastAsia="zh-CN"/>
              </w:rPr>
              <w:t>30</w:t>
            </w:r>
            <w:r>
              <w:rPr>
                <w:rFonts w:hint="eastAsia" w:ascii="Times New Roman" w:hAnsi="Times New Roman" w:eastAsia="宋体" w:cs="Times New Roman"/>
                <w:color w:val="auto"/>
                <w:spacing w:val="11"/>
                <w:position w:val="0"/>
                <w:sz w:val="24"/>
                <w:szCs w:val="24"/>
                <w:highlight w:val="none"/>
                <w:u w:val="single" w:color="auto"/>
                <w:lang w:val="en-US" w:eastAsia="zh-CN"/>
              </w:rPr>
              <w:t>m</w:t>
            </w:r>
            <w:r>
              <w:rPr>
                <w:rFonts w:hint="eastAsia" w:ascii="Times New Roman" w:hAnsi="Times New Roman" w:eastAsia="宋体" w:cs="Times New Roman"/>
                <w:color w:val="auto"/>
                <w:spacing w:val="11"/>
                <w:position w:val="0"/>
                <w:sz w:val="24"/>
                <w:szCs w:val="24"/>
                <w:highlight w:val="none"/>
                <w:u w:val="single" w:color="auto"/>
                <w:vertAlign w:val="superscript"/>
                <w:lang w:val="en-US" w:eastAsia="zh-CN"/>
              </w:rPr>
              <w:t>3</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rPr>
              <w:t>，当发</w:t>
            </w:r>
            <w:r>
              <w:rPr>
                <w:rFonts w:hint="eastAsia" w:ascii="Times New Roman" w:hAnsi="Times New Roman" w:eastAsia="宋体" w:cs="Times New Roman"/>
                <w:color w:val="auto"/>
                <w:spacing w:val="11"/>
                <w:position w:val="0"/>
                <w:sz w:val="24"/>
                <w:szCs w:val="24"/>
                <w:u w:val="single" w:color="auto"/>
              </w:rPr>
              <w:t>生火灾时，产生的消防废水可引入风险事故应急池暂存</w:t>
            </w:r>
            <w:r>
              <w:rPr>
                <w:rFonts w:hint="eastAsia" w:ascii="Times New Roman" w:hAnsi="Times New Roman" w:eastAsia="宋体" w:cs="Times New Roman"/>
                <w:color w:val="auto"/>
                <w:spacing w:val="11"/>
                <w:position w:val="0"/>
                <w:sz w:val="24"/>
                <w:szCs w:val="24"/>
                <w:u w:val="single" w:color="auto"/>
                <w:lang w:eastAsia="zh-CN"/>
              </w:rPr>
              <w:t>，</w:t>
            </w:r>
            <w:r>
              <w:rPr>
                <w:rFonts w:hint="eastAsia" w:ascii="Times New Roman" w:hAnsi="Times New Roman" w:eastAsia="宋体" w:cs="Times New Roman"/>
                <w:color w:val="auto"/>
                <w:spacing w:val="11"/>
                <w:position w:val="0"/>
                <w:sz w:val="24"/>
                <w:szCs w:val="24"/>
                <w:u w:val="single" w:color="auto"/>
                <w:lang w:val="en-US" w:eastAsia="zh-CN"/>
              </w:rPr>
              <w:t>如风险事故应急池容量不够可将废水引入初期雨水收集池中进行暂存</w:t>
            </w:r>
            <w:r>
              <w:rPr>
                <w:rFonts w:ascii="Times New Roman" w:hAnsi="Times New Roman" w:eastAsia="宋体" w:cs="Times New Roman"/>
                <w:color w:val="auto"/>
                <w:spacing w:val="11"/>
                <w:position w:val="0"/>
                <w:sz w:val="24"/>
                <w:szCs w:val="24"/>
                <w:u w:val="single" w:color="auto"/>
              </w:rPr>
              <w:t>。</w:t>
            </w:r>
          </w:p>
          <w:p w14:paraId="73637348">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Cs w:val="21"/>
                <w:u w:val="none" w:color="auto"/>
              </w:rPr>
            </w:pPr>
            <w:r>
              <w:rPr>
                <w:rFonts w:hint="eastAsia"/>
                <w:spacing w:val="11"/>
                <w:position w:val="0"/>
                <w:sz w:val="24"/>
                <w:u w:val="single" w:color="auto"/>
              </w:rPr>
              <w:t>本项目炸药使用及</w:t>
            </w:r>
            <w:r>
              <w:rPr>
                <w:rFonts w:hint="eastAsia"/>
                <w:spacing w:val="11"/>
                <w:position w:val="0"/>
                <w:sz w:val="24"/>
                <w:u w:val="single" w:color="auto"/>
                <w:lang w:val="en-US" w:eastAsia="zh-CN"/>
              </w:rPr>
              <w:t>柴油、润滑油、</w:t>
            </w:r>
            <w:r>
              <w:rPr>
                <w:rFonts w:hint="eastAsia"/>
                <w:spacing w:val="11"/>
                <w:position w:val="0"/>
                <w:sz w:val="24"/>
                <w:u w:val="single" w:color="auto"/>
              </w:rPr>
              <w:t>废</w:t>
            </w:r>
            <w:r>
              <w:rPr>
                <w:rFonts w:hint="eastAsia"/>
                <w:spacing w:val="11"/>
                <w:position w:val="0"/>
                <w:sz w:val="24"/>
                <w:u w:val="single" w:color="auto"/>
                <w:lang w:val="en-US" w:eastAsia="zh-CN"/>
              </w:rPr>
              <w:t>润滑油</w:t>
            </w:r>
            <w:r>
              <w:rPr>
                <w:rFonts w:hint="eastAsia"/>
                <w:spacing w:val="11"/>
                <w:position w:val="0"/>
                <w:sz w:val="24"/>
                <w:u w:val="single" w:color="auto"/>
              </w:rPr>
              <w:t>贮存虽存在事故风险的可能性，但建设单位只要按照要求严格操作，并认真执行评价所提出的各项风险防范措施，可把事故发生的概率降至最低，采取有效的风险应急预案，对工程风险事故的环境影响控制在可接受范围。</w:t>
            </w:r>
          </w:p>
          <w:p w14:paraId="146F39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1"/>
              <w:rPr>
                <w:rFonts w:hint="eastAsia"/>
                <w:b/>
                <w:spacing w:val="11"/>
                <w:position w:val="0"/>
                <w:sz w:val="21"/>
                <w:szCs w:val="21"/>
                <w:u w:val="none" w:color="auto"/>
              </w:rPr>
            </w:pPr>
            <w:r>
              <w:rPr>
                <w:rFonts w:hint="eastAsia"/>
                <w:b/>
                <w:spacing w:val="11"/>
                <w:position w:val="0"/>
                <w:sz w:val="21"/>
                <w:szCs w:val="21"/>
                <w:u w:val="none" w:color="auto"/>
              </w:rPr>
              <w:t>表4-</w:t>
            </w:r>
            <w:r>
              <w:rPr>
                <w:rFonts w:hint="eastAsia"/>
                <w:b/>
                <w:spacing w:val="11"/>
                <w:position w:val="0"/>
                <w:sz w:val="21"/>
                <w:szCs w:val="21"/>
                <w:u w:val="none" w:color="auto"/>
                <w:lang w:val="en-US" w:eastAsia="zh-CN"/>
              </w:rPr>
              <w:t>10</w:t>
            </w:r>
            <w:r>
              <w:rPr>
                <w:rFonts w:hint="eastAsia"/>
                <w:b/>
                <w:spacing w:val="11"/>
                <w:position w:val="0"/>
                <w:sz w:val="21"/>
                <w:szCs w:val="21"/>
                <w:u w:val="none" w:color="auto"/>
              </w:rPr>
              <w:t xml:space="preserve">  建设项目环境风险简单分析内容表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764"/>
              <w:gridCol w:w="1509"/>
              <w:gridCol w:w="1025"/>
              <w:gridCol w:w="2186"/>
            </w:tblGrid>
            <w:tr w14:paraId="330A5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3F7903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建设项目名称</w:t>
                  </w:r>
                </w:p>
              </w:tc>
              <w:tc>
                <w:tcPr>
                  <w:tcW w:w="4090" w:type="pct"/>
                  <w:gridSpan w:val="4"/>
                  <w:tcBorders>
                    <w:tl2br w:val="nil"/>
                    <w:tr2bl w:val="nil"/>
                  </w:tcBorders>
                  <w:noWrap w:val="0"/>
                  <w:vAlign w:val="center"/>
                </w:tcPr>
                <w:p w14:paraId="67F72D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val="en-US" w:eastAsia="zh-CN" w:bidi="en-US"/>
                    </w:rPr>
                    <w:t>新田县振新建材有限公司石灰石开采、建筑材料开采项目</w:t>
                  </w:r>
                </w:p>
              </w:tc>
            </w:tr>
            <w:tr w14:paraId="094AE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4CD190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建设地点</w:t>
                  </w:r>
                </w:p>
              </w:tc>
              <w:tc>
                <w:tcPr>
                  <w:tcW w:w="1112" w:type="pct"/>
                  <w:tcBorders>
                    <w:tl2br w:val="nil"/>
                    <w:tr2bl w:val="nil"/>
                  </w:tcBorders>
                  <w:noWrap w:val="0"/>
                  <w:vAlign w:val="center"/>
                </w:tcPr>
                <w:p w14:paraId="34A767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湖南省</w:t>
                  </w:r>
                </w:p>
              </w:tc>
              <w:tc>
                <w:tcPr>
                  <w:tcW w:w="951" w:type="pct"/>
                  <w:tcBorders>
                    <w:tl2br w:val="nil"/>
                    <w:tr2bl w:val="nil"/>
                  </w:tcBorders>
                  <w:noWrap w:val="0"/>
                  <w:vAlign w:val="center"/>
                </w:tcPr>
                <w:p w14:paraId="55AD8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eastAsia="zh-CN" w:bidi="en-US"/>
                    </w:rPr>
                    <w:t>永州</w:t>
                  </w:r>
                  <w:r>
                    <w:rPr>
                      <w:bCs/>
                      <w:iCs/>
                      <w:spacing w:val="11"/>
                      <w:position w:val="0"/>
                      <w:sz w:val="21"/>
                      <w:szCs w:val="21"/>
                      <w:u w:val="none" w:color="auto"/>
                      <w:lang w:bidi="en-US"/>
                    </w:rPr>
                    <w:t>市</w:t>
                  </w:r>
                </w:p>
              </w:tc>
              <w:tc>
                <w:tcPr>
                  <w:tcW w:w="646" w:type="pct"/>
                  <w:tcBorders>
                    <w:tl2br w:val="nil"/>
                    <w:tr2bl w:val="nil"/>
                  </w:tcBorders>
                  <w:noWrap w:val="0"/>
                  <w:vAlign w:val="center"/>
                </w:tcPr>
                <w:p w14:paraId="3A218D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eastAsia="zh-CN" w:bidi="en-US"/>
                    </w:rPr>
                    <w:t>新田</w:t>
                  </w:r>
                  <w:r>
                    <w:rPr>
                      <w:rFonts w:hint="eastAsia"/>
                      <w:bCs/>
                      <w:iCs/>
                      <w:spacing w:val="11"/>
                      <w:position w:val="0"/>
                      <w:sz w:val="21"/>
                      <w:szCs w:val="21"/>
                      <w:u w:val="none" w:color="auto"/>
                      <w:lang w:bidi="en-US"/>
                    </w:rPr>
                    <w:t>县</w:t>
                  </w:r>
                </w:p>
              </w:tc>
              <w:tc>
                <w:tcPr>
                  <w:tcW w:w="1379" w:type="pct"/>
                  <w:tcBorders>
                    <w:tl2br w:val="nil"/>
                    <w:tr2bl w:val="nil"/>
                  </w:tcBorders>
                  <w:noWrap w:val="0"/>
                  <w:vAlign w:val="center"/>
                </w:tcPr>
                <w:p w14:paraId="6FA3D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bidi="en-US"/>
                    </w:rPr>
                    <w:t>龙泉街道</w:t>
                  </w:r>
                  <w:r>
                    <w:rPr>
                      <w:rFonts w:hint="eastAsia"/>
                      <w:bCs/>
                      <w:iCs/>
                      <w:spacing w:val="11"/>
                      <w:position w:val="0"/>
                      <w:sz w:val="21"/>
                      <w:szCs w:val="21"/>
                      <w:u w:val="none" w:color="auto"/>
                      <w:lang w:val="en-US" w:eastAsia="zh-CN" w:bidi="en-US"/>
                    </w:rPr>
                    <w:t>周家洞村</w:t>
                  </w:r>
                </w:p>
              </w:tc>
            </w:tr>
            <w:tr w14:paraId="798C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5400DE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地理坐标</w:t>
                  </w:r>
                </w:p>
              </w:tc>
              <w:tc>
                <w:tcPr>
                  <w:tcW w:w="1112" w:type="pct"/>
                  <w:tcBorders>
                    <w:tl2br w:val="nil"/>
                    <w:tr2bl w:val="nil"/>
                  </w:tcBorders>
                  <w:noWrap w:val="0"/>
                  <w:vAlign w:val="center"/>
                </w:tcPr>
                <w:p w14:paraId="5B3A04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经度</w:t>
                  </w:r>
                </w:p>
              </w:tc>
              <w:tc>
                <w:tcPr>
                  <w:tcW w:w="951" w:type="pct"/>
                  <w:tcBorders>
                    <w:tl2br w:val="nil"/>
                    <w:tr2bl w:val="nil"/>
                  </w:tcBorders>
                  <w:noWrap w:val="0"/>
                  <w:vAlign w:val="center"/>
                </w:tcPr>
                <w:p w14:paraId="6E7211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eastAsia="宋体"/>
                      <w:bCs/>
                      <w:iCs/>
                      <w:spacing w:val="11"/>
                      <w:position w:val="0"/>
                      <w:sz w:val="21"/>
                      <w:szCs w:val="21"/>
                      <w:u w:val="none" w:color="auto"/>
                      <w:lang w:val="en-US" w:eastAsia="zh-CN" w:bidi="en-US"/>
                    </w:rPr>
                  </w:pPr>
                  <w:r>
                    <w:rPr>
                      <w:rFonts w:hint="eastAsia"/>
                      <w:spacing w:val="11"/>
                      <w:position w:val="0"/>
                      <w:sz w:val="21"/>
                      <w:szCs w:val="21"/>
                      <w:u w:val="none" w:color="auto"/>
                    </w:rPr>
                    <w:t>112.143229</w:t>
                  </w:r>
                </w:p>
              </w:tc>
              <w:tc>
                <w:tcPr>
                  <w:tcW w:w="646" w:type="pct"/>
                  <w:tcBorders>
                    <w:tl2br w:val="nil"/>
                    <w:tr2bl w:val="nil"/>
                  </w:tcBorders>
                  <w:noWrap w:val="0"/>
                  <w:vAlign w:val="center"/>
                </w:tcPr>
                <w:p w14:paraId="755772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纬度</w:t>
                  </w:r>
                </w:p>
              </w:tc>
              <w:tc>
                <w:tcPr>
                  <w:tcW w:w="1379" w:type="pct"/>
                  <w:tcBorders>
                    <w:tl2br w:val="nil"/>
                    <w:tr2bl w:val="nil"/>
                  </w:tcBorders>
                  <w:noWrap w:val="0"/>
                  <w:vAlign w:val="center"/>
                </w:tcPr>
                <w:p w14:paraId="36A287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eastAsia="宋体"/>
                      <w:bCs/>
                      <w:iCs/>
                      <w:spacing w:val="11"/>
                      <w:position w:val="0"/>
                      <w:sz w:val="21"/>
                      <w:szCs w:val="21"/>
                      <w:u w:val="none" w:color="auto"/>
                      <w:lang w:val="en-US" w:eastAsia="zh-CN" w:bidi="en-US"/>
                    </w:rPr>
                  </w:pPr>
                  <w:r>
                    <w:rPr>
                      <w:rFonts w:hint="eastAsia"/>
                      <w:spacing w:val="11"/>
                      <w:position w:val="0"/>
                      <w:sz w:val="21"/>
                      <w:szCs w:val="21"/>
                      <w:u w:val="none" w:color="auto"/>
                    </w:rPr>
                    <w:t>25.927161</w:t>
                  </w:r>
                </w:p>
              </w:tc>
            </w:tr>
            <w:tr w14:paraId="5AB5F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05DB69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主要危险物质及分布</w:t>
                  </w:r>
                </w:p>
              </w:tc>
              <w:tc>
                <w:tcPr>
                  <w:tcW w:w="4090" w:type="pct"/>
                  <w:gridSpan w:val="4"/>
                  <w:tcBorders>
                    <w:tl2br w:val="nil"/>
                    <w:tr2bl w:val="nil"/>
                  </w:tcBorders>
                  <w:noWrap w:val="0"/>
                  <w:vAlign w:val="center"/>
                </w:tcPr>
                <w:p w14:paraId="1FD023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bidi="en-US"/>
                    </w:rPr>
                    <w:t>主要危险物质为润滑油、废润滑油</w:t>
                  </w:r>
                  <w:r>
                    <w:rPr>
                      <w:rFonts w:hint="eastAsia"/>
                      <w:bCs/>
                      <w:iCs/>
                      <w:spacing w:val="11"/>
                      <w:position w:val="0"/>
                      <w:sz w:val="21"/>
                      <w:szCs w:val="21"/>
                      <w:u w:val="none" w:color="auto"/>
                      <w:lang w:eastAsia="zh-CN" w:bidi="en-US"/>
                    </w:rPr>
                    <w:t>、</w:t>
                  </w:r>
                  <w:r>
                    <w:rPr>
                      <w:rFonts w:hint="eastAsia"/>
                      <w:bCs/>
                      <w:iCs/>
                      <w:spacing w:val="11"/>
                      <w:position w:val="0"/>
                      <w:sz w:val="21"/>
                      <w:szCs w:val="21"/>
                      <w:u w:val="none" w:color="auto"/>
                      <w:lang w:val="en-US" w:eastAsia="zh-CN" w:bidi="en-US"/>
                    </w:rPr>
                    <w:t>柴油</w:t>
                  </w:r>
                </w:p>
              </w:tc>
            </w:tr>
            <w:tr w14:paraId="0B6BF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71CD41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环境影响途径及危害后果</w:t>
                  </w:r>
                </w:p>
              </w:tc>
              <w:tc>
                <w:tcPr>
                  <w:tcW w:w="4090" w:type="pct"/>
                  <w:gridSpan w:val="4"/>
                  <w:tcBorders>
                    <w:tl2br w:val="nil"/>
                    <w:tr2bl w:val="nil"/>
                  </w:tcBorders>
                  <w:noWrap w:val="0"/>
                  <w:vAlign w:val="center"/>
                </w:tcPr>
                <w:p w14:paraId="041E0E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iCs/>
                      <w:spacing w:val="11"/>
                      <w:position w:val="0"/>
                      <w:sz w:val="21"/>
                      <w:szCs w:val="21"/>
                      <w:u w:val="none" w:color="auto"/>
                      <w:lang w:bidi="en-US"/>
                    </w:rPr>
                  </w:pPr>
                  <w:r>
                    <w:rPr>
                      <w:rFonts w:hint="eastAsia"/>
                      <w:spacing w:val="11"/>
                      <w:position w:val="0"/>
                      <w:sz w:val="21"/>
                      <w:szCs w:val="21"/>
                      <w:u w:val="none" w:color="auto"/>
                    </w:rPr>
                    <w:t>炸药爆炸后产生的有害气体及粉尘主要对大气环境产生影响，由于本项目使用炸药量较小，爆炸产生的有害气体影响有限，由于是瞬间产生，随时间及空气传播，很快对周围环境影响消失</w:t>
                  </w:r>
                  <w:r>
                    <w:rPr>
                      <w:rFonts w:hint="eastAsia"/>
                      <w:spacing w:val="11"/>
                      <w:position w:val="0"/>
                      <w:sz w:val="21"/>
                      <w:szCs w:val="21"/>
                      <w:u w:val="none" w:color="auto"/>
                      <w:lang w:eastAsia="zh-CN"/>
                    </w:rPr>
                    <w:t>。</w:t>
                  </w:r>
                  <w:r>
                    <w:rPr>
                      <w:rFonts w:hint="eastAsia"/>
                      <w:spacing w:val="11"/>
                      <w:position w:val="0"/>
                      <w:sz w:val="21"/>
                      <w:szCs w:val="21"/>
                      <w:u w:val="none" w:color="auto"/>
                      <w:lang w:val="en-US" w:eastAsia="zh-CN"/>
                    </w:rPr>
                    <w:t>发生火灾事故时，消防水、事故废水通过雨水排放口进入周边水环境，影响其水环境及水生动植物</w:t>
                  </w:r>
                  <w:r>
                    <w:rPr>
                      <w:rFonts w:hint="eastAsia"/>
                      <w:spacing w:val="11"/>
                      <w:position w:val="0"/>
                      <w:sz w:val="21"/>
                      <w:szCs w:val="21"/>
                      <w:u w:val="none" w:color="auto"/>
                    </w:rPr>
                    <w:t>。润滑油、废机油泄漏，会污染水环境和土壤环境。油类物质泄漏造成地面漫流污染周边土壤及水环境，采取泄漏防治措施和应急方案紧急处理后对周边环境影响较小</w:t>
                  </w:r>
                  <w:r>
                    <w:rPr>
                      <w:bCs/>
                      <w:iCs/>
                      <w:spacing w:val="11"/>
                      <w:position w:val="0"/>
                      <w:sz w:val="21"/>
                      <w:szCs w:val="21"/>
                      <w:u w:val="none" w:color="auto"/>
                      <w:lang w:bidi="en-US"/>
                    </w:rPr>
                    <w:t>。</w:t>
                  </w:r>
                </w:p>
              </w:tc>
            </w:tr>
            <w:tr w14:paraId="7BD82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14:paraId="368323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风险防范措施要求</w:t>
                  </w:r>
                </w:p>
              </w:tc>
              <w:tc>
                <w:tcPr>
                  <w:tcW w:w="4090" w:type="pct"/>
                  <w:gridSpan w:val="4"/>
                  <w:tcBorders>
                    <w:tl2br w:val="nil"/>
                    <w:tr2bl w:val="nil"/>
                  </w:tcBorders>
                  <w:noWrap w:val="0"/>
                  <w:vAlign w:val="top"/>
                </w:tcPr>
                <w:p w14:paraId="272D94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①炸药运输及装卸期间，防治炸药遇到明火后发生事故；</w:t>
                  </w:r>
                </w:p>
                <w:p w14:paraId="094BEE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②搬运和储存火工品必须符合有关规定并严禁撞击，摔打火工品；</w:t>
                  </w:r>
                </w:p>
                <w:p w14:paraId="4FE08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③事故状态下，安排专员进行疏散通道，并进行安置；</w:t>
                  </w:r>
                </w:p>
                <w:p w14:paraId="5D1EE5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④炸药运输及装卸前，采用洒水车定期湿润地面，并安排洒水车在采区待命；</w:t>
                  </w:r>
                </w:p>
                <w:p w14:paraId="61F06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⑤润滑油储存区设接液托盘</w:t>
                  </w:r>
                  <w:r>
                    <w:rPr>
                      <w:rFonts w:hint="eastAsia"/>
                      <w:bCs/>
                      <w:spacing w:val="11"/>
                      <w:position w:val="0"/>
                      <w:sz w:val="21"/>
                      <w:szCs w:val="21"/>
                      <w:u w:val="none" w:color="auto"/>
                      <w:lang w:eastAsia="zh-CN" w:bidi="en-US"/>
                    </w:rPr>
                    <w:t>；</w:t>
                  </w:r>
                  <w:r>
                    <w:rPr>
                      <w:rFonts w:hint="eastAsia"/>
                      <w:bCs/>
                      <w:spacing w:val="11"/>
                      <w:position w:val="0"/>
                      <w:sz w:val="21"/>
                      <w:szCs w:val="21"/>
                      <w:u w:val="none" w:color="auto"/>
                      <w:lang w:val="en-US" w:eastAsia="zh-CN" w:bidi="en-US"/>
                    </w:rPr>
                    <w:t>柴油储存区设置围堰</w:t>
                  </w:r>
                  <w:r>
                    <w:rPr>
                      <w:rFonts w:hint="eastAsia"/>
                      <w:bCs/>
                      <w:spacing w:val="11"/>
                      <w:position w:val="0"/>
                      <w:sz w:val="21"/>
                      <w:szCs w:val="21"/>
                      <w:u w:val="none" w:color="auto"/>
                      <w:lang w:bidi="en-US"/>
                    </w:rPr>
                    <w:t>；危废暂存间设接液托盘、应急空桶；应急处置后沾油</w:t>
                  </w:r>
                  <w:r>
                    <w:rPr>
                      <w:spacing w:val="11"/>
                      <w:kern w:val="0"/>
                      <w:position w:val="0"/>
                      <w:sz w:val="21"/>
                      <w:szCs w:val="21"/>
                      <w:u w:val="none" w:color="auto"/>
                    </w:rPr>
                    <w:t>吸油毡或砂土</w:t>
                  </w:r>
                  <w:r>
                    <w:rPr>
                      <w:rFonts w:hint="eastAsia"/>
                      <w:bCs/>
                      <w:spacing w:val="11"/>
                      <w:position w:val="0"/>
                      <w:sz w:val="21"/>
                      <w:szCs w:val="21"/>
                      <w:u w:val="none" w:color="auto"/>
                      <w:lang w:bidi="en-US"/>
                    </w:rPr>
                    <w:t>收集后交由有资部门进行无害化处理与处置；</w:t>
                  </w:r>
                </w:p>
                <w:p w14:paraId="34345E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spacing w:val="11"/>
                      <w:position w:val="0"/>
                      <w:sz w:val="21"/>
                      <w:szCs w:val="21"/>
                      <w:u w:val="none" w:color="auto"/>
                      <w:lang w:bidi="en-US"/>
                    </w:rPr>
                  </w:pPr>
                  <w:r>
                    <w:rPr>
                      <w:rFonts w:hint="eastAsia"/>
                      <w:bCs/>
                      <w:spacing w:val="11"/>
                      <w:position w:val="0"/>
                      <w:sz w:val="21"/>
                      <w:szCs w:val="21"/>
                      <w:u w:val="none" w:color="auto"/>
                      <w:lang w:bidi="en-US"/>
                    </w:rPr>
                    <w:t>⑥</w:t>
                  </w:r>
                  <w:r>
                    <w:rPr>
                      <w:rFonts w:hint="eastAsia"/>
                      <w:spacing w:val="11"/>
                      <w:position w:val="0"/>
                      <w:sz w:val="21"/>
                      <w:szCs w:val="21"/>
                      <w:u w:val="none" w:color="auto"/>
                    </w:rPr>
                    <w:t>建设方在采区周边设截流沟，同时做好安全作业、检查、排水设施</w:t>
                  </w:r>
                  <w:r>
                    <w:rPr>
                      <w:rFonts w:hint="eastAsia"/>
                      <w:bCs/>
                      <w:spacing w:val="11"/>
                      <w:position w:val="0"/>
                      <w:sz w:val="21"/>
                      <w:szCs w:val="21"/>
                      <w:u w:val="none" w:color="auto"/>
                      <w:lang w:bidi="en-US"/>
                    </w:rPr>
                    <w:t>。</w:t>
                  </w:r>
                </w:p>
              </w:tc>
            </w:tr>
            <w:tr w14:paraId="6A993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top"/>
                </w:tcPr>
                <w:p w14:paraId="5BCF3B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iCs/>
                      <w:spacing w:val="11"/>
                      <w:position w:val="0"/>
                      <w:sz w:val="21"/>
                      <w:szCs w:val="21"/>
                      <w:u w:val="none" w:color="auto"/>
                      <w:lang w:bidi="en-US"/>
                    </w:rPr>
                  </w:pPr>
                  <w:r>
                    <w:rPr>
                      <w:bCs/>
                      <w:iCs/>
                      <w:spacing w:val="11"/>
                      <w:position w:val="0"/>
                      <w:sz w:val="21"/>
                      <w:szCs w:val="21"/>
                      <w:u w:val="none" w:color="auto"/>
                      <w:lang w:bidi="en-US"/>
                    </w:rPr>
                    <w:t>填表说明：根据《建设项目环境风险评价技术导则》（HJ169-2018）附录B突发环境事件风险物质及临界量表，本项目环境风险潜势为I，</w:t>
                  </w:r>
                  <w:r>
                    <w:rPr>
                      <w:rFonts w:hint="eastAsia"/>
                      <w:bCs/>
                      <w:iCs/>
                      <w:spacing w:val="11"/>
                      <w:position w:val="0"/>
                      <w:sz w:val="21"/>
                      <w:szCs w:val="21"/>
                      <w:u w:val="none" w:color="auto"/>
                      <w:lang w:bidi="en-US"/>
                    </w:rPr>
                    <w:t>仅</w:t>
                  </w:r>
                  <w:r>
                    <w:rPr>
                      <w:bCs/>
                      <w:iCs/>
                      <w:spacing w:val="11"/>
                      <w:position w:val="0"/>
                      <w:sz w:val="21"/>
                      <w:szCs w:val="21"/>
                      <w:u w:val="none" w:color="auto"/>
                      <w:lang w:bidi="en-US"/>
                    </w:rPr>
                    <w:t>开展简单分析。</w:t>
                  </w:r>
                </w:p>
              </w:tc>
            </w:tr>
          </w:tbl>
          <w:p w14:paraId="3D6FBED8">
            <w:pPr>
              <w:pStyle w:val="71"/>
              <w:keepNext w:val="0"/>
              <w:keepLines w:val="0"/>
              <w:pageBreakBefore w:val="0"/>
              <w:widowControl w:val="0"/>
              <w:tabs>
                <w:tab w:val="left" w:pos="8820"/>
                <w:tab w:val="left" w:pos="9000"/>
                <w:tab w:val="clear" w:pos="0"/>
              </w:tabs>
              <w:kinsoku/>
              <w:wordWrap/>
              <w:overflowPunct/>
              <w:topLinePunct w:val="0"/>
              <w:autoSpaceDE/>
              <w:autoSpaceDN/>
              <w:bidi w:val="0"/>
              <w:adjustRightInd w:val="0"/>
              <w:snapToGrid w:val="0"/>
              <w:spacing w:line="360" w:lineRule="auto"/>
              <w:ind w:left="0" w:leftChars="0" w:right="0" w:rightChars="0" w:firstLine="524" w:firstLineChars="200"/>
              <w:jc w:val="both"/>
              <w:textAlignment w:val="auto"/>
              <w:rPr>
                <w:rFonts w:hint="default" w:ascii="Times New Roman" w:hAnsi="Times New Roman" w:eastAsia="宋体" w:cs="Times New Roman"/>
                <w:bCs/>
                <w:color w:val="auto"/>
                <w:spacing w:val="11"/>
                <w:position w:val="0"/>
                <w:sz w:val="24"/>
                <w:szCs w:val="24"/>
                <w:u w:val="none" w:color="auto"/>
                <w:lang w:val="en-US"/>
              </w:rPr>
            </w:pPr>
          </w:p>
        </w:tc>
      </w:tr>
      <w:tr w14:paraId="324D3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vAlign w:val="center"/>
          </w:tcPr>
          <w:p w14:paraId="61D89D21">
            <w:pPr>
              <w:pStyle w:val="29"/>
              <w:adjustRightInd w:val="0"/>
              <w:snapToGrid w:val="0"/>
              <w:spacing w:before="0" w:beforeAutospacing="0" w:after="0" w:afterAutospacing="0"/>
              <w:jc w:val="center"/>
              <w:rPr>
                <w:rFonts w:hint="default" w:ascii="Times New Roman" w:hAnsi="Times New Roman" w:eastAsia="宋体" w:cs="Times New Roman"/>
                <w:bCs/>
                <w:color w:val="auto"/>
                <w:spacing w:val="11"/>
                <w:kern w:val="2"/>
                <w:position w:val="0"/>
                <w:sz w:val="24"/>
                <w:szCs w:val="24"/>
              </w:rPr>
            </w:pPr>
            <w:r>
              <w:rPr>
                <w:rFonts w:hint="default" w:ascii="Times New Roman" w:hAnsi="Times New Roman" w:eastAsia="宋体" w:cs="Times New Roman"/>
                <w:bCs/>
                <w:color w:val="auto"/>
                <w:spacing w:val="11"/>
                <w:kern w:val="2"/>
                <w:position w:val="0"/>
                <w:sz w:val="24"/>
                <w:szCs w:val="24"/>
              </w:rPr>
              <w:t>选址选线环境合理性分析</w:t>
            </w:r>
          </w:p>
        </w:tc>
        <w:tc>
          <w:tcPr>
            <w:tcW w:w="4533" w:type="pct"/>
            <w:tcBorders>
              <w:tl2br w:val="nil"/>
              <w:tr2bl w:val="nil"/>
            </w:tcBorders>
            <w:noWrap w:val="0"/>
            <w:vAlign w:val="top"/>
          </w:tcPr>
          <w:p w14:paraId="005F267B">
            <w:pPr>
              <w:keepNext w:val="0"/>
              <w:keepLines w:val="0"/>
              <w:pageBreakBefore w:val="0"/>
              <w:widowControl w:val="0"/>
              <w:kinsoku/>
              <w:wordWrap/>
              <w:overflowPunct/>
              <w:topLinePunct w:val="0"/>
              <w:autoSpaceDE/>
              <w:autoSpaceDN/>
              <w:bidi w:val="0"/>
              <w:adjustRightInd w:val="0"/>
              <w:snapToGrid w:val="0"/>
              <w:spacing w:before="157" w:beforeLines="50" w:line="312" w:lineRule="auto"/>
              <w:ind w:firstLine="526" w:firstLineChars="200"/>
              <w:textAlignment w:val="auto"/>
              <w:rPr>
                <w:rFonts w:ascii="Times New Roman" w:hAnsi="Times New Roman" w:eastAsia="宋体" w:cs="Times New Roman"/>
                <w:b/>
                <w:spacing w:val="11"/>
                <w:position w:val="0"/>
                <w:sz w:val="24"/>
                <w:szCs w:val="24"/>
              </w:rPr>
            </w:pPr>
            <w:r>
              <w:rPr>
                <w:rFonts w:hint="eastAsia" w:ascii="Times New Roman" w:hAnsi="Times New Roman" w:eastAsia="宋体" w:cs="Times New Roman"/>
                <w:b/>
                <w:spacing w:val="11"/>
                <w:position w:val="0"/>
                <w:sz w:val="24"/>
                <w:szCs w:val="24"/>
                <w:lang w:val="en-US" w:eastAsia="zh-CN"/>
              </w:rPr>
              <w:t>1、</w:t>
            </w:r>
            <w:r>
              <w:rPr>
                <w:rFonts w:ascii="Times New Roman" w:hAnsi="Times New Roman" w:eastAsia="宋体" w:cs="Times New Roman"/>
                <w:b/>
                <w:spacing w:val="11"/>
                <w:position w:val="0"/>
                <w:sz w:val="24"/>
                <w:szCs w:val="24"/>
              </w:rPr>
              <w:t>项目</w:t>
            </w:r>
            <w:r>
              <w:rPr>
                <w:rFonts w:hint="eastAsia" w:ascii="Times New Roman" w:hAnsi="Times New Roman" w:eastAsia="宋体" w:cs="Times New Roman"/>
                <w:b/>
                <w:spacing w:val="11"/>
                <w:position w:val="0"/>
                <w:sz w:val="24"/>
                <w:szCs w:val="24"/>
                <w:lang w:eastAsia="zh-CN"/>
              </w:rPr>
              <w:t>用地</w:t>
            </w:r>
            <w:r>
              <w:rPr>
                <w:rFonts w:ascii="Times New Roman" w:hAnsi="Times New Roman" w:eastAsia="宋体" w:cs="Times New Roman"/>
                <w:b/>
                <w:spacing w:val="11"/>
                <w:position w:val="0"/>
                <w:sz w:val="24"/>
                <w:szCs w:val="24"/>
              </w:rPr>
              <w:t>选址环境合理性分析</w:t>
            </w:r>
          </w:p>
          <w:p w14:paraId="65D979EE">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kern w:val="0"/>
                <w:position w:val="0"/>
                <w:sz w:val="24"/>
              </w:rPr>
            </w:pPr>
            <w:r>
              <w:rPr>
                <w:rFonts w:hint="eastAsia" w:ascii="Times New Roman" w:hAnsi="Times New Roman" w:eastAsia="宋体" w:cs="Times New Roman"/>
                <w:spacing w:val="11"/>
                <w:position w:val="0"/>
                <w:sz w:val="24"/>
              </w:rPr>
              <w:t>本项目位于湖南省永州市新田县龙泉街道</w:t>
            </w:r>
            <w:r>
              <w:rPr>
                <w:rFonts w:hint="eastAsia" w:ascii="Times New Roman" w:hAnsi="Times New Roman" w:eastAsia="宋体" w:cs="Times New Roman"/>
                <w:spacing w:val="11"/>
                <w:position w:val="0"/>
                <w:sz w:val="24"/>
                <w:lang w:val="en-US" w:eastAsia="zh-CN"/>
              </w:rPr>
              <w:t>周家洞村</w:t>
            </w:r>
            <w:r>
              <w:rPr>
                <w:rFonts w:hint="eastAsia"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lang w:eastAsia="zh-CN"/>
              </w:rPr>
              <w:t>地理</w:t>
            </w:r>
            <w:r>
              <w:rPr>
                <w:rFonts w:hint="eastAsia" w:ascii="Times New Roman" w:hAnsi="Times New Roman" w:eastAsia="宋体" w:cs="Times New Roman"/>
                <w:spacing w:val="11"/>
                <w:position w:val="0"/>
                <w:sz w:val="24"/>
              </w:rPr>
              <w:t>坐标为</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E</w:t>
            </w:r>
            <w:r>
              <w:rPr>
                <w:rFonts w:hint="default" w:ascii="Times New Roman" w:hAnsi="Times New Roman" w:eastAsia="宋体" w:cs="Times New Roman"/>
                <w:color w:val="000000"/>
                <w:spacing w:val="11"/>
                <w:position w:val="0"/>
                <w:sz w:val="24"/>
                <w:szCs w:val="24"/>
                <w:u w:val="none" w:color="auto"/>
              </w:rPr>
              <w:t>112.143229，</w:t>
            </w:r>
            <w:r>
              <w:rPr>
                <w:rFonts w:hint="default" w:ascii="Times New Roman" w:hAnsi="Times New Roman" w:eastAsia="宋体" w:cs="Times New Roman"/>
                <w:color w:val="000000"/>
                <w:spacing w:val="11"/>
                <w:position w:val="0"/>
                <w:sz w:val="24"/>
                <w:szCs w:val="24"/>
                <w:u w:val="none" w:color="auto"/>
                <w:lang w:val="en-US" w:eastAsia="zh-CN"/>
              </w:rPr>
              <w:t>N25.927161</w:t>
            </w:r>
            <w:r>
              <w:rPr>
                <w:rFonts w:hint="default" w:ascii="Times New Roman" w:hAnsi="Times New Roman" w:eastAsia="宋体" w:cs="Times New Roman"/>
                <w:color w:val="000000"/>
                <w:spacing w:val="11"/>
                <w:position w:val="0"/>
                <w:sz w:val="24"/>
                <w:szCs w:val="24"/>
                <w:u w:val="none" w:color="auto"/>
              </w:rPr>
              <w:t>）</w:t>
            </w:r>
            <w:r>
              <w:rPr>
                <w:rFonts w:hint="eastAsia" w:ascii="Times New Roman" w:hAnsi="Times New Roman" w:eastAsia="宋体" w:cs="Times New Roman"/>
                <w:spacing w:val="11"/>
                <w:position w:val="0"/>
                <w:sz w:val="24"/>
              </w:rPr>
              <w:t>。</w:t>
            </w:r>
            <w:r>
              <w:rPr>
                <w:rFonts w:ascii="Times New Roman" w:hAnsi="Times New Roman" w:eastAsia="宋体" w:cs="Times New Roman"/>
                <w:spacing w:val="11"/>
                <w:kern w:val="0"/>
                <w:position w:val="0"/>
                <w:sz w:val="24"/>
              </w:rPr>
              <w:t>按照相关法律规定，禁止在依法划定的饮用水水源保护区、自然保护区（核心区、缓冲区）、风景名胜区、森林公园、重要湖泊周边、文物古迹所在地等区域内采矿；禁止在铁路、国道、省道两侧的直观可视范围内建设采石、采砂生产企业</w:t>
            </w:r>
            <w:r>
              <w:rPr>
                <w:rFonts w:hint="eastAsia" w:ascii="Times New Roman" w:hAnsi="Times New Roman" w:eastAsia="宋体" w:cs="Times New Roman"/>
                <w:spacing w:val="11"/>
                <w:kern w:val="0"/>
                <w:position w:val="0"/>
                <w:sz w:val="24"/>
              </w:rPr>
              <w:t>。</w:t>
            </w:r>
          </w:p>
          <w:p w14:paraId="31905702">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position w:val="0"/>
                <w:sz w:val="24"/>
                <w:highlight w:val="none"/>
              </w:rPr>
            </w:pPr>
            <w:r>
              <w:rPr>
                <w:rFonts w:hint="eastAsia" w:ascii="Times New Roman" w:hAnsi="Times New Roman" w:eastAsia="宋体" w:cs="Times New Roman"/>
                <w:spacing w:val="11"/>
                <w:kern w:val="0"/>
                <w:position w:val="0"/>
                <w:sz w:val="24"/>
                <w:lang w:eastAsia="zh-CN"/>
              </w:rPr>
              <w:t>本</w:t>
            </w:r>
            <w:r>
              <w:rPr>
                <w:rFonts w:hint="eastAsia" w:ascii="Times New Roman" w:hAnsi="Times New Roman" w:eastAsia="宋体" w:cs="Times New Roman"/>
                <w:spacing w:val="11"/>
                <w:position w:val="0"/>
                <w:sz w:val="24"/>
              </w:rPr>
              <w:t>项目已于</w:t>
            </w:r>
            <w:r>
              <w:rPr>
                <w:rFonts w:hint="eastAsia" w:ascii="Times New Roman" w:hAnsi="Times New Roman" w:eastAsia="宋体" w:cs="Times New Roman"/>
                <w:spacing w:val="11"/>
                <w:position w:val="0"/>
                <w:sz w:val="24"/>
                <w:lang w:val="en-US" w:eastAsia="zh-CN"/>
              </w:rPr>
              <w:t>2025年1月13日</w:t>
            </w:r>
            <w:r>
              <w:rPr>
                <w:rFonts w:hint="eastAsia" w:ascii="Times New Roman" w:hAnsi="Times New Roman" w:eastAsia="宋体" w:cs="Times New Roman"/>
                <w:spacing w:val="11"/>
                <w:position w:val="0"/>
                <w:sz w:val="24"/>
              </w:rPr>
              <w:t>取得永州市自然资源和规划局发放的采矿许可证，</w:t>
            </w:r>
            <w:r>
              <w:rPr>
                <w:rFonts w:hint="eastAsia" w:ascii="Times New Roman" w:hAnsi="Times New Roman" w:eastAsia="宋体" w:cs="Times New Roman"/>
                <w:spacing w:val="11"/>
                <w:position w:val="0"/>
                <w:sz w:val="24"/>
                <w:lang w:val="en-US" w:eastAsia="zh-CN"/>
              </w:rPr>
              <w:t>该矿区</w:t>
            </w:r>
            <w:r>
              <w:rPr>
                <w:rFonts w:ascii="Times New Roman" w:hAnsi="Times New Roman" w:eastAsia="宋体" w:cs="Times New Roman"/>
                <w:spacing w:val="11"/>
                <w:position w:val="0"/>
                <w:sz w:val="24"/>
              </w:rPr>
              <w:t>属于</w:t>
            </w:r>
            <w:r>
              <w:rPr>
                <w:rFonts w:ascii="Times New Roman" w:hAnsi="Times New Roman" w:eastAsia="宋体" w:cs="Times New Roman"/>
                <w:spacing w:val="11"/>
                <w:position w:val="0"/>
                <w:sz w:val="24"/>
                <w:shd w:val="clear" w:color="auto" w:fill="FFFFFF"/>
              </w:rPr>
              <w:t>《湖南省普通建筑材料用砂石土矿专项规划（2021~2025年）》、《</w:t>
            </w:r>
            <w:r>
              <w:rPr>
                <w:rFonts w:hint="eastAsia" w:ascii="Times New Roman" w:hAnsi="Times New Roman" w:eastAsia="宋体" w:cs="Times New Roman"/>
                <w:spacing w:val="11"/>
                <w:position w:val="0"/>
                <w:sz w:val="24"/>
                <w:shd w:val="clear" w:color="auto" w:fill="FFFFFF"/>
                <w:lang w:eastAsia="zh-CN"/>
              </w:rPr>
              <w:t>新田</w:t>
            </w:r>
            <w:r>
              <w:rPr>
                <w:rFonts w:ascii="Times New Roman" w:hAnsi="Times New Roman" w:eastAsia="宋体" w:cs="Times New Roman"/>
                <w:spacing w:val="11"/>
                <w:position w:val="0"/>
                <w:sz w:val="24"/>
                <w:shd w:val="clear" w:color="auto" w:fill="FFFFFF"/>
              </w:rPr>
              <w:t>县普通建筑材料用砂石土矿专项规划（2021~2025年）》中允许开采区块</w:t>
            </w:r>
            <w:r>
              <w:rPr>
                <w:rFonts w:hint="eastAsia" w:ascii="Times New Roman" w:hAnsi="Times New Roman" w:eastAsia="宋体" w:cs="Times New Roman"/>
                <w:spacing w:val="11"/>
                <w:position w:val="0"/>
                <w:sz w:val="24"/>
                <w:shd w:val="clear" w:color="auto" w:fill="FFFFFF"/>
              </w:rPr>
              <w:t>。</w:t>
            </w:r>
            <w:r>
              <w:rPr>
                <w:rFonts w:hint="eastAsia" w:ascii="Times New Roman" w:hAnsi="Times New Roman" w:eastAsia="宋体" w:cs="Times New Roman"/>
                <w:spacing w:val="11"/>
                <w:position w:val="0"/>
                <w:sz w:val="24"/>
              </w:rPr>
              <w:t>根据</w:t>
            </w:r>
            <w:r>
              <w:rPr>
                <w:rFonts w:hint="eastAsia" w:ascii="Times New Roman" w:hAnsi="Times New Roman" w:eastAsia="宋体" w:cs="Times New Roman"/>
                <w:spacing w:val="11"/>
                <w:position w:val="0"/>
                <w:sz w:val="24"/>
                <w:lang w:val="en-US" w:eastAsia="zh-CN"/>
              </w:rPr>
              <w:t>2022年10月湖南省国土空间调查监测所</w:t>
            </w:r>
            <w:r>
              <w:rPr>
                <w:rFonts w:hint="eastAsia" w:ascii="Times New Roman" w:hAnsi="Times New Roman" w:eastAsia="宋体" w:cs="Times New Roman"/>
                <w:spacing w:val="11"/>
                <w:position w:val="0"/>
                <w:sz w:val="24"/>
              </w:rPr>
              <w:t>编制提交的《</w:t>
            </w:r>
            <w:r>
              <w:rPr>
                <w:rFonts w:hint="eastAsia" w:ascii="Times New Roman" w:hAnsi="Times New Roman" w:eastAsia="宋体" w:cs="Times New Roman"/>
                <w:spacing w:val="11"/>
                <w:position w:val="0"/>
                <w:sz w:val="24"/>
                <w:lang w:val="en-US" w:eastAsia="zh-CN"/>
              </w:rPr>
              <w:t>湖南省新田县周家洞矿区建筑石料用永采矿权核查评字[2022]010号</w:t>
            </w:r>
            <w:r>
              <w:rPr>
                <w:rFonts w:hint="eastAsia"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lang w:eastAsia="zh-CN"/>
              </w:rPr>
              <w:t>和</w:t>
            </w:r>
            <w:r>
              <w:rPr>
                <w:rFonts w:hint="eastAsia" w:ascii="Times New Roman" w:hAnsi="Times New Roman" w:eastAsia="宋体" w:cs="Times New Roman"/>
                <w:spacing w:val="11"/>
                <w:position w:val="0"/>
                <w:sz w:val="24"/>
                <w:lang w:val="en-US" w:eastAsia="zh-CN"/>
              </w:rPr>
              <w:t>2022年11月</w:t>
            </w:r>
            <w:r>
              <w:rPr>
                <w:rFonts w:hint="eastAsia" w:ascii="Times New Roman" w:hAnsi="Times New Roman" w:eastAsia="宋体" w:cs="Times New Roman"/>
                <w:spacing w:val="11"/>
                <w:position w:val="0"/>
                <w:sz w:val="24"/>
                <w:lang w:eastAsia="zh-CN"/>
              </w:rPr>
              <w:t>湖南省地球物理地球化学调查所提交的《</w:t>
            </w:r>
            <w:r>
              <w:rPr>
                <w:rFonts w:hint="eastAsia" w:ascii="Times New Roman" w:hAnsi="Times New Roman" w:eastAsia="宋体" w:cs="Times New Roman"/>
                <w:spacing w:val="11"/>
                <w:position w:val="0"/>
                <w:sz w:val="24"/>
                <w:lang w:val="en-US" w:eastAsia="zh-CN"/>
              </w:rPr>
              <w:t>湖南省新田县周家洞矿区建筑石料用灰岩矿勘查报告</w:t>
            </w:r>
            <w:r>
              <w:rPr>
                <w:rFonts w:hint="eastAsia" w:ascii="Times New Roman" w:hAnsi="Times New Roman" w:eastAsia="宋体" w:cs="Times New Roman"/>
                <w:spacing w:val="11"/>
                <w:position w:val="0"/>
                <w:sz w:val="24"/>
                <w:lang w:eastAsia="zh-CN"/>
              </w:rPr>
              <w:t>》(</w:t>
            </w:r>
            <w:r>
              <w:rPr>
                <w:rFonts w:hint="eastAsia" w:ascii="Times New Roman" w:hAnsi="Times New Roman" w:eastAsia="宋体" w:cs="Times New Roman"/>
                <w:spacing w:val="11"/>
                <w:position w:val="0"/>
                <w:sz w:val="24"/>
                <w:lang w:val="en-US" w:eastAsia="zh-CN"/>
              </w:rPr>
              <w:t>永自然资储备字[2023]003号</w:t>
            </w:r>
            <w:r>
              <w:rPr>
                <w:rFonts w:hint="eastAsia" w:ascii="Times New Roman" w:hAnsi="Times New Roman" w:eastAsia="宋体" w:cs="Times New Roman"/>
                <w:spacing w:val="11"/>
                <w:position w:val="0"/>
                <w:sz w:val="24"/>
                <w:lang w:eastAsia="zh-CN"/>
              </w:rPr>
              <w:t>)以及</w:t>
            </w:r>
            <w:r>
              <w:rPr>
                <w:rFonts w:hint="default" w:ascii="Times New Roman" w:hAnsi="Times New Roman" w:eastAsia="宋体" w:cs="Times New Roman"/>
                <w:snapToGrid w:val="0"/>
                <w:color w:val="000000"/>
                <w:spacing w:val="11"/>
                <w:kern w:val="0"/>
                <w:position w:val="0"/>
                <w:sz w:val="24"/>
                <w:szCs w:val="24"/>
                <w:u w:val="none" w:color="auto"/>
                <w:lang w:val="en-US" w:eastAsia="zh-CN"/>
              </w:rPr>
              <w:t>永州市自然资源和规划局委托湖南省国土空间调查监测所编制《湖南省新田县周家洞矿区建筑石料用灰岩矿资源开发利用方案》</w:t>
            </w:r>
            <w:r>
              <w:rPr>
                <w:rFonts w:hint="eastAsia" w:ascii="Times New Roman" w:hAnsi="Times New Roman" w:eastAsia="宋体" w:cs="Times New Roman"/>
                <w:spacing w:val="11"/>
                <w:position w:val="0"/>
                <w:sz w:val="24"/>
              </w:rPr>
              <w:t>评审意见书相关</w:t>
            </w:r>
            <w:r>
              <w:rPr>
                <w:rFonts w:hint="eastAsia" w:ascii="Times New Roman" w:hAnsi="Times New Roman" w:eastAsia="宋体" w:cs="Times New Roman"/>
                <w:spacing w:val="11"/>
                <w:position w:val="0"/>
                <w:sz w:val="24"/>
                <w:highlight w:val="none"/>
              </w:rPr>
              <w:t>内容（</w:t>
            </w:r>
            <w:r>
              <w:rPr>
                <w:rFonts w:hint="eastAsia" w:ascii="Times New Roman" w:hAnsi="Times New Roman" w:eastAsia="宋体" w:cs="Times New Roman"/>
                <w:spacing w:val="11"/>
                <w:position w:val="0"/>
                <w:sz w:val="24"/>
                <w:highlight w:val="none"/>
                <w:lang w:eastAsia="zh-CN"/>
              </w:rPr>
              <w:t>具体</w:t>
            </w:r>
            <w:r>
              <w:rPr>
                <w:rFonts w:hint="eastAsia" w:ascii="Times New Roman" w:hAnsi="Times New Roman" w:eastAsia="宋体" w:cs="Times New Roman"/>
                <w:spacing w:val="11"/>
                <w:position w:val="0"/>
                <w:sz w:val="24"/>
                <w:highlight w:val="none"/>
              </w:rPr>
              <w:t>详见附件）</w:t>
            </w:r>
            <w:r>
              <w:rPr>
                <w:rFonts w:ascii="Times New Roman" w:hAnsi="Times New Roman" w:eastAsia="宋体" w:cs="Times New Roman"/>
                <w:spacing w:val="11"/>
                <w:position w:val="0"/>
                <w:sz w:val="24"/>
                <w:highlight w:val="none"/>
              </w:rPr>
              <w:t>，</w:t>
            </w:r>
            <w:r>
              <w:rPr>
                <w:rFonts w:hint="eastAsia" w:ascii="Times New Roman" w:hAnsi="Times New Roman" w:eastAsia="宋体" w:cs="Times New Roman"/>
                <w:spacing w:val="11"/>
                <w:position w:val="0"/>
                <w:sz w:val="24"/>
                <w:highlight w:val="none"/>
                <w:lang w:eastAsia="zh-CN"/>
              </w:rPr>
              <w:t>本项目</w:t>
            </w:r>
            <w:r>
              <w:rPr>
                <w:rFonts w:ascii="Times New Roman" w:hAnsi="Times New Roman" w:eastAsia="宋体" w:cs="Times New Roman"/>
                <w:spacing w:val="11"/>
                <w:position w:val="0"/>
                <w:sz w:val="24"/>
                <w:highlight w:val="none"/>
              </w:rPr>
              <w:t>采矿权范围未涉及</w:t>
            </w:r>
            <w:r>
              <w:rPr>
                <w:rFonts w:hint="eastAsia" w:ascii="Times New Roman" w:hAnsi="Times New Roman" w:eastAsia="宋体" w:cs="Times New Roman"/>
                <w:spacing w:val="11"/>
                <w:position w:val="0"/>
                <w:sz w:val="24"/>
                <w:highlight w:val="none"/>
              </w:rPr>
              <w:t>限制</w:t>
            </w:r>
            <w:r>
              <w:rPr>
                <w:rFonts w:ascii="Times New Roman" w:hAnsi="Times New Roman" w:eastAsia="宋体" w:cs="Times New Roman"/>
                <w:spacing w:val="11"/>
                <w:position w:val="0"/>
                <w:sz w:val="24"/>
                <w:highlight w:val="none"/>
              </w:rPr>
              <w:t>开采区、</w:t>
            </w:r>
            <w:r>
              <w:rPr>
                <w:rFonts w:hint="eastAsia" w:ascii="Times New Roman" w:hAnsi="Times New Roman" w:eastAsia="宋体" w:cs="Times New Roman"/>
                <w:spacing w:val="11"/>
                <w:position w:val="0"/>
                <w:sz w:val="24"/>
                <w:highlight w:val="none"/>
              </w:rPr>
              <w:t>“三线一单”禁止范围、不</w:t>
            </w:r>
            <w:r>
              <w:rPr>
                <w:rFonts w:hint="eastAsia" w:ascii="Times New Roman" w:hAnsi="Times New Roman" w:eastAsia="宋体" w:cs="Times New Roman"/>
                <w:spacing w:val="11"/>
                <w:position w:val="0"/>
                <w:sz w:val="24"/>
              </w:rPr>
              <w:t>在城乡建设和国家重大工程建设规划区、不涉及禁止、限制性矿种和国家总量调控矿种等情况。采矿区与生态保护红线和各类自然保护地不重叠，地表主要为林地，根据</w:t>
            </w:r>
            <w:r>
              <w:rPr>
                <w:rFonts w:hint="eastAsia" w:ascii="Times New Roman" w:hAnsi="Times New Roman" w:eastAsia="宋体" w:cs="Times New Roman"/>
                <w:spacing w:val="11"/>
                <w:position w:val="0"/>
                <w:sz w:val="24"/>
                <w:lang w:eastAsia="zh-CN"/>
              </w:rPr>
              <w:t>新田县</w:t>
            </w:r>
            <w:r>
              <w:rPr>
                <w:rFonts w:hint="eastAsia" w:ascii="Times New Roman" w:hAnsi="Times New Roman" w:eastAsia="宋体" w:cs="Times New Roman"/>
                <w:spacing w:val="11"/>
                <w:position w:val="0"/>
                <w:sz w:val="24"/>
                <w:lang w:val="en-US" w:eastAsia="zh-CN"/>
              </w:rPr>
              <w:t>自然资源</w:t>
            </w:r>
            <w:r>
              <w:rPr>
                <w:rFonts w:hint="eastAsia" w:ascii="Times New Roman" w:hAnsi="Times New Roman" w:eastAsia="宋体" w:cs="Times New Roman"/>
                <w:spacing w:val="11"/>
                <w:position w:val="0"/>
                <w:sz w:val="24"/>
                <w:lang w:eastAsia="zh-CN"/>
              </w:rPr>
              <w:t>局</w:t>
            </w:r>
            <w:r>
              <w:rPr>
                <w:rFonts w:hint="eastAsia" w:ascii="Times New Roman" w:hAnsi="Times New Roman" w:eastAsia="宋体" w:cs="Times New Roman"/>
                <w:spacing w:val="11"/>
                <w:position w:val="0"/>
                <w:sz w:val="24"/>
              </w:rPr>
              <w:t>202</w:t>
            </w:r>
            <w:r>
              <w:rPr>
                <w:rFonts w:hint="eastAsia" w:ascii="Times New Roman" w:hAnsi="Times New Roman" w:eastAsia="宋体" w:cs="Times New Roman"/>
                <w:spacing w:val="11"/>
                <w:position w:val="0"/>
                <w:sz w:val="24"/>
                <w:lang w:val="en-US" w:eastAsia="zh-CN"/>
              </w:rPr>
              <w:t>4</w:t>
            </w:r>
            <w:r>
              <w:rPr>
                <w:rFonts w:hint="eastAsia" w:ascii="Times New Roman" w:hAnsi="Times New Roman" w:eastAsia="宋体" w:cs="Times New Roman"/>
                <w:spacing w:val="11"/>
                <w:position w:val="0"/>
                <w:sz w:val="24"/>
              </w:rPr>
              <w:t>年</w:t>
            </w:r>
            <w:r>
              <w:rPr>
                <w:rFonts w:hint="eastAsia" w:ascii="Times New Roman" w:hAnsi="Times New Roman" w:eastAsia="宋体" w:cs="Times New Roman"/>
                <w:spacing w:val="11"/>
                <w:position w:val="0"/>
                <w:sz w:val="24"/>
                <w:lang w:val="en-US" w:eastAsia="zh-CN"/>
              </w:rPr>
              <w:t>4</w:t>
            </w:r>
            <w:r>
              <w:rPr>
                <w:rFonts w:hint="eastAsia" w:ascii="Times New Roman" w:hAnsi="Times New Roman" w:eastAsia="宋体" w:cs="Times New Roman"/>
                <w:spacing w:val="11"/>
                <w:position w:val="0"/>
                <w:sz w:val="24"/>
              </w:rPr>
              <w:t>月</w:t>
            </w:r>
            <w:r>
              <w:rPr>
                <w:rFonts w:hint="eastAsia" w:ascii="Times New Roman" w:hAnsi="Times New Roman" w:eastAsia="宋体" w:cs="Times New Roman"/>
                <w:spacing w:val="11"/>
                <w:position w:val="0"/>
                <w:sz w:val="24"/>
                <w:lang w:val="en-US" w:eastAsia="zh-CN"/>
              </w:rPr>
              <w:t>3</w:t>
            </w:r>
            <w:r>
              <w:rPr>
                <w:rFonts w:hint="eastAsia" w:ascii="Times New Roman" w:hAnsi="Times New Roman" w:eastAsia="宋体" w:cs="Times New Roman"/>
                <w:spacing w:val="11"/>
                <w:position w:val="0"/>
                <w:sz w:val="24"/>
              </w:rPr>
              <w:t>日出</w:t>
            </w:r>
            <w:r>
              <w:rPr>
                <w:rFonts w:hint="eastAsia" w:ascii="Times New Roman" w:hAnsi="Times New Roman" w:eastAsia="宋体" w:cs="Times New Roman"/>
                <w:spacing w:val="11"/>
                <w:position w:val="0"/>
                <w:sz w:val="24"/>
                <w:highlight w:val="none"/>
              </w:rPr>
              <w:t>具的</w:t>
            </w:r>
            <w:r>
              <w:rPr>
                <w:rFonts w:hint="eastAsia" w:ascii="Times New Roman" w:hAnsi="Times New Roman" w:eastAsia="宋体" w:cs="Times New Roman"/>
                <w:spacing w:val="11"/>
                <w:position w:val="0"/>
                <w:sz w:val="24"/>
                <w:highlight w:val="none"/>
                <w:lang w:eastAsia="zh-CN"/>
              </w:rPr>
              <w:t>《关于新田县周家洞矿区建筑石料用灰岩矿土地使用方案的审查意见》（详见附件）</w:t>
            </w:r>
            <w:r>
              <w:rPr>
                <w:rFonts w:hint="eastAsia" w:ascii="Times New Roman" w:hAnsi="Times New Roman" w:eastAsia="宋体" w:cs="Times New Roman"/>
                <w:spacing w:val="11"/>
                <w:position w:val="0"/>
                <w:sz w:val="24"/>
                <w:highlight w:val="none"/>
              </w:rPr>
              <w:t>，</w:t>
            </w:r>
            <w:r>
              <w:rPr>
                <w:rFonts w:hint="eastAsia" w:ascii="Times New Roman" w:hAnsi="Times New Roman" w:eastAsia="宋体" w:cs="Times New Roman"/>
                <w:spacing w:val="11"/>
                <w:position w:val="0"/>
                <w:sz w:val="24"/>
                <w:highlight w:val="none"/>
                <w:lang w:eastAsia="zh-CN"/>
              </w:rPr>
              <w:t>原则同意新田县周家洞矿区建筑石料用灰岩矿土地使用方案</w:t>
            </w:r>
            <w:r>
              <w:rPr>
                <w:rFonts w:hint="eastAsia" w:ascii="Times New Roman" w:hAnsi="Times New Roman" w:eastAsia="宋体" w:cs="Times New Roman"/>
                <w:spacing w:val="11"/>
                <w:position w:val="0"/>
                <w:sz w:val="24"/>
                <w:highlight w:val="none"/>
              </w:rPr>
              <w:t>。</w:t>
            </w:r>
          </w:p>
          <w:p w14:paraId="60FDD604">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因此，本项目选址合理。</w:t>
            </w:r>
          </w:p>
          <w:p w14:paraId="14A2E329">
            <w:pPr>
              <w:keepNext w:val="0"/>
              <w:keepLines w:val="0"/>
              <w:pageBreakBefore w:val="0"/>
              <w:widowControl w:val="0"/>
              <w:kinsoku/>
              <w:wordWrap/>
              <w:overflowPunct/>
              <w:topLinePunct w:val="0"/>
              <w:autoSpaceDE/>
              <w:autoSpaceDN/>
              <w:bidi w:val="0"/>
              <w:adjustRightInd w:val="0"/>
              <w:snapToGrid w:val="0"/>
              <w:spacing w:line="312" w:lineRule="auto"/>
              <w:ind w:firstLine="526" w:firstLineChars="200"/>
              <w:textAlignment w:val="auto"/>
              <w:outlineLvl w:val="2"/>
              <w:rPr>
                <w:rFonts w:ascii="Times New Roman" w:hAnsi="Times New Roman" w:eastAsia="宋体" w:cs="Times New Roman"/>
                <w:b/>
                <w:spacing w:val="11"/>
                <w:position w:val="0"/>
                <w:sz w:val="24"/>
                <w:szCs w:val="24"/>
              </w:rPr>
            </w:pPr>
            <w:r>
              <w:rPr>
                <w:rFonts w:hint="eastAsia" w:ascii="Times New Roman" w:hAnsi="Times New Roman" w:eastAsia="宋体" w:cs="Times New Roman"/>
                <w:b/>
                <w:spacing w:val="11"/>
                <w:position w:val="0"/>
                <w:sz w:val="24"/>
                <w:szCs w:val="24"/>
                <w:lang w:val="en-US" w:eastAsia="zh-CN"/>
              </w:rPr>
              <w:t>2、</w:t>
            </w:r>
            <w:r>
              <w:rPr>
                <w:rFonts w:hint="eastAsia" w:cs="Times New Roman"/>
                <w:b/>
                <w:spacing w:val="11"/>
                <w:position w:val="0"/>
                <w:sz w:val="24"/>
                <w:szCs w:val="24"/>
                <w:lang w:val="en-US" w:eastAsia="zh-CN"/>
              </w:rPr>
              <w:t>临时堆土场</w:t>
            </w:r>
            <w:r>
              <w:rPr>
                <w:rFonts w:ascii="Times New Roman" w:hAnsi="Times New Roman" w:eastAsia="宋体" w:cs="Times New Roman"/>
                <w:b/>
                <w:spacing w:val="11"/>
                <w:position w:val="0"/>
                <w:sz w:val="24"/>
                <w:szCs w:val="24"/>
              </w:rPr>
              <w:t>选址合理性分析</w:t>
            </w:r>
          </w:p>
          <w:p w14:paraId="7828327E">
            <w:pPr>
              <w:keepNext w:val="0"/>
              <w:keepLines w:val="0"/>
              <w:pageBreakBefore w:val="0"/>
              <w:widowControl w:val="0"/>
              <w:kinsoku/>
              <w:wordWrap/>
              <w:overflowPunct/>
              <w:topLinePunct w:val="0"/>
              <w:autoSpaceDE/>
              <w:autoSpaceDN/>
              <w:bidi w:val="0"/>
              <w:snapToGrid w:val="0"/>
              <w:spacing w:line="312" w:lineRule="auto"/>
              <w:ind w:firstLine="522"/>
              <w:textAlignment w:val="auto"/>
              <w:rPr>
                <w:rFonts w:ascii="Times New Roman" w:hAnsi="Times New Roman" w:eastAsia="宋体" w:cs="Times New Roman"/>
                <w:spacing w:val="11"/>
                <w:kern w:val="0"/>
                <w:position w:val="0"/>
                <w:sz w:val="24"/>
                <w:szCs w:val="24"/>
                <w:lang w:val="zh-CN"/>
              </w:rPr>
            </w:pPr>
            <w:r>
              <w:rPr>
                <w:rFonts w:hint="eastAsia" w:ascii="Times New Roman" w:hAnsi="Times New Roman" w:eastAsia="宋体" w:cs="Times New Roman"/>
                <w:spacing w:val="11"/>
                <w:kern w:val="0"/>
                <w:position w:val="0"/>
                <w:sz w:val="24"/>
                <w:szCs w:val="24"/>
                <w:lang w:val="zh-CN"/>
              </w:rPr>
              <w:t>本项目在矿区</w:t>
            </w:r>
            <w:r>
              <w:rPr>
                <w:rFonts w:hint="eastAsia" w:cs="Times New Roman"/>
                <w:spacing w:val="11"/>
                <w:kern w:val="0"/>
                <w:position w:val="0"/>
                <w:sz w:val="24"/>
                <w:szCs w:val="24"/>
                <w:lang w:val="en-US" w:eastAsia="zh-CN"/>
              </w:rPr>
              <w:t>东</w:t>
            </w:r>
            <w:r>
              <w:rPr>
                <w:rFonts w:hint="eastAsia" w:ascii="Times New Roman" w:hAnsi="Times New Roman" w:eastAsia="宋体" w:cs="Times New Roman"/>
                <w:spacing w:val="11"/>
                <w:kern w:val="0"/>
                <w:position w:val="0"/>
                <w:sz w:val="24"/>
                <w:szCs w:val="24"/>
                <w:lang w:val="zh-CN"/>
              </w:rPr>
              <w:t>侧</w:t>
            </w:r>
            <w:r>
              <w:rPr>
                <w:rFonts w:hint="eastAsia" w:ascii="Times New Roman" w:hAnsi="Times New Roman" w:eastAsia="宋体" w:cs="Times New Roman"/>
                <w:spacing w:val="11"/>
                <w:kern w:val="0"/>
                <w:position w:val="0"/>
                <w:sz w:val="24"/>
                <w:szCs w:val="24"/>
                <w:lang w:val="en-US" w:eastAsia="zh-CN"/>
              </w:rPr>
              <w:t>设置</w:t>
            </w:r>
            <w:r>
              <w:rPr>
                <w:rFonts w:hint="eastAsia" w:ascii="Times New Roman" w:hAnsi="Times New Roman" w:eastAsia="宋体" w:cs="Times New Roman"/>
                <w:spacing w:val="11"/>
                <w:kern w:val="0"/>
                <w:position w:val="0"/>
                <w:sz w:val="24"/>
                <w:szCs w:val="24"/>
                <w:lang w:val="zh-CN" w:eastAsia="zh-CN"/>
              </w:rPr>
              <w:t>临时堆土场</w:t>
            </w:r>
            <w:r>
              <w:rPr>
                <w:rFonts w:hint="eastAsia" w:ascii="Times New Roman" w:hAnsi="Times New Roman" w:eastAsia="宋体" w:cs="Times New Roman"/>
                <w:spacing w:val="11"/>
                <w:kern w:val="0"/>
                <w:position w:val="0"/>
                <w:sz w:val="24"/>
                <w:szCs w:val="24"/>
                <w:lang w:val="zh-CN"/>
              </w:rPr>
              <w:t>。本项目采用边开采边生态恢复的方式，</w:t>
            </w:r>
            <w:r>
              <w:rPr>
                <w:rFonts w:hint="eastAsia" w:ascii="Times New Roman" w:hAnsi="Times New Roman" w:eastAsia="宋体" w:cs="Times New Roman"/>
                <w:spacing w:val="11"/>
                <w:kern w:val="0"/>
                <w:position w:val="0"/>
                <w:sz w:val="24"/>
                <w:szCs w:val="24"/>
                <w:lang w:val="zh-CN" w:eastAsia="zh-CN"/>
              </w:rPr>
              <w:t>临时堆土场</w:t>
            </w:r>
            <w:r>
              <w:rPr>
                <w:rFonts w:hint="eastAsia" w:ascii="Times New Roman" w:hAnsi="Times New Roman" w:eastAsia="宋体" w:cs="Times New Roman"/>
                <w:spacing w:val="11"/>
                <w:kern w:val="0"/>
                <w:position w:val="0"/>
                <w:sz w:val="24"/>
                <w:szCs w:val="24"/>
                <w:lang w:val="zh-CN"/>
              </w:rPr>
              <w:t>满足周转需求。</w:t>
            </w:r>
            <w:r>
              <w:rPr>
                <w:rFonts w:hint="eastAsia" w:ascii="Times New Roman" w:hAnsi="Times New Roman" w:eastAsia="宋体" w:cs="Times New Roman"/>
                <w:spacing w:val="11"/>
                <w:kern w:val="0"/>
                <w:position w:val="0"/>
                <w:sz w:val="24"/>
                <w:szCs w:val="24"/>
                <w:lang w:val="zh-CN" w:eastAsia="zh-CN"/>
              </w:rPr>
              <w:t>临时堆土场</w:t>
            </w:r>
            <w:r>
              <w:rPr>
                <w:rFonts w:ascii="Times New Roman" w:hAnsi="Times New Roman" w:eastAsia="宋体" w:cs="Times New Roman"/>
                <w:spacing w:val="11"/>
                <w:kern w:val="0"/>
                <w:position w:val="0"/>
                <w:sz w:val="24"/>
                <w:szCs w:val="24"/>
                <w:lang w:val="zh-CN"/>
              </w:rPr>
              <w:t>占地范围内无保护动植物，周边200m范围内无集中居民点分布；</w:t>
            </w:r>
            <w:r>
              <w:rPr>
                <w:rFonts w:hint="eastAsia" w:ascii="Times New Roman" w:hAnsi="Times New Roman" w:eastAsia="宋体" w:cs="Times New Roman"/>
                <w:spacing w:val="11"/>
                <w:kern w:val="0"/>
                <w:position w:val="0"/>
                <w:sz w:val="24"/>
                <w:szCs w:val="24"/>
                <w:lang w:val="zh-CN"/>
              </w:rPr>
              <w:t>临空区设置有挡墙</w:t>
            </w:r>
            <w:r>
              <w:rPr>
                <w:rFonts w:ascii="Times New Roman" w:hAnsi="Times New Roman" w:eastAsia="宋体" w:cs="Times New Roman"/>
                <w:spacing w:val="11"/>
                <w:kern w:val="0"/>
                <w:position w:val="0"/>
                <w:sz w:val="24"/>
                <w:szCs w:val="24"/>
                <w:lang w:val="zh-CN"/>
              </w:rPr>
              <w:t>，且堆土边坡角不大于1:1.5，</w:t>
            </w:r>
            <w:r>
              <w:rPr>
                <w:rFonts w:hint="eastAsia" w:ascii="Times New Roman" w:hAnsi="Times New Roman" w:eastAsia="宋体" w:cs="Times New Roman"/>
                <w:spacing w:val="11"/>
                <w:kern w:val="0"/>
                <w:position w:val="0"/>
                <w:sz w:val="24"/>
                <w:szCs w:val="24"/>
                <w:lang w:val="zh-CN"/>
              </w:rPr>
              <w:t>保障了堆体稳定。</w:t>
            </w:r>
            <w:r>
              <w:rPr>
                <w:rFonts w:ascii="Times New Roman" w:hAnsi="Times New Roman" w:eastAsia="宋体" w:cs="Times New Roman"/>
                <w:spacing w:val="11"/>
                <w:kern w:val="0"/>
                <w:position w:val="0"/>
                <w:sz w:val="24"/>
                <w:szCs w:val="24"/>
                <w:lang w:val="zh-CN"/>
              </w:rPr>
              <w:t>故从环保角度考虑，</w:t>
            </w:r>
            <w:r>
              <w:rPr>
                <w:rFonts w:hint="eastAsia" w:ascii="Times New Roman" w:hAnsi="Times New Roman" w:eastAsia="宋体" w:cs="Times New Roman"/>
                <w:spacing w:val="11"/>
                <w:kern w:val="0"/>
                <w:position w:val="0"/>
                <w:sz w:val="24"/>
                <w:szCs w:val="24"/>
                <w:lang w:val="zh-CN" w:eastAsia="zh-CN"/>
              </w:rPr>
              <w:t>排土场</w:t>
            </w:r>
            <w:r>
              <w:rPr>
                <w:rFonts w:ascii="Times New Roman" w:hAnsi="Times New Roman" w:eastAsia="宋体" w:cs="Times New Roman"/>
                <w:spacing w:val="11"/>
                <w:kern w:val="0"/>
                <w:position w:val="0"/>
                <w:sz w:val="24"/>
                <w:szCs w:val="24"/>
                <w:lang w:val="zh-CN"/>
              </w:rPr>
              <w:t>的选址总体可行。</w:t>
            </w:r>
          </w:p>
          <w:p w14:paraId="12751B14">
            <w:pPr>
              <w:keepNext w:val="0"/>
              <w:keepLines w:val="0"/>
              <w:pageBreakBefore w:val="0"/>
              <w:widowControl w:val="0"/>
              <w:kinsoku/>
              <w:wordWrap/>
              <w:overflowPunct/>
              <w:topLinePunct w:val="0"/>
              <w:autoSpaceDE/>
              <w:autoSpaceDN/>
              <w:bidi w:val="0"/>
              <w:snapToGrid w:val="0"/>
              <w:spacing w:line="312" w:lineRule="auto"/>
              <w:ind w:firstLine="522"/>
              <w:textAlignment w:val="auto"/>
              <w:rPr>
                <w:rFonts w:ascii="Times New Roman" w:hAnsi="Times New Roman" w:eastAsia="宋体" w:cs="Times New Roman"/>
                <w:spacing w:val="11"/>
                <w:kern w:val="0"/>
                <w:position w:val="0"/>
                <w:sz w:val="24"/>
                <w:szCs w:val="24"/>
              </w:rPr>
            </w:pPr>
            <w:r>
              <w:rPr>
                <w:rFonts w:ascii="Times New Roman" w:hAnsi="Times New Roman" w:eastAsia="宋体" w:cs="Times New Roman"/>
                <w:spacing w:val="11"/>
                <w:kern w:val="0"/>
                <w:position w:val="0"/>
                <w:sz w:val="24"/>
                <w:szCs w:val="24"/>
              </w:rPr>
              <w:t>项目</w:t>
            </w:r>
            <w:r>
              <w:rPr>
                <w:rFonts w:hint="eastAsia" w:ascii="Times New Roman" w:hAnsi="Times New Roman" w:eastAsia="宋体" w:cs="Times New Roman"/>
                <w:spacing w:val="11"/>
                <w:kern w:val="0"/>
                <w:position w:val="0"/>
                <w:sz w:val="24"/>
                <w:szCs w:val="24"/>
                <w:lang w:val="en-US" w:eastAsia="zh-CN"/>
              </w:rPr>
              <w:t>临时堆土场</w:t>
            </w:r>
            <w:r>
              <w:rPr>
                <w:rFonts w:ascii="Times New Roman" w:hAnsi="Times New Roman" w:eastAsia="宋体" w:cs="Times New Roman"/>
                <w:spacing w:val="11"/>
                <w:kern w:val="0"/>
                <w:position w:val="0"/>
                <w:sz w:val="24"/>
                <w:szCs w:val="24"/>
              </w:rPr>
              <w:t>为临时用地，在项目闭坑后，暂存的表土或弃渣将</w:t>
            </w:r>
            <w:r>
              <w:rPr>
                <w:rFonts w:hint="eastAsia" w:cs="Times New Roman"/>
                <w:spacing w:val="11"/>
                <w:kern w:val="0"/>
                <w:position w:val="0"/>
                <w:sz w:val="24"/>
                <w:szCs w:val="24"/>
                <w:lang w:val="en-US" w:eastAsia="zh-CN"/>
              </w:rPr>
              <w:t>进行</w:t>
            </w:r>
            <w:r>
              <w:rPr>
                <w:rFonts w:ascii="Times New Roman" w:hAnsi="Times New Roman" w:eastAsia="宋体" w:cs="Times New Roman"/>
                <w:spacing w:val="11"/>
                <w:kern w:val="0"/>
                <w:position w:val="0"/>
                <w:sz w:val="24"/>
                <w:szCs w:val="24"/>
              </w:rPr>
              <w:t>回用，并统筹进行复耕或覆绿措施</w:t>
            </w:r>
            <w:r>
              <w:rPr>
                <w:rFonts w:hint="eastAsia" w:ascii="Times New Roman" w:hAnsi="Times New Roman" w:eastAsia="宋体" w:cs="Times New Roman"/>
                <w:spacing w:val="11"/>
                <w:kern w:val="0"/>
                <w:position w:val="0"/>
                <w:sz w:val="24"/>
                <w:szCs w:val="24"/>
                <w:lang w:val="en-US" w:eastAsia="zh-CN"/>
              </w:rPr>
              <w:t>，回填后剩余的余方拖运至新田县龙兴环保建材有限公司用于生产及建筑利用使用</w:t>
            </w:r>
            <w:r>
              <w:rPr>
                <w:rFonts w:ascii="Times New Roman" w:hAnsi="Times New Roman" w:eastAsia="宋体" w:cs="Times New Roman"/>
                <w:spacing w:val="11"/>
                <w:kern w:val="0"/>
                <w:position w:val="0"/>
                <w:sz w:val="24"/>
                <w:szCs w:val="24"/>
              </w:rPr>
              <w:t>，运营期带来的不利影响可以慢慢消除，综上，本项目</w:t>
            </w:r>
            <w:r>
              <w:rPr>
                <w:rFonts w:hint="eastAsia" w:ascii="Times New Roman" w:hAnsi="Times New Roman" w:eastAsia="宋体" w:cs="Times New Roman"/>
                <w:spacing w:val="11"/>
                <w:kern w:val="0"/>
                <w:position w:val="0"/>
                <w:sz w:val="24"/>
                <w:szCs w:val="24"/>
                <w:lang w:val="en-US" w:eastAsia="zh-CN"/>
              </w:rPr>
              <w:t>排土场</w:t>
            </w:r>
            <w:r>
              <w:rPr>
                <w:rFonts w:ascii="Times New Roman" w:hAnsi="Times New Roman" w:eastAsia="宋体" w:cs="Times New Roman"/>
                <w:spacing w:val="11"/>
                <w:kern w:val="0"/>
                <w:position w:val="0"/>
                <w:sz w:val="24"/>
                <w:szCs w:val="24"/>
              </w:rPr>
              <w:t>选址合理。</w:t>
            </w:r>
          </w:p>
          <w:p w14:paraId="6F30D216">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default" w:ascii="Times New Roman" w:hAnsi="Times New Roman" w:eastAsia="宋体" w:cs="Times New Roman"/>
                <w:bCs/>
                <w:color w:val="auto"/>
                <w:spacing w:val="11"/>
                <w:position w:val="0"/>
                <w:sz w:val="24"/>
                <w:szCs w:val="24"/>
                <w:lang w:val="en-US"/>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拟建项目属于</w:t>
            </w:r>
            <w:r>
              <w:rPr>
                <w:rFonts w:hint="default" w:ascii="Times New Roman" w:hAnsi="Times New Roman" w:eastAsia="宋体" w:cs="Times New Roman"/>
                <w:color w:val="000000"/>
                <w:spacing w:val="11"/>
                <w:position w:val="0"/>
                <w:sz w:val="24"/>
                <w:szCs w:val="24"/>
                <w:highlight w:val="none"/>
                <w:u w:val="none" w:color="auto"/>
                <w:lang w:val="en-US" w:eastAsia="zh-CN"/>
              </w:rPr>
              <w:t>建筑石料用灰岩开采项目</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r>
              <w:rPr>
                <w:rFonts w:hint="default" w:ascii="Times New Roman" w:hAnsi="Times New Roman" w:eastAsia="宋体" w:cs="Times New Roman"/>
                <w:color w:val="000000"/>
                <w:spacing w:val="11"/>
                <w:position w:val="0"/>
                <w:sz w:val="24"/>
                <w:szCs w:val="24"/>
                <w:highlight w:val="none"/>
                <w:u w:val="none" w:color="auto"/>
                <w:lang w:val="en-US" w:eastAsia="zh-CN"/>
              </w:rPr>
              <w:t>位于湖南省永州市新田县龙泉街道周家洞村</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（详见附图1），通过</w:t>
            </w:r>
            <w:r>
              <w:rPr>
                <w:rFonts w:hint="eastAsia" w:ascii="Times New Roman" w:hAnsi="Times New Roman" w:eastAsia="宋体" w:cs="Times New Roman"/>
                <w:b w:val="0"/>
                <w:bCs w:val="0"/>
                <w:color w:val="000000"/>
                <w:spacing w:val="11"/>
                <w:position w:val="0"/>
                <w:sz w:val="24"/>
                <w:szCs w:val="24"/>
                <w:highlight w:val="none"/>
                <w:u w:val="none" w:color="auto"/>
                <w:lang w:val="en-US" w:eastAsia="zh-CN"/>
              </w:rPr>
              <w:t>现场踏勘</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项目所在区域电、水资源丰富，区域道路设施较为完善，项目所在区域空气、水、声环境良好，项目用地不占用基本农田，项目周边3km以内无风景旅游区以及水源保护区。本项目在新田县矿产资源开发利用规划范围内，故项目用地满足规划要求。结合区域环境质量现状监测结果，项目所在区域空气质量良好，项目区域还具有较大的环境容量，项目选址无环境制约因素，选址合理。</w:t>
            </w:r>
            <w:r>
              <w:rPr>
                <w:rFonts w:hint="eastAsia" w:ascii="Times New Roman" w:hAnsi="Times New Roman" w:eastAsia="宋体" w:cs="Times New Roman"/>
                <w:b w:val="0"/>
                <w:bCs w:val="0"/>
                <w:color w:val="000000"/>
                <w:spacing w:val="11"/>
                <w:position w:val="0"/>
                <w:sz w:val="24"/>
                <w:szCs w:val="24"/>
                <w:highlight w:val="none"/>
                <w:u w:val="none" w:color="auto"/>
                <w:lang w:val="en-US" w:eastAsia="zh-CN"/>
              </w:rPr>
              <w:t xml:space="preserve"> </w:t>
            </w:r>
          </w:p>
        </w:tc>
      </w:tr>
    </w:tbl>
    <w:p w14:paraId="598A6D81">
      <w:pPr>
        <w:rPr>
          <w:rFonts w:hint="default" w:ascii="Times New Roman" w:hAnsi="Times New Roman" w:eastAsia="宋体" w:cs="Times New Roman"/>
          <w:b/>
          <w:bCs/>
          <w:snapToGrid w:val="0"/>
          <w:color w:val="auto"/>
          <w:spacing w:val="11"/>
          <w:position w:val="0"/>
          <w:sz w:val="30"/>
          <w:szCs w:val="30"/>
        </w:rPr>
      </w:pPr>
      <w:bookmarkStart w:id="12" w:name="_Toc25265"/>
      <w:r>
        <w:rPr>
          <w:rFonts w:hint="default" w:ascii="Times New Roman" w:hAnsi="Times New Roman" w:eastAsia="宋体" w:cs="Times New Roman"/>
          <w:b/>
          <w:bCs/>
          <w:snapToGrid w:val="0"/>
          <w:color w:val="auto"/>
          <w:spacing w:val="11"/>
          <w:position w:val="0"/>
          <w:sz w:val="30"/>
          <w:szCs w:val="30"/>
        </w:rPr>
        <w:br w:type="page"/>
      </w:r>
    </w:p>
    <w:p w14:paraId="01B8D6D3">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b/>
          <w:bCs/>
          <w:snapToGrid w:val="0"/>
          <w:color w:val="auto"/>
          <w:spacing w:val="11"/>
          <w:position w:val="0"/>
          <w:sz w:val="30"/>
          <w:szCs w:val="30"/>
        </w:rPr>
        <w:t>五、主要生态环境保护措施</w:t>
      </w:r>
      <w:bookmarkEnd w:id="12"/>
    </w:p>
    <w:tbl>
      <w:tblPr>
        <w:tblStyle w:val="33"/>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206"/>
      </w:tblGrid>
      <w:tr w14:paraId="36EE0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850" w:type="dxa"/>
            <w:tcBorders>
              <w:tl2br w:val="nil"/>
              <w:tr2bl w:val="nil"/>
            </w:tcBorders>
            <w:noWrap w:val="0"/>
            <w:tcMar>
              <w:left w:w="28" w:type="dxa"/>
              <w:right w:w="28" w:type="dxa"/>
            </w:tcMar>
            <w:vAlign w:val="center"/>
          </w:tcPr>
          <w:p w14:paraId="3C885B1B">
            <w:pPr>
              <w:pageBreakBefore w:val="0"/>
              <w:widowControl w:val="0"/>
              <w:kinsoku/>
              <w:wordWrap/>
              <w:overflowPunct/>
              <w:topLinePunct w:val="0"/>
              <w:autoSpaceDE/>
              <w:bidi w:val="0"/>
              <w:adjustRightInd w:val="0"/>
              <w:snapToGrid w:val="0"/>
              <w:spacing w:line="360" w:lineRule="auto"/>
              <w:ind w:leftChars="0"/>
              <w:jc w:val="center"/>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bCs/>
                <w:color w:val="000000"/>
                <w:spacing w:val="11"/>
                <w:position w:val="0"/>
                <w:sz w:val="24"/>
                <w:szCs w:val="24"/>
                <w:u w:val="none" w:color="auto"/>
              </w:rPr>
              <w:t>施工期生态环境保护措施</w:t>
            </w:r>
          </w:p>
        </w:tc>
        <w:tc>
          <w:tcPr>
            <w:tcW w:w="8164" w:type="dxa"/>
            <w:tcBorders>
              <w:tl2br w:val="nil"/>
              <w:tr2bl w:val="nil"/>
            </w:tcBorders>
            <w:noWrap w:val="0"/>
            <w:vAlign w:val="top"/>
          </w:tcPr>
          <w:p w14:paraId="7FA7783D">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526" w:firstLineChars="200"/>
              <w:jc w:val="left"/>
              <w:textAlignment w:val="auto"/>
              <w:rPr>
                <w:b/>
                <w:spacing w:val="11"/>
                <w:position w:val="0"/>
                <w:sz w:val="24"/>
              </w:rPr>
            </w:pPr>
            <w:r>
              <w:rPr>
                <w:rFonts w:hint="eastAsia"/>
                <w:b/>
                <w:spacing w:val="11"/>
                <w:position w:val="0"/>
                <w:sz w:val="24"/>
              </w:rPr>
              <w:t>1、施工期生态保护措施</w:t>
            </w:r>
          </w:p>
          <w:p w14:paraId="0A11EAC6">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w:t>
            </w:r>
            <w:r>
              <w:rPr>
                <w:rFonts w:hint="eastAsia"/>
                <w:spacing w:val="11"/>
                <w:position w:val="0"/>
              </w:rPr>
              <w:t>1</w:t>
            </w:r>
            <w:r>
              <w:rPr>
                <w:spacing w:val="11"/>
                <w:position w:val="0"/>
              </w:rPr>
              <w:t>）植被破坏</w:t>
            </w:r>
          </w:p>
          <w:p w14:paraId="5145603A">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rFonts w:hint="eastAsia"/>
                <w:spacing w:val="11"/>
                <w:position w:val="0"/>
              </w:rPr>
              <w:t>对矿区内的现有植被，能保留的尽量保留，对于必须破坏的地段，在施工期或结束后，能恢复的地段及时恢复，尽量减少绿地面积的破坏和减少</w:t>
            </w:r>
            <w:r>
              <w:rPr>
                <w:spacing w:val="11"/>
                <w:position w:val="0"/>
              </w:rPr>
              <w:t>；</w:t>
            </w:r>
            <w:r>
              <w:rPr>
                <w:rFonts w:hint="eastAsia"/>
                <w:spacing w:val="11"/>
                <w:position w:val="0"/>
              </w:rPr>
              <w:t>保护和利用好表层的熟化土壤，施工前把表层的熟化土壤集中起来；待施工扰动结束后，再覆土于新塑地貌区，以利于植被恢复；项目在施工过程中应设置隔离带，以保护施工区外植被，防止施工区外植被遭到破坏。</w:t>
            </w:r>
          </w:p>
          <w:p w14:paraId="351CD160">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w:t>
            </w:r>
            <w:r>
              <w:rPr>
                <w:rFonts w:hint="eastAsia"/>
                <w:spacing w:val="11"/>
                <w:position w:val="0"/>
              </w:rPr>
              <w:t>2</w:t>
            </w:r>
            <w:r>
              <w:rPr>
                <w:spacing w:val="11"/>
                <w:position w:val="0"/>
              </w:rPr>
              <w:t>）野生动物保护措施</w:t>
            </w:r>
          </w:p>
          <w:p w14:paraId="5B5807B1">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严格控制施工临时占地区域，严禁破坏施工区外动物生境；</w:t>
            </w:r>
            <w:r>
              <w:rPr>
                <w:rFonts w:hint="eastAsia"/>
                <w:spacing w:val="11"/>
                <w:position w:val="0"/>
              </w:rPr>
              <w:t>加强对施工人员的宣传教育和管理禁止滥捕乱猎，保护野生动物。</w:t>
            </w:r>
          </w:p>
          <w:p w14:paraId="234FE1A4">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spacing w:val="11"/>
                <w:position w:val="0"/>
                <w:sz w:val="24"/>
              </w:rPr>
              <w:t>（</w:t>
            </w:r>
            <w:r>
              <w:rPr>
                <w:rFonts w:hint="eastAsia"/>
                <w:spacing w:val="11"/>
                <w:position w:val="0"/>
                <w:sz w:val="24"/>
              </w:rPr>
              <w:t>3</w:t>
            </w:r>
            <w:r>
              <w:rPr>
                <w:spacing w:val="11"/>
                <w:position w:val="0"/>
                <w:sz w:val="24"/>
              </w:rPr>
              <w:t>）</w:t>
            </w:r>
            <w:r>
              <w:rPr>
                <w:rFonts w:hint="eastAsia"/>
                <w:spacing w:val="11"/>
                <w:position w:val="0"/>
                <w:sz w:val="24"/>
              </w:rPr>
              <w:t>水土流失</w:t>
            </w:r>
            <w:r>
              <w:rPr>
                <w:spacing w:val="11"/>
                <w:position w:val="0"/>
                <w:sz w:val="24"/>
              </w:rPr>
              <w:t>保护措施</w:t>
            </w:r>
          </w:p>
          <w:p w14:paraId="6BC124DE">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rFonts w:hAnsi="宋体"/>
                <w:spacing w:val="11"/>
                <w:position w:val="0"/>
                <w:sz w:val="24"/>
              </w:rPr>
              <w:t>水土流失缓解措施：</w:t>
            </w:r>
          </w:p>
          <w:p w14:paraId="526F8D6E">
            <w:pPr>
              <w:pStyle w:val="15"/>
              <w:pageBreakBefore w:val="0"/>
              <w:widowControl w:val="0"/>
              <w:kinsoku/>
              <w:wordWrap/>
              <w:overflowPunct/>
              <w:topLinePunct w:val="0"/>
              <w:autoSpaceDE/>
              <w:bidi w:val="0"/>
              <w:adjustRightInd w:val="0"/>
              <w:snapToGrid w:val="0"/>
              <w:spacing w:after="0" w:line="360" w:lineRule="auto"/>
              <w:ind w:left="0" w:leftChars="0" w:firstLine="524" w:firstLineChars="200"/>
              <w:rPr>
                <w:spacing w:val="11"/>
                <w:position w:val="0"/>
                <w:sz w:val="24"/>
              </w:rPr>
            </w:pPr>
            <w:r>
              <w:rPr>
                <w:spacing w:val="11"/>
                <w:position w:val="0"/>
                <w:sz w:val="24"/>
              </w:rPr>
              <w:t>1）施工单位应随时与气象部门联系，事先了解降雨时间和特点，以便采取适当的防护措施，施工开挖阶段尽量避开雨季，施工结束后，尽快对矿区道路</w:t>
            </w:r>
            <w:r>
              <w:rPr>
                <w:rFonts w:hint="eastAsia"/>
                <w:spacing w:val="11"/>
                <w:position w:val="0"/>
                <w:sz w:val="24"/>
                <w:lang w:eastAsia="zh-CN"/>
              </w:rPr>
              <w:t>、</w:t>
            </w:r>
            <w:r>
              <w:rPr>
                <w:rFonts w:hint="eastAsia"/>
                <w:spacing w:val="11"/>
                <w:position w:val="0"/>
                <w:sz w:val="24"/>
                <w:lang w:val="en-US" w:eastAsia="zh-CN"/>
              </w:rPr>
              <w:t>临时堆土场</w:t>
            </w:r>
            <w:r>
              <w:rPr>
                <w:spacing w:val="11"/>
                <w:position w:val="0"/>
                <w:sz w:val="24"/>
              </w:rPr>
              <w:t>进行压实；</w:t>
            </w:r>
          </w:p>
          <w:p w14:paraId="5399C31D">
            <w:pPr>
              <w:pageBreakBefore w:val="0"/>
              <w:widowControl w:val="0"/>
              <w:kinsoku/>
              <w:wordWrap/>
              <w:overflowPunct/>
              <w:topLinePunct w:val="0"/>
              <w:autoSpaceDE/>
              <w:bidi w:val="0"/>
              <w:adjustRightInd w:val="0"/>
              <w:snapToGrid w:val="0"/>
              <w:spacing w:line="360" w:lineRule="auto"/>
              <w:ind w:left="0" w:leftChars="0" w:firstLine="524" w:firstLineChars="200"/>
              <w:jc w:val="left"/>
              <w:rPr>
                <w:spacing w:val="11"/>
                <w:position w:val="0"/>
                <w:sz w:val="24"/>
              </w:rPr>
            </w:pPr>
            <w:r>
              <w:rPr>
                <w:spacing w:val="11"/>
                <w:position w:val="0"/>
                <w:sz w:val="24"/>
              </w:rPr>
              <w:t>2）当暴雨来临时应使用一些防护物进行覆盖，同时设置沉沙池，这两项措施同时实施的效果</w:t>
            </w:r>
            <w:r>
              <w:rPr>
                <w:rFonts w:hint="eastAsia"/>
                <w:spacing w:val="11"/>
                <w:position w:val="0"/>
                <w:sz w:val="24"/>
              </w:rPr>
              <w:t>更</w:t>
            </w:r>
            <w:r>
              <w:rPr>
                <w:spacing w:val="11"/>
                <w:position w:val="0"/>
                <w:sz w:val="24"/>
              </w:rPr>
              <w:t>好。</w:t>
            </w:r>
          </w:p>
          <w:p w14:paraId="5DD4BA4B">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spacing w:val="11"/>
                <w:position w:val="0"/>
                <w:sz w:val="24"/>
              </w:rPr>
              <w:t>3）原料堆棚设土工布围栏，以减少建材随雨水流失造成的环境影响。</w:t>
            </w:r>
          </w:p>
          <w:p w14:paraId="01579D49">
            <w:pPr>
              <w:pStyle w:val="23"/>
              <w:pageBreakBefore w:val="0"/>
              <w:widowControl w:val="0"/>
              <w:kinsoku/>
              <w:wordWrap/>
              <w:overflowPunct/>
              <w:topLinePunct w:val="0"/>
              <w:autoSpaceDE/>
              <w:bidi w:val="0"/>
              <w:adjustRightInd w:val="0"/>
              <w:snapToGrid w:val="0"/>
              <w:spacing w:after="0" w:line="360" w:lineRule="auto"/>
              <w:ind w:left="0" w:leftChars="0" w:firstLine="524" w:firstLineChars="200"/>
              <w:rPr>
                <w:rFonts w:eastAsia="宋体"/>
                <w:spacing w:val="11"/>
                <w:position w:val="0"/>
                <w:sz w:val="24"/>
              </w:rPr>
            </w:pPr>
            <w:r>
              <w:rPr>
                <w:rFonts w:eastAsia="宋体"/>
                <w:spacing w:val="11"/>
                <w:position w:val="0"/>
                <w:sz w:val="24"/>
              </w:rPr>
              <w:t>4）地面开挖后尽可能降低地面坡度，除去易于侵蚀的土垄背。</w:t>
            </w:r>
          </w:p>
          <w:p w14:paraId="0CDE447C">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spacing w:val="11"/>
                <w:position w:val="0"/>
                <w:sz w:val="24"/>
              </w:rPr>
              <w:t>5）合理安排工期，尽量避开雨季弃土。降雨时，对裸露地面覆盖薄膜，避免雨水对地面的直接冲刷。</w:t>
            </w:r>
          </w:p>
          <w:p w14:paraId="23289FC4">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bCs/>
                <w:spacing w:val="11"/>
                <w:position w:val="0"/>
                <w:sz w:val="24"/>
              </w:rPr>
            </w:pPr>
            <w:r>
              <w:rPr>
                <w:bCs/>
                <w:spacing w:val="11"/>
                <w:position w:val="0"/>
                <w:sz w:val="24"/>
              </w:rPr>
              <w:t>6）做到文明施工，施工前应结合建设工程弃土量进行施工，预先将选址区域表层植被、表土剥离，合理处置表层植被，表土进行压实处理。</w:t>
            </w:r>
          </w:p>
          <w:p w14:paraId="10331337">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bCs/>
                <w:spacing w:val="11"/>
                <w:position w:val="0"/>
                <w:sz w:val="24"/>
              </w:rPr>
            </w:pPr>
            <w:r>
              <w:rPr>
                <w:bCs/>
                <w:spacing w:val="11"/>
                <w:position w:val="0"/>
                <w:sz w:val="24"/>
              </w:rPr>
              <w:t>7）施工过程中，保证工程质量和落实设计的重要内容，把水土保持作为单项工程监理的一项重要内容，保证水土保持施工质量。</w:t>
            </w:r>
          </w:p>
          <w:p w14:paraId="1F83FEC3">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bCs/>
                <w:spacing w:val="11"/>
                <w:position w:val="0"/>
              </w:rPr>
            </w:pPr>
            <w:r>
              <w:rPr>
                <w:bCs/>
                <w:spacing w:val="11"/>
                <w:position w:val="0"/>
              </w:rPr>
              <w:t>8）在场地内设置导流沟渠，防止场地四周冲沟的产生，雨水收集沉淀处理达标后排放，严禁初期雨水直接排入周边地表水体。</w:t>
            </w:r>
          </w:p>
          <w:p w14:paraId="6FE48110">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left"/>
              <w:rPr>
                <w:bCs/>
                <w:spacing w:val="11"/>
                <w:position w:val="0"/>
                <w:sz w:val="24"/>
                <w:lang w:val="en-US"/>
              </w:rPr>
            </w:pPr>
            <w:r>
              <w:rPr>
                <w:b/>
                <w:spacing w:val="11"/>
                <w:position w:val="0"/>
                <w:sz w:val="24"/>
              </w:rPr>
              <w:t>2、施工期</w:t>
            </w:r>
            <w:r>
              <w:rPr>
                <w:b/>
                <w:bCs/>
                <w:spacing w:val="11"/>
                <w:position w:val="0"/>
                <w:sz w:val="24"/>
              </w:rPr>
              <w:t>废气防治措施</w:t>
            </w:r>
          </w:p>
          <w:p w14:paraId="0C7198BC">
            <w:pPr>
              <w:pStyle w:val="64"/>
              <w:pageBreakBefore w:val="0"/>
              <w:widowControl w:val="0"/>
              <w:kinsoku/>
              <w:wordWrap/>
              <w:overflowPunct/>
              <w:topLinePunct w:val="0"/>
              <w:autoSpaceDE/>
              <w:bidi w:val="0"/>
              <w:adjustRightInd w:val="0"/>
              <w:snapToGrid w:val="0"/>
              <w:spacing w:line="360" w:lineRule="auto"/>
              <w:ind w:left="0" w:leftChars="0" w:firstLine="524" w:firstLineChars="200"/>
              <w:jc w:val="left"/>
              <w:rPr>
                <w:bCs/>
                <w:spacing w:val="11"/>
                <w:position w:val="0"/>
                <w:sz w:val="24"/>
                <w:lang w:val="en-US"/>
              </w:rPr>
            </w:pPr>
            <w:r>
              <w:rPr>
                <w:spacing w:val="11"/>
                <w:position w:val="0"/>
                <w:sz w:val="24"/>
              </w:rPr>
              <w:t>施工期环境</w:t>
            </w:r>
            <w:r>
              <w:rPr>
                <w:rFonts w:hint="eastAsia"/>
                <w:spacing w:val="11"/>
                <w:position w:val="0"/>
                <w:sz w:val="24"/>
              </w:rPr>
              <w:t>大气</w:t>
            </w:r>
            <w:r>
              <w:rPr>
                <w:spacing w:val="11"/>
                <w:position w:val="0"/>
                <w:sz w:val="24"/>
              </w:rPr>
              <w:t>污染物主要有施工车辆和燃油施工机械排放的尾气、</w:t>
            </w:r>
            <w:r>
              <w:rPr>
                <w:rFonts w:hint="eastAsia"/>
                <w:spacing w:val="11"/>
                <w:position w:val="0"/>
                <w:sz w:val="24"/>
              </w:rPr>
              <w:t>施工</w:t>
            </w:r>
            <w:r>
              <w:rPr>
                <w:spacing w:val="11"/>
                <w:position w:val="0"/>
                <w:sz w:val="24"/>
              </w:rPr>
              <w:t>扬尘</w:t>
            </w:r>
            <w:r>
              <w:rPr>
                <w:rFonts w:hint="eastAsia"/>
                <w:spacing w:val="11"/>
                <w:position w:val="0"/>
                <w:sz w:val="24"/>
              </w:rPr>
              <w:t>。为减轻施工期大气污染物的污染程度和影响范围，环评建议采取如下防治措施：</w:t>
            </w:r>
          </w:p>
          <w:p w14:paraId="65AC4DEB">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rFonts w:hAnsi="宋体"/>
                <w:spacing w:val="11"/>
                <w:position w:val="0"/>
                <w:sz w:val="24"/>
              </w:rPr>
              <w:t>（</w:t>
            </w:r>
            <w:r>
              <w:rPr>
                <w:spacing w:val="11"/>
                <w:position w:val="0"/>
                <w:sz w:val="24"/>
              </w:rPr>
              <w:t>1</w:t>
            </w:r>
            <w:r>
              <w:rPr>
                <w:rFonts w:hAnsi="宋体"/>
                <w:spacing w:val="11"/>
                <w:position w:val="0"/>
                <w:sz w:val="24"/>
              </w:rPr>
              <w:t>）车辆尾气</w:t>
            </w:r>
          </w:p>
          <w:p w14:paraId="5355FAC2">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①选择经车辆检测机构检测综合性能、尾气排放达标的车辆及作业设备，防止机械设备带病运行。</w:t>
            </w:r>
          </w:p>
          <w:p w14:paraId="5DFEBF46">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②机械设备能源应选择轻质柴油、汽油等清洁能源。</w:t>
            </w:r>
          </w:p>
          <w:p w14:paraId="6A0303CB">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③选择气象扩散条件较好的天气进行施工作业，重污染天气情况下严禁施工</w:t>
            </w:r>
            <w:r>
              <w:rPr>
                <w:rFonts w:hAnsi="宋体"/>
                <w:spacing w:val="11"/>
                <w:position w:val="0"/>
                <w:sz w:val="24"/>
              </w:rPr>
              <w:t>。</w:t>
            </w:r>
          </w:p>
          <w:p w14:paraId="52DEA1E8">
            <w:pPr>
              <w:pageBreakBefore w:val="0"/>
              <w:widowControl w:val="0"/>
              <w:kinsoku/>
              <w:wordWrap/>
              <w:overflowPunct/>
              <w:topLinePunct w:val="0"/>
              <w:autoSpaceDE/>
              <w:bidi w:val="0"/>
              <w:adjustRightInd w:val="0"/>
              <w:snapToGrid w:val="0"/>
              <w:spacing w:line="360" w:lineRule="auto"/>
              <w:ind w:left="0" w:leftChars="0" w:firstLine="524" w:firstLineChars="200"/>
              <w:rPr>
                <w:spacing w:val="11"/>
                <w:kern w:val="0"/>
                <w:position w:val="0"/>
                <w:sz w:val="24"/>
              </w:rPr>
            </w:pPr>
            <w:r>
              <w:rPr>
                <w:rFonts w:hAnsi="宋体"/>
                <w:spacing w:val="11"/>
                <w:position w:val="0"/>
                <w:sz w:val="24"/>
              </w:rPr>
              <w:t>（</w:t>
            </w:r>
            <w:r>
              <w:rPr>
                <w:spacing w:val="11"/>
                <w:position w:val="0"/>
                <w:sz w:val="24"/>
              </w:rPr>
              <w:t>2</w:t>
            </w:r>
            <w:r>
              <w:rPr>
                <w:rFonts w:hAnsi="宋体"/>
                <w:spacing w:val="11"/>
                <w:position w:val="0"/>
                <w:sz w:val="24"/>
              </w:rPr>
              <w:t>）扬尘</w:t>
            </w:r>
          </w:p>
          <w:p w14:paraId="69DB7317">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position w:val="0"/>
                <w:sz w:val="24"/>
              </w:rPr>
            </w:pPr>
            <w:r>
              <w:rPr>
                <w:rFonts w:hint="eastAsia"/>
                <w:spacing w:val="11"/>
                <w:position w:val="0"/>
                <w:sz w:val="24"/>
              </w:rPr>
              <w:t>①项目对进行表土剥离以及沉淀池开挖基础作业时，应经常洒水使作业面土壤保持较高的湿度；对施工场地内裸露的地面，也应经常洒水防止扬尘。</w:t>
            </w:r>
          </w:p>
          <w:p w14:paraId="682CB543">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position w:val="0"/>
                <w:sz w:val="24"/>
              </w:rPr>
            </w:pPr>
            <w:r>
              <w:rPr>
                <w:rFonts w:hint="eastAsia"/>
                <w:spacing w:val="11"/>
                <w:position w:val="0"/>
                <w:sz w:val="24"/>
              </w:rPr>
              <w:t>②施工场地产生的土方应及时</w:t>
            </w:r>
            <w:r>
              <w:rPr>
                <w:rFonts w:hint="eastAsia"/>
                <w:spacing w:val="11"/>
                <w:position w:val="0"/>
                <w:sz w:val="24"/>
                <w:lang w:val="en-US" w:eastAsia="zh-CN"/>
              </w:rPr>
              <w:t>清运至临时堆土场并进行回填</w:t>
            </w:r>
            <w:r>
              <w:rPr>
                <w:rFonts w:hint="eastAsia"/>
                <w:spacing w:val="11"/>
                <w:position w:val="0"/>
                <w:sz w:val="24"/>
              </w:rPr>
              <w:t>，并注意随时压实、</w:t>
            </w:r>
            <w:r>
              <w:rPr>
                <w:rFonts w:hint="eastAsia"/>
                <w:spacing w:val="11"/>
                <w:position w:val="0"/>
                <w:sz w:val="24"/>
                <w:lang w:val="en-US" w:eastAsia="zh-CN"/>
              </w:rPr>
              <w:t>洒</w:t>
            </w:r>
            <w:r>
              <w:rPr>
                <w:rFonts w:hint="eastAsia"/>
                <w:spacing w:val="11"/>
                <w:position w:val="0"/>
                <w:sz w:val="24"/>
              </w:rPr>
              <w:t>水防止扬尘。</w:t>
            </w:r>
          </w:p>
          <w:p w14:paraId="48A45B6F">
            <w:pPr>
              <w:pStyle w:val="66"/>
              <w:pageBreakBefore w:val="0"/>
              <w:widowControl w:val="0"/>
              <w:kinsoku/>
              <w:wordWrap/>
              <w:overflowPunct/>
              <w:topLinePunct w:val="0"/>
              <w:autoSpaceDE/>
              <w:bidi w:val="0"/>
              <w:adjustRightInd w:val="0"/>
              <w:snapToGrid w:val="0"/>
              <w:spacing w:line="360" w:lineRule="auto"/>
              <w:ind w:left="0" w:leftChars="0" w:firstLine="524" w:firstLineChars="200"/>
              <w:rPr>
                <w:rFonts w:hAnsi="Times New Roman"/>
                <w:spacing w:val="11"/>
                <w:position w:val="0"/>
                <w:sz w:val="24"/>
              </w:rPr>
            </w:pPr>
            <w:r>
              <w:rPr>
                <w:rFonts w:hint="eastAsia"/>
                <w:spacing w:val="11"/>
                <w:position w:val="0"/>
                <w:sz w:val="24"/>
              </w:rPr>
              <w:t>③运输过程中散落在路面上的泥土要及时清扫，以减少运行过程中的扬尘</w:t>
            </w:r>
            <w:r>
              <w:rPr>
                <w:spacing w:val="11"/>
                <w:position w:val="0"/>
                <w:sz w:val="24"/>
              </w:rPr>
              <w:t>。</w:t>
            </w:r>
          </w:p>
          <w:p w14:paraId="5CC35439">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spacing w:val="11"/>
                <w:position w:val="0"/>
                <w:sz w:val="24"/>
              </w:rPr>
              <w:t>④根据</w:t>
            </w:r>
            <w:r>
              <w:rPr>
                <w:rFonts w:hint="eastAsia"/>
                <w:spacing w:val="11"/>
                <w:position w:val="0"/>
                <w:sz w:val="24"/>
                <w:lang w:eastAsia="zh-CN"/>
              </w:rPr>
              <w:t>永州</w:t>
            </w:r>
            <w:r>
              <w:rPr>
                <w:rFonts w:hint="eastAsia"/>
                <w:spacing w:val="11"/>
                <w:position w:val="0"/>
                <w:sz w:val="24"/>
              </w:rPr>
              <w:t>市“蓝天保卫战”要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14:paraId="55F9627E">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Ansi="宋体"/>
                <w:spacing w:val="11"/>
                <w:position w:val="0"/>
                <w:sz w:val="24"/>
              </w:rPr>
              <w:t>通过加强施工管理，采取以上措施后，可大幅度降低施工造成的大气污染</w:t>
            </w:r>
            <w:r>
              <w:rPr>
                <w:rFonts w:hint="eastAsia" w:ascii="宋体" w:hAnsi="宋体" w:cs="宋体"/>
                <w:spacing w:val="11"/>
                <w:position w:val="0"/>
                <w:sz w:val="24"/>
              </w:rPr>
              <w:t>，上述均为常用措施且效果明显，施工场界废气污染均可达标排放，措施合理可行</w:t>
            </w:r>
            <w:r>
              <w:rPr>
                <w:rFonts w:hAnsi="宋体"/>
                <w:spacing w:val="11"/>
                <w:position w:val="0"/>
                <w:sz w:val="24"/>
              </w:rPr>
              <w:t>。</w:t>
            </w:r>
          </w:p>
          <w:p w14:paraId="6976892E">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6" w:firstLineChars="200"/>
              <w:rPr>
                <w:rFonts w:hint="eastAsia" w:hAnsi="宋体"/>
                <w:spacing w:val="11"/>
                <w:position w:val="0"/>
                <w:sz w:val="24"/>
                <w:szCs w:val="24"/>
              </w:rPr>
            </w:pPr>
            <w:r>
              <w:rPr>
                <w:rFonts w:hint="eastAsia"/>
                <w:spacing w:val="11"/>
                <w:position w:val="0"/>
                <w:sz w:val="24"/>
                <w:szCs w:val="24"/>
              </w:rPr>
              <w:t>3</w:t>
            </w:r>
            <w:r>
              <w:rPr>
                <w:rFonts w:hAnsi="宋体"/>
                <w:spacing w:val="11"/>
                <w:position w:val="0"/>
                <w:sz w:val="24"/>
                <w:szCs w:val="24"/>
              </w:rPr>
              <w:t>、施工期废水防治措施</w:t>
            </w:r>
          </w:p>
          <w:p w14:paraId="0B621957">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napToGrid w:val="0"/>
                <w:spacing w:val="11"/>
                <w:kern w:val="0"/>
                <w:position w:val="0"/>
                <w:sz w:val="24"/>
              </w:rPr>
            </w:pPr>
            <w:r>
              <w:rPr>
                <w:rFonts w:hint="eastAsia"/>
                <w:snapToGrid w:val="0"/>
                <w:spacing w:val="11"/>
                <w:kern w:val="0"/>
                <w:position w:val="0"/>
                <w:sz w:val="24"/>
              </w:rPr>
              <w:t>本项目</w:t>
            </w:r>
            <w:r>
              <w:rPr>
                <w:snapToGrid w:val="0"/>
                <w:spacing w:val="11"/>
                <w:kern w:val="0"/>
                <w:position w:val="0"/>
                <w:sz w:val="24"/>
              </w:rPr>
              <w:t>施工期废水主要来自</w:t>
            </w:r>
            <w:r>
              <w:rPr>
                <w:rFonts w:hint="eastAsia"/>
                <w:snapToGrid w:val="0"/>
                <w:spacing w:val="11"/>
                <w:kern w:val="0"/>
                <w:position w:val="0"/>
                <w:sz w:val="24"/>
              </w:rPr>
              <w:t>于</w:t>
            </w:r>
            <w:r>
              <w:rPr>
                <w:snapToGrid w:val="0"/>
                <w:spacing w:val="11"/>
                <w:kern w:val="0"/>
                <w:position w:val="0"/>
                <w:sz w:val="24"/>
              </w:rPr>
              <w:t>车辆冲洗水及施工人员生活污水。</w:t>
            </w:r>
            <w:r>
              <w:rPr>
                <w:rFonts w:hAnsi="宋体"/>
                <w:spacing w:val="11"/>
                <w:position w:val="0"/>
                <w:sz w:val="24"/>
              </w:rPr>
              <w:t>施工人员生活污水</w:t>
            </w:r>
            <w:r>
              <w:rPr>
                <w:rFonts w:hint="eastAsia" w:hAnsi="宋体"/>
                <w:spacing w:val="11"/>
                <w:position w:val="0"/>
                <w:sz w:val="24"/>
              </w:rPr>
              <w:t>依托化粪池处理后用于周边农田菜地浇灌用肥；</w:t>
            </w:r>
            <w:r>
              <w:rPr>
                <w:rFonts w:hAnsi="宋体"/>
                <w:spacing w:val="11"/>
                <w:position w:val="0"/>
                <w:sz w:val="24"/>
              </w:rPr>
              <w:t>施工机械、车辆冲洗废水含</w:t>
            </w:r>
            <w:r>
              <w:rPr>
                <w:spacing w:val="11"/>
                <w:position w:val="0"/>
                <w:sz w:val="24"/>
              </w:rPr>
              <w:t>SS</w:t>
            </w:r>
            <w:r>
              <w:rPr>
                <w:rFonts w:hAnsi="宋体"/>
                <w:spacing w:val="11"/>
                <w:position w:val="0"/>
                <w:sz w:val="24"/>
              </w:rPr>
              <w:t>和少量石油类，</w:t>
            </w:r>
            <w:r>
              <w:rPr>
                <w:rFonts w:hint="eastAsia"/>
                <w:spacing w:val="11"/>
                <w:position w:val="0"/>
                <w:sz w:val="24"/>
              </w:rPr>
              <w:t>经冲洗平台旁的截留沟收集至沉淀池进行沉淀处理后回用于</w:t>
            </w:r>
            <w:r>
              <w:rPr>
                <w:rFonts w:hint="eastAsia"/>
                <w:spacing w:val="11"/>
                <w:position w:val="0"/>
                <w:sz w:val="24"/>
                <w:lang w:val="en-US" w:eastAsia="zh-CN"/>
              </w:rPr>
              <w:t>生产</w:t>
            </w:r>
            <w:r>
              <w:rPr>
                <w:rFonts w:hint="eastAsia"/>
                <w:spacing w:val="11"/>
                <w:position w:val="0"/>
                <w:sz w:val="24"/>
              </w:rPr>
              <w:t>。</w:t>
            </w:r>
          </w:p>
          <w:p w14:paraId="66D5EB4E">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4" w:firstLineChars="200"/>
              <w:rPr>
                <w:rFonts w:hint="eastAsia"/>
                <w:b w:val="0"/>
                <w:spacing w:val="11"/>
                <w:position w:val="0"/>
                <w:sz w:val="21"/>
                <w:szCs w:val="21"/>
              </w:rPr>
            </w:pPr>
            <w:r>
              <w:rPr>
                <w:rFonts w:ascii="宋体" w:hAnsi="宋体"/>
                <w:b w:val="0"/>
                <w:spacing w:val="11"/>
                <w:position w:val="0"/>
                <w:sz w:val="24"/>
                <w:szCs w:val="24"/>
              </w:rPr>
              <w:t>施工期废水</w:t>
            </w:r>
            <w:r>
              <w:rPr>
                <w:rFonts w:hint="eastAsia" w:ascii="宋体" w:hAnsi="宋体"/>
                <w:b w:val="0"/>
                <w:spacing w:val="11"/>
                <w:position w:val="0"/>
                <w:sz w:val="24"/>
                <w:szCs w:val="24"/>
              </w:rPr>
              <w:t>及雨水均可得到妥善处理，</w:t>
            </w:r>
            <w:r>
              <w:rPr>
                <w:rFonts w:ascii="宋体" w:hAnsi="宋体"/>
                <w:b w:val="0"/>
                <w:spacing w:val="11"/>
                <w:position w:val="0"/>
                <w:sz w:val="24"/>
                <w:szCs w:val="24"/>
              </w:rPr>
              <w:t>对周围环境影响较小。</w:t>
            </w:r>
          </w:p>
          <w:p w14:paraId="4D5C8E04">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both"/>
              <w:rPr>
                <w:b/>
                <w:spacing w:val="11"/>
                <w:position w:val="0"/>
                <w:sz w:val="24"/>
              </w:rPr>
            </w:pPr>
            <w:r>
              <w:rPr>
                <w:rFonts w:hint="eastAsia"/>
                <w:b/>
                <w:spacing w:val="11"/>
                <w:position w:val="0"/>
                <w:sz w:val="24"/>
              </w:rPr>
              <w:t>4</w:t>
            </w:r>
            <w:r>
              <w:rPr>
                <w:b/>
                <w:spacing w:val="11"/>
                <w:position w:val="0"/>
                <w:sz w:val="24"/>
              </w:rPr>
              <w:t>、施工期噪声防治措施</w:t>
            </w:r>
          </w:p>
          <w:p w14:paraId="4AA82D3A">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施工噪声主要来源于装载机、挖掘机、吊车等施工机具和原材料、渣土运输车辆。为减少施工噪声对项目周边声环境的影响，建议采取以下措施：</w:t>
            </w:r>
          </w:p>
          <w:p w14:paraId="12D2E2B5">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①尽量选用低噪声系列工程机械设备。</w:t>
            </w:r>
          </w:p>
          <w:p w14:paraId="16B7E610">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②合理布置高噪声的施工设备，大于</w:t>
            </w:r>
            <w:r>
              <w:rPr>
                <w:spacing w:val="11"/>
                <w:position w:val="0"/>
                <w:sz w:val="24"/>
              </w:rPr>
              <w:t>80dB(A)</w:t>
            </w:r>
            <w:r>
              <w:rPr>
                <w:rFonts w:hint="eastAsia" w:ascii="宋体" w:hAnsi="宋体"/>
                <w:spacing w:val="11"/>
                <w:position w:val="0"/>
                <w:sz w:val="24"/>
              </w:rPr>
              <w:t>的施工设备布置远离声环境敏感点。</w:t>
            </w:r>
          </w:p>
          <w:p w14:paraId="5944DE8B">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cs="宋体"/>
                <w:spacing w:val="11"/>
                <w:position w:val="0"/>
                <w:sz w:val="24"/>
              </w:rPr>
            </w:pPr>
            <w:r>
              <w:rPr>
                <w:rFonts w:hint="eastAsia" w:ascii="宋体" w:hAnsi="宋体" w:cs="宋体"/>
                <w:spacing w:val="11"/>
                <w:position w:val="0"/>
                <w:sz w:val="24"/>
              </w:rPr>
              <w:t>③对较高噪声值的固定设备，应在北面近居民侧设置隔声间或声屏障</w:t>
            </w:r>
            <w:r>
              <w:rPr>
                <w:rFonts w:hAnsi="宋体"/>
                <w:spacing w:val="11"/>
                <w:position w:val="0"/>
                <w:sz w:val="24"/>
              </w:rPr>
              <w:t>。</w:t>
            </w:r>
          </w:p>
          <w:p w14:paraId="65894C0F">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cs="宋体"/>
                <w:spacing w:val="11"/>
                <w:position w:val="0"/>
                <w:sz w:val="24"/>
              </w:rPr>
            </w:pPr>
            <w:r>
              <w:rPr>
                <w:rFonts w:hint="eastAsia" w:hAnsi="宋体"/>
                <w:spacing w:val="11"/>
                <w:position w:val="0"/>
                <w:sz w:val="24"/>
              </w:rPr>
              <w:t>④施工作业安排在白天进行，矿山夜间、午间12-14点禁止施工作业。</w:t>
            </w:r>
          </w:p>
          <w:p w14:paraId="6B647E1C">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kern w:val="0"/>
                <w:position w:val="0"/>
                <w:sz w:val="24"/>
              </w:rPr>
            </w:pPr>
            <w:r>
              <w:rPr>
                <w:rFonts w:hint="eastAsia" w:hAnsi="宋体"/>
                <w:spacing w:val="11"/>
                <w:position w:val="0"/>
                <w:sz w:val="24"/>
              </w:rPr>
              <w:t>采取上述措施后，可有效地降低施工噪声，保证施工场界噪声不对声环境敏感点造成影响。</w:t>
            </w:r>
          </w:p>
          <w:p w14:paraId="24936DC3">
            <w:pPr>
              <w:pageBreakBefore w:val="0"/>
              <w:widowControl w:val="0"/>
              <w:kinsoku/>
              <w:wordWrap/>
              <w:overflowPunct/>
              <w:topLinePunct w:val="0"/>
              <w:autoSpaceDE/>
              <w:autoSpaceDN w:val="0"/>
              <w:bidi w:val="0"/>
              <w:adjustRightInd w:val="0"/>
              <w:snapToGrid w:val="0"/>
              <w:spacing w:line="360" w:lineRule="auto"/>
              <w:ind w:left="0" w:leftChars="0" w:firstLine="526" w:firstLineChars="200"/>
              <w:rPr>
                <w:b/>
                <w:spacing w:val="11"/>
                <w:position w:val="0"/>
                <w:sz w:val="24"/>
              </w:rPr>
            </w:pPr>
            <w:r>
              <w:rPr>
                <w:rFonts w:hint="eastAsia"/>
                <w:b/>
                <w:spacing w:val="11"/>
                <w:position w:val="0"/>
                <w:sz w:val="24"/>
              </w:rPr>
              <w:t>5</w:t>
            </w:r>
            <w:r>
              <w:rPr>
                <w:b/>
                <w:spacing w:val="11"/>
                <w:position w:val="0"/>
                <w:sz w:val="24"/>
              </w:rPr>
              <w:t>、固体废物</w:t>
            </w:r>
          </w:p>
          <w:p w14:paraId="1A795932">
            <w:pPr>
              <w:pageBreakBefore w:val="0"/>
              <w:widowControl w:val="0"/>
              <w:kinsoku/>
              <w:wordWrap/>
              <w:overflowPunct/>
              <w:topLinePunct w:val="0"/>
              <w:autoSpaceDE/>
              <w:bidi w:val="0"/>
              <w:adjustRightInd w:val="0"/>
              <w:snapToGrid w:val="0"/>
              <w:spacing w:line="360" w:lineRule="auto"/>
              <w:ind w:left="0" w:leftChars="0" w:firstLine="524" w:firstLineChars="200"/>
              <w:textAlignment w:val="baseline"/>
              <w:rPr>
                <w:rFonts w:hint="eastAsia"/>
                <w:spacing w:val="11"/>
                <w:position w:val="0"/>
                <w:sz w:val="24"/>
              </w:rPr>
            </w:pPr>
            <w:r>
              <w:rPr>
                <w:rFonts w:hint="eastAsia"/>
                <w:spacing w:val="11"/>
                <w:position w:val="0"/>
                <w:sz w:val="24"/>
              </w:rPr>
              <w:t>本项目基础阶段产生的</w:t>
            </w:r>
            <w:r>
              <w:rPr>
                <w:rFonts w:hint="eastAsia"/>
                <w:spacing w:val="11"/>
                <w:position w:val="0"/>
                <w:sz w:val="24"/>
                <w:lang w:val="en-US" w:eastAsia="zh-CN"/>
              </w:rPr>
              <w:t>弃土堆放于临时堆土场堆存并及时在场内进行回填</w:t>
            </w:r>
            <w:r>
              <w:rPr>
                <w:rFonts w:hint="eastAsia"/>
                <w:spacing w:val="11"/>
                <w:position w:val="0"/>
                <w:sz w:val="24"/>
              </w:rPr>
              <w:t>，故项目施工期</w:t>
            </w:r>
            <w:r>
              <w:rPr>
                <w:spacing w:val="11"/>
                <w:position w:val="0"/>
                <w:sz w:val="24"/>
              </w:rPr>
              <w:t>固体废物主要为</w:t>
            </w:r>
            <w:r>
              <w:rPr>
                <w:rFonts w:hint="eastAsia"/>
                <w:spacing w:val="11"/>
                <w:position w:val="0"/>
                <w:sz w:val="24"/>
              </w:rPr>
              <w:t>施工</w:t>
            </w:r>
            <w:r>
              <w:rPr>
                <w:spacing w:val="11"/>
                <w:position w:val="0"/>
                <w:sz w:val="24"/>
              </w:rPr>
              <w:t>建筑垃圾与施工人员生活垃圾。</w:t>
            </w:r>
          </w:p>
          <w:p w14:paraId="574459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textAlignment w:val="auto"/>
              <w:rPr>
                <w:rFonts w:hint="eastAsia" w:ascii="Times New Roman" w:hAnsi="Times New Roman" w:eastAsia="宋体" w:cs="Times New Roman"/>
                <w:bCs/>
                <w:color w:val="auto"/>
                <w:spacing w:val="11"/>
                <w:position w:val="0"/>
                <w:sz w:val="24"/>
                <w:szCs w:val="24"/>
                <w:lang w:val="en-US" w:eastAsia="zh-CN"/>
              </w:rPr>
            </w:pPr>
            <w:r>
              <w:rPr>
                <w:rFonts w:hint="eastAsia" w:ascii="宋体" w:hAnsi="宋体" w:cs="宋体"/>
                <w:spacing w:val="11"/>
                <w:kern w:val="0"/>
                <w:position w:val="0"/>
                <w:sz w:val="24"/>
              </w:rPr>
              <w:t>本项目施工期</w:t>
            </w:r>
            <w:r>
              <w:rPr>
                <w:spacing w:val="11"/>
                <w:position w:val="0"/>
                <w:sz w:val="24"/>
              </w:rPr>
              <w:t>建筑垃圾</w:t>
            </w:r>
            <w:r>
              <w:rPr>
                <w:spacing w:val="11"/>
                <w:kern w:val="0"/>
                <w:position w:val="0"/>
                <w:sz w:val="24"/>
              </w:rPr>
              <w:t>可以回收部分回收利用，不能回收利用的应统一运往指定地点进行处置</w:t>
            </w:r>
            <w:r>
              <w:rPr>
                <w:spacing w:val="11"/>
                <w:position w:val="0"/>
                <w:sz w:val="24"/>
              </w:rPr>
              <w:t>；施工期</w:t>
            </w:r>
            <w:r>
              <w:rPr>
                <w:rFonts w:hAnsi="宋体"/>
                <w:spacing w:val="11"/>
                <w:position w:val="0"/>
                <w:sz w:val="24"/>
              </w:rPr>
              <w:t>施工人员产生的生活垃圾</w:t>
            </w:r>
            <w:r>
              <w:rPr>
                <w:spacing w:val="11"/>
                <w:position w:val="0"/>
                <w:sz w:val="24"/>
              </w:rPr>
              <w:t>集中收集暂存，送村垃圾收集点后由环卫部门统一进行处理。</w:t>
            </w:r>
            <w:r>
              <w:rPr>
                <w:rFonts w:hint="eastAsia"/>
                <w:spacing w:val="11"/>
                <w:position w:val="0"/>
                <w:sz w:val="24"/>
                <w:lang w:val="en-US" w:eastAsia="zh-CN"/>
              </w:rPr>
              <w:t xml:space="preserve"> </w:t>
            </w:r>
          </w:p>
        </w:tc>
      </w:tr>
      <w:tr w14:paraId="1246F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tcMar>
              <w:left w:w="28" w:type="dxa"/>
              <w:right w:w="28" w:type="dxa"/>
            </w:tcMar>
            <w:vAlign w:val="center"/>
          </w:tcPr>
          <w:p w14:paraId="6F22C73B">
            <w:pPr>
              <w:adjustRightInd w:val="0"/>
              <w:snapToGrid w:val="0"/>
              <w:spacing w:line="360" w:lineRule="auto"/>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运营期生态环境保护措施</w:t>
            </w:r>
          </w:p>
        </w:tc>
        <w:tc>
          <w:tcPr>
            <w:tcW w:w="8164" w:type="dxa"/>
            <w:tcBorders>
              <w:tl2br w:val="nil"/>
              <w:tr2bl w:val="nil"/>
            </w:tcBorders>
            <w:noWrap w:val="0"/>
            <w:vAlign w:val="top"/>
          </w:tcPr>
          <w:p w14:paraId="40F11B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b/>
                <w:bCs/>
                <w:spacing w:val="11"/>
                <w:position w:val="0"/>
                <w:sz w:val="24"/>
                <w:u w:val="none" w:color="auto"/>
              </w:rPr>
            </w:pPr>
            <w:r>
              <w:rPr>
                <w:rFonts w:hint="eastAsia"/>
                <w:b/>
                <w:bCs/>
                <w:spacing w:val="11"/>
                <w:position w:val="0"/>
                <w:sz w:val="24"/>
                <w:u w:val="none" w:color="auto"/>
              </w:rPr>
              <w:t>1、</w:t>
            </w:r>
            <w:r>
              <w:rPr>
                <w:b/>
                <w:bCs/>
                <w:spacing w:val="11"/>
                <w:position w:val="0"/>
                <w:sz w:val="24"/>
                <w:u w:val="none" w:color="auto"/>
              </w:rPr>
              <w:t>生态环境</w:t>
            </w:r>
            <w:r>
              <w:rPr>
                <w:rFonts w:hint="eastAsia"/>
                <w:b/>
                <w:bCs/>
                <w:spacing w:val="11"/>
                <w:position w:val="0"/>
                <w:sz w:val="24"/>
                <w:u w:val="none" w:color="auto"/>
              </w:rPr>
              <w:t>保护措施</w:t>
            </w:r>
          </w:p>
          <w:p w14:paraId="0A17A8A3">
            <w:pPr>
              <w:adjustRightInd w:val="0"/>
              <w:snapToGrid w:val="0"/>
              <w:spacing w:line="360" w:lineRule="auto"/>
              <w:ind w:firstLine="524" w:firstLineChars="200"/>
              <w:rPr>
                <w:rFonts w:hint="eastAsia"/>
                <w:spacing w:val="11"/>
                <w:position w:val="0"/>
                <w:sz w:val="24"/>
                <w:u w:val="none" w:color="auto"/>
              </w:rPr>
            </w:pPr>
            <w:r>
              <w:rPr>
                <w:rFonts w:hint="eastAsia"/>
                <w:bCs/>
                <w:spacing w:val="11"/>
                <w:kern w:val="0"/>
                <w:position w:val="0"/>
                <w:sz w:val="24"/>
                <w:u w:val="none" w:color="auto"/>
              </w:rPr>
              <w:t>项目属于采掘类项目，生态环境的破坏及影响是该项目的主要污染特征，矿山开采过程将不可避免地导致生态环境的破坏和变化。本次评价主要从工程占地、动植物资源的破坏、景观影响、水土流失等方面分析矿山开采对生态环境的影响。恢复治理后的各类场地应实现：安全稳定，对人类和动植物不造成威胁；对周边环境不产生污染；与周边自然环境和景观相协调；恢复土地基本功能，因地制宜实现土地可持续利用；区域整体生态功能得到保护和恢复</w:t>
            </w:r>
            <w:r>
              <w:rPr>
                <w:rFonts w:hint="eastAsia"/>
                <w:spacing w:val="11"/>
                <w:position w:val="0"/>
                <w:sz w:val="24"/>
                <w:u w:val="none" w:color="auto"/>
              </w:rPr>
              <w:t>拟采取的减缓生态影响对策措施：</w:t>
            </w:r>
          </w:p>
          <w:p w14:paraId="5D488920">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（1）矿山建筑石料生产工业广场复垦工程</w:t>
            </w:r>
          </w:p>
          <w:p w14:paraId="6CAFCC00">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矿山建筑石料生产工业广场复垦单元总面积</w:t>
            </w:r>
            <w:r>
              <w:rPr>
                <w:rFonts w:hint="eastAsia"/>
                <w:spacing w:val="11"/>
                <w:position w:val="0"/>
                <w:sz w:val="24"/>
                <w:u w:val="none" w:color="auto"/>
                <w:lang w:val="en-US" w:eastAsia="zh-CN"/>
              </w:rPr>
              <w:t>1.19</w:t>
            </w:r>
            <w:r>
              <w:rPr>
                <w:rFonts w:hint="eastAsia"/>
                <w:spacing w:val="11"/>
                <w:position w:val="0"/>
                <w:sz w:val="24"/>
                <w:u w:val="none" w:color="auto"/>
              </w:rPr>
              <w:t>hm</w:t>
            </w:r>
            <w:r>
              <w:rPr>
                <w:rFonts w:hint="eastAsia"/>
                <w:spacing w:val="11"/>
                <w:position w:val="0"/>
                <w:sz w:val="24"/>
                <w:u w:val="none" w:color="auto"/>
                <w:vertAlign w:val="superscript"/>
              </w:rPr>
              <w:t>2</w:t>
            </w:r>
            <w:r>
              <w:rPr>
                <w:rFonts w:hint="eastAsia"/>
                <w:spacing w:val="11"/>
                <w:position w:val="0"/>
                <w:sz w:val="24"/>
                <w:u w:val="none" w:color="auto"/>
              </w:rPr>
              <w:t>，总共所需土方量为</w:t>
            </w:r>
            <w:r>
              <w:rPr>
                <w:rFonts w:hint="eastAsia"/>
                <w:spacing w:val="11"/>
                <w:position w:val="0"/>
                <w:sz w:val="24"/>
                <w:u w:val="none" w:color="auto"/>
                <w:lang w:val="en-US" w:eastAsia="zh-CN"/>
              </w:rPr>
              <w:t>5945</w:t>
            </w:r>
            <w:r>
              <w:rPr>
                <w:rFonts w:hint="eastAsia"/>
                <w:spacing w:val="11"/>
                <w:position w:val="0"/>
                <w:sz w:val="24"/>
                <w:u w:val="none" w:color="auto"/>
              </w:rPr>
              <w:t>m</w:t>
            </w:r>
            <w:r>
              <w:rPr>
                <w:rFonts w:hint="eastAsia"/>
                <w:spacing w:val="11"/>
                <w:position w:val="0"/>
                <w:sz w:val="24"/>
                <w:u w:val="none" w:color="auto"/>
                <w:vertAlign w:val="superscript"/>
              </w:rPr>
              <w:t>3</w:t>
            </w:r>
            <w:r>
              <w:rPr>
                <w:rFonts w:hint="eastAsia"/>
                <w:spacing w:val="11"/>
                <w:position w:val="0"/>
                <w:sz w:val="24"/>
                <w:u w:val="none" w:color="auto"/>
              </w:rPr>
              <w:t>；植树量</w:t>
            </w:r>
            <w:r>
              <w:rPr>
                <w:rFonts w:hint="eastAsia"/>
                <w:spacing w:val="11"/>
                <w:position w:val="0"/>
                <w:sz w:val="24"/>
                <w:u w:val="none" w:color="auto"/>
                <w:lang w:eastAsia="zh-CN"/>
              </w:rPr>
              <w:t>（乔木）</w:t>
            </w:r>
            <w:r>
              <w:rPr>
                <w:rFonts w:hint="eastAsia"/>
                <w:spacing w:val="11"/>
                <w:position w:val="0"/>
                <w:sz w:val="24"/>
                <w:u w:val="none" w:color="auto"/>
                <w:lang w:val="en-US" w:eastAsia="zh-CN"/>
              </w:rPr>
              <w:t>2972</w:t>
            </w:r>
            <w:r>
              <w:rPr>
                <w:rFonts w:hint="eastAsia"/>
                <w:spacing w:val="11"/>
                <w:position w:val="0"/>
                <w:sz w:val="24"/>
                <w:u w:val="none" w:color="auto"/>
              </w:rPr>
              <w:t>株</w:t>
            </w:r>
            <w:r>
              <w:rPr>
                <w:rFonts w:hint="eastAsia"/>
                <w:spacing w:val="11"/>
                <w:position w:val="0"/>
                <w:sz w:val="24"/>
                <w:u w:val="none" w:color="auto"/>
                <w:lang w:eastAsia="zh-CN"/>
              </w:rPr>
              <w:t>，</w:t>
            </w:r>
            <w:r>
              <w:rPr>
                <w:rFonts w:hint="eastAsia"/>
                <w:spacing w:val="11"/>
                <w:position w:val="0"/>
                <w:sz w:val="24"/>
                <w:u w:val="none" w:color="auto"/>
              </w:rPr>
              <w:t>植树量</w:t>
            </w:r>
            <w:r>
              <w:rPr>
                <w:rFonts w:hint="eastAsia"/>
                <w:spacing w:val="11"/>
                <w:position w:val="0"/>
                <w:sz w:val="24"/>
                <w:u w:val="none" w:color="auto"/>
                <w:lang w:eastAsia="zh-CN"/>
              </w:rPr>
              <w:t>（灌木）</w:t>
            </w:r>
            <w:r>
              <w:rPr>
                <w:rFonts w:hint="eastAsia"/>
                <w:spacing w:val="11"/>
                <w:position w:val="0"/>
                <w:sz w:val="24"/>
                <w:u w:val="none" w:color="auto"/>
                <w:lang w:val="en-US" w:eastAsia="zh-CN"/>
              </w:rPr>
              <w:t>2972</w:t>
            </w:r>
            <w:r>
              <w:rPr>
                <w:rFonts w:hint="eastAsia"/>
                <w:spacing w:val="11"/>
                <w:position w:val="0"/>
                <w:sz w:val="24"/>
                <w:u w:val="none" w:color="auto"/>
              </w:rPr>
              <w:t>株。场地平整：对场地进行平整、翻耕。</w:t>
            </w:r>
          </w:p>
          <w:p w14:paraId="597B61A3">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（2）</w:t>
            </w:r>
            <w:r>
              <w:rPr>
                <w:rFonts w:hint="eastAsia"/>
                <w:spacing w:val="11"/>
                <w:position w:val="0"/>
                <w:sz w:val="24"/>
                <w:u w:val="none" w:color="auto"/>
                <w:lang w:eastAsia="zh-CN"/>
              </w:rPr>
              <w:t>地形地貌</w:t>
            </w:r>
            <w:r>
              <w:rPr>
                <w:rFonts w:hint="eastAsia"/>
                <w:spacing w:val="11"/>
                <w:position w:val="0"/>
                <w:sz w:val="24"/>
                <w:u w:val="none" w:color="auto"/>
              </w:rPr>
              <w:t>景观修复</w:t>
            </w:r>
          </w:p>
          <w:p w14:paraId="48A52207">
            <w:pPr>
              <w:adjustRightInd w:val="0"/>
              <w:snapToGrid w:val="0"/>
              <w:spacing w:line="360" w:lineRule="auto"/>
              <w:ind w:firstLine="524" w:firstLineChars="200"/>
              <w:rPr>
                <w:rFonts w:hint="eastAsia" w:eastAsia="宋体"/>
                <w:spacing w:val="11"/>
                <w:position w:val="0"/>
                <w:sz w:val="24"/>
                <w:u w:val="none" w:color="auto"/>
                <w:lang w:eastAsia="zh-CN"/>
              </w:rPr>
            </w:pPr>
            <w:r>
              <w:rPr>
                <w:rFonts w:hint="eastAsia"/>
                <w:spacing w:val="11"/>
                <w:position w:val="0"/>
                <w:sz w:val="24"/>
                <w:u w:val="none" w:color="auto"/>
              </w:rPr>
              <w:t>本次主要从</w:t>
            </w:r>
            <w:r>
              <w:rPr>
                <w:rFonts w:hint="eastAsia"/>
                <w:spacing w:val="11"/>
                <w:position w:val="0"/>
                <w:sz w:val="24"/>
                <w:u w:val="none" w:color="auto"/>
                <w:lang w:val="en-US" w:eastAsia="zh-CN"/>
              </w:rPr>
              <w:t>办公</w:t>
            </w:r>
            <w:r>
              <w:rPr>
                <w:rFonts w:hint="eastAsia"/>
                <w:spacing w:val="11"/>
                <w:position w:val="0"/>
                <w:sz w:val="24"/>
                <w:u w:val="none" w:color="auto"/>
              </w:rPr>
              <w:t>生活区开始向</w:t>
            </w:r>
            <w:r>
              <w:rPr>
                <w:rFonts w:hint="eastAsia"/>
                <w:spacing w:val="11"/>
                <w:position w:val="0"/>
                <w:sz w:val="24"/>
                <w:u w:val="none" w:color="auto"/>
                <w:lang w:val="en-US" w:eastAsia="zh-CN"/>
              </w:rPr>
              <w:t>矿区露采场</w:t>
            </w:r>
            <w:r>
              <w:rPr>
                <w:rFonts w:hint="eastAsia"/>
                <w:spacing w:val="11"/>
                <w:position w:val="0"/>
                <w:sz w:val="24"/>
                <w:u w:val="none" w:color="auto"/>
              </w:rPr>
              <w:t>，露采场至</w:t>
            </w:r>
            <w:r>
              <w:rPr>
                <w:rFonts w:hint="eastAsia"/>
                <w:spacing w:val="11"/>
                <w:position w:val="0"/>
                <w:sz w:val="24"/>
                <w:u w:val="none" w:color="auto"/>
                <w:lang w:val="en-US" w:eastAsia="zh-CN"/>
              </w:rPr>
              <w:t>临时</w:t>
            </w:r>
            <w:r>
              <w:rPr>
                <w:rFonts w:hint="eastAsia"/>
                <w:spacing w:val="11"/>
                <w:position w:val="0"/>
                <w:sz w:val="24"/>
                <w:u w:val="none" w:color="auto"/>
              </w:rPr>
              <w:t>堆土场的道路进行景观修复，因道路切坡均裸露，故在道路两侧植树修复，采用乔木种植</w:t>
            </w:r>
            <w:r>
              <w:rPr>
                <w:spacing w:val="11"/>
                <w:position w:val="0"/>
                <w:sz w:val="24"/>
                <w:u w:val="none" w:color="auto"/>
              </w:rPr>
              <w:t>，坑栽枫香、香樟树，间隔区域栽植杜鹃、红叶石楠等景观灌木，局部区域铺盖草皮。预计绿化长度1200m</w:t>
            </w:r>
            <w:r>
              <w:rPr>
                <w:rFonts w:hint="eastAsia"/>
                <w:spacing w:val="11"/>
                <w:position w:val="0"/>
                <w:sz w:val="24"/>
                <w:u w:val="none" w:color="auto"/>
                <w:lang w:eastAsia="zh-CN"/>
              </w:rPr>
              <w:t>。</w:t>
            </w:r>
            <w:r>
              <w:rPr>
                <w:rFonts w:hint="eastAsia"/>
                <w:spacing w:val="11"/>
                <w:position w:val="0"/>
                <w:sz w:val="24"/>
                <w:u w:val="none" w:color="auto"/>
                <w:lang w:val="en-US" w:eastAsia="zh-CN"/>
              </w:rPr>
              <w:t>两侧采用坑栽枫香、香樟树，株间距为4m，两侧共种乔木600株；路两侧绿化带每隔4m挖一个坑，坑规格为0.6m*0.6m*0.6m。</w:t>
            </w:r>
          </w:p>
          <w:p w14:paraId="46604374">
            <w:pPr>
              <w:adjustRightInd w:val="0"/>
              <w:snapToGrid w:val="0"/>
              <w:spacing w:line="360" w:lineRule="auto"/>
              <w:ind w:firstLine="524" w:firstLineChars="200"/>
              <w:rPr>
                <w:rFonts w:hint="default" w:eastAsia="宋体"/>
                <w:spacing w:val="11"/>
                <w:position w:val="0"/>
                <w:sz w:val="24"/>
                <w:u w:val="none" w:color="auto"/>
                <w:lang w:val="en-US" w:eastAsia="zh-CN"/>
              </w:rPr>
            </w:pPr>
            <w:r>
              <w:rPr>
                <w:rFonts w:hint="eastAsia"/>
                <w:spacing w:val="11"/>
                <w:position w:val="0"/>
                <w:sz w:val="24"/>
                <w:u w:val="none" w:color="auto"/>
                <w:lang w:eastAsia="zh-CN"/>
              </w:rPr>
              <w:t>（</w:t>
            </w:r>
            <w:r>
              <w:rPr>
                <w:rFonts w:hint="eastAsia"/>
                <w:spacing w:val="11"/>
                <w:position w:val="0"/>
                <w:sz w:val="24"/>
                <w:u w:val="none" w:color="auto"/>
                <w:lang w:val="en-US" w:eastAsia="zh-CN"/>
              </w:rPr>
              <w:t>3）露采场复垦工程</w:t>
            </w:r>
          </w:p>
          <w:p w14:paraId="08654C87">
            <w:pPr>
              <w:adjustRightInd w:val="0"/>
              <w:snapToGrid w:val="0"/>
              <w:spacing w:line="360" w:lineRule="auto"/>
              <w:ind w:firstLine="524" w:firstLineChars="200"/>
              <w:rPr>
                <w:spacing w:val="11"/>
                <w:position w:val="0"/>
                <w:sz w:val="24"/>
                <w:u w:val="none" w:color="auto"/>
              </w:rPr>
            </w:pPr>
            <w:r>
              <w:rPr>
                <w:spacing w:val="11"/>
                <w:position w:val="0"/>
                <w:sz w:val="24"/>
                <w:u w:val="none" w:color="auto"/>
              </w:rPr>
              <w:t>露采场复垦单元总面积</w:t>
            </w:r>
            <w:r>
              <w:rPr>
                <w:rFonts w:hint="eastAsia"/>
                <w:spacing w:val="11"/>
                <w:position w:val="0"/>
                <w:sz w:val="24"/>
                <w:u w:val="none" w:color="auto"/>
                <w:lang w:val="en-US" w:eastAsia="zh-CN"/>
              </w:rPr>
              <w:t>6.93</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，其中平台总面积</w:t>
            </w:r>
            <w:r>
              <w:rPr>
                <w:rFonts w:hint="eastAsia"/>
                <w:spacing w:val="11"/>
                <w:position w:val="0"/>
                <w:sz w:val="24"/>
                <w:u w:val="none" w:color="auto"/>
                <w:lang w:val="en-US" w:eastAsia="zh-CN"/>
              </w:rPr>
              <w:t>5.75</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w:t>
            </w:r>
            <w:r>
              <w:rPr>
                <w:rFonts w:hint="eastAsia"/>
                <w:spacing w:val="11"/>
                <w:position w:val="0"/>
                <w:sz w:val="24"/>
                <w:u w:val="none" w:color="auto"/>
                <w:lang w:val="en-US" w:eastAsia="zh-CN"/>
              </w:rPr>
              <w:t>扣减排水沟0.27hm</w:t>
            </w:r>
            <w:r>
              <w:rPr>
                <w:rFonts w:hint="eastAsia"/>
                <w:spacing w:val="11"/>
                <w:position w:val="0"/>
                <w:sz w:val="24"/>
                <w:u w:val="none" w:color="auto"/>
                <w:vertAlign w:val="superscript"/>
                <w:lang w:val="en-US" w:eastAsia="zh-CN"/>
              </w:rPr>
              <w:t>2</w:t>
            </w:r>
            <w:r>
              <w:rPr>
                <w:rFonts w:hint="eastAsia"/>
                <w:spacing w:val="11"/>
                <w:position w:val="0"/>
                <w:sz w:val="24"/>
                <w:u w:val="none" w:color="auto"/>
                <w:lang w:val="en-US" w:eastAsia="zh-CN"/>
              </w:rPr>
              <w:t>及生态袋种植槽占地面积0.12</w:t>
            </w:r>
            <w:r>
              <w:rPr>
                <w:spacing w:val="11"/>
                <w:position w:val="0"/>
                <w:sz w:val="24"/>
                <w:u w:val="none" w:color="auto"/>
              </w:rPr>
              <w:t>hm</w:t>
            </w:r>
            <w:r>
              <w:rPr>
                <w:spacing w:val="11"/>
                <w:position w:val="0"/>
                <w:sz w:val="24"/>
                <w:u w:val="none" w:color="auto"/>
                <w:vertAlign w:val="superscript"/>
              </w:rPr>
              <w:t>2</w:t>
            </w:r>
            <w:r>
              <w:rPr>
                <w:rFonts w:hint="eastAsia"/>
                <w:spacing w:val="11"/>
                <w:position w:val="0"/>
                <w:sz w:val="24"/>
                <w:u w:val="none" w:color="auto"/>
                <w:lang w:val="en-US" w:eastAsia="zh-CN"/>
              </w:rPr>
              <w:t>，覆土部分占地面积为5.36</w:t>
            </w:r>
            <w:r>
              <w:rPr>
                <w:spacing w:val="11"/>
                <w:position w:val="0"/>
                <w:sz w:val="24"/>
                <w:u w:val="none" w:color="auto"/>
              </w:rPr>
              <w:t>hm</w:t>
            </w:r>
            <w:r>
              <w:rPr>
                <w:spacing w:val="11"/>
                <w:position w:val="0"/>
                <w:sz w:val="24"/>
                <w:u w:val="none" w:color="auto"/>
                <w:vertAlign w:val="superscript"/>
              </w:rPr>
              <w:t>2</w:t>
            </w:r>
            <w:r>
              <w:rPr>
                <w:rFonts w:hint="eastAsia"/>
                <w:spacing w:val="11"/>
                <w:position w:val="0"/>
                <w:sz w:val="24"/>
                <w:u w:val="none" w:color="auto"/>
                <w:lang w:eastAsia="zh-CN"/>
              </w:rPr>
              <w:t>，</w:t>
            </w:r>
            <w:r>
              <w:rPr>
                <w:rFonts w:hint="eastAsia"/>
                <w:spacing w:val="11"/>
                <w:position w:val="0"/>
                <w:sz w:val="24"/>
                <w:u w:val="none" w:color="auto"/>
              </w:rPr>
              <w:t>覆土厚度</w:t>
            </w:r>
            <w:r>
              <w:rPr>
                <w:rFonts w:hint="eastAsia"/>
                <w:spacing w:val="11"/>
                <w:position w:val="0"/>
                <w:sz w:val="24"/>
                <w:u w:val="none" w:color="auto"/>
                <w:lang w:val="en-US" w:eastAsia="zh-CN"/>
              </w:rPr>
              <w:t>0.5</w:t>
            </w:r>
            <w:r>
              <w:rPr>
                <w:rFonts w:hint="eastAsia"/>
                <w:spacing w:val="11"/>
                <w:position w:val="0"/>
                <w:sz w:val="24"/>
                <w:u w:val="none" w:color="auto"/>
              </w:rPr>
              <w:t>m计，</w:t>
            </w:r>
            <w:r>
              <w:rPr>
                <w:rFonts w:hint="eastAsia"/>
                <w:spacing w:val="11"/>
                <w:position w:val="0"/>
                <w:sz w:val="24"/>
                <w:u w:val="none" w:color="auto"/>
                <w:lang w:val="en-US" w:eastAsia="zh-CN"/>
              </w:rPr>
              <w:t>平台</w:t>
            </w:r>
            <w:r>
              <w:rPr>
                <w:spacing w:val="11"/>
                <w:position w:val="0"/>
                <w:sz w:val="24"/>
                <w:u w:val="none" w:color="auto"/>
              </w:rPr>
              <w:t>总共所需土方量为</w:t>
            </w:r>
            <w:r>
              <w:rPr>
                <w:rFonts w:hint="eastAsia"/>
                <w:spacing w:val="11"/>
                <w:position w:val="0"/>
                <w:sz w:val="24"/>
                <w:u w:val="none" w:color="auto"/>
                <w:lang w:val="en-US" w:eastAsia="zh-CN"/>
              </w:rPr>
              <w:t>26800</w:t>
            </w:r>
            <w:r>
              <w:rPr>
                <w:spacing w:val="11"/>
                <w:position w:val="0"/>
                <w:sz w:val="24"/>
                <w:u w:val="none" w:color="auto"/>
              </w:rPr>
              <w:t>m</w:t>
            </w:r>
            <w:r>
              <w:rPr>
                <w:spacing w:val="11"/>
                <w:position w:val="0"/>
                <w:sz w:val="24"/>
                <w:u w:val="none" w:color="auto"/>
                <w:vertAlign w:val="superscript"/>
              </w:rPr>
              <w:t>3</w:t>
            </w:r>
            <w:r>
              <w:rPr>
                <w:spacing w:val="11"/>
                <w:position w:val="0"/>
                <w:sz w:val="24"/>
                <w:u w:val="none" w:color="auto"/>
              </w:rPr>
              <w:t>；</w:t>
            </w:r>
            <w:r>
              <w:rPr>
                <w:rFonts w:hint="eastAsia"/>
                <w:spacing w:val="11"/>
                <w:position w:val="0"/>
                <w:sz w:val="24"/>
                <w:u w:val="none" w:color="auto"/>
                <w:lang w:val="en-US" w:eastAsia="zh-CN"/>
              </w:rPr>
              <w:t>种植草本植物</w:t>
            </w:r>
            <w:r>
              <w:rPr>
                <w:spacing w:val="11"/>
                <w:position w:val="0"/>
                <w:sz w:val="24"/>
                <w:u w:val="none" w:color="auto"/>
              </w:rPr>
              <w:t>。斜面部分无法覆土，采用在边坡脚种植爬藤类，总面积为</w:t>
            </w:r>
            <w:r>
              <w:rPr>
                <w:rFonts w:hint="eastAsia"/>
                <w:spacing w:val="11"/>
                <w:position w:val="0"/>
                <w:sz w:val="24"/>
                <w:u w:val="none" w:color="auto"/>
                <w:lang w:val="en-US" w:eastAsia="zh-CN"/>
              </w:rPr>
              <w:t>1.18</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w:t>
            </w:r>
          </w:p>
          <w:p w14:paraId="1BAE6783">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2、水土保持措施</w:t>
            </w:r>
          </w:p>
          <w:p w14:paraId="2770ADA6">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矿山开采过程中，由于扰动地貌、平整场地所造成的地表植被破坏和土壤裸露，遇降雨天气，极易引起水土流失。裸露面被雨水冲刷流失的泥土随着径流的雨水流向低洼处或进入附近水体，会影响地表水体水质。</w:t>
            </w:r>
          </w:p>
          <w:p w14:paraId="17D72045">
            <w:pPr>
              <w:autoSpaceDE w:val="0"/>
              <w:autoSpaceDN w:val="0"/>
              <w:adjustRightInd w:val="0"/>
              <w:spacing w:line="360" w:lineRule="auto"/>
              <w:ind w:firstLine="524" w:firstLineChars="200"/>
              <w:rPr>
                <w:spacing w:val="11"/>
                <w:kern w:val="0"/>
                <w:position w:val="0"/>
                <w:sz w:val="24"/>
                <w:u w:val="none" w:color="auto"/>
              </w:rPr>
            </w:pPr>
            <w:r>
              <w:rPr>
                <w:rFonts w:hint="eastAsia"/>
                <w:spacing w:val="11"/>
                <w:kern w:val="0"/>
                <w:position w:val="0"/>
                <w:sz w:val="24"/>
                <w:u w:val="none" w:color="auto"/>
                <w:lang w:val="en-US" w:eastAsia="zh-CN"/>
              </w:rPr>
              <w:t>本项目水土流失防治执行南方红壤区一级防治标准。在对主体工程中的水土保持措施进行分析评价的基础上，结合水土流失特点、工程建设情况、施工工艺，提出各防治分区水土流失防治措施体系如下：</w:t>
            </w:r>
          </w:p>
          <w:p w14:paraId="298B100D">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①</w:t>
            </w:r>
            <w:r>
              <w:rPr>
                <w:rFonts w:hint="default"/>
                <w:spacing w:val="11"/>
                <w:kern w:val="0"/>
                <w:position w:val="0"/>
                <w:sz w:val="24"/>
                <w:u w:val="none" w:color="auto"/>
                <w:lang w:val="en-US" w:eastAsia="zh-CN"/>
              </w:rPr>
              <w:t>露天采石场区</w:t>
            </w:r>
          </w:p>
          <w:p w14:paraId="4FB36C99">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基建期：主体设计已在矿区东侧设置1处沉淀池对水流中的泥沙进行沉淀；方案新增对采场西北侧剥离的表土进行集中保护，临时堆放在表土堆存区；在采场采空区底部四周设置浆砌石排水沟汇集水流；对采场采空区上方设置截水沟截断上方来水；对已产生的裸露边坡区域进行苫盖措施。</w:t>
            </w:r>
          </w:p>
          <w:p w14:paraId="25D34E3F">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开采期：待采矿工作进行到+335m平台以下工作时，在+335m清扫平台及以下各级平台靠近山体一侧设置浆砌石排水沟汇集水流；对清扫平台进行表土回覆、土地整治后，对清扫平台及平台以上边坡采取植物措施恢复绿化。</w:t>
            </w:r>
          </w:p>
          <w:p w14:paraId="647AA4E5">
            <w:pPr>
              <w:autoSpaceDE w:val="0"/>
              <w:autoSpaceDN w:val="0"/>
              <w:adjustRightInd w:val="0"/>
              <w:spacing w:line="360" w:lineRule="auto"/>
              <w:ind w:firstLine="524" w:firstLineChars="200"/>
              <w:rPr>
                <w:rFonts w:hint="default"/>
                <w:spacing w:val="11"/>
                <w:kern w:val="0"/>
                <w:position w:val="0"/>
                <w:sz w:val="24"/>
                <w:u w:val="none" w:color="auto"/>
                <w:lang w:eastAsia="zh-CN"/>
              </w:rPr>
            </w:pPr>
            <w:r>
              <w:rPr>
                <w:rFonts w:hint="default"/>
                <w:spacing w:val="11"/>
                <w:kern w:val="0"/>
                <w:position w:val="0"/>
                <w:sz w:val="24"/>
                <w:u w:val="none" w:color="auto"/>
                <w:lang w:val="en-US" w:eastAsia="zh-CN"/>
              </w:rPr>
              <w:t>自然恢复期：在+260m坑底四周设置浆砌石排水沟，排水沟末端设置浆砌石沉沙池；在矿区整体排水出口设置沉淀池进行泥沙沉淀后排入自然排水体系；对采石坑底进行表土回覆、土地整治后，对坑底及露天边坡采取植物措施恢复绿化。</w:t>
            </w:r>
          </w:p>
          <w:p w14:paraId="1C821BCF">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②</w:t>
            </w:r>
            <w:r>
              <w:rPr>
                <w:rFonts w:hint="default"/>
                <w:spacing w:val="11"/>
                <w:kern w:val="0"/>
                <w:position w:val="0"/>
                <w:sz w:val="24"/>
                <w:u w:val="none" w:color="auto"/>
                <w:lang w:val="en-US" w:eastAsia="zh-CN"/>
              </w:rPr>
              <w:t>运输道路区</w:t>
            </w:r>
          </w:p>
          <w:p w14:paraId="29142FF9">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基建期：在道路靠近山体一侧设置浆砌石排水沟，排水沟末端接沉沙池；对路基边坡采取临时苫盖及喷播植草进行防护。</w:t>
            </w:r>
          </w:p>
          <w:p w14:paraId="1BA33A3B">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③</w:t>
            </w:r>
            <w:r>
              <w:rPr>
                <w:rFonts w:hint="default"/>
                <w:spacing w:val="11"/>
                <w:kern w:val="0"/>
                <w:position w:val="0"/>
                <w:sz w:val="24"/>
                <w:u w:val="none" w:color="auto"/>
                <w:lang w:val="en-US" w:eastAsia="zh-CN"/>
              </w:rPr>
              <w:t>生产加工区</w:t>
            </w:r>
          </w:p>
          <w:p w14:paraId="3DB7A6B6">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主体设计在加工区周边设置排水沟排出项目区雨水，局部区域进行综合绿化。</w:t>
            </w:r>
          </w:p>
          <w:p w14:paraId="3709FA10">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④</w:t>
            </w:r>
            <w:r>
              <w:rPr>
                <w:rFonts w:hint="default"/>
                <w:spacing w:val="11"/>
                <w:kern w:val="0"/>
                <w:position w:val="0"/>
                <w:sz w:val="24"/>
                <w:u w:val="none" w:color="auto"/>
                <w:lang w:val="en-US" w:eastAsia="zh-CN"/>
              </w:rPr>
              <w:t>施工生活区</w:t>
            </w:r>
          </w:p>
          <w:p w14:paraId="7D08006F">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主体设计在生活区周边设置排水沟，排水沟顺接沉沙池排出项目区雨水，局部区域进行综合绿化。</w:t>
            </w:r>
          </w:p>
          <w:p w14:paraId="4FFDC858">
            <w:pPr>
              <w:autoSpaceDE w:val="0"/>
              <w:autoSpaceDN w:val="0"/>
              <w:adjustRightInd w:val="0"/>
              <w:spacing w:line="360" w:lineRule="auto"/>
              <w:ind w:firstLine="524" w:firstLineChars="200"/>
              <w:rPr>
                <w:rFonts w:hint="eastAsia" w:eastAsia="宋体"/>
                <w:spacing w:val="11"/>
                <w:kern w:val="0"/>
                <w:position w:val="0"/>
                <w:sz w:val="24"/>
                <w:u w:val="none" w:color="auto"/>
                <w:lang w:val="en-US" w:eastAsia="zh-CN"/>
              </w:rPr>
            </w:pPr>
            <w:r>
              <w:rPr>
                <w:rFonts w:hint="eastAsia"/>
                <w:spacing w:val="11"/>
                <w:kern w:val="0"/>
                <w:position w:val="0"/>
                <w:sz w:val="24"/>
                <w:u w:val="none" w:color="auto"/>
                <w:lang w:val="en-US" w:eastAsia="zh-CN"/>
              </w:rPr>
              <w:t>⑤其他水土保持要求</w:t>
            </w:r>
          </w:p>
          <w:p w14:paraId="459AF5B9">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1）合理安排施工季节，尽量避免雨季施工。不能避免时，应该做好随时增加施工防护、排水工作的准备，保证施工期间排水畅通，不出现积水浸泡工作面的现象；</w:t>
            </w:r>
          </w:p>
          <w:p w14:paraId="30A0FD97">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2）土石方工程应及时防护，随挖、随运、随填、随夯，不留松土，减少裸露面积暴露时间；</w:t>
            </w:r>
          </w:p>
          <w:p w14:paraId="60D565C1">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3）合理安排施工进度，衔接好各施工程序，需按照“三同时”原则，及时配套完成水土保持措施，做到工序紧凑、有序，以减少施工期水土流失量；</w:t>
            </w:r>
          </w:p>
          <w:p w14:paraId="29E455F0">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4）优化主体工程土石方平衡，避免乱挖、乱弃土的现象发生，尽量减少人为水土流失的发生；</w:t>
            </w:r>
          </w:p>
          <w:p w14:paraId="7AA256FB">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5）土石方、弃方、弃土的运输车辆加盖板，以防洒落；</w:t>
            </w:r>
          </w:p>
          <w:p w14:paraId="139CCAFE">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6）剥离的表土在场内进行回填，用于矿区环境治理、土地复垦和复绿；</w:t>
            </w:r>
          </w:p>
          <w:p w14:paraId="7D061480">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7）临时排水沟需加膜铺垫，防止雨水对土壤的冲刷。</w:t>
            </w:r>
          </w:p>
          <w:p w14:paraId="08BBDBA5">
            <w:pPr>
              <w:autoSpaceDE w:val="0"/>
              <w:autoSpaceDN w:val="0"/>
              <w:adjustRightInd w:val="0"/>
              <w:spacing w:line="360" w:lineRule="auto"/>
              <w:ind w:firstLine="524" w:firstLineChars="200"/>
              <w:rPr>
                <w:spacing w:val="11"/>
                <w:kern w:val="0"/>
                <w:position w:val="0"/>
                <w:sz w:val="24"/>
                <w:u w:val="none" w:color="auto"/>
              </w:rPr>
            </w:pPr>
            <w:r>
              <w:rPr>
                <w:rFonts w:hint="eastAsia"/>
                <w:spacing w:val="11"/>
                <w:kern w:val="0"/>
                <w:position w:val="0"/>
                <w:sz w:val="24"/>
                <w:u w:val="none" w:color="auto"/>
                <w:lang w:val="en-US" w:eastAsia="zh-CN"/>
              </w:rPr>
              <w:t>8）若项目因不可抗力停工，各开采作业面等处，需布设临时水土保持措施。依据水土保持的需要，以有效防护为目的，各种临时防护措施灵活配置使用，除了对开挖的土方及时清运、集中堆放、采取平整、碾压、削坡开级等措施，尽量减轻水土流失外，采用帆布或塑料薄膜覆盖，防止水土流失。</w:t>
            </w:r>
          </w:p>
          <w:p w14:paraId="40FF8DB9">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通过以上措施可以有效的减缓水土流失。</w:t>
            </w:r>
          </w:p>
          <w:p w14:paraId="00834596">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3、矿山大气污染防治</w:t>
            </w:r>
          </w:p>
          <w:p w14:paraId="531062D1">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采矿清理地面植被时，禁止燃烧植被；运输剥离土、灰岩矿、废石的道路洒水降尘，车辆进出矿区对车轮进行冲洗，运输车辆车轮严禁带泥出场，有效控制车辆运输扬尘；</w:t>
            </w:r>
            <w:r>
              <w:rPr>
                <w:rFonts w:hint="eastAsia"/>
                <w:spacing w:val="11"/>
                <w:position w:val="0"/>
                <w:sz w:val="24"/>
                <w:u w:val="none" w:color="auto"/>
                <w:lang w:val="en-US" w:eastAsia="zh-CN"/>
              </w:rPr>
              <w:t>产品堆场</w:t>
            </w:r>
            <w:r>
              <w:rPr>
                <w:rFonts w:hint="eastAsia"/>
                <w:spacing w:val="11"/>
                <w:position w:val="0"/>
                <w:sz w:val="24"/>
                <w:u w:val="none" w:color="auto"/>
              </w:rPr>
              <w:t>扬尘采用洒水降尘，灰岩矿开采、爆破采用洒水降尘。矿区配备洒水车，洒水喷淋装置，采取措施后能有效控制矿区粉尘逸散，确保厂界无组织粉尘达标排放。</w:t>
            </w:r>
          </w:p>
          <w:p w14:paraId="38AA8528">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4、噪声污染防治</w:t>
            </w:r>
          </w:p>
          <w:p w14:paraId="468B1987">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1）</w:t>
            </w:r>
            <w:r>
              <w:rPr>
                <w:rFonts w:hint="eastAsia"/>
                <w:spacing w:val="11"/>
                <w:position w:val="0"/>
                <w:sz w:val="24"/>
                <w:u w:val="none" w:color="auto"/>
              </w:rPr>
              <w:t>爆破噪声防治措施</w:t>
            </w:r>
          </w:p>
          <w:p w14:paraId="0E2C689B">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①采用延期爆破。不仅能够降低爆破的地震效应，还能降低爆破噪声。将总药量分成几段小的药量，减小了爆破噪声。实际应用时，应注意方向效应，以免产生噪声的叠加。实践证明，只要布局合理，采用秒或毫秒延期爆破，降低噪声强度 1/3~1/2。</w:t>
            </w:r>
          </w:p>
          <w:p w14:paraId="5ECB3FFA">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②安排合理的爆破时间，避免在早晨或下午较晚时进行爆破。</w:t>
            </w:r>
          </w:p>
          <w:p w14:paraId="2C0A21E9">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③严密堵塞炮孔和加强覆盖，可大大减弱爆破噪声。</w:t>
            </w:r>
          </w:p>
          <w:p w14:paraId="5C3E7CAD">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采取措施后爆破噪声得到有效的控制，防治措施可行。</w:t>
            </w:r>
          </w:p>
          <w:p w14:paraId="061DF115">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2）</w:t>
            </w:r>
            <w:r>
              <w:rPr>
                <w:rFonts w:hint="eastAsia"/>
                <w:spacing w:val="11"/>
                <w:position w:val="0"/>
                <w:sz w:val="24"/>
                <w:u w:val="none" w:color="auto"/>
              </w:rPr>
              <w:t>设备噪声防治措施</w:t>
            </w:r>
          </w:p>
          <w:p w14:paraId="0C8B16F5">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露天采场高噪设备产生的噪声主要对矿山工作人员产生影响，减噪措施如下：</w:t>
            </w:r>
          </w:p>
          <w:p w14:paraId="73DC7458">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①严格控制生产作业时间，尽量避免在人们休息时间进行采矿作业，夜间不得进行生产。</w:t>
            </w:r>
          </w:p>
          <w:p w14:paraId="31EEB4A2">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②选用功能好、噪音低的生产设备，加强生产机械设备的日常维护，钻孔机、挖掘机等生产设备要注意润滑，并对老化和性能降低的旧设备进行及时更换，以此降低磨擦，减小噪声强度。</w:t>
            </w:r>
          </w:p>
          <w:p w14:paraId="36C45BBA">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③噪声对岗位操作工人影响较大，应给施工人员佩戴耳塞，以减少噪声对施工人员的影响。</w:t>
            </w:r>
          </w:p>
          <w:p w14:paraId="5370C1C0">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④对高噪声设备采用消声、隔声、减震等措施，各种噪声设备的噪声值可以得到较大幅度的削减。</w:t>
            </w:r>
          </w:p>
          <w:p w14:paraId="6EDDE61B">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在采区上述的防护措施后，各生产设备噪声对周边环境的影响均在环境可承受的范围之内，防噪措施可行。</w:t>
            </w:r>
          </w:p>
          <w:p w14:paraId="134B52F5">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3）</w:t>
            </w:r>
            <w:r>
              <w:rPr>
                <w:rFonts w:hint="eastAsia"/>
                <w:spacing w:val="11"/>
                <w:position w:val="0"/>
                <w:sz w:val="24"/>
                <w:u w:val="none" w:color="auto"/>
              </w:rPr>
              <w:t>交通噪声防治措施</w:t>
            </w:r>
          </w:p>
          <w:p w14:paraId="2612291E">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除了加强对运输汽车的日常维修保养工作，应严禁夜间进行汽车运输，禁止超载、超速、超负荷运行，以减少交通噪声对项目周围敏感点的影响。防治措施可行。</w:t>
            </w:r>
          </w:p>
          <w:p w14:paraId="4BBE3B31">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5、矿山废水污染防治</w:t>
            </w:r>
          </w:p>
          <w:p w14:paraId="0008776C">
            <w:pPr>
              <w:adjustRightInd w:val="0"/>
              <w:snapToGrid w:val="0"/>
              <w:spacing w:line="360" w:lineRule="auto"/>
              <w:ind w:firstLine="524" w:firstLineChars="200"/>
              <w:rPr>
                <w:rFonts w:ascii="宋体" w:hAnsi="宋体"/>
                <w:spacing w:val="11"/>
                <w:position w:val="0"/>
                <w:sz w:val="24"/>
                <w:u w:val="none" w:color="auto"/>
              </w:rPr>
            </w:pPr>
            <w:r>
              <w:rPr>
                <w:rFonts w:hint="eastAsia"/>
                <w:spacing w:val="11"/>
                <w:position w:val="0"/>
                <w:sz w:val="24"/>
                <w:u w:val="none" w:color="auto"/>
              </w:rPr>
              <w:t>矿山废水主要为车辆冲洗、径流雨水（含初期雨水、矿坑水）、生活污水。车辆冲洗废水沉淀处理后循环使用，不外排；矿坑水通过开采平台道路旁截流沟进入采区</w:t>
            </w:r>
            <w:r>
              <w:rPr>
                <w:rFonts w:hint="eastAsia"/>
                <w:spacing w:val="11"/>
                <w:position w:val="0"/>
                <w:sz w:val="24"/>
                <w:u w:val="none" w:color="auto"/>
                <w:lang w:eastAsia="zh-CN"/>
              </w:rPr>
              <w:t>西</w:t>
            </w:r>
            <w:r>
              <w:rPr>
                <w:rFonts w:hint="eastAsia"/>
                <w:spacing w:val="11"/>
                <w:position w:val="0"/>
                <w:sz w:val="24"/>
                <w:u w:val="none" w:color="auto"/>
              </w:rPr>
              <w:t>南面沉淀池沉淀后回用于矿山开采区的洒水抑尘；</w:t>
            </w:r>
            <w:r>
              <w:rPr>
                <w:spacing w:val="11"/>
                <w:position w:val="0"/>
                <w:sz w:val="24"/>
                <w:u w:val="none" w:color="auto"/>
              </w:rPr>
              <w:t>矿区地表径流雨水通过矿区截流沟导入沉淀池（矿区</w:t>
            </w:r>
            <w:r>
              <w:rPr>
                <w:rFonts w:hint="eastAsia"/>
                <w:spacing w:val="11"/>
                <w:position w:val="0"/>
                <w:sz w:val="24"/>
                <w:u w:val="none" w:color="auto"/>
                <w:lang w:eastAsia="zh-CN"/>
              </w:rPr>
              <w:t>西</w:t>
            </w:r>
            <w:r>
              <w:rPr>
                <w:rFonts w:hint="eastAsia"/>
                <w:spacing w:val="11"/>
                <w:position w:val="0"/>
                <w:sz w:val="24"/>
                <w:u w:val="none" w:color="auto"/>
              </w:rPr>
              <w:t>南面</w:t>
            </w:r>
            <w:r>
              <w:rPr>
                <w:spacing w:val="11"/>
                <w:position w:val="0"/>
                <w:sz w:val="24"/>
                <w:u w:val="none" w:color="auto"/>
              </w:rPr>
              <w:t>设沉淀池，根据地势高差合理布设）。</w:t>
            </w:r>
            <w:r>
              <w:rPr>
                <w:rFonts w:hint="eastAsia"/>
                <w:spacing w:val="11"/>
                <w:position w:val="0"/>
                <w:sz w:val="24"/>
                <w:u w:val="none" w:color="auto"/>
              </w:rPr>
              <w:t>初期雨水经导流沟收集再沉淀处理后回用于生产或降尘；岩溶水、径流雨水经截流沟收集沉淀后沿地势排放</w:t>
            </w:r>
            <w:r>
              <w:rPr>
                <w:rFonts w:ascii="宋体" w:hAnsi="宋体"/>
                <w:spacing w:val="11"/>
                <w:position w:val="0"/>
                <w:sz w:val="24"/>
                <w:u w:val="none" w:color="auto"/>
              </w:rPr>
              <w:t>；生活污水经化粪池处理后做农肥，不外排。</w:t>
            </w:r>
          </w:p>
          <w:p w14:paraId="22265AE8">
            <w:pPr>
              <w:adjustRightInd w:val="0"/>
              <w:snapToGrid w:val="0"/>
              <w:spacing w:line="360" w:lineRule="auto"/>
              <w:ind w:firstLine="526" w:firstLineChars="200"/>
              <w:rPr>
                <w:rFonts w:hint="eastAsia" w:ascii="Times New Roman" w:hAnsi="Times New Roman" w:eastAsia="宋体" w:cs="Times New Roman"/>
                <w:b/>
                <w:bCs/>
                <w:spacing w:val="11"/>
                <w:position w:val="0"/>
                <w:sz w:val="24"/>
                <w:u w:val="none" w:color="auto"/>
              </w:rPr>
            </w:pPr>
            <w:r>
              <w:rPr>
                <w:rFonts w:hint="eastAsia" w:ascii="Times New Roman" w:hAnsi="Times New Roman" w:eastAsia="宋体" w:cs="Times New Roman"/>
                <w:b/>
                <w:bCs/>
                <w:spacing w:val="11"/>
                <w:position w:val="0"/>
                <w:sz w:val="24"/>
                <w:u w:val="none" w:color="auto"/>
              </w:rPr>
              <w:t>6、生态修复方案及要求</w:t>
            </w:r>
          </w:p>
          <w:p w14:paraId="3CDC91DA">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1）</w:t>
            </w:r>
            <w:r>
              <w:rPr>
                <w:rFonts w:hint="eastAsia"/>
                <w:spacing w:val="11"/>
                <w:position w:val="0"/>
                <w:sz w:val="24"/>
                <w:u w:val="none" w:color="auto"/>
              </w:rPr>
              <w:t>修复目标</w:t>
            </w:r>
          </w:p>
          <w:p w14:paraId="18AEF822">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促进矿山企业按《矿山生态保护修复方案》开展生态环境保护与复垦工作，消除地质灾害安全隐患，使矿山地质坏境得到保护，矿区生态环境得以改善。</w:t>
            </w:r>
          </w:p>
          <w:p w14:paraId="6CAF1DAC">
            <w:pPr>
              <w:spacing w:line="360" w:lineRule="auto"/>
              <w:ind w:firstLine="480"/>
              <w:rPr>
                <w:spacing w:val="11"/>
                <w:position w:val="0"/>
                <w:sz w:val="24"/>
                <w:u w:val="none" w:color="auto"/>
              </w:rPr>
            </w:pPr>
            <w:r>
              <w:rPr>
                <w:rFonts w:hint="eastAsia"/>
                <w:spacing w:val="11"/>
                <w:position w:val="0"/>
                <w:sz w:val="24"/>
                <w:u w:val="none" w:color="auto"/>
              </w:rPr>
              <w:t>②</w:t>
            </w:r>
            <w:r>
              <w:rPr>
                <w:spacing w:val="11"/>
                <w:position w:val="0"/>
                <w:sz w:val="24"/>
                <w:u w:val="none" w:color="auto"/>
              </w:rPr>
              <w:t>定期监测，矿山废水做到达标排放。</w:t>
            </w:r>
          </w:p>
          <w:p w14:paraId="13D024B0">
            <w:pPr>
              <w:spacing w:line="360" w:lineRule="auto"/>
              <w:ind w:firstLine="480"/>
              <w:rPr>
                <w:spacing w:val="11"/>
                <w:position w:val="0"/>
                <w:sz w:val="24"/>
                <w:u w:val="none" w:color="auto"/>
              </w:rPr>
            </w:pPr>
            <w:r>
              <w:rPr>
                <w:rFonts w:hint="eastAsia"/>
                <w:spacing w:val="11"/>
                <w:position w:val="0"/>
                <w:sz w:val="24"/>
                <w:u w:val="none" w:color="auto"/>
              </w:rPr>
              <w:t>③</w:t>
            </w:r>
            <w:r>
              <w:rPr>
                <w:spacing w:val="11"/>
                <w:position w:val="0"/>
                <w:sz w:val="24"/>
                <w:u w:val="none" w:color="auto"/>
              </w:rPr>
              <w:t>灾害治理率达100</w:t>
            </w:r>
            <w:r>
              <w:rPr>
                <w:rFonts w:hint="eastAsia"/>
                <w:spacing w:val="11"/>
                <w:position w:val="0"/>
                <w:sz w:val="24"/>
                <w:u w:val="none" w:color="auto"/>
                <w:lang w:val="en-US" w:eastAsia="zh-CN"/>
              </w:rPr>
              <w:t>%</w:t>
            </w:r>
            <w:r>
              <w:rPr>
                <w:spacing w:val="11"/>
                <w:position w:val="0"/>
                <w:sz w:val="24"/>
                <w:u w:val="none" w:color="auto"/>
              </w:rPr>
              <w:t>；对矿区可能存在的灾害隐患点定期监测、巡查及时消除安全隐患，对发生的灾害及时治理到位。</w:t>
            </w:r>
          </w:p>
          <w:p w14:paraId="3820F17D">
            <w:pPr>
              <w:spacing w:line="360" w:lineRule="auto"/>
              <w:ind w:firstLine="480"/>
              <w:rPr>
                <w:spacing w:val="11"/>
                <w:position w:val="0"/>
                <w:sz w:val="24"/>
                <w:u w:val="none" w:color="auto"/>
              </w:rPr>
            </w:pPr>
            <w:r>
              <w:rPr>
                <w:rFonts w:hint="eastAsia"/>
                <w:spacing w:val="11"/>
                <w:position w:val="0"/>
                <w:sz w:val="24"/>
                <w:u w:val="none" w:color="auto"/>
              </w:rPr>
              <w:t>④</w:t>
            </w:r>
            <w:r>
              <w:rPr>
                <w:spacing w:val="11"/>
                <w:position w:val="0"/>
                <w:sz w:val="24"/>
                <w:u w:val="none" w:color="auto"/>
              </w:rPr>
              <w:t>土地复垦率100</w:t>
            </w:r>
            <w:r>
              <w:rPr>
                <w:rFonts w:hint="eastAsia"/>
                <w:spacing w:val="11"/>
                <w:position w:val="0"/>
                <w:sz w:val="24"/>
                <w:u w:val="none" w:color="auto"/>
                <w:lang w:val="en-US" w:eastAsia="zh-CN"/>
              </w:rPr>
              <w:t>%</w:t>
            </w:r>
            <w:r>
              <w:rPr>
                <w:spacing w:val="11"/>
                <w:position w:val="0"/>
                <w:sz w:val="24"/>
                <w:u w:val="none" w:color="auto"/>
              </w:rPr>
              <w:t>；矿山闭坑后对所有占用、破坏的土地及时复垦。</w:t>
            </w:r>
          </w:p>
          <w:p w14:paraId="26992433">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⑤</w:t>
            </w:r>
            <w:r>
              <w:rPr>
                <w:spacing w:val="11"/>
                <w:position w:val="0"/>
                <w:sz w:val="24"/>
                <w:u w:val="none" w:color="auto"/>
              </w:rPr>
              <w:t>矿区生态环境保护方面能达标绿色矿山建设要求，能保持区域整体生态系统功能得到保护和修复。</w:t>
            </w:r>
          </w:p>
          <w:p w14:paraId="79E4A183">
            <w:pPr>
              <w:pStyle w:val="6"/>
              <w:tabs>
                <w:tab w:val="left" w:pos="720"/>
              </w:tabs>
              <w:adjustRightInd w:val="0"/>
              <w:snapToGrid w:val="0"/>
              <w:spacing w:before="0" w:after="0" w:line="360" w:lineRule="auto"/>
              <w:ind w:left="760" w:leftChars="185" w:hanging="372" w:hangingChars="142"/>
              <w:rPr>
                <w:b w:val="0"/>
                <w:spacing w:val="11"/>
                <w:position w:val="0"/>
                <w:sz w:val="24"/>
                <w:szCs w:val="24"/>
                <w:u w:val="none" w:color="auto"/>
              </w:rPr>
            </w:pPr>
            <w:r>
              <w:rPr>
                <w:rFonts w:hint="eastAsia"/>
                <w:b w:val="0"/>
                <w:spacing w:val="11"/>
                <w:position w:val="0"/>
                <w:sz w:val="24"/>
                <w:szCs w:val="24"/>
                <w:u w:val="none" w:color="auto"/>
                <w:lang w:eastAsia="zh-CN"/>
              </w:rPr>
              <w:t>（</w:t>
            </w:r>
            <w:r>
              <w:rPr>
                <w:rFonts w:hint="eastAsia"/>
                <w:b w:val="0"/>
                <w:spacing w:val="11"/>
                <w:position w:val="0"/>
                <w:sz w:val="24"/>
                <w:szCs w:val="24"/>
                <w:u w:val="none" w:color="auto"/>
                <w:lang w:val="en-US" w:eastAsia="zh-CN"/>
              </w:rPr>
              <w:t>2）</w:t>
            </w:r>
            <w:r>
              <w:rPr>
                <w:rFonts w:hint="eastAsia"/>
                <w:b w:val="0"/>
                <w:spacing w:val="11"/>
                <w:position w:val="0"/>
                <w:sz w:val="24"/>
                <w:szCs w:val="24"/>
                <w:u w:val="none" w:color="auto"/>
              </w:rPr>
              <w:t>修复</w:t>
            </w:r>
            <w:r>
              <w:rPr>
                <w:b w:val="0"/>
                <w:spacing w:val="11"/>
                <w:position w:val="0"/>
                <w:sz w:val="24"/>
                <w:szCs w:val="24"/>
                <w:u w:val="none" w:color="auto"/>
              </w:rPr>
              <w:t>措施</w:t>
            </w:r>
          </w:p>
          <w:p w14:paraId="7BF1564F">
            <w:pPr>
              <w:spacing w:line="360" w:lineRule="auto"/>
              <w:ind w:firstLine="480"/>
              <w:rPr>
                <w:spacing w:val="11"/>
                <w:position w:val="0"/>
                <w:sz w:val="24"/>
                <w:u w:val="none" w:color="auto"/>
              </w:rPr>
            </w:pPr>
            <w:r>
              <w:rPr>
                <w:spacing w:val="11"/>
                <w:position w:val="0"/>
                <w:sz w:val="24"/>
                <w:u w:val="none" w:color="auto"/>
              </w:rPr>
              <w:t>矿山生态保护修复措施主要有保护保育、自然恢复、人工辅助修复等。本次根据</w:t>
            </w:r>
            <w:r>
              <w:rPr>
                <w:rFonts w:hint="eastAsia"/>
                <w:spacing w:val="11"/>
                <w:position w:val="0"/>
                <w:sz w:val="24"/>
                <w:u w:val="none" w:color="auto"/>
              </w:rPr>
              <w:t>枇杷托</w:t>
            </w:r>
            <w:r>
              <w:rPr>
                <w:spacing w:val="11"/>
                <w:position w:val="0"/>
                <w:sz w:val="24"/>
                <w:u w:val="none" w:color="auto"/>
              </w:rPr>
              <w:t>石灰岩矿生态问题诊断，结合自然恢复，采取改善物理环境，参照本地生态系统引入适宜物种，移除导致生态系统退化的物种等中小强度的人工辅助措施，引导和促进生态系统逐步恢复。根据以上修复模式相关要求和主要做法：</w:t>
            </w:r>
          </w:p>
          <w:p w14:paraId="5D7F63A9">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矿山开采前期间沿采坑封闭圈修建安全防护围栏并设立警示标识，矿界外围修建截排水沟及沉淀池。</w:t>
            </w:r>
          </w:p>
          <w:p w14:paraId="72776095">
            <w:pPr>
              <w:spacing w:line="360" w:lineRule="auto"/>
              <w:ind w:firstLine="480"/>
              <w:rPr>
                <w:spacing w:val="11"/>
                <w:position w:val="0"/>
                <w:sz w:val="24"/>
                <w:u w:val="none" w:color="auto"/>
              </w:rPr>
            </w:pPr>
            <w:r>
              <w:rPr>
                <w:rFonts w:hint="eastAsia"/>
                <w:spacing w:val="11"/>
                <w:position w:val="0"/>
                <w:sz w:val="24"/>
                <w:u w:val="none" w:color="auto"/>
              </w:rPr>
              <w:t>②</w:t>
            </w:r>
            <w:r>
              <w:rPr>
                <w:spacing w:val="11"/>
                <w:position w:val="0"/>
                <w:sz w:val="24"/>
                <w:u w:val="none" w:color="auto"/>
              </w:rPr>
              <w:t>矿山开采后设置地质灾害监测点，对可能的地质灾害进行防治。</w:t>
            </w:r>
          </w:p>
          <w:p w14:paraId="310835D9">
            <w:pPr>
              <w:spacing w:line="360" w:lineRule="auto"/>
              <w:ind w:firstLine="480"/>
              <w:rPr>
                <w:spacing w:val="11"/>
                <w:position w:val="0"/>
                <w:sz w:val="24"/>
                <w:u w:val="none" w:color="auto"/>
              </w:rPr>
            </w:pPr>
            <w:r>
              <w:rPr>
                <w:rFonts w:hint="eastAsia"/>
                <w:spacing w:val="11"/>
                <w:position w:val="0"/>
                <w:sz w:val="24"/>
                <w:u w:val="none" w:color="auto"/>
              </w:rPr>
              <w:t>③</w:t>
            </w:r>
            <w:r>
              <w:rPr>
                <w:spacing w:val="11"/>
                <w:position w:val="0"/>
                <w:sz w:val="24"/>
                <w:u w:val="none" w:color="auto"/>
              </w:rPr>
              <w:t>开采期间严格按照设计留设采场边坡，并对其开展地质灾害监测工程。中段终了后，对露采场边坡表面存在的明显松动的危岩体和浮石进行清除，沿平台修筑排水沟，并对平台、坡面进行覆土复绿。</w:t>
            </w:r>
          </w:p>
          <w:p w14:paraId="3E91EC22">
            <w:pPr>
              <w:spacing w:line="360" w:lineRule="auto"/>
              <w:ind w:firstLine="480"/>
              <w:rPr>
                <w:spacing w:val="11"/>
                <w:position w:val="0"/>
                <w:sz w:val="24"/>
                <w:u w:val="none" w:color="auto"/>
              </w:rPr>
            </w:pPr>
            <w:r>
              <w:rPr>
                <w:rFonts w:hint="eastAsia"/>
                <w:spacing w:val="11"/>
                <w:position w:val="0"/>
                <w:sz w:val="24"/>
                <w:u w:val="none" w:color="auto"/>
              </w:rPr>
              <w:t>④</w:t>
            </w:r>
            <w:r>
              <w:rPr>
                <w:spacing w:val="11"/>
                <w:position w:val="0"/>
                <w:sz w:val="24"/>
                <w:u w:val="none" w:color="auto"/>
              </w:rPr>
              <w:t>矿山闭采后，全面复垦，露采场底盘复垦为林地和草地。</w:t>
            </w:r>
          </w:p>
          <w:p w14:paraId="1900D13A">
            <w:pPr>
              <w:spacing w:line="360" w:lineRule="auto"/>
              <w:ind w:firstLine="480"/>
              <w:rPr>
                <w:spacing w:val="11"/>
                <w:position w:val="0"/>
                <w:sz w:val="24"/>
                <w:u w:val="none" w:color="auto"/>
              </w:rPr>
            </w:pPr>
            <w:r>
              <w:rPr>
                <w:rFonts w:hint="eastAsia"/>
                <w:spacing w:val="11"/>
                <w:position w:val="0"/>
                <w:sz w:val="24"/>
                <w:u w:val="none" w:color="auto"/>
              </w:rPr>
              <w:t>⑤</w:t>
            </w:r>
            <w:r>
              <w:rPr>
                <w:spacing w:val="11"/>
                <w:position w:val="0"/>
                <w:sz w:val="24"/>
                <w:u w:val="none" w:color="auto"/>
              </w:rPr>
              <w:t>开采期间对矿山排水和废水进行处理、综合利用及水质监测，使矿山废水达标排放。</w:t>
            </w:r>
          </w:p>
          <w:p w14:paraId="5C337BA4">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⑥</w:t>
            </w:r>
            <w:r>
              <w:rPr>
                <w:spacing w:val="11"/>
                <w:position w:val="0"/>
                <w:sz w:val="24"/>
                <w:u w:val="none" w:color="auto"/>
              </w:rPr>
              <w:t>对于生态修复完毕的土地，开展3年的管护期，防止土地的退化</w:t>
            </w:r>
            <w:r>
              <w:rPr>
                <w:rFonts w:hint="eastAsia"/>
                <w:spacing w:val="11"/>
                <w:position w:val="0"/>
                <w:sz w:val="24"/>
                <w:u w:val="none" w:color="auto"/>
              </w:rPr>
              <w:t>。</w:t>
            </w:r>
          </w:p>
          <w:p w14:paraId="25149A63">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本矿山区位条件不与“生态公益林”、各类“自然保护区”相邻，但矿山后续矿业活动应严格控制矿山建设工程计划用地，保护建设场地以外往的生态环境，禁止非建设的乱砍滥伐、毁损植被和猎捕行为。将生态保护理念贯穿至矿山开采全生命周期。</w:t>
            </w:r>
          </w:p>
          <w:p w14:paraId="3DE9AECB">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未来矿山闭坑后需全面恢复植被，因此本次不再设计景观修复工程。但是矿山在建设过程中应严格按照绿色矿山建设方案的设计，加强绿化，尤其是办公生活区的美化工作。</w:t>
            </w:r>
          </w:p>
          <w:p w14:paraId="71C57691">
            <w:pPr>
              <w:spacing w:line="360" w:lineRule="auto"/>
              <w:ind w:firstLine="48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3）</w:t>
            </w:r>
            <w:r>
              <w:rPr>
                <w:spacing w:val="11"/>
                <w:position w:val="0"/>
                <w:sz w:val="24"/>
                <w:u w:val="none" w:color="auto"/>
              </w:rPr>
              <w:t>复垦</w:t>
            </w:r>
            <w:r>
              <w:rPr>
                <w:rFonts w:hint="eastAsia"/>
                <w:spacing w:val="11"/>
                <w:position w:val="0"/>
                <w:sz w:val="24"/>
                <w:u w:val="none" w:color="auto"/>
              </w:rPr>
              <w:t>方向的选择</w:t>
            </w:r>
          </w:p>
          <w:p w14:paraId="14053529">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矿山开采完毕后，结合国土空间规划、地质环境条件类型和开采规模，根据当地居民意愿，保留原有露采场及边坡，因地制宜，露采场台阶</w:t>
            </w:r>
            <w:r>
              <w:rPr>
                <w:rFonts w:hint="eastAsia" w:ascii="宋体" w:hAnsi="宋体" w:cs="宋体"/>
                <w:spacing w:val="11"/>
                <w:kern w:val="0"/>
                <w:position w:val="0"/>
                <w:sz w:val="24"/>
                <w:u w:val="none" w:color="auto"/>
                <w:lang w:val="en-US" w:eastAsia="zh-CN" w:bidi="ar"/>
              </w:rPr>
              <w:t>和</w:t>
            </w:r>
            <w:r>
              <w:rPr>
                <w:rFonts w:hint="eastAsia" w:ascii="宋体" w:hAnsi="宋体" w:cs="宋体"/>
                <w:spacing w:val="11"/>
                <w:kern w:val="0"/>
                <w:position w:val="0"/>
                <w:sz w:val="24"/>
                <w:u w:val="none" w:color="auto"/>
                <w:lang w:bidi="ar"/>
              </w:rPr>
              <w:t>斜坡复垦为草地，总体定位以恢复植被生态为主。</w:t>
            </w:r>
          </w:p>
          <w:p w14:paraId="283B7EF8">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根据开发利用方案，矿山采用露天开采，露采场开采台阶斜面坡度达</w:t>
            </w:r>
            <w:r>
              <w:rPr>
                <w:rFonts w:hint="eastAsia" w:ascii="宋体" w:hAnsi="宋体" w:cs="宋体"/>
                <w:spacing w:val="11"/>
                <w:kern w:val="0"/>
                <w:position w:val="0"/>
                <w:sz w:val="24"/>
                <w:u w:val="none" w:color="auto"/>
                <w:lang w:val="en-US" w:eastAsia="zh-CN" w:bidi="ar"/>
              </w:rPr>
              <w:t>30~</w:t>
            </w:r>
            <w:r>
              <w:rPr>
                <w:rFonts w:hint="eastAsia" w:ascii="宋体" w:hAnsi="宋体" w:cs="宋体"/>
                <w:spacing w:val="11"/>
                <w:kern w:val="0"/>
                <w:position w:val="0"/>
                <w:sz w:val="24"/>
                <w:u w:val="none" w:color="auto"/>
                <w:lang w:bidi="ar"/>
              </w:rPr>
              <w:t>6</w:t>
            </w:r>
            <w:r>
              <w:rPr>
                <w:rFonts w:hint="eastAsia" w:ascii="宋体" w:hAnsi="宋体" w:cs="宋体"/>
                <w:spacing w:val="11"/>
                <w:kern w:val="0"/>
                <w:position w:val="0"/>
                <w:sz w:val="24"/>
                <w:u w:val="none" w:color="auto"/>
                <w:lang w:val="en-US" w:eastAsia="zh-CN" w:bidi="ar"/>
              </w:rPr>
              <w:t>5</w:t>
            </w:r>
            <w:r>
              <w:rPr>
                <w:rFonts w:hint="eastAsia" w:ascii="宋体" w:hAnsi="宋体" w:cs="宋体"/>
                <w:spacing w:val="11"/>
                <w:kern w:val="0"/>
                <w:position w:val="0"/>
                <w:sz w:val="24"/>
                <w:u w:val="none" w:color="auto"/>
                <w:lang w:bidi="ar"/>
              </w:rPr>
              <w:t>°，无法覆土，采用在斜面坡脚种植攀爬性藤类对斜面进行绿化。</w:t>
            </w:r>
          </w:p>
          <w:p w14:paraId="6D6D1092">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因此，本方案设计将露采场开采台阶平台复垦为</w:t>
            </w:r>
            <w:r>
              <w:rPr>
                <w:rFonts w:hint="eastAsia" w:ascii="宋体" w:hAnsi="宋体" w:cs="宋体"/>
                <w:spacing w:val="11"/>
                <w:kern w:val="0"/>
                <w:position w:val="0"/>
                <w:sz w:val="24"/>
                <w:u w:val="none" w:color="auto"/>
                <w:lang w:val="en-US" w:eastAsia="zh-CN" w:bidi="ar"/>
              </w:rPr>
              <w:t>草</w:t>
            </w:r>
            <w:r>
              <w:rPr>
                <w:rFonts w:hint="eastAsia" w:ascii="宋体" w:hAnsi="宋体" w:cs="宋体"/>
                <w:spacing w:val="11"/>
                <w:kern w:val="0"/>
                <w:position w:val="0"/>
                <w:sz w:val="24"/>
                <w:u w:val="none" w:color="auto"/>
                <w:lang w:bidi="ar"/>
              </w:rPr>
              <w:t>地</w:t>
            </w:r>
            <w:r>
              <w:rPr>
                <w:rFonts w:hint="eastAsia" w:ascii="宋体" w:hAnsi="宋体" w:cs="宋体"/>
                <w:spacing w:val="11"/>
                <w:kern w:val="0"/>
                <w:position w:val="0"/>
                <w:sz w:val="24"/>
                <w:u w:val="none" w:color="auto"/>
                <w:lang w:eastAsia="zh-CN" w:bidi="ar"/>
              </w:rPr>
              <w:t>，</w:t>
            </w:r>
            <w:r>
              <w:rPr>
                <w:rFonts w:hint="eastAsia" w:ascii="宋体" w:hAnsi="宋体" w:cs="宋体"/>
                <w:spacing w:val="11"/>
                <w:kern w:val="0"/>
                <w:position w:val="0"/>
                <w:sz w:val="24"/>
                <w:u w:val="none" w:color="auto"/>
                <w:lang w:bidi="ar"/>
              </w:rPr>
              <w:t>开采台阶斜坡栽种攀爬性藤类复垦成草地；</w:t>
            </w:r>
            <w:r>
              <w:rPr>
                <w:rFonts w:hint="eastAsia" w:ascii="宋体" w:hAnsi="宋体" w:cs="宋体"/>
                <w:spacing w:val="11"/>
                <w:kern w:val="0"/>
                <w:position w:val="0"/>
                <w:sz w:val="24"/>
                <w:u w:val="none" w:color="auto"/>
                <w:lang w:val="en-US" w:eastAsia="zh-CN" w:bidi="ar"/>
              </w:rPr>
              <w:t>矿山建筑石料生产工业广场复垦为林地</w:t>
            </w:r>
            <w:r>
              <w:rPr>
                <w:rFonts w:hint="eastAsia" w:ascii="宋体" w:hAnsi="宋体" w:cs="宋体"/>
                <w:spacing w:val="11"/>
                <w:kern w:val="0"/>
                <w:position w:val="0"/>
                <w:sz w:val="24"/>
                <w:u w:val="none" w:color="auto"/>
                <w:lang w:bidi="ar"/>
              </w:rPr>
              <w:t>。</w:t>
            </w:r>
          </w:p>
          <w:p w14:paraId="306A83D5">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综上所述，复垦方向初步确定为林地和草地</w:t>
            </w:r>
            <w:r>
              <w:rPr>
                <w:rFonts w:hint="eastAsia" w:ascii="宋体" w:hAnsi="宋体" w:cs="宋体"/>
                <w:spacing w:val="11"/>
                <w:kern w:val="0"/>
                <w:position w:val="0"/>
                <w:sz w:val="24"/>
                <w:u w:val="none" w:color="auto"/>
                <w:lang w:eastAsia="zh-CN" w:bidi="ar"/>
              </w:rPr>
              <w:t>，</w:t>
            </w:r>
            <w:r>
              <w:rPr>
                <w:rFonts w:hint="eastAsia" w:ascii="宋体" w:hAnsi="宋体" w:cs="宋体"/>
                <w:spacing w:val="11"/>
                <w:kern w:val="0"/>
                <w:position w:val="0"/>
                <w:sz w:val="24"/>
                <w:u w:val="none" w:color="auto"/>
                <w:lang w:val="en-US" w:eastAsia="zh-CN" w:bidi="ar"/>
              </w:rPr>
              <w:t>详见下表</w:t>
            </w:r>
            <w:r>
              <w:rPr>
                <w:rFonts w:hint="eastAsia" w:ascii="宋体" w:hAnsi="宋体" w:cs="宋体"/>
                <w:spacing w:val="11"/>
                <w:kern w:val="0"/>
                <w:position w:val="0"/>
                <w:sz w:val="24"/>
                <w:u w:val="none" w:color="auto"/>
                <w:lang w:bidi="ar"/>
              </w:rPr>
              <w:t>。</w:t>
            </w:r>
          </w:p>
          <w:p w14:paraId="17BAFD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pacing w:val="11"/>
                <w:kern w:val="0"/>
                <w:position w:val="0"/>
                <w:sz w:val="21"/>
                <w:szCs w:val="21"/>
                <w:u w:val="none" w:color="auto"/>
                <w:lang w:val="en-US" w:eastAsia="zh-CN" w:bidi="ar"/>
              </w:rPr>
            </w:pPr>
            <w:r>
              <w:rPr>
                <w:rFonts w:hint="default" w:ascii="Times New Roman" w:hAnsi="Times New Roman" w:cs="Times New Roman"/>
                <w:b/>
                <w:bCs/>
                <w:spacing w:val="11"/>
                <w:kern w:val="0"/>
                <w:position w:val="0"/>
                <w:sz w:val="21"/>
                <w:szCs w:val="21"/>
                <w:u w:val="none" w:color="auto"/>
                <w:lang w:val="en-US" w:eastAsia="zh-CN" w:bidi="ar"/>
              </w:rPr>
              <w:t>表5-1  各复垦单元复垦方向说明表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361"/>
              <w:gridCol w:w="2094"/>
              <w:gridCol w:w="3535"/>
            </w:tblGrid>
            <w:tr w14:paraId="51350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14:paraId="3EC15C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名称</w:t>
                  </w:r>
                </w:p>
              </w:tc>
              <w:tc>
                <w:tcPr>
                  <w:tcW w:w="2094" w:type="dxa"/>
                  <w:tcBorders>
                    <w:tl2br w:val="nil"/>
                    <w:tr2bl w:val="nil"/>
                  </w:tcBorders>
                  <w:tcMar>
                    <w:top w:w="28" w:type="dxa"/>
                    <w:left w:w="28" w:type="dxa"/>
                    <w:bottom w:w="28" w:type="dxa"/>
                    <w:right w:w="28" w:type="dxa"/>
                  </w:tcMar>
                  <w:vAlign w:val="center"/>
                </w:tcPr>
                <w:p w14:paraId="32F806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面积（hm</w:t>
                  </w:r>
                  <w:r>
                    <w:rPr>
                      <w:rFonts w:hint="default" w:ascii="Times New Roman" w:hAnsi="Times New Roman" w:cs="Times New Roman"/>
                      <w:spacing w:val="11"/>
                      <w:kern w:val="0"/>
                      <w:position w:val="0"/>
                      <w:sz w:val="21"/>
                      <w:szCs w:val="21"/>
                      <w:u w:val="none" w:color="auto"/>
                      <w:vertAlign w:val="superscript"/>
                      <w:lang w:bidi="ar"/>
                    </w:rPr>
                    <w:t>2</w:t>
                  </w:r>
                  <w:r>
                    <w:rPr>
                      <w:rFonts w:hint="default" w:ascii="Times New Roman" w:hAnsi="Times New Roman" w:cs="Times New Roman"/>
                      <w:spacing w:val="11"/>
                      <w:kern w:val="0"/>
                      <w:position w:val="0"/>
                      <w:sz w:val="21"/>
                      <w:szCs w:val="21"/>
                      <w:u w:val="none" w:color="auto"/>
                      <w:lang w:bidi="ar"/>
                    </w:rPr>
                    <w:t>）</w:t>
                  </w:r>
                </w:p>
              </w:tc>
              <w:tc>
                <w:tcPr>
                  <w:tcW w:w="3535" w:type="dxa"/>
                  <w:tcBorders>
                    <w:tl2br w:val="nil"/>
                    <w:tr2bl w:val="nil"/>
                  </w:tcBorders>
                  <w:tcMar>
                    <w:top w:w="28" w:type="dxa"/>
                    <w:left w:w="28" w:type="dxa"/>
                    <w:bottom w:w="28" w:type="dxa"/>
                    <w:right w:w="28" w:type="dxa"/>
                  </w:tcMar>
                  <w:vAlign w:val="center"/>
                </w:tcPr>
                <w:p w14:paraId="4B5C77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复垦方向</w:t>
                  </w:r>
                </w:p>
              </w:tc>
            </w:tr>
            <w:tr w14:paraId="751E0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14:paraId="773434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露采场</w:t>
                  </w:r>
                </w:p>
              </w:tc>
              <w:tc>
                <w:tcPr>
                  <w:tcW w:w="2094" w:type="dxa"/>
                  <w:tcBorders>
                    <w:tl2br w:val="nil"/>
                    <w:tr2bl w:val="nil"/>
                  </w:tcBorders>
                  <w:tcMar>
                    <w:top w:w="28" w:type="dxa"/>
                    <w:left w:w="28" w:type="dxa"/>
                    <w:bottom w:w="28" w:type="dxa"/>
                    <w:right w:w="28" w:type="dxa"/>
                  </w:tcMar>
                  <w:vAlign w:val="center"/>
                </w:tcPr>
                <w:p w14:paraId="3A4AE6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val="en-US" w:eastAsia="zh-CN" w:bidi="ar"/>
                    </w:rPr>
                    <w:t>6.93</w:t>
                  </w:r>
                </w:p>
              </w:tc>
              <w:tc>
                <w:tcPr>
                  <w:tcW w:w="3535" w:type="dxa"/>
                  <w:tcBorders>
                    <w:tl2br w:val="nil"/>
                    <w:tr2bl w:val="nil"/>
                  </w:tcBorders>
                  <w:tcMar>
                    <w:top w:w="28" w:type="dxa"/>
                    <w:left w:w="28" w:type="dxa"/>
                    <w:bottom w:w="28" w:type="dxa"/>
                    <w:right w:w="28" w:type="dxa"/>
                  </w:tcMar>
                  <w:vAlign w:val="center"/>
                </w:tcPr>
                <w:p w14:paraId="7AA929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草地</w:t>
                  </w:r>
                </w:p>
              </w:tc>
            </w:tr>
            <w:tr w14:paraId="21705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14:paraId="26F563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工业广场</w:t>
                  </w:r>
                </w:p>
              </w:tc>
              <w:tc>
                <w:tcPr>
                  <w:tcW w:w="2094" w:type="dxa"/>
                  <w:tcBorders>
                    <w:tl2br w:val="nil"/>
                    <w:tr2bl w:val="nil"/>
                  </w:tcBorders>
                  <w:tcMar>
                    <w:top w:w="28" w:type="dxa"/>
                    <w:left w:w="28" w:type="dxa"/>
                    <w:bottom w:w="28" w:type="dxa"/>
                    <w:right w:w="28" w:type="dxa"/>
                  </w:tcMar>
                  <w:vAlign w:val="center"/>
                </w:tcPr>
                <w:p w14:paraId="0EDC54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bidi="ar"/>
                    </w:rPr>
                  </w:pPr>
                  <w:r>
                    <w:rPr>
                      <w:rFonts w:hint="default" w:ascii="Times New Roman" w:hAnsi="Times New Roman" w:cs="Times New Roman"/>
                      <w:spacing w:val="11"/>
                      <w:kern w:val="0"/>
                      <w:position w:val="0"/>
                      <w:sz w:val="21"/>
                      <w:szCs w:val="21"/>
                      <w:u w:val="none" w:color="auto"/>
                      <w:lang w:val="en-US" w:eastAsia="zh-CN" w:bidi="ar"/>
                    </w:rPr>
                    <w:t>1.19</w:t>
                  </w:r>
                </w:p>
              </w:tc>
              <w:tc>
                <w:tcPr>
                  <w:tcW w:w="3535" w:type="dxa"/>
                  <w:tcBorders>
                    <w:tl2br w:val="nil"/>
                    <w:tr2bl w:val="nil"/>
                  </w:tcBorders>
                  <w:tcMar>
                    <w:top w:w="28" w:type="dxa"/>
                    <w:left w:w="28" w:type="dxa"/>
                    <w:bottom w:w="28" w:type="dxa"/>
                    <w:right w:w="28" w:type="dxa"/>
                  </w:tcMar>
                  <w:vAlign w:val="center"/>
                </w:tcPr>
                <w:p w14:paraId="327DEC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eastAsia="zh-CN" w:bidi="ar"/>
                    </w:rPr>
                    <w:t>林地</w:t>
                  </w:r>
                </w:p>
              </w:tc>
            </w:tr>
            <w:tr w14:paraId="59295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14:paraId="7EC385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矿山办公区</w:t>
                  </w:r>
                </w:p>
              </w:tc>
              <w:tc>
                <w:tcPr>
                  <w:tcW w:w="2094" w:type="dxa"/>
                  <w:tcBorders>
                    <w:tl2br w:val="nil"/>
                    <w:tr2bl w:val="nil"/>
                  </w:tcBorders>
                  <w:tcMar>
                    <w:top w:w="28" w:type="dxa"/>
                    <w:left w:w="28" w:type="dxa"/>
                    <w:bottom w:w="28" w:type="dxa"/>
                    <w:right w:w="28" w:type="dxa"/>
                  </w:tcMar>
                  <w:vAlign w:val="center"/>
                </w:tcPr>
                <w:p w14:paraId="0A88FF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0.20</w:t>
                  </w:r>
                </w:p>
              </w:tc>
              <w:tc>
                <w:tcPr>
                  <w:tcW w:w="3535" w:type="dxa"/>
                  <w:tcBorders>
                    <w:tl2br w:val="nil"/>
                    <w:tr2bl w:val="nil"/>
                  </w:tcBorders>
                  <w:tcMar>
                    <w:top w:w="28" w:type="dxa"/>
                    <w:left w:w="28" w:type="dxa"/>
                    <w:bottom w:w="28" w:type="dxa"/>
                    <w:right w:w="28" w:type="dxa"/>
                  </w:tcMar>
                  <w:vAlign w:val="center"/>
                </w:tcPr>
                <w:p w14:paraId="793F25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予以保留</w:t>
                  </w:r>
                </w:p>
              </w:tc>
            </w:tr>
            <w:tr w14:paraId="36521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14:paraId="650D89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合计</w:t>
                  </w:r>
                </w:p>
              </w:tc>
              <w:tc>
                <w:tcPr>
                  <w:tcW w:w="2094" w:type="dxa"/>
                  <w:tcBorders>
                    <w:tl2br w:val="nil"/>
                    <w:tr2bl w:val="nil"/>
                  </w:tcBorders>
                  <w:tcMar>
                    <w:top w:w="28" w:type="dxa"/>
                    <w:left w:w="28" w:type="dxa"/>
                    <w:bottom w:w="28" w:type="dxa"/>
                    <w:right w:w="28" w:type="dxa"/>
                  </w:tcMar>
                  <w:vAlign w:val="center"/>
                </w:tcPr>
                <w:p w14:paraId="187D5F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bidi="ar"/>
                    </w:rPr>
                  </w:pPr>
                  <w:r>
                    <w:rPr>
                      <w:rFonts w:hint="eastAsia" w:cs="Times New Roman"/>
                      <w:spacing w:val="11"/>
                      <w:kern w:val="0"/>
                      <w:position w:val="0"/>
                      <w:sz w:val="21"/>
                      <w:szCs w:val="21"/>
                      <w:u w:val="none" w:color="auto"/>
                      <w:lang w:val="en-US" w:eastAsia="zh-CN" w:bidi="ar"/>
                    </w:rPr>
                    <w:t>8.32</w:t>
                  </w:r>
                </w:p>
              </w:tc>
              <w:tc>
                <w:tcPr>
                  <w:tcW w:w="3535" w:type="dxa"/>
                  <w:tcBorders>
                    <w:tl2br w:val="nil"/>
                    <w:tr2bl w:val="nil"/>
                  </w:tcBorders>
                  <w:tcMar>
                    <w:top w:w="28" w:type="dxa"/>
                    <w:left w:w="28" w:type="dxa"/>
                    <w:bottom w:w="28" w:type="dxa"/>
                    <w:right w:w="28" w:type="dxa"/>
                  </w:tcMar>
                  <w:vAlign w:val="center"/>
                </w:tcPr>
                <w:p w14:paraId="5EC69D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p>
              </w:tc>
            </w:tr>
          </w:tbl>
          <w:p w14:paraId="2372F86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4）</w:t>
            </w:r>
            <w:r>
              <w:rPr>
                <w:spacing w:val="11"/>
                <w:position w:val="0"/>
                <w:sz w:val="24"/>
                <w:u w:val="none" w:color="auto"/>
              </w:rPr>
              <w:t>土地复垦的质量要求和标准</w:t>
            </w:r>
          </w:p>
          <w:p w14:paraId="42EAB014">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土地复垦的质量要求</w:t>
            </w:r>
          </w:p>
          <w:p w14:paraId="4AEECA54">
            <w:pPr>
              <w:spacing w:line="360" w:lineRule="auto"/>
              <w:ind w:firstLine="480"/>
              <w:rPr>
                <w:spacing w:val="11"/>
                <w:position w:val="0"/>
                <w:sz w:val="24"/>
                <w:u w:val="none" w:color="auto"/>
              </w:rPr>
            </w:pPr>
            <w:r>
              <w:rPr>
                <w:spacing w:val="11"/>
                <w:position w:val="0"/>
                <w:sz w:val="24"/>
                <w:u w:val="none" w:color="auto"/>
              </w:rPr>
              <w:t>依据《土地复垦质量控制标准（TD/T 1036-2013）》，结合矿区的现状，依据土地复垦适宜性评价结果，确定本项目的土地复垦质量要求如下：</w:t>
            </w:r>
          </w:p>
          <w:p w14:paraId="0286F3FB">
            <w:pPr>
              <w:spacing w:line="360" w:lineRule="auto"/>
              <w:ind w:firstLine="480"/>
              <w:rPr>
                <w:spacing w:val="11"/>
                <w:position w:val="0"/>
                <w:sz w:val="24"/>
                <w:u w:val="none" w:color="auto"/>
              </w:rPr>
            </w:pPr>
            <w:r>
              <w:rPr>
                <w:spacing w:val="11"/>
                <w:position w:val="0"/>
                <w:sz w:val="24"/>
                <w:u w:val="none" w:color="auto"/>
              </w:rPr>
              <w:t>A、复垦利用类型应当与当地地形、地貌和周围环境相协调；</w:t>
            </w:r>
          </w:p>
          <w:p w14:paraId="31338D98">
            <w:pPr>
              <w:spacing w:line="360" w:lineRule="auto"/>
              <w:ind w:firstLine="480"/>
              <w:rPr>
                <w:spacing w:val="11"/>
                <w:position w:val="0"/>
                <w:sz w:val="24"/>
                <w:u w:val="none" w:color="auto"/>
              </w:rPr>
            </w:pPr>
            <w:r>
              <w:rPr>
                <w:spacing w:val="11"/>
                <w:position w:val="0"/>
                <w:sz w:val="24"/>
                <w:u w:val="none" w:color="auto"/>
              </w:rPr>
              <w:t>B、复垦场地的稳定性和安全性应有可靠保证；</w:t>
            </w:r>
          </w:p>
          <w:p w14:paraId="6476A4DC">
            <w:pPr>
              <w:spacing w:line="360" w:lineRule="auto"/>
              <w:ind w:firstLine="480"/>
              <w:rPr>
                <w:spacing w:val="11"/>
                <w:position w:val="0"/>
                <w:sz w:val="24"/>
                <w:u w:val="none" w:color="auto"/>
              </w:rPr>
            </w:pPr>
            <w:r>
              <w:rPr>
                <w:spacing w:val="11"/>
                <w:position w:val="0"/>
                <w:sz w:val="24"/>
                <w:u w:val="none" w:color="auto"/>
              </w:rPr>
              <w:t>C、不同的破坏类型标准应不一样；</w:t>
            </w:r>
          </w:p>
          <w:p w14:paraId="537DD8B6">
            <w:pPr>
              <w:spacing w:line="360" w:lineRule="auto"/>
              <w:ind w:firstLine="480"/>
              <w:rPr>
                <w:spacing w:val="11"/>
                <w:position w:val="0"/>
                <w:sz w:val="24"/>
                <w:u w:val="none" w:color="auto"/>
              </w:rPr>
            </w:pPr>
            <w:r>
              <w:rPr>
                <w:spacing w:val="11"/>
                <w:position w:val="0"/>
                <w:sz w:val="24"/>
                <w:u w:val="none" w:color="auto"/>
              </w:rPr>
              <w:t>D、保存原有地表表层土壤。单独剥离，单独贮存，应充分利用原有表土为顶部覆盖层，覆盖后的表层应规范、平整，覆盖层的容重应满足复垦利用要求；</w:t>
            </w:r>
          </w:p>
          <w:p w14:paraId="207A9B98">
            <w:pPr>
              <w:spacing w:line="360" w:lineRule="auto"/>
              <w:ind w:firstLine="480"/>
              <w:rPr>
                <w:spacing w:val="11"/>
                <w:position w:val="0"/>
                <w:sz w:val="24"/>
                <w:u w:val="none" w:color="auto"/>
              </w:rPr>
            </w:pPr>
            <w:r>
              <w:rPr>
                <w:spacing w:val="11"/>
                <w:position w:val="0"/>
                <w:sz w:val="24"/>
                <w:u w:val="none" w:color="auto"/>
              </w:rPr>
              <w:t>E、复垦场地要有满足要求的排水设施，防洪标准符合当地要求；</w:t>
            </w:r>
          </w:p>
          <w:p w14:paraId="3D817D86">
            <w:pPr>
              <w:spacing w:line="360" w:lineRule="auto"/>
              <w:ind w:firstLine="480"/>
              <w:rPr>
                <w:spacing w:val="11"/>
                <w:position w:val="0"/>
                <w:sz w:val="24"/>
                <w:u w:val="none" w:color="auto"/>
              </w:rPr>
            </w:pPr>
            <w:r>
              <w:rPr>
                <w:spacing w:val="11"/>
                <w:position w:val="0"/>
                <w:sz w:val="24"/>
                <w:u w:val="none" w:color="auto"/>
              </w:rPr>
              <w:t>F、复垦场地有控制水土流失的措施；</w:t>
            </w:r>
          </w:p>
          <w:p w14:paraId="775319EA">
            <w:pPr>
              <w:spacing w:line="360" w:lineRule="auto"/>
              <w:ind w:firstLine="480"/>
              <w:rPr>
                <w:spacing w:val="11"/>
                <w:position w:val="0"/>
                <w:sz w:val="24"/>
                <w:u w:val="none" w:color="auto"/>
              </w:rPr>
            </w:pPr>
            <w:r>
              <w:rPr>
                <w:spacing w:val="11"/>
                <w:position w:val="0"/>
                <w:sz w:val="24"/>
                <w:u w:val="none" w:color="auto"/>
              </w:rPr>
              <w:t>G、复垦场地有控制污染的措施，包括空气、地表水和地下水等；</w:t>
            </w:r>
          </w:p>
          <w:p w14:paraId="53F8332C">
            <w:pPr>
              <w:spacing w:line="360" w:lineRule="auto"/>
              <w:ind w:firstLine="480"/>
              <w:rPr>
                <w:spacing w:val="11"/>
                <w:position w:val="0"/>
                <w:sz w:val="24"/>
                <w:u w:val="none" w:color="auto"/>
              </w:rPr>
            </w:pPr>
            <w:r>
              <w:rPr>
                <w:spacing w:val="11"/>
                <w:position w:val="0"/>
                <w:sz w:val="24"/>
                <w:u w:val="none" w:color="auto"/>
              </w:rPr>
              <w:t>H、复垦场地的道路、交通干线布置合理；</w:t>
            </w:r>
          </w:p>
          <w:p w14:paraId="21D2CBEE">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I、用于覆盖的材料应当无毒无害。材料如含有有害成分应事先进行处理，必要时应设置隔离层后再复垦。</w:t>
            </w:r>
          </w:p>
          <w:p w14:paraId="730A5B75">
            <w:pPr>
              <w:spacing w:line="360" w:lineRule="auto"/>
              <w:ind w:firstLine="480"/>
              <w:rPr>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5）</w:t>
            </w:r>
            <w:r>
              <w:rPr>
                <w:spacing w:val="11"/>
                <w:position w:val="0"/>
                <w:sz w:val="24"/>
                <w:u w:val="none" w:color="auto"/>
              </w:rPr>
              <w:t>复垦植被的选择</w:t>
            </w:r>
          </w:p>
          <w:p w14:paraId="52680330">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①植被种类筛选：优选乡土树种，并结合破坏后的复垦条件选择适宜的树种，</w:t>
            </w:r>
            <w:r>
              <w:rPr>
                <w:rFonts w:hint="eastAsia"/>
                <w:spacing w:val="11"/>
                <w:kern w:val="0"/>
                <w:position w:val="0"/>
                <w:sz w:val="24"/>
                <w:u w:val="none" w:color="auto"/>
                <w:lang w:bidi="ar"/>
              </w:rPr>
              <w:t>保持</w:t>
            </w:r>
            <w:r>
              <w:rPr>
                <w:spacing w:val="11"/>
                <w:kern w:val="0"/>
                <w:position w:val="0"/>
                <w:sz w:val="24"/>
                <w:u w:val="none" w:color="auto"/>
                <w:lang w:bidi="ar"/>
              </w:rPr>
              <w:t xml:space="preserve">生物的多样性，提高修复区的景观性。乔木树种可选有春衫、枫树、杨树、刺槐等，灌木树种可选油茶、红叶石楠、蔷薇、夹竹桃等。草种可选择狗牙根、高羊茅、勋章菊等。露天采场边坡区平台内侧处可种植爬山虎、络石、葛藤等攀爬类藤本植物，平台外侧种植油麻藤、五叶地锦、凌霄、葛藤等垂挂类藤类植物。应根据各复垦地段的日照时长、土壤等特征进行组合，常绿和落叶乔灌木搭配，满足多样性需要。 </w:t>
            </w:r>
          </w:p>
          <w:p w14:paraId="16DC8C31">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②苗木规格：乔木规格宜为地径2-5cm或高度1m以上，灌木的冠径宜在 40cm以上。藤本植物栽植的苗木质量要求应选用移栽</w:t>
            </w:r>
            <w:r>
              <w:rPr>
                <w:rFonts w:hint="eastAsia"/>
                <w:spacing w:val="11"/>
                <w:kern w:val="0"/>
                <w:position w:val="0"/>
                <w:sz w:val="24"/>
                <w:u w:val="none" w:color="auto"/>
                <w:lang w:bidi="ar"/>
              </w:rPr>
              <w:t>3</w:t>
            </w:r>
            <w:r>
              <w:rPr>
                <w:spacing w:val="11"/>
                <w:kern w:val="0"/>
                <w:position w:val="0"/>
                <w:sz w:val="24"/>
                <w:u w:val="none" w:color="auto"/>
                <w:lang w:bidi="ar"/>
              </w:rPr>
              <w:t>年生以上、含有</w:t>
            </w:r>
            <w:r>
              <w:rPr>
                <w:rFonts w:hint="eastAsia"/>
                <w:spacing w:val="11"/>
                <w:kern w:val="0"/>
                <w:position w:val="0"/>
                <w:sz w:val="24"/>
                <w:u w:val="none" w:color="auto"/>
                <w:lang w:bidi="ar"/>
              </w:rPr>
              <w:t>3</w:t>
            </w:r>
            <w:r>
              <w:rPr>
                <w:spacing w:val="11"/>
                <w:kern w:val="0"/>
                <w:position w:val="0"/>
                <w:sz w:val="24"/>
                <w:u w:val="none" w:color="auto"/>
                <w:lang w:bidi="ar"/>
              </w:rPr>
              <w:t xml:space="preserve">个侧枝以上且须根系发达的控根容器苗。 </w:t>
            </w:r>
          </w:p>
          <w:p w14:paraId="186319A1">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 xml:space="preserve">③初始种植密度：植树间距为2.5m×2.5m；藤类间距0.25m每根。 </w:t>
            </w:r>
          </w:p>
          <w:p w14:paraId="66DEDE59">
            <w:pPr>
              <w:widowControl/>
              <w:spacing w:line="360" w:lineRule="auto"/>
              <w:ind w:firstLine="524" w:firstLineChars="200"/>
              <w:jc w:val="left"/>
              <w:rPr>
                <w:spacing w:val="11"/>
                <w:kern w:val="0"/>
                <w:position w:val="0"/>
                <w:sz w:val="24"/>
                <w:u w:val="none" w:color="auto"/>
                <w:lang w:bidi="ar"/>
              </w:rPr>
            </w:pPr>
            <w:r>
              <w:rPr>
                <w:spacing w:val="11"/>
                <w:kern w:val="0"/>
                <w:position w:val="0"/>
                <w:sz w:val="24"/>
                <w:u w:val="none" w:color="auto"/>
                <w:lang w:bidi="ar"/>
              </w:rPr>
              <w:t xml:space="preserve">④树坑规程：长、宽、深 均为0.5m。 </w:t>
            </w:r>
          </w:p>
          <w:p w14:paraId="0D7AC06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26" w:firstLineChars="200"/>
              <w:jc w:val="left"/>
              <w:textAlignment w:val="auto"/>
              <w:rPr>
                <w:rFonts w:hint="eastAsia"/>
                <w:b/>
                <w:bCs/>
                <w:spacing w:val="11"/>
                <w:kern w:val="0"/>
                <w:position w:val="0"/>
                <w:sz w:val="24"/>
                <w:u w:val="none" w:color="auto"/>
                <w:lang w:bidi="ar"/>
              </w:rPr>
            </w:pPr>
            <w:r>
              <w:rPr>
                <w:rFonts w:hint="eastAsia"/>
                <w:b/>
                <w:bCs/>
                <w:spacing w:val="11"/>
                <w:kern w:val="0"/>
                <w:position w:val="0"/>
                <w:sz w:val="24"/>
                <w:u w:val="none" w:color="auto"/>
                <w:lang w:val="en-US" w:eastAsia="zh-CN" w:bidi="ar"/>
              </w:rPr>
              <w:t>7、土地</w:t>
            </w:r>
            <w:r>
              <w:rPr>
                <w:rFonts w:hint="eastAsia"/>
                <w:b/>
                <w:bCs/>
                <w:spacing w:val="11"/>
                <w:kern w:val="0"/>
                <w:position w:val="0"/>
                <w:sz w:val="24"/>
                <w:u w:val="none" w:color="auto"/>
                <w:lang w:bidi="ar"/>
              </w:rPr>
              <w:t>复垦</w:t>
            </w:r>
          </w:p>
          <w:p w14:paraId="48D6830A">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ascii="Times New Roman" w:hAnsi="Times New Roman" w:eastAsia="宋体" w:cs="Times New Roman"/>
                <w:spacing w:val="11"/>
                <w:position w:val="0"/>
                <w:sz w:val="24"/>
                <w:szCs w:val="24"/>
                <w:u w:val="none" w:color="auto"/>
              </w:rPr>
              <w:t>应严格按照《土地复垦规定》（中华人民共和国国务院1989年1月1日令）和《关于加强生产建设项目土地复垦的通知》（国土发[2006]225号）的相关要求，遵循“谁破坏，谁复垦”的原则，业主单位要切实做好土地复垦工作。本矿山目前已编制完成《土地复垦方案》，应严格按照土地复垦方案进行土地复垦。</w:t>
            </w:r>
          </w:p>
          <w:p w14:paraId="737D165A">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①</w:t>
            </w:r>
            <w:r>
              <w:rPr>
                <w:rFonts w:ascii="Times New Roman" w:hAnsi="Times New Roman" w:eastAsia="宋体" w:cs="Times New Roman"/>
                <w:spacing w:val="11"/>
                <w:position w:val="0"/>
                <w:sz w:val="24"/>
                <w:szCs w:val="24"/>
                <w:u w:val="none" w:color="auto"/>
              </w:rPr>
              <w:t>做到边开采边复垦，按照开采计划，将先采完的采区及平台进行生态恢复，减少开采过程中的生态影响。</w:t>
            </w:r>
          </w:p>
          <w:p w14:paraId="44AE3992">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②</w:t>
            </w:r>
            <w:r>
              <w:rPr>
                <w:rFonts w:ascii="Times New Roman" w:hAnsi="Times New Roman" w:eastAsia="宋体" w:cs="Times New Roman"/>
                <w:spacing w:val="11"/>
                <w:position w:val="0"/>
                <w:sz w:val="24"/>
                <w:szCs w:val="24"/>
                <w:u w:val="none" w:color="auto"/>
              </w:rPr>
              <w:t>复垦时尽量保持原有的耕作形式，保证原有耕地质量不降低；原本是岩石裸露的荒地可恢复为林地或草地，改善当地的生态环境。</w:t>
            </w:r>
          </w:p>
          <w:p w14:paraId="259A3B75">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③</w:t>
            </w:r>
            <w:r>
              <w:rPr>
                <w:rFonts w:ascii="Times New Roman" w:hAnsi="Times New Roman" w:eastAsia="宋体" w:cs="Times New Roman"/>
                <w:spacing w:val="11"/>
                <w:position w:val="0"/>
                <w:sz w:val="24"/>
                <w:szCs w:val="24"/>
                <w:u w:val="none" w:color="auto"/>
              </w:rPr>
              <w:t>建设单位应成立专门的土地复垦部门，复垦所需专项资金由建设单位作为运行费用列出，做到专款专用。</w:t>
            </w:r>
          </w:p>
          <w:p w14:paraId="0C78ADE7">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④</w:t>
            </w:r>
            <w:r>
              <w:rPr>
                <w:rFonts w:ascii="Times New Roman" w:hAnsi="Times New Roman" w:eastAsia="宋体" w:cs="Times New Roman"/>
                <w:spacing w:val="11"/>
                <w:position w:val="0"/>
                <w:sz w:val="24"/>
                <w:szCs w:val="24"/>
                <w:u w:val="none" w:color="auto"/>
              </w:rPr>
              <w:t>在还林还草时尽量选用本地种且保持和周围景观、物种的一致性。</w:t>
            </w:r>
          </w:p>
          <w:p w14:paraId="5F78CB8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26" w:firstLineChars="200"/>
              <w:jc w:val="left"/>
              <w:textAlignment w:val="auto"/>
              <w:rPr>
                <w:b/>
                <w:bCs/>
                <w:spacing w:val="11"/>
                <w:position w:val="0"/>
                <w:sz w:val="24"/>
                <w:u w:val="none" w:color="auto"/>
              </w:rPr>
            </w:pPr>
            <w:r>
              <w:rPr>
                <w:rFonts w:hint="eastAsia"/>
                <w:b/>
                <w:bCs/>
                <w:spacing w:val="11"/>
                <w:position w:val="0"/>
                <w:sz w:val="24"/>
                <w:u w:val="none" w:color="auto"/>
                <w:lang w:val="en-US" w:eastAsia="zh-CN"/>
              </w:rPr>
              <w:t>8、</w:t>
            </w:r>
            <w:r>
              <w:rPr>
                <w:b/>
                <w:bCs/>
                <w:spacing w:val="11"/>
                <w:position w:val="0"/>
                <w:sz w:val="24"/>
                <w:u w:val="none" w:color="auto"/>
              </w:rPr>
              <w:t>植被恢复</w:t>
            </w:r>
          </w:p>
          <w:p w14:paraId="789EA56D">
            <w:pPr>
              <w:widowControl/>
              <w:spacing w:line="360" w:lineRule="auto"/>
              <w:ind w:firstLine="524" w:firstLineChars="200"/>
              <w:jc w:val="both"/>
              <w:rPr>
                <w:spacing w:val="11"/>
                <w:position w:val="0"/>
                <w:u w:val="none" w:color="auto"/>
              </w:rPr>
            </w:pPr>
            <w:r>
              <w:rPr>
                <w:spacing w:val="11"/>
                <w:kern w:val="0"/>
                <w:position w:val="0"/>
                <w:sz w:val="24"/>
                <w:u w:val="none" w:color="auto"/>
                <w:lang w:bidi="ar"/>
              </w:rPr>
              <w:t>覆土后进行植树恢复植被。根据本项目区及区域生态植物生长情况，恢复林地按照乔木搭配灌木树种，乔灌比为1:3，采用坑栽，乔木选用本地树种如春衫、枫树、杨树、刺槐，灌木选择油茶、红叶石楠、蔷薇、夹竹桃等，种植后，在熟化表面散布狗牙草</w:t>
            </w:r>
            <w:r>
              <w:rPr>
                <w:rFonts w:hint="eastAsia"/>
                <w:spacing w:val="11"/>
                <w:kern w:val="0"/>
                <w:position w:val="0"/>
                <w:sz w:val="24"/>
                <w:u w:val="none" w:color="auto"/>
                <w:lang w:bidi="ar"/>
              </w:rPr>
              <w:t>、</w:t>
            </w:r>
            <w:r>
              <w:rPr>
                <w:spacing w:val="11"/>
                <w:kern w:val="0"/>
                <w:position w:val="0"/>
                <w:sz w:val="24"/>
                <w:u w:val="none" w:color="auto"/>
                <w:lang w:bidi="ar"/>
              </w:rPr>
              <w:t>高羊茅草籽（20kg/hm</w:t>
            </w:r>
            <w:r>
              <w:rPr>
                <w:rFonts w:hint="eastAsia"/>
                <w:spacing w:val="11"/>
                <w:kern w:val="0"/>
                <w:position w:val="0"/>
                <w:sz w:val="24"/>
                <w:u w:val="none" w:color="auto"/>
                <w:vertAlign w:val="superscript"/>
                <w:lang w:bidi="ar"/>
              </w:rPr>
              <w:t>2</w:t>
            </w:r>
            <w:r>
              <w:rPr>
                <w:spacing w:val="11"/>
                <w:kern w:val="0"/>
                <w:position w:val="0"/>
                <w:sz w:val="24"/>
                <w:u w:val="none" w:color="auto"/>
                <w:lang w:bidi="ar"/>
              </w:rPr>
              <w:t>）进行保水、绿化。树坑规格为0.5m×0.5m×0.5m，并暴露一段时间，栽植乔灌木树苗。乔灌木种植的株行距 2.0m×2.0m，乔木规格宜为地径2-5cm或高度1m以上，灌木的冠径宜在40cm以上，造林时间一般为春季。植苗造林根据“三埋一提三踩”原则，要做到栽紧踏实</w:t>
            </w:r>
            <w:r>
              <w:rPr>
                <w:rFonts w:hint="eastAsia"/>
                <w:spacing w:val="11"/>
                <w:kern w:val="0"/>
                <w:position w:val="0"/>
                <w:sz w:val="24"/>
                <w:u w:val="none" w:color="auto"/>
                <w:lang w:bidi="ar"/>
              </w:rPr>
              <w:t>。</w:t>
            </w:r>
          </w:p>
          <w:p w14:paraId="4DEA8086">
            <w:pPr>
              <w:adjustRightInd w:val="0"/>
              <w:snapToGrid w:val="0"/>
              <w:spacing w:line="360" w:lineRule="auto"/>
              <w:outlineLvl w:val="1"/>
              <w:rPr>
                <w:rFonts w:hint="eastAsia" w:eastAsia="宋体"/>
                <w:b/>
                <w:spacing w:val="11"/>
                <w:position w:val="0"/>
                <w:sz w:val="24"/>
                <w:u w:val="single" w:color="auto"/>
                <w:lang w:eastAsia="zh-CN"/>
              </w:rPr>
            </w:pPr>
            <w:r>
              <w:rPr>
                <w:rFonts w:hint="eastAsia"/>
                <w:b/>
                <w:spacing w:val="11"/>
                <w:position w:val="0"/>
                <w:sz w:val="24"/>
                <w:u w:val="single" w:color="auto"/>
              </w:rPr>
              <w:t>闭矿期生态环境保护措施</w:t>
            </w:r>
            <w:r>
              <w:rPr>
                <w:rFonts w:hint="eastAsia"/>
                <w:b/>
                <w:spacing w:val="11"/>
                <w:position w:val="0"/>
                <w:sz w:val="24"/>
                <w:u w:val="single" w:color="auto"/>
                <w:lang w:eastAsia="zh-CN"/>
              </w:rPr>
              <w:t>：</w:t>
            </w:r>
          </w:p>
          <w:p w14:paraId="3EA5F0A1">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项目露天开场主要为林地、灌草地，建设中对环境造成不同程度的影响，矿山关闭时，若不进行有效的管理和治理，将会加剧和形成一些环境问题，主要有：</w:t>
            </w:r>
          </w:p>
          <w:p w14:paraId="4BA282B5">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（1）由于采矿活动对岩石的稳定性造成一定的影响，局部地段可能会发生小型边坡崩滑等地质灾害以及采矿活动易造成地表开裂。</w:t>
            </w:r>
          </w:p>
          <w:p w14:paraId="1B03C0B8">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（2）采场</w:t>
            </w:r>
            <w:r>
              <w:rPr>
                <w:rFonts w:hint="eastAsia"/>
                <w:spacing w:val="11"/>
                <w:position w:val="0"/>
                <w:sz w:val="24"/>
                <w:u w:val="single" w:color="auto"/>
                <w:lang w:eastAsia="zh-CN"/>
              </w:rPr>
              <w:t>、</w:t>
            </w:r>
            <w:r>
              <w:rPr>
                <w:rFonts w:hint="eastAsia"/>
                <w:spacing w:val="11"/>
                <w:position w:val="0"/>
                <w:sz w:val="24"/>
                <w:u w:val="single" w:color="auto"/>
                <w:lang w:val="en-US" w:eastAsia="zh-CN"/>
              </w:rPr>
              <w:t>临时排土场</w:t>
            </w:r>
            <w:r>
              <w:rPr>
                <w:rFonts w:hint="eastAsia"/>
                <w:spacing w:val="11"/>
                <w:position w:val="0"/>
                <w:sz w:val="24"/>
                <w:u w:val="single" w:color="auto"/>
              </w:rPr>
              <w:t>裸露，地表疏松，在地表径流和降雨影响下，易形成水土流失，且水土流失程度较开采前大大加重。</w:t>
            </w:r>
          </w:p>
          <w:p w14:paraId="2FA6BE0D">
            <w:pPr>
              <w:adjustRightInd w:val="0"/>
              <w:snapToGrid w:val="0"/>
              <w:spacing w:line="360" w:lineRule="auto"/>
              <w:ind w:firstLine="524" w:firstLineChars="200"/>
              <w:rPr>
                <w:rFonts w:ascii="宋体" w:hAnsi="宋体"/>
                <w:spacing w:val="11"/>
                <w:position w:val="0"/>
                <w:sz w:val="24"/>
                <w:u w:val="single" w:color="auto"/>
              </w:rPr>
            </w:pPr>
            <w:r>
              <w:rPr>
                <w:rFonts w:hint="eastAsia" w:ascii="宋体" w:hAnsi="宋体"/>
                <w:spacing w:val="11"/>
                <w:position w:val="0"/>
                <w:sz w:val="24"/>
                <w:u w:val="single" w:color="auto"/>
              </w:rPr>
              <w:t>矿山</w:t>
            </w:r>
            <w:r>
              <w:rPr>
                <w:rFonts w:ascii="宋体" w:hAnsi="宋体"/>
                <w:spacing w:val="11"/>
                <w:position w:val="0"/>
                <w:sz w:val="24"/>
                <w:u w:val="single" w:color="auto"/>
              </w:rPr>
              <w:t>服务期满后，需另行编制生态恢复方案，按有关规定进行生态治理，植物资源、自然景观将得到部分恢复。主要是对</w:t>
            </w:r>
            <w:r>
              <w:rPr>
                <w:rFonts w:hint="eastAsia" w:ascii="宋体" w:hAnsi="宋体"/>
                <w:spacing w:val="11"/>
                <w:position w:val="0"/>
                <w:sz w:val="24"/>
                <w:u w:val="single" w:color="auto"/>
              </w:rPr>
              <w:t>采场</w:t>
            </w:r>
            <w:r>
              <w:rPr>
                <w:rFonts w:ascii="宋体" w:hAnsi="宋体"/>
                <w:spacing w:val="11"/>
                <w:position w:val="0"/>
                <w:sz w:val="24"/>
                <w:u w:val="single" w:color="auto"/>
              </w:rPr>
              <w:t>的生态治理，且矿山生态治理资金应从</w:t>
            </w:r>
            <w:r>
              <w:rPr>
                <w:rFonts w:hint="eastAsia" w:ascii="宋体" w:hAnsi="宋体"/>
                <w:spacing w:val="11"/>
                <w:position w:val="0"/>
                <w:sz w:val="24"/>
                <w:u w:val="single" w:color="auto"/>
              </w:rPr>
              <w:t>工程营运开始</w:t>
            </w:r>
            <w:r>
              <w:rPr>
                <w:rFonts w:ascii="宋体" w:hAnsi="宋体"/>
                <w:spacing w:val="11"/>
                <w:position w:val="0"/>
                <w:sz w:val="24"/>
                <w:u w:val="single" w:color="auto"/>
              </w:rPr>
              <w:t>时就要有所规划，安排落实措施，在收益中逐年留取适当资金作为矿山服务期满后的生态治理资金。</w:t>
            </w:r>
          </w:p>
          <w:p w14:paraId="7CA972A3">
            <w:pPr>
              <w:adjustRightInd w:val="0"/>
              <w:snapToGrid w:val="0"/>
              <w:spacing w:line="360" w:lineRule="auto"/>
              <w:ind w:firstLine="524" w:firstLineChars="200"/>
              <w:rPr>
                <w:spacing w:val="11"/>
                <w:position w:val="0"/>
                <w:sz w:val="24"/>
                <w:u w:val="single" w:color="auto"/>
              </w:rPr>
            </w:pPr>
            <w:r>
              <w:rPr>
                <w:spacing w:val="11"/>
                <w:position w:val="0"/>
                <w:sz w:val="24"/>
                <w:u w:val="single" w:color="auto"/>
              </w:rPr>
              <w:t>按照边开采边恢复、终止采矿活动时必须完成恢复治理的原则，要做到预防为主，针对存在的问题，制定出预防措施，对生产中出现的问题要及时采取相应的措施予以解决，达到防灾、减灾的目的。矿山</w:t>
            </w:r>
            <w:r>
              <w:rPr>
                <w:rFonts w:hint="eastAsia"/>
                <w:spacing w:val="11"/>
                <w:position w:val="0"/>
                <w:sz w:val="24"/>
                <w:u w:val="single" w:color="auto"/>
              </w:rPr>
              <w:t>采区退役</w:t>
            </w:r>
            <w:r>
              <w:rPr>
                <w:spacing w:val="11"/>
                <w:position w:val="0"/>
                <w:sz w:val="24"/>
                <w:u w:val="single" w:color="auto"/>
              </w:rPr>
              <w:t>后必须按照矿山安全、水土保持、地质恢复、环境保护工作的有关规定拆除无用的地面建筑物，受破坏的地表尽量恢复原貌等工作。在采矿场营运期已进行了一些生态恢复的基础工作，闭矿后要做的主要工作就是全场修整、表土覆盖、植被绿化等。</w:t>
            </w:r>
          </w:p>
          <w:p w14:paraId="0BF3EB05">
            <w:pPr>
              <w:tabs>
                <w:tab w:val="left" w:pos="0"/>
              </w:tabs>
              <w:adjustRightInd w:val="0"/>
              <w:snapToGrid w:val="0"/>
              <w:spacing w:line="360" w:lineRule="auto"/>
              <w:ind w:firstLine="524" w:firstLineChars="200"/>
              <w:rPr>
                <w:spacing w:val="11"/>
                <w:position w:val="0"/>
                <w:sz w:val="24"/>
                <w:u w:val="single" w:color="auto"/>
              </w:rPr>
            </w:pPr>
            <w:r>
              <w:rPr>
                <w:spacing w:val="11"/>
                <w:position w:val="0"/>
                <w:sz w:val="24"/>
                <w:u w:val="single" w:color="auto"/>
              </w:rPr>
              <w:t>首先，对形成的采坑进行</w:t>
            </w:r>
            <w:r>
              <w:rPr>
                <w:spacing w:val="11"/>
                <w:position w:val="0"/>
                <w:sz w:val="24"/>
                <w:u w:val="single" w:color="auto"/>
                <w:lang w:val="en-GB"/>
              </w:rPr>
              <w:t>调整边坡角、</w:t>
            </w:r>
            <w:r>
              <w:rPr>
                <w:spacing w:val="11"/>
                <w:position w:val="0"/>
                <w:sz w:val="24"/>
                <w:u w:val="single" w:color="auto"/>
              </w:rPr>
              <w:t>削坡处理、开采境界外修建截水沟等方式，保证采场边坡的稳定性。对可能出现的滑坡、崩塌、泥石流相应的位置设置有多种文字的警示标志和围栏，防止人、畜误入。拆除矿山生产、生活设施，全场整理，恢复地表原貌。加固边坡稳定性，防止滑塌伤害人、畜或野生动物。</w:t>
            </w:r>
          </w:p>
          <w:p w14:paraId="7E71FC3B">
            <w:pPr>
              <w:adjustRightInd w:val="0"/>
              <w:snapToGrid w:val="0"/>
              <w:spacing w:line="360" w:lineRule="auto"/>
              <w:ind w:firstLine="524" w:firstLineChars="200"/>
              <w:rPr>
                <w:rFonts w:hint="eastAsia"/>
                <w:b/>
                <w:spacing w:val="11"/>
                <w:position w:val="0"/>
                <w:sz w:val="24"/>
                <w:u w:val="single" w:color="auto"/>
                <w:lang w:val="en-GB"/>
              </w:rPr>
            </w:pPr>
            <w:r>
              <w:rPr>
                <w:spacing w:val="11"/>
                <w:position w:val="0"/>
                <w:sz w:val="24"/>
                <w:u w:val="single" w:color="auto"/>
              </w:rPr>
              <w:t>预留矿山复垦费用，</w:t>
            </w:r>
            <w:r>
              <w:rPr>
                <w:spacing w:val="11"/>
                <w:kern w:val="0"/>
                <w:position w:val="0"/>
                <w:sz w:val="24"/>
                <w:u w:val="single" w:color="auto"/>
              </w:rPr>
              <w:t>建设单位必须留有足够的资金用以矿山开采期满后的生态工程建设工作，使被挖损的和堆填的土地尽量恢复其本来功能，使矿山开发对区域生态的影响控制在可接受的范围内，保持区域生态环境的平衡。</w:t>
            </w:r>
          </w:p>
          <w:p w14:paraId="3C6A1208">
            <w:pPr>
              <w:adjustRightInd w:val="0"/>
              <w:snapToGrid w:val="0"/>
              <w:spacing w:line="360" w:lineRule="auto"/>
              <w:ind w:firstLine="420"/>
              <w:rPr>
                <w:rFonts w:hint="eastAsia" w:ascii="宋体" w:hAnsi="宋体"/>
                <w:spacing w:val="11"/>
                <w:position w:val="0"/>
                <w:sz w:val="24"/>
                <w:u w:val="single" w:color="auto"/>
              </w:rPr>
            </w:pPr>
            <w:r>
              <w:rPr>
                <w:rFonts w:hint="eastAsia" w:ascii="宋体" w:hAnsi="宋体"/>
                <w:spacing w:val="11"/>
                <w:position w:val="0"/>
                <w:sz w:val="24"/>
                <w:u w:val="single" w:color="auto"/>
              </w:rPr>
              <w:t>矿山服务</w:t>
            </w:r>
            <w:r>
              <w:rPr>
                <w:rFonts w:ascii="宋体" w:hAnsi="宋体"/>
                <w:spacing w:val="11"/>
                <w:position w:val="0"/>
                <w:sz w:val="24"/>
                <w:u w:val="single" w:color="auto"/>
              </w:rPr>
              <w:t>期满后，</w:t>
            </w:r>
            <w:r>
              <w:rPr>
                <w:rFonts w:hint="eastAsia" w:ascii="宋体" w:hAnsi="宋体"/>
                <w:spacing w:val="11"/>
                <w:position w:val="0"/>
                <w:sz w:val="24"/>
                <w:u w:val="single" w:color="auto"/>
              </w:rPr>
              <w:t>建设单位</w:t>
            </w:r>
            <w:r>
              <w:rPr>
                <w:rFonts w:ascii="宋体" w:hAnsi="宋体"/>
                <w:spacing w:val="11"/>
                <w:position w:val="0"/>
                <w:sz w:val="24"/>
                <w:u w:val="single" w:color="auto"/>
              </w:rPr>
              <w:t>还应对废弃的</w:t>
            </w:r>
            <w:r>
              <w:rPr>
                <w:rFonts w:hint="eastAsia" w:ascii="宋体" w:hAnsi="宋体"/>
                <w:spacing w:val="11"/>
                <w:position w:val="0"/>
                <w:sz w:val="24"/>
                <w:u w:val="single" w:color="auto"/>
              </w:rPr>
              <w:t>办公生活用</w:t>
            </w:r>
            <w:r>
              <w:rPr>
                <w:rFonts w:ascii="宋体" w:hAnsi="宋体"/>
                <w:spacing w:val="11"/>
                <w:position w:val="0"/>
                <w:sz w:val="24"/>
                <w:u w:val="single" w:color="auto"/>
              </w:rPr>
              <w:t>房及其它地面建筑进行拆除，并进行相应的</w:t>
            </w:r>
            <w:r>
              <w:rPr>
                <w:rFonts w:hint="eastAsia" w:ascii="宋体" w:hAnsi="宋体"/>
                <w:spacing w:val="11"/>
                <w:position w:val="0"/>
                <w:sz w:val="24"/>
                <w:u w:val="single" w:color="auto"/>
              </w:rPr>
              <w:t>植被恢复工作</w:t>
            </w:r>
            <w:r>
              <w:rPr>
                <w:rFonts w:ascii="宋体" w:hAnsi="宋体"/>
                <w:spacing w:val="11"/>
                <w:position w:val="0"/>
                <w:sz w:val="24"/>
                <w:u w:val="single" w:color="auto"/>
              </w:rPr>
              <w:t>，恢复所占</w:t>
            </w:r>
            <w:r>
              <w:rPr>
                <w:rFonts w:hint="eastAsia" w:ascii="宋体" w:hAnsi="宋体"/>
                <w:spacing w:val="11"/>
                <w:position w:val="0"/>
                <w:sz w:val="24"/>
                <w:u w:val="single" w:color="auto"/>
              </w:rPr>
              <w:t>土地</w:t>
            </w:r>
            <w:r>
              <w:rPr>
                <w:rFonts w:ascii="宋体" w:hAnsi="宋体"/>
                <w:spacing w:val="11"/>
                <w:position w:val="0"/>
                <w:sz w:val="24"/>
                <w:u w:val="single" w:color="auto"/>
              </w:rPr>
              <w:t>植被。</w:t>
            </w:r>
          </w:p>
          <w:p w14:paraId="643CBD75">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①</w:t>
            </w:r>
            <w:r>
              <w:rPr>
                <w:rFonts w:ascii="宋体" w:hAnsi="宋体"/>
                <w:spacing w:val="11"/>
                <w:position w:val="0"/>
                <w:sz w:val="24"/>
                <w:u w:val="single" w:color="auto"/>
              </w:rPr>
              <w:t>总体</w:t>
            </w:r>
            <w:r>
              <w:rPr>
                <w:rFonts w:hint="eastAsia" w:ascii="宋体" w:hAnsi="宋体"/>
                <w:spacing w:val="11"/>
                <w:position w:val="0"/>
                <w:sz w:val="24"/>
                <w:u w:val="single" w:color="auto"/>
              </w:rPr>
              <w:t>要求：</w:t>
            </w:r>
            <w:r>
              <w:rPr>
                <w:rFonts w:ascii="宋体" w:hAnsi="宋体"/>
                <w:spacing w:val="11"/>
                <w:position w:val="0"/>
                <w:sz w:val="24"/>
                <w:u w:val="single" w:color="auto"/>
              </w:rPr>
              <w:t>对</w:t>
            </w:r>
            <w:r>
              <w:rPr>
                <w:rFonts w:hint="eastAsia" w:ascii="宋体" w:hAnsi="宋体"/>
                <w:spacing w:val="11"/>
                <w:position w:val="0"/>
                <w:sz w:val="24"/>
                <w:u w:val="single" w:color="auto"/>
              </w:rPr>
              <w:t>露天</w:t>
            </w:r>
            <w:r>
              <w:rPr>
                <w:rFonts w:ascii="宋体" w:hAnsi="宋体"/>
                <w:spacing w:val="11"/>
                <w:position w:val="0"/>
                <w:sz w:val="24"/>
                <w:u w:val="single" w:color="auto"/>
              </w:rPr>
              <w:t>开采的矿体要在开采活动结束前向主管部门提出关闭矿山申请和地质报告，按照批准的关闭矿山报告，完成有关的水土保持、土地复垦或缴清土地复垦和环境保护的有关费用，确实落实工程环境影响报告</w:t>
            </w:r>
            <w:r>
              <w:rPr>
                <w:rFonts w:hint="eastAsia" w:ascii="宋体" w:hAnsi="宋体"/>
                <w:spacing w:val="11"/>
                <w:position w:val="0"/>
                <w:sz w:val="24"/>
                <w:u w:val="single" w:color="auto"/>
              </w:rPr>
              <w:t>表</w:t>
            </w:r>
            <w:r>
              <w:rPr>
                <w:rFonts w:ascii="宋体" w:hAnsi="宋体"/>
                <w:spacing w:val="11"/>
                <w:position w:val="0"/>
                <w:sz w:val="24"/>
                <w:u w:val="single" w:color="auto"/>
              </w:rPr>
              <w:t>和水土保持方案中的工程措施和生物措施，及时恢复适宜地方生长的农作物及经济林，控制泥石流、滑坡等不利因素发生，减少因工程占地给农业、林业生产带来的经济损失。</w:t>
            </w:r>
          </w:p>
          <w:p w14:paraId="1A0163B6">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②开采区</w:t>
            </w:r>
            <w:r>
              <w:rPr>
                <w:rFonts w:ascii="宋体" w:hAnsi="宋体"/>
                <w:spacing w:val="11"/>
                <w:position w:val="0"/>
                <w:sz w:val="24"/>
                <w:u w:val="single" w:color="auto"/>
              </w:rPr>
              <w:t>：按设计要求进行绿化和种植经济林。该矿区可种植适宜当地生长的经济林。</w:t>
            </w:r>
          </w:p>
          <w:p w14:paraId="10E13D38">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③</w:t>
            </w:r>
            <w:r>
              <w:rPr>
                <w:rFonts w:ascii="宋体" w:hAnsi="宋体"/>
                <w:spacing w:val="11"/>
                <w:position w:val="0"/>
                <w:sz w:val="24"/>
                <w:u w:val="single" w:color="auto"/>
              </w:rPr>
              <w:t>矿山运输道路：以人工恢复为主，辅以自然恢复。行道树应以人工恢复为主，边坡植被以自然恢复为主。</w:t>
            </w:r>
          </w:p>
          <w:p w14:paraId="7E60154E">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④</w:t>
            </w:r>
            <w:r>
              <w:rPr>
                <w:rFonts w:ascii="宋体" w:hAnsi="宋体"/>
                <w:spacing w:val="11"/>
                <w:position w:val="0"/>
                <w:sz w:val="24"/>
                <w:u w:val="single" w:color="auto"/>
              </w:rPr>
              <w:t>加强矿山的管理</w:t>
            </w:r>
            <w:r>
              <w:rPr>
                <w:rFonts w:hint="eastAsia" w:ascii="宋体" w:hAnsi="宋体"/>
                <w:spacing w:val="11"/>
                <w:position w:val="0"/>
                <w:sz w:val="24"/>
                <w:u w:val="single" w:color="auto"/>
              </w:rPr>
              <w:t>：</w:t>
            </w:r>
            <w:r>
              <w:rPr>
                <w:rFonts w:ascii="宋体" w:hAnsi="宋体"/>
                <w:spacing w:val="11"/>
                <w:position w:val="0"/>
                <w:sz w:val="24"/>
                <w:u w:val="single" w:color="auto"/>
              </w:rPr>
              <w:t>矿山的生态恢复是采掘行业环境保护工作的重要内容之一，企业领导一定要将矿山的生态恢复工作落到实处。</w:t>
            </w:r>
          </w:p>
          <w:p w14:paraId="2361F1F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宋体" w:hAnsi="宋体"/>
                <w:spacing w:val="11"/>
                <w:position w:val="0"/>
                <w:sz w:val="24"/>
                <w:u w:val="single" w:color="auto"/>
              </w:rPr>
            </w:pPr>
            <w:r>
              <w:rPr>
                <w:rFonts w:hint="eastAsia" w:ascii="宋体" w:hAnsi="宋体"/>
                <w:spacing w:val="11"/>
                <w:position w:val="0"/>
                <w:sz w:val="24"/>
                <w:u w:val="single" w:color="auto"/>
              </w:rPr>
              <w:t>⑤</w:t>
            </w:r>
            <w:r>
              <w:rPr>
                <w:rFonts w:ascii="宋体" w:hAnsi="宋体"/>
                <w:spacing w:val="11"/>
                <w:position w:val="0"/>
                <w:sz w:val="24"/>
                <w:u w:val="single" w:color="auto"/>
              </w:rPr>
              <w:t>矿山复垦费用</w:t>
            </w:r>
            <w:r>
              <w:rPr>
                <w:rFonts w:hint="eastAsia" w:ascii="宋体" w:hAnsi="宋体"/>
                <w:spacing w:val="11"/>
                <w:position w:val="0"/>
                <w:sz w:val="24"/>
                <w:u w:val="single" w:color="auto"/>
              </w:rPr>
              <w:t>：</w:t>
            </w:r>
            <w:r>
              <w:rPr>
                <w:rFonts w:ascii="宋体" w:hAnsi="宋体"/>
                <w:spacing w:val="11"/>
                <w:position w:val="0"/>
                <w:sz w:val="24"/>
                <w:u w:val="single" w:color="auto"/>
              </w:rPr>
              <w:t>《土地复垦规定》第十六条指出：基本建设过程中破坏的土地，土地复垦费用和土地损失补偿费从基本建设投资中列支；生产过程中破坏的土地，土地复垦费用从企业更新改造资金和生产发展基金中列支。</w:t>
            </w:r>
          </w:p>
          <w:p w14:paraId="75C875C1">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outlineLvl w:val="1"/>
              <w:rPr>
                <w:rFonts w:hint="eastAsia"/>
                <w:b/>
                <w:spacing w:val="11"/>
                <w:position w:val="0"/>
                <w:sz w:val="24"/>
                <w:u w:val="none" w:color="auto"/>
                <w:lang w:val="en-GB"/>
              </w:rPr>
            </w:pPr>
            <w:r>
              <w:rPr>
                <w:rFonts w:hint="eastAsia"/>
                <w:b/>
                <w:spacing w:val="11"/>
                <w:position w:val="0"/>
                <w:sz w:val="24"/>
                <w:u w:val="none" w:color="auto"/>
                <w:lang w:val="en-GB"/>
              </w:rPr>
              <w:t>复垦可行性分析</w:t>
            </w:r>
          </w:p>
          <w:p w14:paraId="4FCBEB3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eastAsia="宋体"/>
                <w:color w:val="auto"/>
                <w:spacing w:val="11"/>
                <w:position w:val="0"/>
                <w:sz w:val="24"/>
                <w:szCs w:val="24"/>
                <w:u w:val="none" w:color="auto"/>
                <w:lang w:val="en-US" w:eastAsia="zh-CN"/>
              </w:rPr>
            </w:pPr>
            <w:r>
              <w:rPr>
                <w:rFonts w:hint="eastAsia" w:ascii="宋体" w:hAnsi="宋体" w:eastAsia="宋体" w:cs="Times New Roman"/>
                <w:spacing w:val="11"/>
                <w:position w:val="0"/>
                <w:sz w:val="24"/>
                <w:u w:val="none" w:color="auto"/>
              </w:rPr>
              <w:t>项目生态修复工程主要为监测和闭坑后对场地复垦等，矿山建设、生产期间和闭坑后设置的生态修复工程工艺简单，难度小，场区土地复垦较适宜；按上述工程实施后，矿区环境会得到及时治理和恢复。矿区生态修复技术上可行。预期矿山按照本方案实施生态保护修复后的各场地安全稳定，对人类和动植物无威胁；对周边环境不产生污染；复垦方向与周边自然环境和景观相协调；恢复了土地基本功能，因地制宜地实现土地可持续利用。通过矿山生态修复形成了绿色经济产业链，持续带动地方经济发展，还给群众另一座绿水青山、金山银山。复垦方案切实可行。</w:t>
            </w:r>
          </w:p>
        </w:tc>
      </w:tr>
      <w:tr w14:paraId="7904A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1DA844EA">
            <w:pPr>
              <w:keepNext w:val="0"/>
              <w:keepLines w:val="0"/>
              <w:pageBreakBefore w:val="0"/>
              <w:kinsoku/>
              <w:wordWrap/>
              <w:overflowPunct/>
              <w:topLinePunct w:val="0"/>
              <w:bidi w:val="0"/>
              <w:adjustRightInd w:val="0"/>
              <w:snapToGrid w:val="0"/>
              <w:spacing w:line="360" w:lineRule="auto"/>
              <w:ind w:left="0"/>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其他</w:t>
            </w:r>
          </w:p>
        </w:tc>
        <w:tc>
          <w:tcPr>
            <w:tcW w:w="8164" w:type="dxa"/>
            <w:tcBorders>
              <w:tl2br w:val="nil"/>
              <w:tr2bl w:val="nil"/>
            </w:tcBorders>
            <w:noWrap w:val="0"/>
            <w:vAlign w:val="top"/>
          </w:tcPr>
          <w:p w14:paraId="52F9C863">
            <w:pPr>
              <w:pStyle w:val="21"/>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482"/>
              <w:textAlignment w:val="auto"/>
              <w:rPr>
                <w:b/>
                <w:bCs/>
                <w:spacing w:val="11"/>
                <w:position w:val="0"/>
                <w:sz w:val="24"/>
                <w:szCs w:val="20"/>
                <w:u w:val="single" w:color="auto"/>
              </w:rPr>
            </w:pPr>
            <w:r>
              <w:rPr>
                <w:rFonts w:hint="default" w:ascii="Times New Roman" w:hAnsi="Times New Roman" w:eastAsia="宋体" w:cs="Times New Roman"/>
                <w:b/>
                <w:color w:val="000000"/>
                <w:spacing w:val="11"/>
                <w:position w:val="0"/>
                <w:sz w:val="24"/>
                <w:szCs w:val="24"/>
                <w:highlight w:val="none"/>
                <w:u w:val="single" w:color="auto"/>
                <w:lang w:val="en-US" w:eastAsia="zh-CN"/>
              </w:rPr>
              <w:t>1、</w:t>
            </w:r>
            <w:r>
              <w:rPr>
                <w:b/>
                <w:bCs/>
                <w:spacing w:val="11"/>
                <w:position w:val="0"/>
                <w:sz w:val="24"/>
                <w:szCs w:val="20"/>
                <w:u w:val="single" w:color="auto"/>
              </w:rPr>
              <w:t>环境管理与监测</w:t>
            </w:r>
          </w:p>
          <w:p w14:paraId="6EFFC028">
            <w:pPr>
              <w:keepNext w:val="0"/>
              <w:keepLines w:val="0"/>
              <w:pageBreakBefore w:val="0"/>
              <w:kinsoku/>
              <w:wordWrap/>
              <w:overflowPunct/>
              <w:topLinePunct w:val="0"/>
              <w:bidi w:val="0"/>
              <w:adjustRightInd w:val="0"/>
              <w:snapToGrid w:val="0"/>
              <w:spacing w:line="360" w:lineRule="auto"/>
              <w:ind w:left="0" w:firstLine="524" w:firstLineChars="200"/>
              <w:outlineLvl w:val="1"/>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1</w:t>
            </w:r>
            <w:r>
              <w:rPr>
                <w:rFonts w:hint="eastAsia" w:ascii="Times New Roman" w:hAnsi="Times New Roman" w:eastAsia="宋体" w:cs="Times New Roman"/>
                <w:b w:val="0"/>
                <w:bCs/>
                <w:spacing w:val="11"/>
                <w:position w:val="0"/>
                <w:sz w:val="24"/>
                <w:szCs w:val="24"/>
                <w:u w:val="single" w:color="auto"/>
                <w:lang w:eastAsia="zh-CN"/>
              </w:rPr>
              <w:t>）</w:t>
            </w:r>
            <w:r>
              <w:rPr>
                <w:rFonts w:ascii="Times New Roman" w:hAnsi="Times New Roman" w:eastAsia="宋体" w:cs="Times New Roman"/>
                <w:b w:val="0"/>
                <w:bCs/>
                <w:spacing w:val="11"/>
                <w:position w:val="0"/>
                <w:sz w:val="24"/>
                <w:szCs w:val="24"/>
                <w:u w:val="single" w:color="auto"/>
              </w:rPr>
              <w:t>环境管理</w:t>
            </w:r>
          </w:p>
          <w:p w14:paraId="307A1A67">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val="0"/>
                <w:bCs/>
                <w:spacing w:val="11"/>
                <w:position w:val="0"/>
                <w:sz w:val="24"/>
                <w:szCs w:val="24"/>
                <w:u w:val="single" w:color="auto"/>
              </w:rPr>
            </w:pPr>
            <w:r>
              <w:rPr>
                <w:rFonts w:ascii="Times New Roman" w:hAnsi="Times New Roman" w:eastAsia="宋体" w:cs="Times New Roman"/>
                <w:b w:val="0"/>
                <w:bCs/>
                <w:spacing w:val="11"/>
                <w:position w:val="0"/>
                <w:sz w:val="24"/>
                <w:szCs w:val="24"/>
                <w:u w:val="single" w:color="auto"/>
              </w:rPr>
              <w:t>为有效地防止本项目对自然环境及环境质量的影响，企业应加强该项目环境保护管理工作，设置专门的环保机构，配备专业的环保管理人员，负责工程运行过程中的环境管理工作及监测计划；并根据环境影响报告中提出的环保措施及实际造成的环境影响，详细制定本工程环境保护规章制度。</w:t>
            </w:r>
          </w:p>
          <w:p w14:paraId="71F226B5">
            <w:pPr>
              <w:keepNext w:val="0"/>
              <w:keepLines w:val="0"/>
              <w:pageBreakBefore w:val="0"/>
              <w:kinsoku/>
              <w:wordWrap/>
              <w:overflowPunct/>
              <w:topLinePunct w:val="0"/>
              <w:bidi w:val="0"/>
              <w:adjustRightInd w:val="0"/>
              <w:snapToGrid w:val="0"/>
              <w:spacing w:line="360" w:lineRule="auto"/>
              <w:ind w:left="0" w:firstLine="524" w:firstLineChars="200"/>
              <w:outlineLvl w:val="2"/>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2）</w:t>
            </w:r>
            <w:r>
              <w:rPr>
                <w:rFonts w:ascii="Times New Roman" w:hAnsi="Times New Roman" w:eastAsia="宋体" w:cs="Times New Roman"/>
                <w:b w:val="0"/>
                <w:bCs/>
                <w:spacing w:val="11"/>
                <w:position w:val="0"/>
                <w:sz w:val="24"/>
                <w:szCs w:val="24"/>
                <w:u w:val="single" w:color="auto"/>
              </w:rPr>
              <w:t>环境管理机构</w:t>
            </w:r>
          </w:p>
          <w:p w14:paraId="6C8420B2">
            <w:pPr>
              <w:pStyle w:val="21"/>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val="0"/>
                <w:bCs/>
                <w:spacing w:val="11"/>
                <w:position w:val="0"/>
                <w:sz w:val="24"/>
                <w:szCs w:val="24"/>
                <w:u w:val="single" w:color="auto"/>
              </w:rPr>
            </w:pPr>
            <w:r>
              <w:rPr>
                <w:rFonts w:ascii="Times New Roman" w:hAnsi="Times New Roman" w:eastAsia="宋体" w:cs="Times New Roman"/>
                <w:b w:val="0"/>
                <w:bCs/>
                <w:spacing w:val="11"/>
                <w:position w:val="0"/>
                <w:sz w:val="24"/>
                <w:szCs w:val="24"/>
                <w:u w:val="single" w:color="auto"/>
              </w:rPr>
              <w:t>本项目环境管理的实施单位是</w:t>
            </w:r>
            <w:r>
              <w:rPr>
                <w:rFonts w:hint="eastAsia" w:ascii="Times New Roman" w:hAnsi="Times New Roman" w:eastAsia="宋体" w:cs="Times New Roman"/>
                <w:b w:val="0"/>
                <w:bCs/>
                <w:spacing w:val="11"/>
                <w:position w:val="0"/>
                <w:sz w:val="24"/>
                <w:szCs w:val="24"/>
                <w:u w:val="single" w:color="auto"/>
                <w:lang w:val="en-US" w:eastAsia="zh-CN"/>
              </w:rPr>
              <w:t>建设单位</w:t>
            </w:r>
            <w:r>
              <w:rPr>
                <w:rFonts w:ascii="Times New Roman" w:hAnsi="Times New Roman" w:eastAsia="宋体" w:cs="Times New Roman"/>
                <w:b w:val="0"/>
                <w:bCs/>
                <w:spacing w:val="11"/>
                <w:position w:val="0"/>
                <w:sz w:val="24"/>
                <w:szCs w:val="24"/>
                <w:u w:val="single" w:color="auto"/>
              </w:rPr>
              <w:t>。项目法人是环境管理的第一责任人。建议建设单位安排有1名专职环境管理人员，在项目法人的领导下负责项目环境管理工作，协调解决生产过程的环境问题。</w:t>
            </w:r>
          </w:p>
          <w:p w14:paraId="0D88B9A2">
            <w:pPr>
              <w:keepNext w:val="0"/>
              <w:keepLines w:val="0"/>
              <w:pageBreakBefore w:val="0"/>
              <w:kinsoku/>
              <w:wordWrap/>
              <w:overflowPunct/>
              <w:topLinePunct w:val="0"/>
              <w:bidi w:val="0"/>
              <w:adjustRightInd w:val="0"/>
              <w:snapToGrid w:val="0"/>
              <w:spacing w:line="360" w:lineRule="auto"/>
              <w:ind w:left="0" w:firstLine="524" w:firstLineChars="200"/>
              <w:outlineLvl w:val="2"/>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3）</w:t>
            </w:r>
            <w:r>
              <w:rPr>
                <w:rFonts w:ascii="Times New Roman" w:hAnsi="Times New Roman" w:eastAsia="宋体" w:cs="Times New Roman"/>
                <w:b w:val="0"/>
                <w:bCs/>
                <w:spacing w:val="11"/>
                <w:position w:val="0"/>
                <w:sz w:val="24"/>
                <w:szCs w:val="24"/>
                <w:u w:val="single" w:color="auto"/>
              </w:rPr>
              <w:t>环境管理工作职责</w:t>
            </w:r>
          </w:p>
          <w:p w14:paraId="43DBFB15">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spacing w:val="11"/>
                <w:position w:val="0"/>
                <w:sz w:val="24"/>
                <w:szCs w:val="24"/>
                <w:u w:val="single" w:color="auto"/>
              </w:rPr>
            </w:pPr>
            <w:r>
              <w:rPr>
                <w:rFonts w:ascii="Times New Roman" w:hAnsi="Times New Roman" w:eastAsia="宋体" w:cs="Times New Roman"/>
                <w:spacing w:val="11"/>
                <w:position w:val="0"/>
                <w:sz w:val="24"/>
                <w:szCs w:val="24"/>
                <w:u w:val="single" w:color="auto"/>
              </w:rPr>
              <w:t>1）执行国家、地方和行业环保部门的环境保护要求。</w:t>
            </w:r>
          </w:p>
          <w:p w14:paraId="30161F45">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ascii="Times New Roman" w:hAnsi="Times New Roman" w:eastAsia="宋体" w:cs="Times New Roman"/>
                <w:spacing w:val="11"/>
                <w:position w:val="0"/>
                <w:sz w:val="24"/>
                <w:szCs w:val="24"/>
                <w:u w:val="single" w:color="auto"/>
              </w:rPr>
              <w:t>2）</w:t>
            </w:r>
            <w:r>
              <w:rPr>
                <w:rFonts w:hint="default" w:ascii="Times New Roman" w:hAnsi="Times New Roman" w:eastAsia="宋体" w:cs="Times New Roman"/>
                <w:spacing w:val="11"/>
                <w:position w:val="0"/>
                <w:sz w:val="24"/>
                <w:szCs w:val="24"/>
                <w:u w:val="single" w:color="auto"/>
              </w:rPr>
              <w:t>建立和健全企业各种环境管理规章制度、环境管理台账制度，制定生产安全与监控运行体系、标准操作程序、安全操作规程和岗位责任制等有关规章制度</w:t>
            </w:r>
            <w:r>
              <w:rPr>
                <w:rFonts w:ascii="Times New Roman" w:hAnsi="Times New Roman" w:eastAsia="宋体" w:cs="Times New Roman"/>
                <w:spacing w:val="11"/>
                <w:position w:val="0"/>
                <w:sz w:val="24"/>
                <w:szCs w:val="24"/>
                <w:u w:val="single" w:color="auto"/>
              </w:rPr>
              <w:t>。</w:t>
            </w:r>
          </w:p>
          <w:p w14:paraId="1F8A5F7E">
            <w:pPr>
              <w:keepNext w:val="0"/>
              <w:keepLines w:val="0"/>
              <w:pageBreakBefore w:val="0"/>
              <w:kinsoku/>
              <w:wordWrap/>
              <w:overflowPunct/>
              <w:topLinePunct w:val="0"/>
              <w:bidi w:val="0"/>
              <w:adjustRightInd w:val="0"/>
              <w:snapToGrid w:val="0"/>
              <w:spacing w:line="360" w:lineRule="auto"/>
              <w:ind w:left="0" w:firstLine="524" w:firstLineChars="200"/>
              <w:rPr>
                <w:rFonts w:hint="eastAsia" w:ascii="Times New Roman" w:hAnsi="Times New Roman" w:eastAsia="宋体" w:cs="Times New Roman"/>
                <w:spacing w:val="11"/>
                <w:position w:val="0"/>
                <w:sz w:val="24"/>
                <w:szCs w:val="24"/>
                <w:u w:val="single" w:color="auto"/>
                <w:lang w:eastAsia="zh-CN"/>
              </w:rPr>
            </w:pPr>
            <w:r>
              <w:rPr>
                <w:rFonts w:ascii="Times New Roman" w:hAnsi="Times New Roman" w:eastAsia="宋体" w:cs="Times New Roman"/>
                <w:spacing w:val="11"/>
                <w:position w:val="0"/>
                <w:sz w:val="24"/>
                <w:szCs w:val="24"/>
                <w:u w:val="single" w:color="auto"/>
              </w:rPr>
              <w:t>3）落实“三同时”制度，对环保设施进行检查和维护</w:t>
            </w:r>
            <w:r>
              <w:rPr>
                <w:rFonts w:hint="default" w:ascii="Times New Roman" w:hAnsi="Times New Roman" w:eastAsia="宋体" w:cs="Times New Roman"/>
                <w:spacing w:val="11"/>
                <w:position w:val="0"/>
                <w:sz w:val="24"/>
                <w:szCs w:val="24"/>
                <w:u w:val="single" w:color="auto"/>
              </w:rPr>
              <w:t>，参与有关环保方案的审定及竣工验收，制定环保设施运行台账及各项环境保护设施和措施的建设、运行及维护费用保障计划</w:t>
            </w:r>
            <w:r>
              <w:rPr>
                <w:rFonts w:hint="eastAsia" w:cs="Times New Roman"/>
                <w:spacing w:val="11"/>
                <w:position w:val="0"/>
                <w:sz w:val="24"/>
                <w:szCs w:val="24"/>
                <w:u w:val="single" w:color="auto"/>
                <w:lang w:eastAsia="zh-CN"/>
              </w:rPr>
              <w:t>。</w:t>
            </w:r>
          </w:p>
          <w:p w14:paraId="3ECCFDDC">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ascii="Times New Roman" w:hAnsi="Times New Roman" w:eastAsia="宋体" w:cs="Times New Roman"/>
                <w:spacing w:val="11"/>
                <w:position w:val="0"/>
                <w:sz w:val="24"/>
                <w:szCs w:val="24"/>
                <w:u w:val="single" w:color="auto"/>
              </w:rPr>
              <w:t>4）协助当地环保部门开展环境保护工作，处理与工程有关的环境问题。</w:t>
            </w:r>
          </w:p>
          <w:p w14:paraId="0645B1F8">
            <w:pPr>
              <w:keepNext w:val="0"/>
              <w:keepLines w:val="0"/>
              <w:pageBreakBefore w:val="0"/>
              <w:kinsoku/>
              <w:wordWrap/>
              <w:overflowPunct/>
              <w:topLinePunct w:val="0"/>
              <w:bidi w:val="0"/>
              <w:adjustRightInd w:val="0"/>
              <w:snapToGrid w:val="0"/>
              <w:spacing w:line="360" w:lineRule="auto"/>
              <w:ind w:left="0" w:firstLine="524" w:firstLineChars="200"/>
              <w:rPr>
                <w:rFonts w:hint="eastAsia" w:ascii="Times New Roman" w:hAnsi="Times New Roman" w:eastAsia="宋体" w:cs="Times New Roman"/>
                <w:spacing w:val="11"/>
                <w:position w:val="0"/>
                <w:sz w:val="24"/>
                <w:szCs w:val="24"/>
                <w:u w:val="single" w:color="auto"/>
                <w:lang w:val="en-US" w:eastAsia="zh-CN"/>
              </w:rPr>
            </w:pPr>
            <w:r>
              <w:rPr>
                <w:rFonts w:hint="eastAsia" w:cs="Times New Roman"/>
                <w:spacing w:val="11"/>
                <w:position w:val="0"/>
                <w:sz w:val="24"/>
                <w:szCs w:val="24"/>
                <w:u w:val="single" w:color="auto"/>
                <w:lang w:val="en-US" w:eastAsia="zh-CN"/>
              </w:rPr>
              <w:t>5）领导和协调环境监测计划的落实，确保监测工作正常运行。制定污染源监测计划及自行检查方案，并负责组织实施，并建立相关档案和环保管理台账，定期报地方环保主管部门备案、审核。</w:t>
            </w:r>
          </w:p>
          <w:p w14:paraId="505D4889">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6</w:t>
            </w:r>
            <w:r>
              <w:rPr>
                <w:rFonts w:ascii="Times New Roman" w:hAnsi="Times New Roman" w:eastAsia="宋体" w:cs="Times New Roman"/>
                <w:spacing w:val="11"/>
                <w:position w:val="0"/>
                <w:sz w:val="24"/>
                <w:szCs w:val="24"/>
                <w:u w:val="single" w:color="auto"/>
              </w:rPr>
              <w:t>）掌握工程区环境状况，对污染物排放和生态破坏情况进行统计。</w:t>
            </w:r>
          </w:p>
          <w:p w14:paraId="4F941272">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7</w:t>
            </w:r>
            <w:r>
              <w:rPr>
                <w:rFonts w:ascii="Times New Roman" w:hAnsi="Times New Roman" w:eastAsia="宋体" w:cs="Times New Roman"/>
                <w:spacing w:val="11"/>
                <w:position w:val="0"/>
                <w:sz w:val="24"/>
                <w:szCs w:val="24"/>
                <w:u w:val="single" w:color="auto"/>
              </w:rPr>
              <w:t>）积累、保存、管理与本工程环境保护有关的资料、文件。</w:t>
            </w:r>
          </w:p>
          <w:p w14:paraId="3A85D9F4">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8</w:t>
            </w:r>
            <w:r>
              <w:rPr>
                <w:rFonts w:ascii="Times New Roman" w:hAnsi="Times New Roman" w:eastAsia="宋体" w:cs="Times New Roman"/>
                <w:spacing w:val="11"/>
                <w:position w:val="0"/>
                <w:sz w:val="24"/>
                <w:szCs w:val="24"/>
                <w:u w:val="single" w:color="auto"/>
              </w:rPr>
              <w:t>）做好生产人员的环保宣传和教育工作。</w:t>
            </w:r>
          </w:p>
          <w:p w14:paraId="6F1BE6A4">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（4）</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营运期环境管理</w:t>
            </w:r>
          </w:p>
          <w:p w14:paraId="111EEFC0">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 xml:space="preserve">营运期的环境管理的重点是各项环境保护措施的落实和维护，建议重点做好以下工作。 </w:t>
            </w:r>
          </w:p>
          <w:p w14:paraId="6F15CBCC">
            <w:pPr>
              <w:pStyle w:val="76"/>
              <w:keepNext w:val="0"/>
              <w:keepLines w:val="0"/>
              <w:pageBreakBefore w:val="0"/>
              <w:widowControl/>
              <w:numPr>
                <w:ilvl w:val="0"/>
                <w:numId w:val="0"/>
              </w:numPr>
              <w:tabs>
                <w:tab w:val="left" w:pos="1877"/>
              </w:tabs>
              <w:kinsoku/>
              <w:wordWrap/>
              <w:overflowPunct/>
              <w:topLinePunct w:val="0"/>
              <w:autoSpaceDE/>
              <w:autoSpaceDN/>
              <w:bidi w:val="0"/>
              <w:adjustRightInd w:val="0"/>
              <w:snapToGrid w:val="0"/>
              <w:spacing w:before="0" w:after="0" w:line="360" w:lineRule="auto"/>
              <w:ind w:left="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1）针对采矿区、仓储区分别制定操作规章制度，应包括具体操作流程、安全规范、环保要求等，对于原料、半成品和成品堆放区应做到分类分区存放、对于厂区的主要生产单元、仓储单元和环保单元，应设置醒目标识标牌，厂区管理建议按照“6S精益管理”方法进行。</w:t>
            </w:r>
          </w:p>
          <w:p w14:paraId="76869CDF">
            <w:pPr>
              <w:pStyle w:val="76"/>
              <w:keepNext w:val="0"/>
              <w:keepLines w:val="0"/>
              <w:pageBreakBefore w:val="0"/>
              <w:widowControl/>
              <w:tabs>
                <w:tab w:val="left" w:pos="1877"/>
              </w:tabs>
              <w:kinsoku/>
              <w:wordWrap/>
              <w:overflowPunct/>
              <w:topLinePunct w:val="0"/>
              <w:autoSpaceDE/>
              <w:autoSpaceDN/>
              <w:bidi w:val="0"/>
              <w:adjustRightInd w:val="0"/>
              <w:snapToGrid w:val="0"/>
              <w:spacing w:before="0" w:after="0" w:line="360" w:lineRule="auto"/>
              <w:ind w:left="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2）做好风险防范设施的运行管理和维护，保证运行效果。</w:t>
            </w:r>
          </w:p>
          <w:p w14:paraId="0CA36409">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3）项目产生的固体废物</w:t>
            </w:r>
            <w:r>
              <w:rPr>
                <w:rFonts w:hint="default" w:ascii="Times New Roman" w:hAnsi="Times New Roman" w:eastAsia="宋体" w:cs="Times New Roman"/>
                <w:color w:val="000000"/>
                <w:spacing w:val="11"/>
                <w:position w:val="0"/>
                <w:sz w:val="24"/>
                <w:szCs w:val="24"/>
                <w:u w:val="single" w:color="auto"/>
                <w:lang w:val="en-US" w:eastAsia="zh-CN"/>
              </w:rPr>
              <w:t>集中</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收集并</w:t>
            </w:r>
            <w:r>
              <w:rPr>
                <w:rFonts w:hint="default" w:ascii="Times New Roman" w:hAnsi="Times New Roman" w:eastAsia="宋体" w:cs="Times New Roman"/>
                <w:color w:val="000000"/>
                <w:spacing w:val="11"/>
                <w:position w:val="0"/>
                <w:sz w:val="24"/>
                <w:szCs w:val="24"/>
                <w:u w:val="single" w:color="auto"/>
                <w:lang w:val="en-US" w:eastAsia="zh-CN"/>
              </w:rPr>
              <w:t>送到</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相应部门妥善处理。</w:t>
            </w:r>
          </w:p>
          <w:p w14:paraId="01A62EB1">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4）做好废水</w:t>
            </w:r>
            <w:r>
              <w:rPr>
                <w:rFonts w:hint="default" w:ascii="Times New Roman" w:hAnsi="Times New Roman" w:eastAsia="宋体" w:cs="Times New Roman"/>
                <w:color w:val="000000"/>
                <w:spacing w:val="11"/>
                <w:position w:val="0"/>
                <w:sz w:val="24"/>
                <w:szCs w:val="24"/>
                <w:u w:val="single" w:color="auto"/>
                <w:lang w:val="en-US" w:eastAsia="zh-CN"/>
              </w:rPr>
              <w:t>处理</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 xml:space="preserve">设施的运行管理和维护，保证运行效果。 </w:t>
            </w:r>
          </w:p>
          <w:p w14:paraId="213A0F99">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5）要做好绿化的建设和维护工作。绿色植物不仅能涵养水分，保持水土，而且能挡尘降噪，调节小气候，有利于改善生态环境。绿化要及时进行，绿化面积要达标。在营运期要做好绿化花草树木的管理工作。勤浇水、勤施肥，勤治虫，勤补种和更换花草，保证绿化成功率，并不断地提高绿化的档次。</w:t>
            </w:r>
          </w:p>
          <w:p w14:paraId="1A1157FF">
            <w:pPr>
              <w:pStyle w:val="77"/>
              <w:keepNext w:val="0"/>
              <w:keepLines w:val="0"/>
              <w:pageBreakBefore w:val="0"/>
              <w:kinsoku/>
              <w:wordWrap/>
              <w:overflowPunct/>
              <w:topLinePunct w:val="0"/>
              <w:autoSpaceDE/>
              <w:autoSpaceDN/>
              <w:bidi w:val="0"/>
              <w:adjustRightInd w:val="0"/>
              <w:snapToGrid w:val="0"/>
              <w:spacing w:line="360" w:lineRule="auto"/>
              <w:ind w:left="0" w:right="0" w:firstLine="524" w:firstLineChars="200"/>
              <w:textAlignment w:val="baseline"/>
              <w:rPr>
                <w:rFonts w:ascii="Times New Roman" w:hAnsi="Times New Roman" w:eastAsia="宋体" w:cs="Times New Roman"/>
                <w:spacing w:val="11"/>
                <w:position w:val="0"/>
                <w:sz w:val="24"/>
                <w:szCs w:val="26"/>
                <w:u w:val="single" w:color="auto"/>
              </w:rPr>
            </w:pPr>
            <w:r>
              <w:rPr>
                <w:rFonts w:ascii="Times New Roman" w:hAnsi="Times New Roman" w:eastAsia="宋体" w:cs="Times New Roman"/>
                <w:spacing w:val="11"/>
                <w:position w:val="0"/>
                <w:sz w:val="24"/>
                <w:szCs w:val="26"/>
                <w:u w:val="single" w:color="auto"/>
              </w:rPr>
              <w:t>根据矿山具体情况，本评价初步制定了其环境保护管理计划见</w:t>
            </w:r>
            <w:r>
              <w:rPr>
                <w:rFonts w:hint="eastAsia" w:ascii="Times New Roman" w:hAnsi="Times New Roman" w:eastAsia="宋体" w:cs="Times New Roman"/>
                <w:spacing w:val="11"/>
                <w:position w:val="0"/>
                <w:sz w:val="24"/>
                <w:szCs w:val="26"/>
                <w:u w:val="single" w:color="auto"/>
                <w:lang w:val="en-US" w:eastAsia="zh-CN"/>
              </w:rPr>
              <w:t>下</w:t>
            </w:r>
            <w:r>
              <w:rPr>
                <w:rFonts w:ascii="Times New Roman" w:hAnsi="Times New Roman" w:eastAsia="宋体" w:cs="Times New Roman"/>
                <w:spacing w:val="11"/>
                <w:position w:val="0"/>
                <w:sz w:val="24"/>
                <w:szCs w:val="26"/>
                <w:u w:val="single" w:color="auto"/>
              </w:rPr>
              <w:t>表</w:t>
            </w:r>
            <w:r>
              <w:rPr>
                <w:rFonts w:hint="eastAsia" w:ascii="Times New Roman" w:hAnsi="Times New Roman" w:eastAsia="宋体" w:cs="Times New Roman"/>
                <w:spacing w:val="11"/>
                <w:position w:val="0"/>
                <w:sz w:val="24"/>
                <w:szCs w:val="26"/>
                <w:u w:val="single" w:color="auto"/>
                <w:lang w:val="en-US" w:eastAsia="zh-CN"/>
              </w:rPr>
              <w:t>5-2</w:t>
            </w:r>
            <w:r>
              <w:rPr>
                <w:rFonts w:ascii="Times New Roman" w:hAnsi="Times New Roman" w:eastAsia="宋体" w:cs="Times New Roman"/>
                <w:spacing w:val="11"/>
                <w:position w:val="0"/>
                <w:sz w:val="24"/>
                <w:szCs w:val="26"/>
                <w:u w:val="single" w:color="auto"/>
              </w:rPr>
              <w:t>。</w:t>
            </w:r>
          </w:p>
          <w:p w14:paraId="52F31DD6">
            <w:pPr>
              <w:pStyle w:val="13"/>
              <w:keepNext w:val="0"/>
              <w:keepLines w:val="0"/>
              <w:pageBreakBefore w:val="0"/>
              <w:kinsoku/>
              <w:wordWrap/>
              <w:overflowPunct/>
              <w:topLinePunct w:val="0"/>
              <w:autoSpaceDE/>
              <w:autoSpaceDN/>
              <w:bidi w:val="0"/>
              <w:adjustRightInd w:val="0"/>
              <w:snapToGrid w:val="0"/>
              <w:spacing w:before="0" w:after="0" w:line="240" w:lineRule="auto"/>
              <w:ind w:left="0" w:right="0"/>
              <w:jc w:val="center"/>
              <w:rPr>
                <w:rFonts w:ascii="Times New Roman" w:hAnsi="Times New Roman" w:eastAsia="宋体" w:cs="Times New Roman"/>
                <w:b/>
                <w:spacing w:val="11"/>
                <w:position w:val="0"/>
                <w:sz w:val="21"/>
                <w:szCs w:val="21"/>
                <w:u w:val="single" w:color="auto"/>
              </w:rPr>
            </w:pPr>
            <w:r>
              <w:rPr>
                <w:rFonts w:ascii="Times New Roman" w:hAnsi="Times New Roman" w:eastAsia="宋体" w:cs="Times New Roman"/>
                <w:b/>
                <w:spacing w:val="11"/>
                <w:position w:val="0"/>
                <w:sz w:val="21"/>
                <w:szCs w:val="21"/>
                <w:u w:val="single" w:color="auto"/>
              </w:rPr>
              <w:t>表5-</w:t>
            </w:r>
            <w:r>
              <w:rPr>
                <w:rFonts w:hint="eastAsia" w:ascii="Times New Roman" w:hAnsi="Times New Roman" w:eastAsia="宋体" w:cs="Times New Roman"/>
                <w:b/>
                <w:spacing w:val="11"/>
                <w:position w:val="0"/>
                <w:sz w:val="21"/>
                <w:szCs w:val="21"/>
                <w:u w:val="single" w:color="auto"/>
                <w:lang w:val="en-US" w:eastAsia="zh-CN"/>
              </w:rPr>
              <w:t>2</w:t>
            </w:r>
            <w:r>
              <w:rPr>
                <w:rFonts w:ascii="Times New Roman" w:hAnsi="Times New Roman" w:eastAsia="宋体" w:cs="Times New Roman"/>
                <w:b/>
                <w:spacing w:val="11"/>
                <w:position w:val="0"/>
                <w:sz w:val="21"/>
                <w:szCs w:val="21"/>
                <w:u w:val="single" w:color="auto"/>
              </w:rPr>
              <w:t xml:space="preserve">  环境管理任务计划表</w:t>
            </w:r>
          </w:p>
          <w:tbl>
            <w:tblPr>
              <w:tblStyle w:val="33"/>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078"/>
            </w:tblGrid>
            <w:tr w14:paraId="1843B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14:paraId="060D6793">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阶 段</w:t>
                  </w:r>
                </w:p>
              </w:tc>
              <w:tc>
                <w:tcPr>
                  <w:tcW w:w="7755" w:type="dxa"/>
                  <w:tcBorders>
                    <w:tl2br w:val="nil"/>
                    <w:tr2bl w:val="nil"/>
                  </w:tcBorders>
                  <w:noWrap w:val="0"/>
                  <w:vAlign w:val="center"/>
                </w:tcPr>
                <w:p w14:paraId="20168D3B">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环境管理主要任务内容</w:t>
                  </w:r>
                </w:p>
              </w:tc>
            </w:tr>
            <w:tr w14:paraId="5DA86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14:paraId="44E109D6">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施工期</w:t>
                  </w:r>
                </w:p>
              </w:tc>
              <w:tc>
                <w:tcPr>
                  <w:tcW w:w="7755" w:type="dxa"/>
                  <w:tcBorders>
                    <w:tl2br w:val="nil"/>
                    <w:tr2bl w:val="nil"/>
                  </w:tcBorders>
                  <w:noWrap w:val="0"/>
                  <w:vAlign w:val="center"/>
                </w:tcPr>
                <w:p w14:paraId="5E759C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①</w:t>
                  </w:r>
                  <w:r>
                    <w:rPr>
                      <w:rFonts w:ascii="Times New Roman" w:hAnsi="Times New Roman" w:eastAsia="宋体" w:cs="Times New Roman"/>
                      <w:spacing w:val="11"/>
                      <w:position w:val="0"/>
                      <w:szCs w:val="21"/>
                      <w:u w:val="single" w:color="auto"/>
                    </w:rPr>
                    <w:t>废</w:t>
                  </w:r>
                  <w:r>
                    <w:rPr>
                      <w:rFonts w:hint="eastAsia" w:cs="Times New Roman"/>
                      <w:spacing w:val="11"/>
                      <w:position w:val="0"/>
                      <w:szCs w:val="21"/>
                      <w:u w:val="single" w:color="auto"/>
                      <w:lang w:val="en-US" w:eastAsia="zh-CN"/>
                    </w:rPr>
                    <w:t>土石方运输至临时堆土场进行暂存，并在场内</w:t>
                  </w:r>
                  <w:r>
                    <w:rPr>
                      <w:rFonts w:ascii="Times New Roman" w:hAnsi="Times New Roman" w:eastAsia="宋体" w:cs="Times New Roman"/>
                      <w:spacing w:val="11"/>
                      <w:position w:val="0"/>
                      <w:szCs w:val="21"/>
                      <w:u w:val="single" w:color="auto"/>
                    </w:rPr>
                    <w:t>及时</w:t>
                  </w:r>
                  <w:r>
                    <w:rPr>
                      <w:rFonts w:hint="eastAsia" w:cs="Times New Roman"/>
                      <w:spacing w:val="11"/>
                      <w:position w:val="0"/>
                      <w:szCs w:val="21"/>
                      <w:u w:val="single" w:color="auto"/>
                      <w:lang w:val="en-US" w:eastAsia="zh-CN"/>
                    </w:rPr>
                    <w:t>回填</w:t>
                  </w:r>
                  <w:r>
                    <w:rPr>
                      <w:rFonts w:ascii="Times New Roman" w:hAnsi="Times New Roman" w:eastAsia="宋体" w:cs="Times New Roman"/>
                      <w:spacing w:val="11"/>
                      <w:position w:val="0"/>
                      <w:szCs w:val="21"/>
                      <w:u w:val="single" w:color="auto"/>
                    </w:rPr>
                    <w:t>。</w:t>
                  </w:r>
                </w:p>
                <w:p w14:paraId="15CD8F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②</w:t>
                  </w:r>
                  <w:r>
                    <w:rPr>
                      <w:rFonts w:ascii="Times New Roman" w:hAnsi="Times New Roman" w:eastAsia="宋体" w:cs="Times New Roman"/>
                      <w:spacing w:val="11"/>
                      <w:position w:val="0"/>
                      <w:szCs w:val="21"/>
                      <w:u w:val="single" w:color="auto"/>
                    </w:rPr>
                    <w:t>施工废水主要是车辆轮胎清洗废水，经沉砂池处理后用于施工场地洒水抑尘，不外排。</w:t>
                  </w:r>
                </w:p>
                <w:p w14:paraId="191B26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③</w:t>
                  </w:r>
                  <w:r>
                    <w:rPr>
                      <w:rFonts w:ascii="Times New Roman" w:hAnsi="Times New Roman" w:eastAsia="宋体" w:cs="Times New Roman"/>
                      <w:bCs/>
                      <w:spacing w:val="11"/>
                      <w:position w:val="0"/>
                      <w:szCs w:val="21"/>
                      <w:u w:val="single" w:color="auto"/>
                    </w:rPr>
                    <w:t>施工人员生活污水依托租赁民房旱厕进行处理后农用，不外排</w:t>
                  </w:r>
                  <w:r>
                    <w:rPr>
                      <w:rFonts w:ascii="Times New Roman" w:hAnsi="Times New Roman" w:eastAsia="宋体" w:cs="Times New Roman"/>
                      <w:spacing w:val="11"/>
                      <w:position w:val="0"/>
                      <w:szCs w:val="21"/>
                      <w:u w:val="single" w:color="auto"/>
                    </w:rPr>
                    <w:t>；</w:t>
                  </w:r>
                </w:p>
                <w:p w14:paraId="55E3F7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④</w:t>
                  </w:r>
                  <w:r>
                    <w:rPr>
                      <w:rFonts w:ascii="Times New Roman" w:hAnsi="Times New Roman" w:eastAsia="宋体" w:cs="Times New Roman"/>
                      <w:spacing w:val="11"/>
                      <w:position w:val="0"/>
                      <w:szCs w:val="21"/>
                      <w:u w:val="single" w:color="auto"/>
                    </w:rPr>
                    <w:t>施工期严格管理，易扬撒物料密闭运输，施工场区有针对性的洒水抑尘，文明施工；</w:t>
                  </w:r>
                </w:p>
                <w:p w14:paraId="1092E6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⑤</w:t>
                  </w:r>
                  <w:r>
                    <w:rPr>
                      <w:rFonts w:ascii="Times New Roman" w:hAnsi="Times New Roman" w:eastAsia="宋体" w:cs="Times New Roman"/>
                      <w:spacing w:val="11"/>
                      <w:position w:val="0"/>
                      <w:szCs w:val="21"/>
                      <w:u w:val="single" w:color="auto"/>
                    </w:rPr>
                    <w:t>合理安排施工时间，优化设备布局，运输车辆限速、禁鸣，高噪声设备设置在临时设备房内或离声环境敏感目标较远的区段；</w:t>
                  </w:r>
                </w:p>
                <w:p w14:paraId="51866E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⑥</w:t>
                  </w:r>
                  <w:r>
                    <w:rPr>
                      <w:rFonts w:ascii="Times New Roman" w:hAnsi="Times New Roman" w:eastAsia="宋体" w:cs="Times New Roman"/>
                      <w:spacing w:val="11"/>
                      <w:position w:val="0"/>
                      <w:szCs w:val="21"/>
                      <w:u w:val="single" w:color="auto"/>
                    </w:rPr>
                    <w:t>生活垃圾集中收集后交环卫部门统一处置；</w:t>
                  </w:r>
                </w:p>
                <w:p w14:paraId="0F8E8E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⑦</w:t>
                  </w:r>
                  <w:r>
                    <w:rPr>
                      <w:rFonts w:ascii="Times New Roman" w:hAnsi="Times New Roman" w:eastAsia="宋体" w:cs="Times New Roman"/>
                      <w:spacing w:val="11"/>
                      <w:position w:val="0"/>
                      <w:szCs w:val="21"/>
                      <w:u w:val="single" w:color="auto"/>
                    </w:rPr>
                    <w:t>建筑垃圾用于施工期矿区道路的建设；</w:t>
                  </w:r>
                </w:p>
                <w:p w14:paraId="225D33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⑧</w:t>
                  </w:r>
                  <w:r>
                    <w:rPr>
                      <w:rFonts w:ascii="Times New Roman" w:hAnsi="Times New Roman" w:eastAsia="宋体" w:cs="Times New Roman"/>
                      <w:spacing w:val="11"/>
                      <w:position w:val="0"/>
                      <w:szCs w:val="21"/>
                      <w:u w:val="single" w:color="auto"/>
                    </w:rPr>
                    <w:t>监督使用环保、优质材料；</w:t>
                  </w:r>
                </w:p>
              </w:tc>
            </w:tr>
            <w:tr w14:paraId="1C5B7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14:paraId="332906DC">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运营期</w:t>
                  </w:r>
                </w:p>
              </w:tc>
              <w:tc>
                <w:tcPr>
                  <w:tcW w:w="7755" w:type="dxa"/>
                  <w:tcBorders>
                    <w:tl2br w:val="nil"/>
                    <w:tr2bl w:val="nil"/>
                  </w:tcBorders>
                  <w:noWrap w:val="0"/>
                  <w:vAlign w:val="center"/>
                </w:tcPr>
                <w:p w14:paraId="4E386C20">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①</w:t>
                  </w:r>
                  <w:r>
                    <w:rPr>
                      <w:rFonts w:ascii="Times New Roman" w:hAnsi="Times New Roman" w:eastAsia="宋体" w:cs="Times New Roman"/>
                      <w:spacing w:val="11"/>
                      <w:position w:val="0"/>
                      <w:szCs w:val="21"/>
                      <w:u w:val="single" w:color="auto"/>
                    </w:rPr>
                    <w:t>贯彻执行国家、地方及产业政策相关环境保护法律法规和标准，完善和落实各项环保手续；</w:t>
                  </w:r>
                </w:p>
                <w:p w14:paraId="62426641">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②</w:t>
                  </w:r>
                  <w:r>
                    <w:rPr>
                      <w:rFonts w:ascii="Times New Roman" w:hAnsi="Times New Roman" w:eastAsia="宋体" w:cs="Times New Roman"/>
                      <w:spacing w:val="11"/>
                      <w:position w:val="0"/>
                      <w:szCs w:val="21"/>
                      <w:u w:val="single" w:color="auto"/>
                    </w:rPr>
                    <w:t>制定并严格执行各项生产环境管理规章制度，对各项污染治理设施建立操作、维护和检修规程，落实岗位责任制，保证生产正常运行；</w:t>
                  </w:r>
                </w:p>
                <w:p w14:paraId="43802073">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③</w:t>
                  </w:r>
                  <w:r>
                    <w:rPr>
                      <w:rFonts w:ascii="Times New Roman" w:hAnsi="Times New Roman" w:eastAsia="宋体" w:cs="Times New Roman"/>
                      <w:spacing w:val="11"/>
                      <w:position w:val="0"/>
                      <w:szCs w:val="21"/>
                      <w:u w:val="single" w:color="auto"/>
                    </w:rPr>
                    <w:t>建立定期环境监测制度，加强环境监督、检查；申报排污许可证，建立环保设施运行卡，对环保设施定期进行检查和维护；</w:t>
                  </w:r>
                </w:p>
                <w:p w14:paraId="76505D7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④</w:t>
                  </w:r>
                  <w:r>
                    <w:rPr>
                      <w:rFonts w:ascii="Times New Roman" w:hAnsi="Times New Roman" w:eastAsia="宋体" w:cs="Times New Roman"/>
                      <w:spacing w:val="11"/>
                      <w:position w:val="0"/>
                      <w:szCs w:val="21"/>
                      <w:u w:val="single" w:color="auto"/>
                    </w:rPr>
                    <w:t>按照环境管理监测计划开展定期、不定期环境与污染源监测，发现问题及时处理；</w:t>
                  </w:r>
                </w:p>
                <w:p w14:paraId="630AED3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⑤</w:t>
                  </w:r>
                  <w:r>
                    <w:rPr>
                      <w:rFonts w:ascii="Times New Roman" w:hAnsi="Times New Roman" w:eastAsia="宋体" w:cs="Times New Roman"/>
                      <w:spacing w:val="11"/>
                      <w:position w:val="0"/>
                      <w:szCs w:val="21"/>
                      <w:u w:val="single" w:color="auto"/>
                    </w:rPr>
                    <w:t>设立环境监理机构，明确其职能，资金落实到位，落实生态影响防护与恢复的监督管理措施。</w:t>
                  </w:r>
                </w:p>
                <w:p w14:paraId="22BF5A34">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⑥</w:t>
                  </w:r>
                  <w:r>
                    <w:rPr>
                      <w:rFonts w:ascii="Times New Roman" w:hAnsi="Times New Roman" w:eastAsia="宋体" w:cs="Times New Roman"/>
                      <w:spacing w:val="11"/>
                      <w:position w:val="0"/>
                      <w:szCs w:val="21"/>
                      <w:u w:val="single" w:color="auto"/>
                    </w:rPr>
                    <w:t>完善矿区环境管理目标与任务，落实矿区污染防治及生态保护恢复方案，配合地方环保部门制定区域环境综合整治规划；加强国家环保政策宣传，提高员工环保意识，提升企业环境管理水平。</w:t>
                  </w:r>
                </w:p>
              </w:tc>
            </w:tr>
            <w:tr w14:paraId="71E7C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14:paraId="70433715">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管理工</w:t>
                  </w:r>
                </w:p>
                <w:p w14:paraId="666C4021">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作重点</w:t>
                  </w:r>
                </w:p>
              </w:tc>
              <w:tc>
                <w:tcPr>
                  <w:tcW w:w="7755" w:type="dxa"/>
                  <w:tcBorders>
                    <w:tl2br w:val="nil"/>
                    <w:tr2bl w:val="nil"/>
                  </w:tcBorders>
                  <w:noWrap w:val="0"/>
                  <w:vAlign w:val="center"/>
                </w:tcPr>
                <w:p w14:paraId="035DDA4D">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①</w:t>
                  </w:r>
                  <w:r>
                    <w:rPr>
                      <w:rFonts w:ascii="Times New Roman" w:hAnsi="Times New Roman" w:eastAsia="宋体" w:cs="Times New Roman"/>
                      <w:spacing w:val="11"/>
                      <w:position w:val="0"/>
                      <w:szCs w:val="21"/>
                      <w:u w:val="single" w:color="auto"/>
                    </w:rPr>
                    <w:t>加强污染源监控与管理，保证废水全部不外排，表土全部利用；</w:t>
                  </w:r>
                </w:p>
                <w:p w14:paraId="1F492ED6">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②</w:t>
                  </w:r>
                  <w:r>
                    <w:rPr>
                      <w:rFonts w:ascii="Times New Roman" w:hAnsi="Times New Roman" w:eastAsia="宋体" w:cs="Times New Roman"/>
                      <w:spacing w:val="11"/>
                      <w:position w:val="0"/>
                      <w:szCs w:val="21"/>
                      <w:u w:val="single" w:color="auto"/>
                    </w:rPr>
                    <w:t>坚持“预防为主、防治结合、综合治理”的原则，强化环境管理力度；</w:t>
                  </w:r>
                </w:p>
                <w:p w14:paraId="3132A86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③</w:t>
                  </w:r>
                  <w:r>
                    <w:rPr>
                      <w:rFonts w:ascii="Times New Roman" w:hAnsi="Times New Roman" w:eastAsia="宋体" w:cs="Times New Roman"/>
                      <w:spacing w:val="11"/>
                      <w:position w:val="0"/>
                      <w:szCs w:val="21"/>
                      <w:u w:val="single" w:color="auto"/>
                    </w:rPr>
                    <w:t>严格控制生产全过程废气、噪声和固废排放，保护矿区生态环境。</w:t>
                  </w:r>
                </w:p>
              </w:tc>
            </w:tr>
          </w:tbl>
          <w:p w14:paraId="754F0874">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（2）</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环保设施标识标牌</w:t>
            </w:r>
          </w:p>
          <w:p w14:paraId="16718B37">
            <w:pPr>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标志牌的设置应按《环境保护图形标志</w:t>
            </w:r>
            <w:r>
              <w:rPr>
                <w:rFonts w:hint="default"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排放口（源）》（GB15562.1-1995、GB15562.2-1995）</w:t>
            </w:r>
            <w:r>
              <w:rPr>
                <w:rFonts w:hint="default" w:ascii="Times New Roman" w:hAnsi="Times New Roman" w:eastAsia="宋体" w:cs="Times New Roman"/>
                <w:color w:val="000000"/>
                <w:spacing w:val="11"/>
                <w:position w:val="0"/>
                <w:sz w:val="24"/>
                <w:szCs w:val="24"/>
                <w:u w:val="single" w:color="auto"/>
                <w:lang w:val="en-US" w:eastAsia="zh-CN"/>
              </w:rPr>
              <w:t>、《危险废物识别标志设置技术规范》</w:t>
            </w:r>
            <w:r>
              <w:rPr>
                <w:rFonts w:hint="default" w:ascii="Times New Roman" w:hAnsi="Times New Roman" w:eastAsia="宋体" w:cs="Times New Roman"/>
                <w:color w:val="000000"/>
                <w:spacing w:val="11"/>
                <w:position w:val="0"/>
                <w:sz w:val="24"/>
                <w:szCs w:val="24"/>
                <w:u w:val="single" w:color="auto"/>
                <w:lang w:val="en-US" w:eastAsia="zh-CN"/>
              </w:rPr>
              <w:fldChar w:fldCharType="begin"/>
            </w:r>
            <w:r>
              <w:rPr>
                <w:rFonts w:hint="default" w:ascii="Times New Roman" w:hAnsi="Times New Roman" w:eastAsia="宋体" w:cs="Times New Roman"/>
                <w:color w:val="000000"/>
                <w:spacing w:val="11"/>
                <w:position w:val="0"/>
                <w:sz w:val="24"/>
                <w:szCs w:val="24"/>
                <w:u w:val="single" w:color="auto"/>
                <w:lang w:val="en-US" w:eastAsia="zh-CN"/>
              </w:rPr>
              <w:instrText xml:space="preserve"> HYPERLINK "https://www.mee.gov.cn/ywgz/fgbz/bz/bzwb/gthw/wxfwjbffbz/202302/W020230224650971041729.pdf" </w:instrText>
            </w:r>
            <w:r>
              <w:rPr>
                <w:rFonts w:hint="default" w:ascii="Times New Roman" w:hAnsi="Times New Roman" w:eastAsia="宋体" w:cs="Times New Roman"/>
                <w:color w:val="000000"/>
                <w:spacing w:val="11"/>
                <w:position w:val="0"/>
                <w:sz w:val="24"/>
                <w:szCs w:val="24"/>
                <w:u w:val="single" w:color="auto"/>
                <w:lang w:val="en-US" w:eastAsia="zh-CN"/>
              </w:rPr>
              <w:fldChar w:fldCharType="separate"/>
            </w:r>
            <w:r>
              <w:rPr>
                <w:rFonts w:hint="default" w:ascii="Times New Roman" w:hAnsi="Times New Roman" w:eastAsia="宋体" w:cs="Times New Roman"/>
                <w:color w:val="000000"/>
                <w:spacing w:val="11"/>
                <w:position w:val="0"/>
                <w:sz w:val="24"/>
                <w:szCs w:val="24"/>
                <w:u w:val="single" w:color="auto"/>
                <w:lang w:val="en-US" w:eastAsia="zh-CN"/>
              </w:rPr>
              <w:t>（HJ 1276-2022）</w:t>
            </w:r>
            <w:r>
              <w:rPr>
                <w:rFonts w:hint="default" w:ascii="Times New Roman" w:hAnsi="Times New Roman" w:eastAsia="宋体" w:cs="Times New Roman"/>
                <w:color w:val="000000"/>
                <w:spacing w:val="11"/>
                <w:position w:val="0"/>
                <w:sz w:val="24"/>
                <w:szCs w:val="24"/>
                <w:u w:val="single" w:color="auto"/>
                <w:lang w:val="en-US" w:eastAsia="zh-CN"/>
              </w:rPr>
              <w:fldChar w:fldCharType="end"/>
            </w:r>
            <w:r>
              <w:rPr>
                <w:rFonts w:hint="default" w:ascii="Times New Roman" w:hAnsi="Times New Roman" w:eastAsia="宋体" w:cs="Times New Roman"/>
                <w:color w:val="000000"/>
                <w:spacing w:val="11"/>
                <w:position w:val="0"/>
                <w:sz w:val="24"/>
                <w:szCs w:val="24"/>
                <w:u w:val="single" w:color="auto"/>
              </w:rPr>
              <w:t>的规定执行。标志牌必须保持清晰、完整，当发现有损坏或颜色有变化，应及时修复或更换。</w:t>
            </w:r>
          </w:p>
          <w:p w14:paraId="48FCB1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bCs/>
                <w:color w:val="auto"/>
                <w:spacing w:val="11"/>
                <w:position w:val="0"/>
                <w:sz w:val="21"/>
                <w:szCs w:val="21"/>
                <w:highlight w:val="none"/>
                <w:u w:val="single" w:color="auto"/>
                <w:lang w:eastAsia="zh-CN"/>
              </w:rPr>
            </w:pPr>
            <w:r>
              <w:rPr>
                <w:rFonts w:hint="default" w:ascii="Times New Roman" w:hAnsi="Times New Roman" w:cs="Times New Roman"/>
                <w:b/>
                <w:bCs/>
                <w:color w:val="auto"/>
                <w:spacing w:val="11"/>
                <w:position w:val="0"/>
                <w:sz w:val="21"/>
                <w:szCs w:val="21"/>
                <w:highlight w:val="none"/>
                <w:u w:val="single" w:color="auto"/>
                <w:lang w:eastAsia="zh-CN"/>
              </w:rPr>
              <w:t>表</w:t>
            </w:r>
            <w:r>
              <w:rPr>
                <w:rFonts w:hint="eastAsia" w:ascii="Times New Roman" w:hAnsi="Times New Roman" w:cs="Times New Roman"/>
                <w:b/>
                <w:bCs/>
                <w:color w:val="auto"/>
                <w:spacing w:val="11"/>
                <w:position w:val="0"/>
                <w:sz w:val="21"/>
                <w:szCs w:val="21"/>
                <w:highlight w:val="none"/>
                <w:u w:val="single" w:color="auto"/>
                <w:lang w:val="en-US" w:eastAsia="zh-CN"/>
              </w:rPr>
              <w:t>5-3</w:t>
            </w:r>
            <w:r>
              <w:rPr>
                <w:rFonts w:hint="default" w:ascii="Times New Roman" w:hAnsi="Times New Roman" w:cs="Times New Roman"/>
                <w:b/>
                <w:bCs/>
                <w:color w:val="auto"/>
                <w:spacing w:val="11"/>
                <w:position w:val="0"/>
                <w:sz w:val="21"/>
                <w:szCs w:val="21"/>
                <w:highlight w:val="none"/>
                <w:u w:val="single" w:color="auto"/>
                <w:lang w:eastAsia="zh-CN"/>
              </w:rPr>
              <w:t xml:space="preserve"> 环境保护图形符号一览表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313"/>
              <w:gridCol w:w="1433"/>
              <w:gridCol w:w="1367"/>
              <w:gridCol w:w="1530"/>
              <w:gridCol w:w="1863"/>
            </w:tblGrid>
            <w:tr w14:paraId="5BFF0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14:paraId="76C5E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single" w:color="auto"/>
                      <w:lang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类别</w:t>
                  </w:r>
                </w:p>
              </w:tc>
              <w:tc>
                <w:tcPr>
                  <w:tcW w:w="822" w:type="pct"/>
                  <w:tcBorders>
                    <w:tl2br w:val="nil"/>
                    <w:tr2bl w:val="nil"/>
                  </w:tcBorders>
                  <w:vAlign w:val="center"/>
                </w:tcPr>
                <w:p w14:paraId="37157A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废水排放口</w:t>
                  </w:r>
                </w:p>
              </w:tc>
              <w:tc>
                <w:tcPr>
                  <w:tcW w:w="897" w:type="pct"/>
                  <w:tcBorders>
                    <w:tl2br w:val="nil"/>
                    <w:tr2bl w:val="nil"/>
                  </w:tcBorders>
                  <w:vAlign w:val="center"/>
                </w:tcPr>
                <w:p w14:paraId="708DB5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废气排放口</w:t>
                  </w:r>
                </w:p>
              </w:tc>
              <w:tc>
                <w:tcPr>
                  <w:tcW w:w="856" w:type="pct"/>
                  <w:tcBorders>
                    <w:tl2br w:val="nil"/>
                    <w:tr2bl w:val="nil"/>
                  </w:tcBorders>
                  <w:vAlign w:val="center"/>
                </w:tcPr>
                <w:p w14:paraId="08D649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噪声源</w:t>
                  </w:r>
                </w:p>
              </w:tc>
              <w:tc>
                <w:tcPr>
                  <w:tcW w:w="958" w:type="pct"/>
                  <w:tcBorders>
                    <w:tl2br w:val="nil"/>
                    <w:tr2bl w:val="nil"/>
                  </w:tcBorders>
                  <w:vAlign w:val="center"/>
                </w:tcPr>
                <w:p w14:paraId="0A609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固体废物堆场</w:t>
                  </w:r>
                </w:p>
              </w:tc>
              <w:tc>
                <w:tcPr>
                  <w:tcW w:w="1166" w:type="pct"/>
                  <w:tcBorders>
                    <w:tl2br w:val="nil"/>
                    <w:tr2bl w:val="nil"/>
                  </w:tcBorders>
                  <w:vAlign w:val="center"/>
                </w:tcPr>
                <w:p w14:paraId="568265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singl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危险废物贮存设施标志的样式</w:t>
                  </w:r>
                </w:p>
              </w:tc>
            </w:tr>
            <w:tr w14:paraId="5A3F2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14:paraId="798EB4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提示图形符号</w:t>
                  </w:r>
                </w:p>
              </w:tc>
              <w:tc>
                <w:tcPr>
                  <w:tcW w:w="822" w:type="pct"/>
                  <w:tcBorders>
                    <w:tl2br w:val="nil"/>
                    <w:tr2bl w:val="nil"/>
                  </w:tcBorders>
                  <w:vAlign w:val="center"/>
                </w:tcPr>
                <w:p w14:paraId="48C179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00735" cy="80073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3" cstate="print"/>
                                <a:srcRect/>
                                <a:stretch>
                                  <a:fillRect/>
                                </a:stretch>
                              </pic:blipFill>
                              <pic:spPr>
                                <a:xfrm>
                                  <a:off x="0" y="0"/>
                                  <a:ext cx="800735" cy="800735"/>
                                </a:xfrm>
                                <a:prstGeom prst="rect">
                                  <a:avLst/>
                                </a:prstGeom>
                                <a:noFill/>
                                <a:ln w="9525">
                                  <a:noFill/>
                                  <a:miter lim="800000"/>
                                  <a:headEnd/>
                                  <a:tailEnd/>
                                </a:ln>
                              </pic:spPr>
                            </pic:pic>
                          </a:graphicData>
                        </a:graphic>
                      </wp:inline>
                    </w:drawing>
                  </w:r>
                </w:p>
              </w:tc>
              <w:tc>
                <w:tcPr>
                  <w:tcW w:w="897" w:type="pct"/>
                  <w:tcBorders>
                    <w:tl2br w:val="nil"/>
                    <w:tr2bl w:val="nil"/>
                  </w:tcBorders>
                  <w:vAlign w:val="center"/>
                </w:tcPr>
                <w:p w14:paraId="592533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18515" cy="780415"/>
                        <wp:effectExtent l="0" t="0" r="4445" b="12065"/>
                        <wp:docPr id="44" name="图片 89"/>
                        <wp:cNvGraphicFramePr/>
                        <a:graphic xmlns:a="http://schemas.openxmlformats.org/drawingml/2006/main">
                          <a:graphicData uri="http://schemas.openxmlformats.org/drawingml/2006/picture">
                            <pic:pic xmlns:pic="http://schemas.openxmlformats.org/drawingml/2006/picture">
                              <pic:nvPicPr>
                                <pic:cNvPr id="44" name="图片 89"/>
                                <pic:cNvPicPr/>
                              </pic:nvPicPr>
                              <pic:blipFill>
                                <a:blip r:embed="rId24">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856" w:type="pct"/>
                  <w:tcBorders>
                    <w:tl2br w:val="nil"/>
                    <w:tr2bl w:val="nil"/>
                  </w:tcBorders>
                  <w:vAlign w:val="center"/>
                </w:tcPr>
                <w:p w14:paraId="7019E6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27405" cy="741680"/>
                        <wp:effectExtent l="0" t="0" r="10795" b="5080"/>
                        <wp:docPr id="45" name="图片 93"/>
                        <wp:cNvGraphicFramePr/>
                        <a:graphic xmlns:a="http://schemas.openxmlformats.org/drawingml/2006/main">
                          <a:graphicData uri="http://schemas.openxmlformats.org/drawingml/2006/picture">
                            <pic:pic xmlns:pic="http://schemas.openxmlformats.org/drawingml/2006/picture">
                              <pic:nvPicPr>
                                <pic:cNvPr id="45" name="图片 93"/>
                                <pic:cNvPicPr/>
                              </pic:nvPicPr>
                              <pic:blipFill>
                                <a:blip r:embed="rId25">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958" w:type="pct"/>
                  <w:tcBorders>
                    <w:tl2br w:val="nil"/>
                    <w:tr2bl w:val="nil"/>
                  </w:tcBorders>
                  <w:vAlign w:val="center"/>
                </w:tcPr>
                <w:p w14:paraId="07B6EF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901700" cy="732790"/>
                        <wp:effectExtent l="0" t="0" r="12700" b="1397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166" w:type="pct"/>
                  <w:tcBorders>
                    <w:tl2br w:val="nil"/>
                    <w:tr2bl w:val="nil"/>
                  </w:tcBorders>
                  <w:vAlign w:val="center"/>
                </w:tcPr>
                <w:p w14:paraId="64453F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eastAsia="zh-CN"/>
                    </w:rPr>
                  </w:pPr>
                  <w:r>
                    <w:rPr>
                      <w:rFonts w:hint="eastAsia" w:ascii="Times New Roman" w:hAnsi="Times New Roman" w:eastAsia="宋体" w:cs="Times New Roman"/>
                      <w:color w:val="auto"/>
                      <w:spacing w:val="11"/>
                      <w:position w:val="0"/>
                      <w:sz w:val="21"/>
                      <w:szCs w:val="21"/>
                      <w:highlight w:val="none"/>
                      <w:u w:val="single" w:color="auto"/>
                      <w:lang w:eastAsia="zh-CN"/>
                    </w:rPr>
                    <w:drawing>
                      <wp:inline distT="0" distB="0" distL="114300" distR="114300">
                        <wp:extent cx="1119505" cy="710565"/>
                        <wp:effectExtent l="0" t="0" r="8255" b="5715"/>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7"/>
                                <a:stretch>
                                  <a:fillRect/>
                                </a:stretch>
                              </pic:blipFill>
                              <pic:spPr>
                                <a:xfrm>
                                  <a:off x="0" y="0"/>
                                  <a:ext cx="1119505" cy="710565"/>
                                </a:xfrm>
                                <a:prstGeom prst="rect">
                                  <a:avLst/>
                                </a:prstGeom>
                              </pic:spPr>
                            </pic:pic>
                          </a:graphicData>
                        </a:graphic>
                      </wp:inline>
                    </w:drawing>
                  </w:r>
                </w:p>
              </w:tc>
            </w:tr>
            <w:tr w14:paraId="666E2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restart"/>
                  <w:tcBorders>
                    <w:tl2br w:val="nil"/>
                    <w:tr2bl w:val="nil"/>
                  </w:tcBorders>
                  <w:shd w:val="clear" w:color="auto" w:fill="auto"/>
                  <w:vAlign w:val="center"/>
                </w:tcPr>
                <w:p w14:paraId="7A950C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警告图形符号</w:t>
                  </w:r>
                </w:p>
              </w:tc>
              <w:tc>
                <w:tcPr>
                  <w:tcW w:w="822" w:type="pct"/>
                  <w:tcBorders>
                    <w:tl2br w:val="nil"/>
                    <w:tr2bl w:val="nil"/>
                  </w:tcBorders>
                  <w:shd w:val="clear" w:color="auto" w:fill="auto"/>
                  <w:vAlign w:val="center"/>
                </w:tcPr>
                <w:p w14:paraId="04D446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886460" cy="895985"/>
                        <wp:effectExtent l="0" t="0" r="12700" b="3175"/>
                        <wp:docPr id="46" name="图片 46"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020230515591219515222"/>
                                <pic:cNvPicPr>
                                  <a:picLocks noChangeAspect="1"/>
                                </pic:cNvPicPr>
                              </pic:nvPicPr>
                              <pic:blipFill>
                                <a:blip r:embed="rId28"/>
                                <a:stretch>
                                  <a:fillRect/>
                                </a:stretch>
                              </pic:blipFill>
                              <pic:spPr>
                                <a:xfrm>
                                  <a:off x="0" y="0"/>
                                  <a:ext cx="886460" cy="895985"/>
                                </a:xfrm>
                                <a:prstGeom prst="rect">
                                  <a:avLst/>
                                </a:prstGeom>
                              </pic:spPr>
                            </pic:pic>
                          </a:graphicData>
                        </a:graphic>
                      </wp:inline>
                    </w:drawing>
                  </w:r>
                </w:p>
              </w:tc>
              <w:tc>
                <w:tcPr>
                  <w:tcW w:w="897" w:type="pct"/>
                  <w:tcBorders>
                    <w:tl2br w:val="nil"/>
                    <w:tr2bl w:val="nil"/>
                  </w:tcBorders>
                  <w:shd w:val="clear" w:color="auto" w:fill="auto"/>
                  <w:vAlign w:val="center"/>
                </w:tcPr>
                <w:p w14:paraId="6AD8D8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805815" cy="879475"/>
                        <wp:effectExtent l="0" t="0" r="1905" b="4445"/>
                        <wp:docPr id="47" name="图片 47"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020230515591219973538"/>
                                <pic:cNvPicPr>
                                  <a:picLocks noChangeAspect="1"/>
                                </pic:cNvPicPr>
                              </pic:nvPicPr>
                              <pic:blipFill>
                                <a:blip r:embed="rId29"/>
                                <a:srcRect l="26836" r="24833"/>
                                <a:stretch>
                                  <a:fillRect/>
                                </a:stretch>
                              </pic:blipFill>
                              <pic:spPr>
                                <a:xfrm>
                                  <a:off x="0" y="0"/>
                                  <a:ext cx="805815" cy="879475"/>
                                </a:xfrm>
                                <a:prstGeom prst="rect">
                                  <a:avLst/>
                                </a:prstGeom>
                              </pic:spPr>
                            </pic:pic>
                          </a:graphicData>
                        </a:graphic>
                      </wp:inline>
                    </w:drawing>
                  </w:r>
                </w:p>
              </w:tc>
              <w:tc>
                <w:tcPr>
                  <w:tcW w:w="856" w:type="pct"/>
                  <w:tcBorders>
                    <w:tl2br w:val="nil"/>
                    <w:tr2bl w:val="nil"/>
                  </w:tcBorders>
                  <w:shd w:val="clear" w:color="auto" w:fill="auto"/>
                  <w:vAlign w:val="center"/>
                </w:tcPr>
                <w:p w14:paraId="58946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kern w:val="2"/>
                      <w:position w:val="0"/>
                      <w:sz w:val="21"/>
                      <w:szCs w:val="21"/>
                      <w:u w:val="single" w:color="auto"/>
                      <w:lang w:val="en-US" w:eastAsia="zh-CN" w:bidi="ar-SA"/>
                    </w:rPr>
                    <w:drawing>
                      <wp:inline distT="0" distB="0" distL="114300" distR="114300">
                        <wp:extent cx="846455" cy="857250"/>
                        <wp:effectExtent l="0" t="0" r="0"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30"/>
                                <a:srcRect l="9690" t="6639" r="4088"/>
                                <a:stretch>
                                  <a:fillRect/>
                                </a:stretch>
                              </pic:blipFill>
                              <pic:spPr>
                                <a:xfrm>
                                  <a:off x="0" y="0"/>
                                  <a:ext cx="846455" cy="857250"/>
                                </a:xfrm>
                                <a:prstGeom prst="rect">
                                  <a:avLst/>
                                </a:prstGeom>
                              </pic:spPr>
                            </pic:pic>
                          </a:graphicData>
                        </a:graphic>
                      </wp:inline>
                    </w:drawing>
                  </w:r>
                </w:p>
              </w:tc>
              <w:tc>
                <w:tcPr>
                  <w:tcW w:w="958" w:type="pct"/>
                  <w:tcBorders>
                    <w:tl2br w:val="nil"/>
                    <w:tr2bl w:val="nil"/>
                  </w:tcBorders>
                  <w:shd w:val="clear" w:color="auto" w:fill="auto"/>
                  <w:vAlign w:val="center"/>
                </w:tcPr>
                <w:p w14:paraId="6480F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932815" cy="887095"/>
                        <wp:effectExtent l="0" t="0" r="0" b="12065"/>
                        <wp:docPr id="48" name="图片 48"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020230515591221151099"/>
                                <pic:cNvPicPr>
                                  <a:picLocks noChangeAspect="1"/>
                                </pic:cNvPicPr>
                              </pic:nvPicPr>
                              <pic:blipFill>
                                <a:blip r:embed="rId31"/>
                                <a:srcRect l="23164" r="21429"/>
                                <a:stretch>
                                  <a:fillRect/>
                                </a:stretch>
                              </pic:blipFill>
                              <pic:spPr>
                                <a:xfrm>
                                  <a:off x="0" y="0"/>
                                  <a:ext cx="932815" cy="887095"/>
                                </a:xfrm>
                                <a:prstGeom prst="rect">
                                  <a:avLst/>
                                </a:prstGeom>
                              </pic:spPr>
                            </pic:pic>
                          </a:graphicData>
                        </a:graphic>
                      </wp:inline>
                    </w:drawing>
                  </w:r>
                </w:p>
              </w:tc>
              <w:tc>
                <w:tcPr>
                  <w:tcW w:w="1166" w:type="pct"/>
                  <w:tcBorders>
                    <w:tl2br w:val="nil"/>
                    <w:tr2bl w:val="nil"/>
                  </w:tcBorders>
                  <w:shd w:val="clear" w:color="auto" w:fill="auto"/>
                  <w:vAlign w:val="center"/>
                </w:tcPr>
                <w:p w14:paraId="108E1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u w:val="single" w:color="auto"/>
                    </w:rPr>
                  </w:pPr>
                  <w:r>
                    <w:rPr>
                      <w:rFonts w:ascii="Times New Roman" w:hAnsi="Times New Roman" w:eastAsia="宋体" w:cs="Times New Roman"/>
                      <w:color w:val="auto"/>
                      <w:spacing w:val="11"/>
                      <w:position w:val="0"/>
                      <w:sz w:val="21"/>
                      <w:szCs w:val="21"/>
                      <w:u w:val="single" w:color="auto"/>
                    </w:rPr>
                    <w:drawing>
                      <wp:inline distT="0" distB="0" distL="114300" distR="114300">
                        <wp:extent cx="881380" cy="789940"/>
                        <wp:effectExtent l="0" t="0" r="2540" b="254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2"/>
                                <a:stretch>
                                  <a:fillRect/>
                                </a:stretch>
                              </pic:blipFill>
                              <pic:spPr>
                                <a:xfrm>
                                  <a:off x="0" y="0"/>
                                  <a:ext cx="881380" cy="789940"/>
                                </a:xfrm>
                                <a:prstGeom prst="rect">
                                  <a:avLst/>
                                </a:prstGeom>
                                <a:noFill/>
                                <a:ln>
                                  <a:noFill/>
                                </a:ln>
                              </pic:spPr>
                            </pic:pic>
                          </a:graphicData>
                        </a:graphic>
                      </wp:inline>
                    </w:drawing>
                  </w:r>
                </w:p>
              </w:tc>
            </w:tr>
            <w:tr w14:paraId="75009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tcBorders>
                    <w:tl2br w:val="nil"/>
                    <w:tr2bl w:val="nil"/>
                  </w:tcBorders>
                  <w:shd w:val="clear" w:color="auto" w:fill="auto"/>
                  <w:vAlign w:val="center"/>
                </w:tcPr>
                <w:p w14:paraId="502472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822" w:type="pct"/>
                  <w:tcBorders>
                    <w:tl2br w:val="nil"/>
                    <w:tr2bl w:val="nil"/>
                  </w:tcBorders>
                  <w:shd w:val="clear" w:color="auto" w:fill="auto"/>
                  <w:vAlign w:val="center"/>
                </w:tcPr>
                <w:p w14:paraId="24F10F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腐蚀性</w:t>
                  </w:r>
                </w:p>
              </w:tc>
              <w:tc>
                <w:tcPr>
                  <w:tcW w:w="897" w:type="pct"/>
                  <w:tcBorders>
                    <w:tl2br w:val="nil"/>
                    <w:tr2bl w:val="nil"/>
                  </w:tcBorders>
                  <w:shd w:val="clear" w:color="auto" w:fill="auto"/>
                  <w:vAlign w:val="center"/>
                </w:tcPr>
                <w:p w14:paraId="3F016B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毒性</w:t>
                  </w:r>
                </w:p>
              </w:tc>
              <w:tc>
                <w:tcPr>
                  <w:tcW w:w="856" w:type="pct"/>
                  <w:tcBorders>
                    <w:tl2br w:val="nil"/>
                    <w:tr2bl w:val="nil"/>
                  </w:tcBorders>
                  <w:shd w:val="clear" w:color="auto" w:fill="auto"/>
                  <w:vAlign w:val="center"/>
                </w:tcPr>
                <w:p w14:paraId="6B059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eastAsia" w:ascii="Times New Roman" w:hAnsi="Times New Roman" w:eastAsia="宋体" w:cs="Times New Roman"/>
                      <w:color w:val="auto"/>
                      <w:spacing w:val="11"/>
                      <w:kern w:val="2"/>
                      <w:position w:val="0"/>
                      <w:sz w:val="21"/>
                      <w:szCs w:val="21"/>
                      <w:u w:val="single" w:color="auto"/>
                      <w:lang w:val="en-US" w:eastAsia="zh-CN" w:bidi="ar-SA"/>
                    </w:rPr>
                    <w:t>易燃性</w:t>
                  </w:r>
                </w:p>
              </w:tc>
              <w:tc>
                <w:tcPr>
                  <w:tcW w:w="958" w:type="pct"/>
                  <w:tcBorders>
                    <w:tl2br w:val="nil"/>
                    <w:tr2bl w:val="nil"/>
                  </w:tcBorders>
                  <w:shd w:val="clear" w:color="auto" w:fill="auto"/>
                  <w:vAlign w:val="center"/>
                </w:tcPr>
                <w:p w14:paraId="439F3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eastAsia" w:ascii="Times New Roman" w:hAnsi="Times New Roman" w:eastAsia="宋体" w:cs="Times New Roman"/>
                      <w:color w:val="auto"/>
                      <w:spacing w:val="11"/>
                      <w:kern w:val="2"/>
                      <w:position w:val="0"/>
                      <w:sz w:val="21"/>
                      <w:szCs w:val="21"/>
                      <w:u w:val="single" w:color="auto"/>
                      <w:lang w:val="en-US" w:eastAsia="zh-CN" w:bidi="ar-SA"/>
                    </w:rPr>
                    <w:t>反应性</w:t>
                  </w:r>
                </w:p>
              </w:tc>
              <w:tc>
                <w:tcPr>
                  <w:tcW w:w="1166" w:type="pct"/>
                  <w:tcBorders>
                    <w:tl2br w:val="nil"/>
                    <w:tr2bl w:val="nil"/>
                  </w:tcBorders>
                  <w:shd w:val="clear" w:color="auto" w:fill="auto"/>
                  <w:vAlign w:val="center"/>
                </w:tcPr>
                <w:p w14:paraId="2BC69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u w:val="single" w:color="auto"/>
                    </w:rPr>
                  </w:pPr>
                  <w:r>
                    <w:rPr>
                      <w:rFonts w:hint="eastAsia" w:ascii="Times New Roman" w:hAnsi="Times New Roman" w:eastAsia="宋体" w:cs="Times New Roman"/>
                      <w:color w:val="auto"/>
                      <w:spacing w:val="11"/>
                      <w:position w:val="0"/>
                      <w:sz w:val="21"/>
                      <w:szCs w:val="21"/>
                      <w:u w:val="single" w:color="auto"/>
                    </w:rPr>
                    <w:t>危险废物贮存、处置场的警告</w:t>
                  </w:r>
                </w:p>
              </w:tc>
            </w:tr>
          </w:tbl>
          <w:p w14:paraId="3343A9DD">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firstLine="524" w:firstLineChars="200"/>
              <w:jc w:val="left"/>
              <w:textAlignment w:val="auto"/>
              <w:rPr>
                <w:rFonts w:hint="default" w:ascii="Times New Roman" w:hAnsi="Times New Roman" w:eastAsia="宋体" w:cs="Times New Roman"/>
                <w:b w:val="0"/>
                <w:bCs/>
                <w:color w:val="000000"/>
                <w:spacing w:val="11"/>
                <w:position w:val="0"/>
                <w:sz w:val="24"/>
                <w:szCs w:val="24"/>
                <w:u w:val="single" w:color="auto"/>
              </w:rPr>
            </w:pPr>
            <w:r>
              <w:rPr>
                <w:rFonts w:hint="eastAsia" w:ascii="Times New Roman" w:hAnsi="Times New Roman" w:eastAsia="宋体" w:cs="Times New Roman"/>
                <w:b w:val="0"/>
                <w:bCs/>
                <w:color w:val="000000"/>
                <w:spacing w:val="11"/>
                <w:position w:val="0"/>
                <w:sz w:val="24"/>
                <w:szCs w:val="24"/>
                <w:u w:val="single" w:color="auto"/>
                <w:lang w:eastAsia="zh-CN"/>
              </w:rPr>
              <w:t>（</w:t>
            </w:r>
            <w:r>
              <w:rPr>
                <w:rFonts w:hint="eastAsia" w:ascii="Times New Roman" w:hAnsi="Times New Roman" w:eastAsia="宋体" w:cs="Times New Roman"/>
                <w:b w:val="0"/>
                <w:bCs/>
                <w:color w:val="000000"/>
                <w:spacing w:val="11"/>
                <w:position w:val="0"/>
                <w:sz w:val="24"/>
                <w:szCs w:val="24"/>
                <w:u w:val="single" w:color="auto"/>
                <w:lang w:val="en-US" w:eastAsia="zh-CN"/>
              </w:rPr>
              <w:t>3</w:t>
            </w:r>
            <w:r>
              <w:rPr>
                <w:rFonts w:hint="eastAsia" w:ascii="Times New Roman" w:hAnsi="Times New Roman" w:eastAsia="宋体" w:cs="Times New Roman"/>
                <w:b w:val="0"/>
                <w:bCs/>
                <w:color w:val="000000"/>
                <w:spacing w:val="11"/>
                <w:position w:val="0"/>
                <w:sz w:val="24"/>
                <w:szCs w:val="24"/>
                <w:u w:val="single" w:color="auto"/>
                <w:lang w:eastAsia="zh-CN"/>
              </w:rPr>
              <w:t>）</w:t>
            </w:r>
            <w:r>
              <w:rPr>
                <w:rFonts w:hint="default" w:ascii="Times New Roman" w:hAnsi="Times New Roman" w:eastAsia="宋体" w:cs="Times New Roman"/>
                <w:b w:val="0"/>
                <w:bCs/>
                <w:color w:val="000000"/>
                <w:spacing w:val="11"/>
                <w:position w:val="0"/>
                <w:sz w:val="24"/>
                <w:szCs w:val="24"/>
                <w:u w:val="single" w:color="auto"/>
              </w:rPr>
              <w:t>环境监测计划</w:t>
            </w:r>
          </w:p>
          <w:p w14:paraId="605696F2">
            <w:pPr>
              <w:pStyle w:val="11"/>
              <w:keepNext w:val="0"/>
              <w:keepLines w:val="0"/>
              <w:pageBreakBefore w:val="0"/>
              <w:widowControl w:val="0"/>
              <w:kinsoku/>
              <w:wordWrap/>
              <w:overflowPunct/>
              <w:topLinePunct w:val="0"/>
              <w:bidi w:val="0"/>
              <w:adjustRightInd w:val="0"/>
              <w:snapToGrid w:val="0"/>
              <w:spacing w:line="360" w:lineRule="auto"/>
              <w:ind w:lef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营运期废气、噪声污染物监测参照</w:t>
            </w:r>
            <w:r>
              <w:rPr>
                <w:rFonts w:hint="eastAsia" w:ascii="Times New Roman" w:hAnsi="Times New Roman" w:eastAsia="宋体" w:cs="Times New Roman"/>
                <w:b w:val="0"/>
                <w:bCs/>
                <w:color w:val="000000"/>
                <w:spacing w:val="11"/>
                <w:position w:val="0"/>
                <w:sz w:val="24"/>
                <w:szCs w:val="24"/>
                <w:u w:val="single" w:color="auto"/>
                <w:lang w:val="en-US" w:eastAsia="zh-CN"/>
              </w:rPr>
              <w:t>下</w:t>
            </w:r>
            <w:r>
              <w:rPr>
                <w:rFonts w:hint="default" w:ascii="Times New Roman" w:hAnsi="Times New Roman" w:eastAsia="宋体" w:cs="Times New Roman"/>
                <w:b w:val="0"/>
                <w:bCs/>
                <w:color w:val="000000"/>
                <w:spacing w:val="11"/>
                <w:position w:val="0"/>
                <w:sz w:val="24"/>
                <w:szCs w:val="24"/>
                <w:u w:val="single" w:color="auto"/>
                <w:lang w:val="en-US" w:eastAsia="zh-CN"/>
              </w:rPr>
              <w:t>表</w:t>
            </w:r>
            <w:r>
              <w:rPr>
                <w:rFonts w:hint="eastAsia" w:ascii="Times New Roman" w:hAnsi="Times New Roman" w:eastAsia="宋体" w:cs="Times New Roman"/>
                <w:b w:val="0"/>
                <w:bCs/>
                <w:color w:val="000000"/>
                <w:spacing w:val="11"/>
                <w:position w:val="0"/>
                <w:sz w:val="24"/>
                <w:szCs w:val="24"/>
                <w:u w:val="single" w:color="auto"/>
                <w:lang w:val="en-US" w:eastAsia="zh-CN"/>
              </w:rPr>
              <w:t>5-4、表5-5</w:t>
            </w:r>
            <w:r>
              <w:rPr>
                <w:rFonts w:hint="default" w:ascii="Times New Roman" w:hAnsi="Times New Roman" w:eastAsia="宋体" w:cs="Times New Roman"/>
                <w:b w:val="0"/>
                <w:bCs/>
                <w:color w:val="000000"/>
                <w:spacing w:val="11"/>
                <w:position w:val="0"/>
                <w:sz w:val="24"/>
                <w:szCs w:val="24"/>
                <w:u w:val="single" w:color="auto"/>
                <w:lang w:val="en-US" w:eastAsia="zh-CN"/>
              </w:rPr>
              <w:t>执行。</w:t>
            </w:r>
          </w:p>
          <w:p w14:paraId="7F85D8AE">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single" w:color="auto"/>
                <w:lang w:val="en-US" w:eastAsia="zh-CN"/>
              </w:rPr>
            </w:pPr>
            <w:r>
              <w:rPr>
                <w:rFonts w:hint="default" w:ascii="Times New Roman" w:hAnsi="Times New Roman" w:eastAsia="宋体" w:cs="Times New Roman"/>
                <w:b/>
                <w:bCs w:val="0"/>
                <w:color w:val="000000"/>
                <w:spacing w:val="11"/>
                <w:position w:val="0"/>
                <w:sz w:val="21"/>
                <w:szCs w:val="21"/>
                <w:u w:val="single" w:color="auto"/>
              </w:rPr>
              <w:t>表</w:t>
            </w:r>
            <w:r>
              <w:rPr>
                <w:rFonts w:hint="eastAsia" w:ascii="Times New Roman" w:hAnsi="Times New Roman" w:eastAsia="宋体" w:cs="Times New Roman"/>
                <w:b/>
                <w:bCs w:val="0"/>
                <w:color w:val="000000"/>
                <w:spacing w:val="11"/>
                <w:position w:val="0"/>
                <w:sz w:val="21"/>
                <w:szCs w:val="21"/>
                <w:u w:val="single" w:color="auto"/>
                <w:lang w:val="en-US" w:eastAsia="zh-CN"/>
              </w:rPr>
              <w:t>5-4</w:t>
            </w:r>
            <w:r>
              <w:rPr>
                <w:rFonts w:hint="default" w:ascii="Times New Roman" w:hAnsi="Times New Roman" w:eastAsia="宋体" w:cs="Times New Roman"/>
                <w:b/>
                <w:bCs w:val="0"/>
                <w:color w:val="000000"/>
                <w:spacing w:val="11"/>
                <w:position w:val="0"/>
                <w:sz w:val="21"/>
                <w:szCs w:val="21"/>
                <w:u w:val="single" w:color="auto"/>
                <w:lang w:val="en-US" w:eastAsia="zh-CN"/>
              </w:rPr>
              <w:t xml:space="preserve">  废气</w:t>
            </w:r>
            <w:r>
              <w:rPr>
                <w:rFonts w:hint="default" w:ascii="Times New Roman" w:hAnsi="Times New Roman" w:eastAsia="宋体" w:cs="Times New Roman"/>
                <w:b/>
                <w:bCs w:val="0"/>
                <w:color w:val="000000"/>
                <w:spacing w:val="11"/>
                <w:position w:val="0"/>
                <w:sz w:val="21"/>
                <w:szCs w:val="21"/>
                <w:u w:val="single" w:color="auto"/>
              </w:rPr>
              <w:t>监测内容</w:t>
            </w:r>
            <w:r>
              <w:rPr>
                <w:rFonts w:hint="default" w:ascii="Times New Roman" w:hAnsi="Times New Roman" w:eastAsia="宋体" w:cs="Times New Roman"/>
                <w:b/>
                <w:bCs w:val="0"/>
                <w:color w:val="000000"/>
                <w:spacing w:val="11"/>
                <w:position w:val="0"/>
                <w:sz w:val="21"/>
                <w:szCs w:val="21"/>
                <w:u w:val="single" w:color="auto"/>
                <w:lang w:val="en-US" w:eastAsia="zh-CN"/>
              </w:rPr>
              <w:t>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62"/>
              <w:gridCol w:w="1590"/>
              <w:gridCol w:w="1170"/>
              <w:gridCol w:w="2355"/>
            </w:tblGrid>
            <w:tr w14:paraId="4FF6A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4D322ABD">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监测项目</w:t>
                  </w:r>
                </w:p>
              </w:tc>
              <w:tc>
                <w:tcPr>
                  <w:tcW w:w="1662" w:type="dxa"/>
                  <w:tcBorders>
                    <w:tl2br w:val="nil"/>
                    <w:tr2bl w:val="nil"/>
                  </w:tcBorders>
                  <w:noWrap w:val="0"/>
                  <w:vAlign w:val="center"/>
                </w:tcPr>
                <w:p w14:paraId="1CB8617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监测位置</w:t>
                  </w:r>
                </w:p>
              </w:tc>
              <w:tc>
                <w:tcPr>
                  <w:tcW w:w="1590" w:type="dxa"/>
                  <w:tcBorders>
                    <w:tl2br w:val="nil"/>
                    <w:tr2bl w:val="nil"/>
                  </w:tcBorders>
                  <w:noWrap w:val="0"/>
                  <w:vAlign w:val="center"/>
                </w:tcPr>
                <w:p w14:paraId="258857D4">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监测因子</w:t>
                  </w:r>
                </w:p>
              </w:tc>
              <w:tc>
                <w:tcPr>
                  <w:tcW w:w="1170" w:type="dxa"/>
                  <w:tcBorders>
                    <w:tl2br w:val="nil"/>
                    <w:tr2bl w:val="nil"/>
                  </w:tcBorders>
                  <w:noWrap w:val="0"/>
                  <w:vAlign w:val="center"/>
                </w:tcPr>
                <w:p w14:paraId="5F0FE290">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监测频次</w:t>
                  </w:r>
                </w:p>
              </w:tc>
              <w:tc>
                <w:tcPr>
                  <w:tcW w:w="2355" w:type="dxa"/>
                  <w:tcBorders>
                    <w:tl2br w:val="nil"/>
                    <w:tr2bl w:val="nil"/>
                  </w:tcBorders>
                  <w:noWrap w:val="0"/>
                  <w:vAlign w:val="center"/>
                </w:tcPr>
                <w:p w14:paraId="1A50DC1C">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执行标准</w:t>
                  </w:r>
                </w:p>
              </w:tc>
            </w:tr>
            <w:tr w14:paraId="703F1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vMerge w:val="restart"/>
                  <w:tcBorders>
                    <w:tl2br w:val="nil"/>
                    <w:tr2bl w:val="nil"/>
                  </w:tcBorders>
                  <w:noWrap w:val="0"/>
                  <w:vAlign w:val="center"/>
                </w:tcPr>
                <w:p w14:paraId="0E7D4A08">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废气</w:t>
                  </w:r>
                </w:p>
              </w:tc>
              <w:tc>
                <w:tcPr>
                  <w:tcW w:w="1662" w:type="dxa"/>
                  <w:tcBorders>
                    <w:tl2br w:val="nil"/>
                    <w:tr2bl w:val="nil"/>
                  </w:tcBorders>
                  <w:noWrap w:val="0"/>
                  <w:vAlign w:val="center"/>
                </w:tcPr>
                <w:p w14:paraId="1584EC63">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single" w:color="auto"/>
                      <w:lang w:val="en-US" w:eastAsia="zh-CN" w:bidi="ar-SA"/>
                    </w:rPr>
                  </w:pPr>
                  <w:r>
                    <w:rPr>
                      <w:rFonts w:hint="default" w:ascii="Times New Roman" w:hAnsi="Times New Roman" w:eastAsia="宋体" w:cs="Times New Roman"/>
                      <w:b w:val="0"/>
                      <w:bCs/>
                      <w:color w:val="000000"/>
                      <w:spacing w:val="11"/>
                      <w:position w:val="0"/>
                      <w:sz w:val="21"/>
                      <w:szCs w:val="21"/>
                      <w:u w:val="single" w:color="auto"/>
                      <w:lang w:val="en-US" w:eastAsia="zh-CN"/>
                    </w:rPr>
                    <w:t>厂界</w:t>
                  </w:r>
                  <w:r>
                    <w:rPr>
                      <w:rFonts w:hint="default" w:ascii="Times New Roman" w:hAnsi="Times New Roman" w:eastAsia="宋体" w:cs="Times New Roman"/>
                      <w:b w:val="0"/>
                      <w:bCs/>
                      <w:color w:val="000000"/>
                      <w:spacing w:val="11"/>
                      <w:position w:val="0"/>
                      <w:sz w:val="21"/>
                      <w:szCs w:val="21"/>
                      <w:u w:val="single" w:color="auto"/>
                    </w:rPr>
                    <w:t>上下风向</w:t>
                  </w:r>
                </w:p>
              </w:tc>
              <w:tc>
                <w:tcPr>
                  <w:tcW w:w="1590" w:type="dxa"/>
                  <w:tcBorders>
                    <w:tl2br w:val="nil"/>
                    <w:tr2bl w:val="nil"/>
                  </w:tcBorders>
                  <w:noWrap w:val="0"/>
                  <w:vAlign w:val="center"/>
                </w:tcPr>
                <w:p w14:paraId="02ECF110">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rPr>
                    <w:t>颗粒物</w:t>
                  </w:r>
                </w:p>
              </w:tc>
              <w:tc>
                <w:tcPr>
                  <w:tcW w:w="1170" w:type="dxa"/>
                  <w:tcBorders>
                    <w:tl2br w:val="nil"/>
                    <w:tr2bl w:val="nil"/>
                  </w:tcBorders>
                  <w:noWrap w:val="0"/>
                  <w:vAlign w:val="center"/>
                </w:tcPr>
                <w:p w14:paraId="24D5685B">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single" w:color="auto"/>
                      <w:lang w:val="en-US" w:eastAsia="zh-CN" w:bidi="ar-SA"/>
                    </w:rPr>
                  </w:pPr>
                  <w:r>
                    <w:rPr>
                      <w:rFonts w:hint="default" w:ascii="Times New Roman" w:hAnsi="Times New Roman" w:eastAsia="宋体" w:cs="Times New Roman"/>
                      <w:b w:val="0"/>
                      <w:bCs/>
                      <w:color w:val="000000"/>
                      <w:spacing w:val="11"/>
                      <w:position w:val="0"/>
                      <w:sz w:val="21"/>
                      <w:szCs w:val="21"/>
                      <w:u w:val="single" w:color="auto"/>
                    </w:rPr>
                    <w:t>每</w:t>
                  </w:r>
                  <w:r>
                    <w:rPr>
                      <w:rFonts w:hint="default" w:ascii="Times New Roman" w:hAnsi="Times New Roman" w:eastAsia="宋体" w:cs="Times New Roman"/>
                      <w:b w:val="0"/>
                      <w:bCs/>
                      <w:color w:val="000000"/>
                      <w:spacing w:val="11"/>
                      <w:position w:val="0"/>
                      <w:sz w:val="21"/>
                      <w:szCs w:val="21"/>
                      <w:u w:val="single" w:color="auto"/>
                      <w:lang w:val="en-US" w:eastAsia="zh-CN"/>
                    </w:rPr>
                    <w:t>年</w:t>
                  </w:r>
                  <w:r>
                    <w:rPr>
                      <w:rFonts w:hint="default" w:ascii="Times New Roman" w:hAnsi="Times New Roman" w:eastAsia="宋体" w:cs="Times New Roman"/>
                      <w:b w:val="0"/>
                      <w:bCs/>
                      <w:color w:val="000000"/>
                      <w:spacing w:val="11"/>
                      <w:position w:val="0"/>
                      <w:sz w:val="21"/>
                      <w:szCs w:val="21"/>
                      <w:u w:val="single" w:color="auto"/>
                    </w:rPr>
                    <w:t>1次</w:t>
                  </w:r>
                </w:p>
              </w:tc>
              <w:tc>
                <w:tcPr>
                  <w:tcW w:w="2355" w:type="dxa"/>
                  <w:tcBorders>
                    <w:tl2br w:val="nil"/>
                    <w:tr2bl w:val="nil"/>
                  </w:tcBorders>
                  <w:noWrap w:val="0"/>
                  <w:vAlign w:val="center"/>
                </w:tcPr>
                <w:p w14:paraId="200DA562">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single" w:color="auto"/>
                      <w:lang w:val="en-US" w:eastAsia="zh-CN"/>
                    </w:rPr>
                    <w:t>标准限值</w:t>
                  </w:r>
                </w:p>
              </w:tc>
            </w:tr>
            <w:tr w14:paraId="496AC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vMerge w:val="continue"/>
                  <w:tcBorders>
                    <w:tl2br w:val="nil"/>
                    <w:tr2bl w:val="nil"/>
                  </w:tcBorders>
                  <w:noWrap w:val="0"/>
                  <w:vAlign w:val="center"/>
                </w:tcPr>
                <w:p w14:paraId="37B23F3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p>
              </w:tc>
              <w:tc>
                <w:tcPr>
                  <w:tcW w:w="1662" w:type="dxa"/>
                  <w:tcBorders>
                    <w:tl2br w:val="nil"/>
                    <w:tr2bl w:val="nil"/>
                  </w:tcBorders>
                  <w:noWrap w:val="0"/>
                  <w:vAlign w:val="center"/>
                </w:tcPr>
                <w:p w14:paraId="33CB0373">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DA001、DA002排气筒采样孔</w:t>
                  </w:r>
                </w:p>
              </w:tc>
              <w:tc>
                <w:tcPr>
                  <w:tcW w:w="1590" w:type="dxa"/>
                  <w:tcBorders>
                    <w:tl2br w:val="nil"/>
                    <w:tr2bl w:val="nil"/>
                  </w:tcBorders>
                  <w:noWrap w:val="0"/>
                  <w:vAlign w:val="center"/>
                </w:tcPr>
                <w:p w14:paraId="569CFD59">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颗粒物</w:t>
                  </w:r>
                </w:p>
              </w:tc>
              <w:tc>
                <w:tcPr>
                  <w:tcW w:w="1170" w:type="dxa"/>
                  <w:tcBorders>
                    <w:tl2br w:val="nil"/>
                    <w:tr2bl w:val="nil"/>
                  </w:tcBorders>
                  <w:noWrap w:val="0"/>
                  <w:vAlign w:val="center"/>
                </w:tcPr>
                <w:p w14:paraId="61683894">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每</w:t>
                  </w:r>
                  <w:r>
                    <w:rPr>
                      <w:rFonts w:hint="default" w:ascii="Times New Roman" w:hAnsi="Times New Roman" w:eastAsia="宋体" w:cs="Times New Roman"/>
                      <w:b w:val="0"/>
                      <w:bCs/>
                      <w:color w:val="000000"/>
                      <w:spacing w:val="11"/>
                      <w:position w:val="0"/>
                      <w:sz w:val="21"/>
                      <w:szCs w:val="21"/>
                      <w:u w:val="single" w:color="auto"/>
                      <w:lang w:val="en-US" w:eastAsia="zh-CN"/>
                    </w:rPr>
                    <w:t>年</w:t>
                  </w:r>
                  <w:r>
                    <w:rPr>
                      <w:rFonts w:hint="default" w:ascii="Times New Roman" w:hAnsi="Times New Roman" w:eastAsia="宋体" w:cs="Times New Roman"/>
                      <w:b w:val="0"/>
                      <w:bCs/>
                      <w:color w:val="000000"/>
                      <w:spacing w:val="11"/>
                      <w:position w:val="0"/>
                      <w:sz w:val="21"/>
                      <w:szCs w:val="21"/>
                      <w:u w:val="single" w:color="auto"/>
                    </w:rPr>
                    <w:t>1次</w:t>
                  </w:r>
                </w:p>
              </w:tc>
              <w:tc>
                <w:tcPr>
                  <w:tcW w:w="2355" w:type="dxa"/>
                  <w:tcBorders>
                    <w:tl2br w:val="nil"/>
                    <w:tr2bl w:val="nil"/>
                  </w:tcBorders>
                  <w:noWrap w:val="0"/>
                  <w:vAlign w:val="center"/>
                </w:tcPr>
                <w:p w14:paraId="2301D3EC">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single" w:color="auto"/>
                      <w:lang w:val="en-US" w:eastAsia="zh-CN"/>
                    </w:rPr>
                    <w:t>标准限值</w:t>
                  </w:r>
                </w:p>
              </w:tc>
            </w:tr>
          </w:tbl>
          <w:p w14:paraId="571CDCD7">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single" w:color="auto"/>
                <w:lang w:val="en-US" w:eastAsia="zh-CN"/>
              </w:rPr>
            </w:pPr>
          </w:p>
          <w:p w14:paraId="38A4CD12">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kern w:val="24"/>
                <w:position w:val="0"/>
                <w:sz w:val="21"/>
                <w:szCs w:val="21"/>
                <w:u w:val="single" w:color="auto"/>
                <w:lang w:val="en-US" w:eastAsia="zh-CN"/>
              </w:rPr>
            </w:pPr>
            <w:r>
              <w:rPr>
                <w:rFonts w:hint="default" w:ascii="Times New Roman" w:hAnsi="Times New Roman" w:eastAsia="宋体" w:cs="Times New Roman"/>
                <w:b/>
                <w:bCs w:val="0"/>
                <w:color w:val="000000"/>
                <w:spacing w:val="11"/>
                <w:position w:val="0"/>
                <w:sz w:val="21"/>
                <w:szCs w:val="21"/>
                <w:u w:val="single" w:color="auto"/>
                <w:lang w:val="en-US" w:eastAsia="zh-CN"/>
              </w:rPr>
              <w:t>表</w:t>
            </w:r>
            <w:r>
              <w:rPr>
                <w:rFonts w:hint="eastAsia" w:ascii="Times New Roman" w:hAnsi="Times New Roman" w:eastAsia="宋体" w:cs="Times New Roman"/>
                <w:b/>
                <w:bCs w:val="0"/>
                <w:color w:val="000000"/>
                <w:spacing w:val="11"/>
                <w:position w:val="0"/>
                <w:sz w:val="21"/>
                <w:szCs w:val="21"/>
                <w:u w:val="single" w:color="auto"/>
                <w:lang w:val="en-US" w:eastAsia="zh-CN"/>
              </w:rPr>
              <w:t>5-5</w:t>
            </w:r>
            <w:r>
              <w:rPr>
                <w:rFonts w:hint="default" w:ascii="Times New Roman" w:hAnsi="Times New Roman" w:eastAsia="宋体" w:cs="Times New Roman"/>
                <w:b/>
                <w:bCs w:val="0"/>
                <w:color w:val="000000"/>
                <w:spacing w:val="11"/>
                <w:position w:val="0"/>
                <w:sz w:val="21"/>
                <w:szCs w:val="21"/>
                <w:u w:val="single" w:color="auto"/>
                <w:lang w:val="en-US" w:eastAsia="zh-CN"/>
              </w:rPr>
              <w:t xml:space="preserve">  噪声</w:t>
            </w:r>
            <w:r>
              <w:rPr>
                <w:rFonts w:hint="default" w:ascii="Times New Roman" w:hAnsi="Times New Roman" w:eastAsia="宋体" w:cs="Times New Roman"/>
                <w:b/>
                <w:bCs w:val="0"/>
                <w:color w:val="000000"/>
                <w:spacing w:val="11"/>
                <w:position w:val="0"/>
                <w:sz w:val="21"/>
                <w:szCs w:val="21"/>
                <w:u w:val="single" w:color="auto"/>
              </w:rPr>
              <w:t>监测内容</w:t>
            </w:r>
            <w:r>
              <w:rPr>
                <w:rFonts w:hint="default" w:ascii="Times New Roman" w:hAnsi="Times New Roman" w:eastAsia="宋体" w:cs="Times New Roman"/>
                <w:b/>
                <w:bCs w:val="0"/>
                <w:color w:val="000000"/>
                <w:spacing w:val="11"/>
                <w:position w:val="0"/>
                <w:sz w:val="21"/>
                <w:szCs w:val="21"/>
                <w:u w:val="single" w:color="auto"/>
                <w:lang w:val="en-US" w:eastAsia="zh-CN"/>
              </w:rPr>
              <w:t>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83"/>
              <w:gridCol w:w="1149"/>
              <w:gridCol w:w="1650"/>
              <w:gridCol w:w="2595"/>
            </w:tblGrid>
            <w:tr w14:paraId="073EE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73FB963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监测项目</w:t>
                  </w:r>
                </w:p>
              </w:tc>
              <w:tc>
                <w:tcPr>
                  <w:tcW w:w="1383" w:type="dxa"/>
                  <w:tcBorders>
                    <w:tl2br w:val="nil"/>
                    <w:tr2bl w:val="nil"/>
                  </w:tcBorders>
                  <w:noWrap w:val="0"/>
                  <w:vAlign w:val="center"/>
                </w:tcPr>
                <w:p w14:paraId="561EAA0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监测位置</w:t>
                  </w:r>
                </w:p>
              </w:tc>
              <w:tc>
                <w:tcPr>
                  <w:tcW w:w="1149" w:type="dxa"/>
                  <w:tcBorders>
                    <w:tl2br w:val="nil"/>
                    <w:tr2bl w:val="nil"/>
                  </w:tcBorders>
                  <w:noWrap w:val="0"/>
                  <w:vAlign w:val="center"/>
                </w:tcPr>
                <w:p w14:paraId="3A716138">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监测因子</w:t>
                  </w:r>
                </w:p>
              </w:tc>
              <w:tc>
                <w:tcPr>
                  <w:tcW w:w="1650" w:type="dxa"/>
                  <w:tcBorders>
                    <w:tl2br w:val="nil"/>
                    <w:tr2bl w:val="nil"/>
                  </w:tcBorders>
                  <w:noWrap w:val="0"/>
                  <w:vAlign w:val="center"/>
                </w:tcPr>
                <w:p w14:paraId="396987F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监测频次</w:t>
                  </w:r>
                </w:p>
              </w:tc>
              <w:tc>
                <w:tcPr>
                  <w:tcW w:w="2595" w:type="dxa"/>
                  <w:tcBorders>
                    <w:tl2br w:val="nil"/>
                    <w:tr2bl w:val="nil"/>
                  </w:tcBorders>
                  <w:noWrap w:val="0"/>
                  <w:vAlign w:val="center"/>
                </w:tcPr>
                <w:p w14:paraId="385C63A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执行标准</w:t>
                  </w:r>
                </w:p>
              </w:tc>
            </w:tr>
            <w:tr w14:paraId="20DF7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097FBD2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噪声</w:t>
                  </w:r>
                </w:p>
              </w:tc>
              <w:tc>
                <w:tcPr>
                  <w:tcW w:w="1383" w:type="dxa"/>
                  <w:tcBorders>
                    <w:tl2br w:val="nil"/>
                    <w:tr2bl w:val="nil"/>
                  </w:tcBorders>
                  <w:noWrap w:val="0"/>
                  <w:vAlign w:val="center"/>
                </w:tcPr>
                <w:p w14:paraId="0FB9420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kern w:val="0"/>
                      <w:position w:val="0"/>
                      <w:sz w:val="21"/>
                      <w:szCs w:val="21"/>
                      <w:u w:val="single" w:color="auto"/>
                      <w:lang w:val="en-US" w:eastAsia="zh-CN"/>
                    </w:rPr>
                    <w:t>东、南、西、北厂界</w:t>
                  </w:r>
                  <w:r>
                    <w:rPr>
                      <w:rFonts w:hint="default" w:ascii="Times New Roman" w:hAnsi="Times New Roman" w:eastAsia="宋体" w:cs="Times New Roman"/>
                      <w:b w:val="0"/>
                      <w:bCs/>
                      <w:color w:val="000000"/>
                      <w:spacing w:val="11"/>
                      <w:kern w:val="0"/>
                      <w:position w:val="0"/>
                      <w:sz w:val="21"/>
                      <w:szCs w:val="21"/>
                      <w:u w:val="single" w:color="auto"/>
                    </w:rPr>
                    <w:t>外1米</w:t>
                  </w:r>
                </w:p>
              </w:tc>
              <w:tc>
                <w:tcPr>
                  <w:tcW w:w="1149" w:type="dxa"/>
                  <w:tcBorders>
                    <w:tl2br w:val="nil"/>
                    <w:tr2bl w:val="nil"/>
                  </w:tcBorders>
                  <w:noWrap w:val="0"/>
                  <w:vAlign w:val="center"/>
                </w:tcPr>
                <w:p w14:paraId="5ECE547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kern w:val="0"/>
                      <w:position w:val="0"/>
                      <w:sz w:val="21"/>
                      <w:szCs w:val="21"/>
                      <w:u w:val="single" w:color="auto"/>
                    </w:rPr>
                    <w:t>连续等效A声级</w:t>
                  </w:r>
                </w:p>
              </w:tc>
              <w:tc>
                <w:tcPr>
                  <w:tcW w:w="1650" w:type="dxa"/>
                  <w:tcBorders>
                    <w:tl2br w:val="nil"/>
                    <w:tr2bl w:val="nil"/>
                  </w:tcBorders>
                  <w:noWrap w:val="0"/>
                  <w:vAlign w:val="center"/>
                </w:tcPr>
                <w:p w14:paraId="6626B10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每</w:t>
                  </w:r>
                  <w:r>
                    <w:rPr>
                      <w:rFonts w:hint="eastAsia" w:cs="Times New Roman"/>
                      <w:b w:val="0"/>
                      <w:bCs/>
                      <w:color w:val="000000"/>
                      <w:spacing w:val="11"/>
                      <w:position w:val="0"/>
                      <w:sz w:val="21"/>
                      <w:szCs w:val="21"/>
                      <w:u w:val="single" w:color="auto"/>
                      <w:lang w:val="en-US" w:eastAsia="zh-CN"/>
                    </w:rPr>
                    <w:t>季度</w:t>
                  </w:r>
                  <w:r>
                    <w:rPr>
                      <w:rFonts w:hint="default" w:ascii="Times New Roman" w:hAnsi="Times New Roman" w:eastAsia="宋体" w:cs="Times New Roman"/>
                      <w:b w:val="0"/>
                      <w:bCs/>
                      <w:color w:val="000000"/>
                      <w:spacing w:val="11"/>
                      <w:position w:val="0"/>
                      <w:sz w:val="21"/>
                      <w:szCs w:val="21"/>
                      <w:u w:val="single" w:color="auto"/>
                    </w:rPr>
                    <w:t>一次，监测1天，昼间、夜间各监测1次</w:t>
                  </w:r>
                </w:p>
              </w:tc>
              <w:tc>
                <w:tcPr>
                  <w:tcW w:w="2595" w:type="dxa"/>
                  <w:tcBorders>
                    <w:tl2br w:val="nil"/>
                    <w:tr2bl w:val="nil"/>
                  </w:tcBorders>
                  <w:noWrap w:val="0"/>
                  <w:vAlign w:val="center"/>
                </w:tcPr>
                <w:p w14:paraId="36CE13F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《工业企业厂界环境噪声排放标准》（GB12348-2008）</w:t>
                  </w:r>
                  <w:r>
                    <w:rPr>
                      <w:rFonts w:hint="default" w:ascii="Times New Roman" w:hAnsi="Times New Roman" w:eastAsia="宋体" w:cs="Times New Roman"/>
                      <w:b w:val="0"/>
                      <w:bCs/>
                      <w:color w:val="000000"/>
                      <w:spacing w:val="11"/>
                      <w:position w:val="0"/>
                      <w:sz w:val="21"/>
                      <w:szCs w:val="21"/>
                      <w:u w:val="single" w:color="auto"/>
                      <w:lang w:val="en-US" w:eastAsia="zh-CN"/>
                    </w:rPr>
                    <w:t>2</w:t>
                  </w:r>
                  <w:r>
                    <w:rPr>
                      <w:rFonts w:hint="default" w:ascii="Times New Roman" w:hAnsi="Times New Roman" w:eastAsia="宋体" w:cs="Times New Roman"/>
                      <w:b w:val="0"/>
                      <w:bCs/>
                      <w:color w:val="000000"/>
                      <w:spacing w:val="11"/>
                      <w:position w:val="0"/>
                      <w:sz w:val="21"/>
                      <w:szCs w:val="21"/>
                      <w:u w:val="single" w:color="auto"/>
                    </w:rPr>
                    <w:t>类标准</w:t>
                  </w:r>
                </w:p>
              </w:tc>
            </w:tr>
          </w:tbl>
          <w:p w14:paraId="3706261E">
            <w:pPr>
              <w:keepNext w:val="0"/>
              <w:keepLines w:val="0"/>
              <w:pageBreakBefore w:val="0"/>
              <w:kinsoku/>
              <w:wordWrap/>
              <w:overflowPunct/>
              <w:topLinePunct w:val="0"/>
              <w:bidi w:val="0"/>
              <w:adjustRightInd w:val="0"/>
              <w:snapToGrid w:val="0"/>
              <w:spacing w:line="360" w:lineRule="auto"/>
              <w:ind w:left="0"/>
              <w:rPr>
                <w:rFonts w:hint="eastAsia" w:ascii="Times New Roman" w:hAnsi="Times New Roman" w:eastAsia="宋体" w:cs="Times New Roman"/>
                <w:bCs/>
                <w:color w:val="auto"/>
                <w:spacing w:val="11"/>
                <w:position w:val="0"/>
                <w:sz w:val="24"/>
                <w:szCs w:val="24"/>
                <w:u w:val="none" w:color="auto"/>
                <w:lang w:val="en-US" w:eastAsia="zh-CN"/>
              </w:rPr>
            </w:pPr>
          </w:p>
        </w:tc>
      </w:tr>
      <w:tr w14:paraId="6D985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14:paraId="34DBD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2"/>
                <w:szCs w:val="22"/>
                <w:u w:val="none" w:color="auto"/>
              </w:rPr>
              <w:t>环保投资</w:t>
            </w:r>
          </w:p>
        </w:tc>
        <w:tc>
          <w:tcPr>
            <w:tcW w:w="8164" w:type="dxa"/>
            <w:tcBorders>
              <w:tl2br w:val="nil"/>
              <w:tr2bl w:val="nil"/>
            </w:tcBorders>
            <w:noWrap w:val="0"/>
            <w:vAlign w:val="top"/>
          </w:tcPr>
          <w:p w14:paraId="7203B9A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textAlignment w:val="auto"/>
              <w:rPr>
                <w:color w:val="000000"/>
                <w:spacing w:val="11"/>
                <w:kern w:val="0"/>
                <w:position w:val="0"/>
                <w:sz w:val="24"/>
                <w:u w:val="none" w:color="auto"/>
              </w:rPr>
            </w:pPr>
            <w:r>
              <w:rPr>
                <w:color w:val="000000"/>
                <w:spacing w:val="11"/>
                <w:kern w:val="0"/>
                <w:position w:val="0"/>
                <w:sz w:val="24"/>
                <w:u w:val="none" w:color="auto"/>
              </w:rPr>
              <w:t>根据项目污染源产生及排放情况，建设单位计划对生产过程中产生的废水、废气、噪声和固废等采取相应的污染防治措施，并在服务期满后进行生态恢复和复垦。建设单位总投资</w:t>
            </w:r>
            <w:r>
              <w:rPr>
                <w:color w:val="000000"/>
                <w:spacing w:val="11"/>
                <w:kern w:val="0"/>
                <w:position w:val="0"/>
                <w:sz w:val="24"/>
                <w:highlight w:val="none"/>
                <w:u w:val="none" w:color="auto"/>
              </w:rPr>
              <w:t>约</w:t>
            </w:r>
            <w:r>
              <w:rPr>
                <w:rFonts w:hint="eastAsia"/>
                <w:color w:val="000000"/>
                <w:spacing w:val="11"/>
                <w:kern w:val="0"/>
                <w:position w:val="0"/>
                <w:sz w:val="24"/>
                <w:highlight w:val="none"/>
                <w:u w:val="none" w:color="auto"/>
                <w:lang w:val="en-US" w:eastAsia="zh-CN"/>
              </w:rPr>
              <w:t>6000</w:t>
            </w:r>
            <w:r>
              <w:rPr>
                <w:color w:val="000000"/>
                <w:spacing w:val="11"/>
                <w:kern w:val="0"/>
                <w:position w:val="0"/>
                <w:sz w:val="24"/>
                <w:highlight w:val="none"/>
                <w:u w:val="none" w:color="auto"/>
              </w:rPr>
              <w:t>万元，其中环保投资为</w:t>
            </w:r>
            <w:r>
              <w:rPr>
                <w:rFonts w:hint="eastAsia"/>
                <w:color w:val="000000"/>
                <w:spacing w:val="11"/>
                <w:kern w:val="0"/>
                <w:position w:val="0"/>
                <w:sz w:val="24"/>
                <w:highlight w:val="none"/>
                <w:u w:val="none" w:color="auto"/>
                <w:lang w:val="en-US" w:eastAsia="zh-CN"/>
              </w:rPr>
              <w:t>370</w:t>
            </w:r>
            <w:r>
              <w:rPr>
                <w:color w:val="000000"/>
                <w:spacing w:val="11"/>
                <w:kern w:val="0"/>
                <w:position w:val="0"/>
                <w:sz w:val="24"/>
                <w:highlight w:val="none"/>
                <w:u w:val="none" w:color="auto"/>
              </w:rPr>
              <w:t>万元，占总投资的</w:t>
            </w:r>
            <w:r>
              <w:rPr>
                <w:rFonts w:hint="eastAsia"/>
                <w:color w:val="000000"/>
                <w:spacing w:val="11"/>
                <w:kern w:val="0"/>
                <w:position w:val="0"/>
                <w:sz w:val="24"/>
                <w:highlight w:val="none"/>
                <w:u w:val="none" w:color="auto"/>
                <w:lang w:val="en-US" w:eastAsia="zh-CN"/>
              </w:rPr>
              <w:t>6.17</w:t>
            </w:r>
            <w:r>
              <w:rPr>
                <w:color w:val="000000"/>
                <w:spacing w:val="11"/>
                <w:kern w:val="0"/>
                <w:position w:val="0"/>
                <w:sz w:val="24"/>
                <w:highlight w:val="none"/>
                <w:u w:val="none" w:color="auto"/>
              </w:rPr>
              <w:t>%，环保治理措施及投</w:t>
            </w:r>
            <w:r>
              <w:rPr>
                <w:color w:val="000000"/>
                <w:spacing w:val="11"/>
                <w:kern w:val="0"/>
                <w:position w:val="0"/>
                <w:sz w:val="24"/>
                <w:u w:val="none" w:color="auto"/>
              </w:rPr>
              <w:t>资见下表</w:t>
            </w:r>
            <w:r>
              <w:rPr>
                <w:rFonts w:hint="eastAsia"/>
                <w:color w:val="000000"/>
                <w:spacing w:val="11"/>
                <w:kern w:val="0"/>
                <w:position w:val="0"/>
                <w:sz w:val="24"/>
                <w:u w:val="none" w:color="auto"/>
                <w:lang w:val="en-US" w:eastAsia="zh-CN"/>
              </w:rPr>
              <w:t>5-6</w:t>
            </w:r>
            <w:r>
              <w:rPr>
                <w:color w:val="000000"/>
                <w:spacing w:val="11"/>
                <w:kern w:val="0"/>
                <w:position w:val="0"/>
                <w:sz w:val="24"/>
                <w:u w:val="none" w:color="auto"/>
              </w:rPr>
              <w:t>。</w:t>
            </w:r>
          </w:p>
          <w:p w14:paraId="45C958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pacing w:val="11"/>
                <w:position w:val="0"/>
                <w:szCs w:val="21"/>
                <w:u w:val="single" w:color="auto"/>
              </w:rPr>
            </w:pPr>
            <w:r>
              <w:rPr>
                <w:rFonts w:hint="default" w:ascii="Times New Roman" w:hAnsi="Times New Roman" w:eastAsia="宋体" w:cs="Times New Roman"/>
                <w:b/>
                <w:bCs/>
                <w:color w:val="000000"/>
                <w:spacing w:val="11"/>
                <w:position w:val="0"/>
                <w:szCs w:val="21"/>
                <w:u w:val="single" w:color="auto"/>
              </w:rPr>
              <w:t>表</w:t>
            </w:r>
            <w:r>
              <w:rPr>
                <w:rFonts w:hint="default" w:ascii="Times New Roman" w:hAnsi="Times New Roman" w:eastAsia="宋体" w:cs="Times New Roman"/>
                <w:b/>
                <w:bCs/>
                <w:color w:val="000000"/>
                <w:spacing w:val="11"/>
                <w:position w:val="0"/>
                <w:szCs w:val="21"/>
                <w:u w:val="single" w:color="auto"/>
                <w:lang w:val="en-US" w:eastAsia="zh-CN"/>
              </w:rPr>
              <w:t>5-</w:t>
            </w:r>
            <w:r>
              <w:rPr>
                <w:rFonts w:hint="default" w:ascii="Times New Roman" w:hAnsi="Times New Roman" w:cs="Times New Roman"/>
                <w:b/>
                <w:bCs/>
                <w:color w:val="000000"/>
                <w:spacing w:val="11"/>
                <w:position w:val="0"/>
                <w:szCs w:val="21"/>
                <w:u w:val="single" w:color="auto"/>
                <w:lang w:val="en-US" w:eastAsia="zh-CN"/>
              </w:rPr>
              <w:t>6</w:t>
            </w:r>
            <w:r>
              <w:rPr>
                <w:rFonts w:hint="default" w:ascii="Times New Roman" w:hAnsi="Times New Roman" w:eastAsia="宋体" w:cs="Times New Roman"/>
                <w:b/>
                <w:bCs/>
                <w:color w:val="000000"/>
                <w:spacing w:val="11"/>
                <w:position w:val="0"/>
                <w:szCs w:val="21"/>
                <w:u w:val="single" w:color="auto"/>
                <w:lang w:val="en-US" w:eastAsia="zh-CN"/>
              </w:rPr>
              <w:t xml:space="preserve"> </w:t>
            </w:r>
            <w:r>
              <w:rPr>
                <w:rFonts w:hint="default" w:ascii="Times New Roman" w:hAnsi="Times New Roman" w:eastAsia="宋体" w:cs="Times New Roman"/>
                <w:b/>
                <w:bCs/>
                <w:color w:val="000000"/>
                <w:spacing w:val="11"/>
                <w:position w:val="0"/>
                <w:szCs w:val="21"/>
                <w:u w:val="single" w:color="auto"/>
              </w:rPr>
              <w:t xml:space="preserve"> 项目环保措施及投资一览表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28" w:type="dxa"/>
              </w:tblCellMar>
            </w:tblPr>
            <w:tblGrid>
              <w:gridCol w:w="719"/>
              <w:gridCol w:w="610"/>
              <w:gridCol w:w="1761"/>
              <w:gridCol w:w="3691"/>
              <w:gridCol w:w="1206"/>
            </w:tblGrid>
            <w:tr w14:paraId="573F9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tcBorders>
                    <w:tl2br w:val="nil"/>
                    <w:tr2bl w:val="nil"/>
                  </w:tcBorders>
                  <w:noWrap w:val="0"/>
                  <w:vAlign w:val="center"/>
                </w:tcPr>
                <w:p w14:paraId="15003C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阶段</w:t>
                  </w:r>
                </w:p>
              </w:tc>
              <w:tc>
                <w:tcPr>
                  <w:tcW w:w="381" w:type="pct"/>
                  <w:tcBorders>
                    <w:tl2br w:val="nil"/>
                    <w:tr2bl w:val="nil"/>
                  </w:tcBorders>
                  <w:noWrap w:val="0"/>
                  <w:vAlign w:val="center"/>
                </w:tcPr>
                <w:p w14:paraId="56F762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类别</w:t>
                  </w:r>
                </w:p>
              </w:tc>
              <w:tc>
                <w:tcPr>
                  <w:tcW w:w="1102" w:type="pct"/>
                  <w:tcBorders>
                    <w:tl2br w:val="nil"/>
                    <w:tr2bl w:val="nil"/>
                  </w:tcBorders>
                  <w:noWrap w:val="0"/>
                  <w:vAlign w:val="center"/>
                </w:tcPr>
                <w:p w14:paraId="0A05A7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污染源</w:t>
                  </w:r>
                </w:p>
              </w:tc>
              <w:tc>
                <w:tcPr>
                  <w:tcW w:w="2310" w:type="pct"/>
                  <w:tcBorders>
                    <w:tl2br w:val="nil"/>
                    <w:tr2bl w:val="nil"/>
                  </w:tcBorders>
                  <w:noWrap w:val="0"/>
                  <w:vAlign w:val="center"/>
                </w:tcPr>
                <w:p w14:paraId="33413D8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环保措施</w:t>
                  </w:r>
                </w:p>
              </w:tc>
              <w:tc>
                <w:tcPr>
                  <w:tcW w:w="754" w:type="pct"/>
                  <w:tcBorders>
                    <w:tl2br w:val="nil"/>
                    <w:tr2bl w:val="nil"/>
                  </w:tcBorders>
                  <w:noWrap w:val="0"/>
                  <w:vAlign w:val="center"/>
                </w:tcPr>
                <w:p w14:paraId="5C5A08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环保投资（万元）</w:t>
                  </w:r>
                </w:p>
              </w:tc>
            </w:tr>
            <w:tr w14:paraId="09EC5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restart"/>
                  <w:tcBorders>
                    <w:tl2br w:val="nil"/>
                    <w:tr2bl w:val="nil"/>
                  </w:tcBorders>
                  <w:noWrap w:val="0"/>
                  <w:vAlign w:val="center"/>
                </w:tcPr>
                <w:p w14:paraId="69067C25">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施工期</w:t>
                  </w:r>
                </w:p>
              </w:tc>
              <w:tc>
                <w:tcPr>
                  <w:tcW w:w="381" w:type="pct"/>
                  <w:tcBorders>
                    <w:tl2br w:val="nil"/>
                    <w:tr2bl w:val="nil"/>
                  </w:tcBorders>
                  <w:noWrap w:val="0"/>
                  <w:vAlign w:val="center"/>
                </w:tcPr>
                <w:p w14:paraId="40CCEC9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废气</w:t>
                  </w:r>
                </w:p>
              </w:tc>
              <w:tc>
                <w:tcPr>
                  <w:tcW w:w="1102" w:type="pct"/>
                  <w:tcBorders>
                    <w:tl2br w:val="nil"/>
                    <w:tr2bl w:val="nil"/>
                  </w:tcBorders>
                  <w:noWrap w:val="0"/>
                  <w:vAlign w:val="center"/>
                </w:tcPr>
                <w:p w14:paraId="365A314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施工扬尘</w:t>
                  </w:r>
                </w:p>
              </w:tc>
              <w:tc>
                <w:tcPr>
                  <w:tcW w:w="2310" w:type="pct"/>
                  <w:tcBorders>
                    <w:tl2br w:val="nil"/>
                    <w:tr2bl w:val="nil"/>
                  </w:tcBorders>
                  <w:noWrap w:val="0"/>
                  <w:vAlign w:val="center"/>
                </w:tcPr>
                <w:p w14:paraId="510E95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color w:val="000000"/>
                      <w:spacing w:val="11"/>
                      <w:position w:val="0"/>
                      <w:szCs w:val="21"/>
                      <w:u w:val="single" w:color="auto"/>
                    </w:rPr>
                    <w:t>洒水</w:t>
                  </w:r>
                  <w:r>
                    <w:rPr>
                      <w:rFonts w:hint="eastAsia"/>
                      <w:color w:val="000000"/>
                      <w:spacing w:val="11"/>
                      <w:position w:val="0"/>
                      <w:szCs w:val="21"/>
                      <w:u w:val="single" w:color="auto"/>
                    </w:rPr>
                    <w:t>喷淋、防尘网</w:t>
                  </w:r>
                </w:p>
              </w:tc>
              <w:tc>
                <w:tcPr>
                  <w:tcW w:w="754" w:type="pct"/>
                  <w:tcBorders>
                    <w:tl2br w:val="nil"/>
                    <w:tr2bl w:val="nil"/>
                  </w:tcBorders>
                  <w:noWrap w:val="0"/>
                  <w:vAlign w:val="center"/>
                </w:tcPr>
                <w:p w14:paraId="3076AB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w:t>
                  </w:r>
                </w:p>
              </w:tc>
            </w:tr>
            <w:tr w14:paraId="68ACF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1B489A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14:paraId="24F9D57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废水</w:t>
                  </w:r>
                </w:p>
              </w:tc>
              <w:tc>
                <w:tcPr>
                  <w:tcW w:w="1102" w:type="pct"/>
                  <w:tcBorders>
                    <w:tl2br w:val="nil"/>
                    <w:tr2bl w:val="nil"/>
                  </w:tcBorders>
                  <w:noWrap w:val="0"/>
                  <w:vAlign w:val="center"/>
                </w:tcPr>
                <w:p w14:paraId="07E69DB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车辆冲洗废水</w:t>
                  </w:r>
                </w:p>
              </w:tc>
              <w:tc>
                <w:tcPr>
                  <w:tcW w:w="2310" w:type="pct"/>
                  <w:tcBorders>
                    <w:tl2br w:val="nil"/>
                    <w:tr2bl w:val="nil"/>
                  </w:tcBorders>
                  <w:noWrap w:val="0"/>
                  <w:vAlign w:val="center"/>
                </w:tcPr>
                <w:p w14:paraId="3B563B9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沉淀池</w:t>
                  </w:r>
                </w:p>
              </w:tc>
              <w:tc>
                <w:tcPr>
                  <w:tcW w:w="754" w:type="pct"/>
                  <w:tcBorders>
                    <w:tl2br w:val="nil"/>
                    <w:tr2bl w:val="nil"/>
                  </w:tcBorders>
                  <w:noWrap w:val="0"/>
                  <w:vAlign w:val="center"/>
                </w:tcPr>
                <w:p w14:paraId="289443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6</w:t>
                  </w:r>
                </w:p>
              </w:tc>
            </w:tr>
            <w:tr w14:paraId="3910A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00B3DC3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14:paraId="5CB5573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14:paraId="4D2260B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生活废水</w:t>
                  </w:r>
                </w:p>
              </w:tc>
              <w:tc>
                <w:tcPr>
                  <w:tcW w:w="2310" w:type="pct"/>
                  <w:tcBorders>
                    <w:tl2br w:val="nil"/>
                    <w:tr2bl w:val="nil"/>
                  </w:tcBorders>
                  <w:noWrap w:val="0"/>
                  <w:vAlign w:val="center"/>
                </w:tcPr>
                <w:p w14:paraId="20C7A91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化粪池</w:t>
                  </w:r>
                </w:p>
              </w:tc>
              <w:tc>
                <w:tcPr>
                  <w:tcW w:w="754" w:type="pct"/>
                  <w:tcBorders>
                    <w:tl2br w:val="nil"/>
                    <w:tr2bl w:val="nil"/>
                  </w:tcBorders>
                  <w:noWrap w:val="0"/>
                  <w:vAlign w:val="center"/>
                </w:tcPr>
                <w:p w14:paraId="33622A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依托现有</w:t>
                  </w:r>
                </w:p>
              </w:tc>
            </w:tr>
            <w:tr w14:paraId="72B02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4705256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14:paraId="009A708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噪声</w:t>
                  </w:r>
                </w:p>
              </w:tc>
              <w:tc>
                <w:tcPr>
                  <w:tcW w:w="1102" w:type="pct"/>
                  <w:tcBorders>
                    <w:tl2br w:val="nil"/>
                    <w:tr2bl w:val="nil"/>
                  </w:tcBorders>
                  <w:noWrap w:val="0"/>
                  <w:vAlign w:val="center"/>
                </w:tcPr>
                <w:p w14:paraId="411118D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施工机械噪声</w:t>
                  </w:r>
                </w:p>
              </w:tc>
              <w:tc>
                <w:tcPr>
                  <w:tcW w:w="2310" w:type="pct"/>
                  <w:tcBorders>
                    <w:tl2br w:val="nil"/>
                    <w:tr2bl w:val="nil"/>
                  </w:tcBorders>
                  <w:noWrap w:val="0"/>
                  <w:vAlign w:val="center"/>
                </w:tcPr>
                <w:p w14:paraId="4CCAEDA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选用低噪声设备、隔声屏障、减震垫</w:t>
                  </w:r>
                </w:p>
              </w:tc>
              <w:tc>
                <w:tcPr>
                  <w:tcW w:w="754" w:type="pct"/>
                  <w:tcBorders>
                    <w:tl2br w:val="nil"/>
                    <w:tr2bl w:val="nil"/>
                  </w:tcBorders>
                  <w:noWrap w:val="0"/>
                  <w:vAlign w:val="center"/>
                </w:tcPr>
                <w:p w14:paraId="66B155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10</w:t>
                  </w:r>
                </w:p>
              </w:tc>
            </w:tr>
            <w:tr w14:paraId="73854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DEF386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14:paraId="472C2CB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固废</w:t>
                  </w:r>
                </w:p>
              </w:tc>
              <w:tc>
                <w:tcPr>
                  <w:tcW w:w="1102" w:type="pct"/>
                  <w:tcBorders>
                    <w:tl2br w:val="nil"/>
                    <w:tr2bl w:val="nil"/>
                  </w:tcBorders>
                  <w:noWrap w:val="0"/>
                  <w:vAlign w:val="center"/>
                </w:tcPr>
                <w:p w14:paraId="3E33EE3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建筑垃圾、生活垃圾</w:t>
                  </w:r>
                </w:p>
              </w:tc>
              <w:tc>
                <w:tcPr>
                  <w:tcW w:w="2310" w:type="pct"/>
                  <w:tcBorders>
                    <w:tl2br w:val="nil"/>
                    <w:tr2bl w:val="nil"/>
                  </w:tcBorders>
                  <w:noWrap w:val="0"/>
                  <w:vAlign w:val="center"/>
                </w:tcPr>
                <w:p w14:paraId="735067F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垃圾桶、建筑垃圾处理</w:t>
                  </w:r>
                </w:p>
              </w:tc>
              <w:tc>
                <w:tcPr>
                  <w:tcW w:w="754" w:type="pct"/>
                  <w:tcBorders>
                    <w:tl2br w:val="nil"/>
                    <w:tr2bl w:val="nil"/>
                  </w:tcBorders>
                  <w:noWrap w:val="0"/>
                  <w:vAlign w:val="center"/>
                </w:tcPr>
                <w:p w14:paraId="2EBDCE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w:t>
                  </w:r>
                </w:p>
              </w:tc>
            </w:tr>
            <w:tr w14:paraId="7F97B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734" w:hRule="atLeast"/>
                <w:jc w:val="center"/>
              </w:trPr>
              <w:tc>
                <w:tcPr>
                  <w:tcW w:w="450" w:type="pct"/>
                  <w:vMerge w:val="restart"/>
                  <w:tcBorders>
                    <w:tl2br w:val="nil"/>
                    <w:tr2bl w:val="nil"/>
                  </w:tcBorders>
                  <w:noWrap w:val="0"/>
                  <w:vAlign w:val="center"/>
                </w:tcPr>
                <w:p w14:paraId="162E781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营运期</w:t>
                  </w:r>
                </w:p>
              </w:tc>
              <w:tc>
                <w:tcPr>
                  <w:tcW w:w="381" w:type="pct"/>
                  <w:vMerge w:val="restart"/>
                  <w:tcBorders>
                    <w:tl2br w:val="nil"/>
                    <w:tr2bl w:val="nil"/>
                  </w:tcBorders>
                  <w:noWrap w:val="0"/>
                  <w:vAlign w:val="center"/>
                </w:tcPr>
                <w:p w14:paraId="61FBE345">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废水</w:t>
                  </w:r>
                </w:p>
              </w:tc>
              <w:tc>
                <w:tcPr>
                  <w:tcW w:w="1102" w:type="pct"/>
                  <w:tcBorders>
                    <w:tl2br w:val="nil"/>
                    <w:tr2bl w:val="nil"/>
                  </w:tcBorders>
                  <w:noWrap w:val="0"/>
                  <w:vAlign w:val="center"/>
                </w:tcPr>
                <w:p w14:paraId="1765463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初期雨水</w:t>
                  </w:r>
                </w:p>
              </w:tc>
              <w:tc>
                <w:tcPr>
                  <w:tcW w:w="2310" w:type="pct"/>
                  <w:tcBorders>
                    <w:tl2br w:val="nil"/>
                    <w:tr2bl w:val="nil"/>
                  </w:tcBorders>
                  <w:noWrap w:val="0"/>
                  <w:vAlign w:val="center"/>
                </w:tcPr>
                <w:p w14:paraId="60CAA457">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采区</w:t>
                  </w:r>
                  <w:r>
                    <w:rPr>
                      <w:rFonts w:hint="eastAsia"/>
                      <w:spacing w:val="11"/>
                      <w:position w:val="0"/>
                      <w:szCs w:val="21"/>
                      <w:u w:val="single" w:color="auto"/>
                    </w:rPr>
                    <w:t>及工业</w:t>
                  </w:r>
                  <w:r>
                    <w:rPr>
                      <w:rFonts w:hint="eastAsia"/>
                      <w:color w:val="000000"/>
                      <w:spacing w:val="11"/>
                      <w:position w:val="0"/>
                      <w:szCs w:val="21"/>
                      <w:u w:val="single" w:color="auto"/>
                    </w:rPr>
                    <w:t>广场四周均设置</w:t>
                  </w:r>
                  <w:r>
                    <w:rPr>
                      <w:rFonts w:hint="eastAsia"/>
                      <w:color w:val="000000"/>
                      <w:spacing w:val="11"/>
                      <w:position w:val="0"/>
                      <w:szCs w:val="21"/>
                      <w:u w:val="single" w:color="auto"/>
                      <w:lang w:val="en-US" w:eastAsia="zh-CN"/>
                    </w:rPr>
                    <w:t>雨水沟</w:t>
                  </w:r>
                  <w:r>
                    <w:rPr>
                      <w:rFonts w:hint="eastAsia"/>
                      <w:color w:val="000000"/>
                      <w:spacing w:val="11"/>
                      <w:position w:val="0"/>
                      <w:szCs w:val="21"/>
                      <w:u w:val="single" w:color="auto"/>
                    </w:rPr>
                    <w:t>、</w:t>
                  </w:r>
                  <w:r>
                    <w:rPr>
                      <w:rFonts w:hint="eastAsia"/>
                      <w:color w:val="000000"/>
                      <w:spacing w:val="11"/>
                      <w:position w:val="0"/>
                      <w:szCs w:val="21"/>
                      <w:u w:val="single" w:color="auto"/>
                      <w:lang w:val="en-US" w:eastAsia="zh-CN"/>
                    </w:rPr>
                    <w:t>初期雨水</w:t>
                  </w:r>
                  <w:r>
                    <w:rPr>
                      <w:rFonts w:hint="eastAsia"/>
                      <w:color w:val="000000"/>
                      <w:spacing w:val="11"/>
                      <w:position w:val="0"/>
                      <w:szCs w:val="21"/>
                      <w:u w:val="single" w:color="auto"/>
                    </w:rPr>
                    <w:t>池</w:t>
                  </w:r>
                </w:p>
              </w:tc>
              <w:tc>
                <w:tcPr>
                  <w:tcW w:w="754" w:type="pct"/>
                  <w:tcBorders>
                    <w:tl2br w:val="nil"/>
                    <w:tr2bl w:val="nil"/>
                  </w:tcBorders>
                  <w:noWrap w:val="0"/>
                  <w:vAlign w:val="center"/>
                </w:tcPr>
                <w:p w14:paraId="390384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20</w:t>
                  </w:r>
                </w:p>
              </w:tc>
            </w:tr>
            <w:tr w14:paraId="1499C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204" w:hRule="atLeast"/>
                <w:jc w:val="center"/>
              </w:trPr>
              <w:tc>
                <w:tcPr>
                  <w:tcW w:w="450" w:type="pct"/>
                  <w:vMerge w:val="continue"/>
                  <w:tcBorders>
                    <w:tl2br w:val="nil"/>
                    <w:tr2bl w:val="nil"/>
                  </w:tcBorders>
                  <w:noWrap w:val="0"/>
                  <w:vAlign w:val="center"/>
                </w:tcPr>
                <w:p w14:paraId="072C5DE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14:paraId="6A9EAEC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14:paraId="52D18F0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洗车废水</w:t>
                  </w:r>
                </w:p>
              </w:tc>
              <w:tc>
                <w:tcPr>
                  <w:tcW w:w="2310" w:type="pct"/>
                  <w:tcBorders>
                    <w:tl2br w:val="nil"/>
                    <w:tr2bl w:val="nil"/>
                  </w:tcBorders>
                  <w:noWrap w:val="0"/>
                  <w:vAlign w:val="center"/>
                </w:tcPr>
                <w:p w14:paraId="3C07647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洗车平台+</w:t>
                  </w:r>
                  <w:r>
                    <w:rPr>
                      <w:rFonts w:hint="eastAsia"/>
                      <w:color w:val="000000"/>
                      <w:spacing w:val="11"/>
                      <w:position w:val="0"/>
                      <w:szCs w:val="21"/>
                      <w:u w:val="single" w:color="auto"/>
                      <w:lang w:val="en-US" w:eastAsia="zh-CN"/>
                    </w:rPr>
                    <w:t>车辆过水池</w:t>
                  </w:r>
                </w:p>
              </w:tc>
              <w:tc>
                <w:tcPr>
                  <w:tcW w:w="754" w:type="pct"/>
                  <w:tcBorders>
                    <w:tl2br w:val="nil"/>
                    <w:tr2bl w:val="nil"/>
                  </w:tcBorders>
                  <w:noWrap w:val="0"/>
                  <w:vAlign w:val="center"/>
                </w:tcPr>
                <w:p w14:paraId="3E6F71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依托现有</w:t>
                  </w:r>
                </w:p>
              </w:tc>
            </w:tr>
            <w:tr w14:paraId="55303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72" w:hRule="atLeast"/>
                <w:jc w:val="center"/>
              </w:trPr>
              <w:tc>
                <w:tcPr>
                  <w:tcW w:w="450" w:type="pct"/>
                  <w:vMerge w:val="continue"/>
                  <w:tcBorders>
                    <w:tl2br w:val="nil"/>
                    <w:tr2bl w:val="nil"/>
                  </w:tcBorders>
                  <w:noWrap w:val="0"/>
                  <w:vAlign w:val="center"/>
                </w:tcPr>
                <w:p w14:paraId="4A4D9725">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14:paraId="020BFBC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14:paraId="7D4085A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生活污水</w:t>
                  </w:r>
                </w:p>
              </w:tc>
              <w:tc>
                <w:tcPr>
                  <w:tcW w:w="2310" w:type="pct"/>
                  <w:tcBorders>
                    <w:tl2br w:val="nil"/>
                    <w:tr2bl w:val="nil"/>
                  </w:tcBorders>
                  <w:noWrap w:val="0"/>
                  <w:vAlign w:val="center"/>
                </w:tcPr>
                <w:p w14:paraId="774373A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化粪池</w:t>
                  </w:r>
                </w:p>
              </w:tc>
              <w:tc>
                <w:tcPr>
                  <w:tcW w:w="754" w:type="pct"/>
                  <w:tcBorders>
                    <w:tl2br w:val="nil"/>
                    <w:tr2bl w:val="nil"/>
                  </w:tcBorders>
                  <w:noWrap w:val="0"/>
                  <w:vAlign w:val="center"/>
                </w:tcPr>
                <w:p w14:paraId="74A153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14:paraId="0B87D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838C85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14:paraId="2559265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大气污染</w:t>
                  </w:r>
                </w:p>
              </w:tc>
              <w:tc>
                <w:tcPr>
                  <w:tcW w:w="1102" w:type="pct"/>
                  <w:tcBorders>
                    <w:tl2br w:val="nil"/>
                    <w:tr2bl w:val="nil"/>
                  </w:tcBorders>
                  <w:noWrap w:val="0"/>
                  <w:vAlign w:val="center"/>
                </w:tcPr>
                <w:p w14:paraId="5A982FE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开采区扬尘</w:t>
                  </w:r>
                </w:p>
              </w:tc>
              <w:tc>
                <w:tcPr>
                  <w:tcW w:w="2310" w:type="pct"/>
                  <w:tcBorders>
                    <w:tl2br w:val="nil"/>
                    <w:tr2bl w:val="nil"/>
                  </w:tcBorders>
                  <w:noWrap w:val="0"/>
                  <w:vAlign w:val="center"/>
                </w:tcPr>
                <w:p w14:paraId="2CDDEE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rPr>
                    <w:t>防尘帷幕、炮雾机</w:t>
                  </w:r>
                  <w:r>
                    <w:rPr>
                      <w:rFonts w:hint="eastAsia"/>
                      <w:color w:val="000000"/>
                      <w:spacing w:val="11"/>
                      <w:position w:val="0"/>
                      <w:szCs w:val="21"/>
                      <w:u w:val="single" w:color="auto"/>
                      <w:lang w:eastAsia="zh-CN"/>
                    </w:rPr>
                    <w:t>、</w:t>
                  </w:r>
                  <w:r>
                    <w:rPr>
                      <w:rFonts w:hint="eastAsia"/>
                      <w:color w:val="000000"/>
                      <w:spacing w:val="11"/>
                      <w:position w:val="0"/>
                      <w:szCs w:val="21"/>
                      <w:u w:val="single" w:color="auto"/>
                      <w:lang w:val="en-US" w:eastAsia="zh-CN"/>
                    </w:rPr>
                    <w:t>洒水车</w:t>
                  </w:r>
                </w:p>
              </w:tc>
              <w:tc>
                <w:tcPr>
                  <w:tcW w:w="754" w:type="pct"/>
                  <w:tcBorders>
                    <w:tl2br w:val="nil"/>
                    <w:tr2bl w:val="nil"/>
                  </w:tcBorders>
                  <w:noWrap w:val="0"/>
                  <w:vAlign w:val="center"/>
                </w:tcPr>
                <w:p w14:paraId="48E11D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14:paraId="2E8BE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52" w:hRule="atLeast"/>
                <w:jc w:val="center"/>
              </w:trPr>
              <w:tc>
                <w:tcPr>
                  <w:tcW w:w="450" w:type="pct"/>
                  <w:vMerge w:val="continue"/>
                  <w:tcBorders>
                    <w:tl2br w:val="nil"/>
                    <w:tr2bl w:val="nil"/>
                  </w:tcBorders>
                  <w:noWrap w:val="0"/>
                  <w:vAlign w:val="center"/>
                </w:tcPr>
                <w:p w14:paraId="5FA956D6">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14:paraId="69F9B53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14:paraId="50FDAE8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道路扬尘</w:t>
                  </w:r>
                </w:p>
              </w:tc>
              <w:tc>
                <w:tcPr>
                  <w:tcW w:w="2310" w:type="pct"/>
                  <w:tcBorders>
                    <w:tl2br w:val="nil"/>
                    <w:tr2bl w:val="nil"/>
                  </w:tcBorders>
                  <w:noWrap w:val="0"/>
                  <w:vAlign w:val="center"/>
                </w:tcPr>
                <w:p w14:paraId="56AA638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地面硬化、洒水车</w:t>
                  </w:r>
                </w:p>
              </w:tc>
              <w:tc>
                <w:tcPr>
                  <w:tcW w:w="754" w:type="pct"/>
                  <w:tcBorders>
                    <w:tl2br w:val="nil"/>
                    <w:tr2bl w:val="nil"/>
                  </w:tcBorders>
                  <w:noWrap w:val="0"/>
                  <w:vAlign w:val="center"/>
                </w:tcPr>
                <w:p w14:paraId="4636651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lang w:val="en-US" w:eastAsia="zh-CN"/>
                    </w:rPr>
                    <w:t>依托现有</w:t>
                  </w:r>
                </w:p>
              </w:tc>
            </w:tr>
            <w:tr w14:paraId="74332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52" w:hRule="atLeast"/>
                <w:jc w:val="center"/>
              </w:trPr>
              <w:tc>
                <w:tcPr>
                  <w:tcW w:w="450" w:type="pct"/>
                  <w:vMerge w:val="continue"/>
                  <w:tcBorders>
                    <w:tl2br w:val="nil"/>
                    <w:tr2bl w:val="nil"/>
                  </w:tcBorders>
                  <w:noWrap w:val="0"/>
                  <w:vAlign w:val="center"/>
                </w:tcPr>
                <w:p w14:paraId="28CB1DE6">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14:paraId="0975875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14:paraId="4AD10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highlight w:val="none"/>
                      <w:u w:val="single" w:color="auto"/>
                      <w:lang w:val="en-US" w:eastAsia="zh-CN"/>
                    </w:rPr>
                  </w:pPr>
                  <w:r>
                    <w:rPr>
                      <w:rFonts w:hint="eastAsia"/>
                      <w:color w:val="000000"/>
                      <w:spacing w:val="11"/>
                      <w:position w:val="0"/>
                      <w:szCs w:val="21"/>
                      <w:highlight w:val="none"/>
                      <w:u w:val="single" w:color="auto"/>
                      <w:lang w:val="en-US" w:eastAsia="zh-CN"/>
                    </w:rPr>
                    <w:t>破碎粉尘</w:t>
                  </w:r>
                </w:p>
              </w:tc>
              <w:tc>
                <w:tcPr>
                  <w:tcW w:w="2310" w:type="pct"/>
                  <w:tcBorders>
                    <w:tl2br w:val="nil"/>
                    <w:tr2bl w:val="nil"/>
                  </w:tcBorders>
                  <w:noWrap w:val="0"/>
                  <w:vAlign w:val="center"/>
                </w:tcPr>
                <w:p w14:paraId="239846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highlight w:val="none"/>
                      <w:u w:val="single" w:color="auto"/>
                      <w:lang w:val="en-US" w:eastAsia="zh-CN"/>
                    </w:rPr>
                  </w:pPr>
                  <w:r>
                    <w:rPr>
                      <w:rFonts w:hint="eastAsia"/>
                      <w:color w:val="000000"/>
                      <w:spacing w:val="11"/>
                      <w:position w:val="0"/>
                      <w:szCs w:val="21"/>
                      <w:highlight w:val="none"/>
                      <w:u w:val="single" w:color="auto"/>
                      <w:lang w:val="en-US" w:eastAsia="zh-CN"/>
                    </w:rPr>
                    <w:t>两台布袋除尘器+两根排气筒</w:t>
                  </w:r>
                </w:p>
              </w:tc>
              <w:tc>
                <w:tcPr>
                  <w:tcW w:w="754" w:type="pct"/>
                  <w:tcBorders>
                    <w:tl2br w:val="nil"/>
                    <w:tr2bl w:val="nil"/>
                  </w:tcBorders>
                  <w:noWrap w:val="0"/>
                  <w:vAlign w:val="center"/>
                </w:tcPr>
                <w:p w14:paraId="24FC7A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14:paraId="078AC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vMerge w:val="continue"/>
                  <w:tcBorders>
                    <w:tl2br w:val="nil"/>
                    <w:tr2bl w:val="nil"/>
                  </w:tcBorders>
                  <w:noWrap w:val="0"/>
                  <w:vAlign w:val="center"/>
                </w:tcPr>
                <w:p w14:paraId="24C5A39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14:paraId="0D9600B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噪声</w:t>
                  </w:r>
                </w:p>
              </w:tc>
              <w:tc>
                <w:tcPr>
                  <w:tcW w:w="1102" w:type="pct"/>
                  <w:tcBorders>
                    <w:tl2br w:val="nil"/>
                    <w:tr2bl w:val="nil"/>
                  </w:tcBorders>
                  <w:noWrap w:val="0"/>
                  <w:vAlign w:val="center"/>
                </w:tcPr>
                <w:p w14:paraId="3726F6A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设备噪声</w:t>
                  </w:r>
                </w:p>
              </w:tc>
              <w:tc>
                <w:tcPr>
                  <w:tcW w:w="2310" w:type="pct"/>
                  <w:tcBorders>
                    <w:tl2br w:val="nil"/>
                    <w:tr2bl w:val="nil"/>
                  </w:tcBorders>
                  <w:noWrap w:val="0"/>
                  <w:vAlign w:val="center"/>
                </w:tcPr>
                <w:p w14:paraId="759E5B3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选择低噪设备、基础减振、厂房隔声、风机口安装消声器</w:t>
                  </w:r>
                </w:p>
              </w:tc>
              <w:tc>
                <w:tcPr>
                  <w:tcW w:w="754" w:type="pct"/>
                  <w:tcBorders>
                    <w:tl2br w:val="nil"/>
                    <w:tr2bl w:val="nil"/>
                  </w:tcBorders>
                  <w:noWrap w:val="0"/>
                  <w:vAlign w:val="center"/>
                </w:tcPr>
                <w:p w14:paraId="3C5AE0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40</w:t>
                  </w:r>
                </w:p>
              </w:tc>
            </w:tr>
            <w:tr w14:paraId="2E823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0" w:hRule="atLeast"/>
                <w:jc w:val="center"/>
              </w:trPr>
              <w:tc>
                <w:tcPr>
                  <w:tcW w:w="450" w:type="pct"/>
                  <w:vMerge w:val="continue"/>
                  <w:tcBorders>
                    <w:tl2br w:val="nil"/>
                    <w:tr2bl w:val="nil"/>
                  </w:tcBorders>
                  <w:noWrap w:val="0"/>
                  <w:vAlign w:val="center"/>
                </w:tcPr>
                <w:p w14:paraId="133FEDC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14:paraId="6936F20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固废</w:t>
                  </w:r>
                </w:p>
              </w:tc>
              <w:tc>
                <w:tcPr>
                  <w:tcW w:w="1102" w:type="pct"/>
                  <w:tcBorders>
                    <w:tl2br w:val="nil"/>
                    <w:tr2bl w:val="nil"/>
                  </w:tcBorders>
                  <w:noWrap w:val="0"/>
                  <w:vAlign w:val="center"/>
                </w:tcPr>
                <w:p w14:paraId="7571A55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剥离表土</w:t>
                  </w:r>
                </w:p>
              </w:tc>
              <w:tc>
                <w:tcPr>
                  <w:tcW w:w="2310" w:type="pct"/>
                  <w:tcBorders>
                    <w:tl2br w:val="nil"/>
                    <w:tr2bl w:val="nil"/>
                  </w:tcBorders>
                  <w:noWrap w:val="0"/>
                  <w:vAlign w:val="center"/>
                </w:tcPr>
                <w:p w14:paraId="630123A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highlight w:val="yellow"/>
                      <w:u w:val="single" w:color="auto"/>
                    </w:rPr>
                  </w:pPr>
                  <w:r>
                    <w:rPr>
                      <w:rFonts w:hint="default" w:ascii="Times New Roman" w:hAnsi="Times New Roman" w:eastAsia="宋体" w:cs="Times New Roman"/>
                      <w:color w:val="000000"/>
                      <w:spacing w:val="11"/>
                      <w:position w:val="0"/>
                      <w:szCs w:val="21"/>
                      <w:u w:val="single" w:color="auto"/>
                      <w:lang w:eastAsia="zh-CN"/>
                    </w:rPr>
                    <w:t>绿化、复垦</w:t>
                  </w:r>
                </w:p>
              </w:tc>
              <w:tc>
                <w:tcPr>
                  <w:tcW w:w="754" w:type="pct"/>
                  <w:tcBorders>
                    <w:tl2br w:val="nil"/>
                    <w:tr2bl w:val="nil"/>
                  </w:tcBorders>
                  <w:noWrap w:val="0"/>
                  <w:vAlign w:val="center"/>
                </w:tcPr>
                <w:p w14:paraId="5459FE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3</w:t>
                  </w:r>
                </w:p>
              </w:tc>
            </w:tr>
            <w:tr w14:paraId="787B3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23" w:hRule="atLeast"/>
                <w:jc w:val="center"/>
              </w:trPr>
              <w:tc>
                <w:tcPr>
                  <w:tcW w:w="450" w:type="pct"/>
                  <w:vMerge w:val="continue"/>
                  <w:tcBorders>
                    <w:tl2br w:val="nil"/>
                    <w:tr2bl w:val="nil"/>
                  </w:tcBorders>
                  <w:noWrap w:val="0"/>
                  <w:vAlign w:val="center"/>
                </w:tcPr>
                <w:p w14:paraId="79469F17">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14:paraId="4AB86F7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14:paraId="05095A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rPr>
                    <w:t>沉淀池</w:t>
                  </w:r>
                  <w:r>
                    <w:rPr>
                      <w:rFonts w:hint="eastAsia"/>
                      <w:color w:val="000000"/>
                      <w:spacing w:val="11"/>
                      <w:position w:val="0"/>
                      <w:szCs w:val="21"/>
                      <w:u w:val="single" w:color="auto"/>
                      <w:lang w:val="en-US" w:eastAsia="zh-CN"/>
                    </w:rPr>
                    <w:t>污泥</w:t>
                  </w:r>
                </w:p>
              </w:tc>
              <w:tc>
                <w:tcPr>
                  <w:tcW w:w="2310" w:type="pct"/>
                  <w:tcBorders>
                    <w:tl2br w:val="nil"/>
                    <w:tr2bl w:val="nil"/>
                  </w:tcBorders>
                  <w:noWrap w:val="0"/>
                  <w:vAlign w:val="center"/>
                </w:tcPr>
                <w:p w14:paraId="4D43C9B5">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自然晾干后回填矿山采空区</w:t>
                  </w:r>
                </w:p>
              </w:tc>
              <w:tc>
                <w:tcPr>
                  <w:tcW w:w="754" w:type="pct"/>
                  <w:tcBorders>
                    <w:tl2br w:val="nil"/>
                    <w:tr2bl w:val="nil"/>
                  </w:tcBorders>
                  <w:noWrap w:val="0"/>
                  <w:vAlign w:val="center"/>
                </w:tcPr>
                <w:p w14:paraId="0C5C599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3</w:t>
                  </w:r>
                </w:p>
              </w:tc>
            </w:tr>
            <w:tr w14:paraId="79F72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vMerge w:val="continue"/>
                  <w:tcBorders>
                    <w:tl2br w:val="nil"/>
                    <w:tr2bl w:val="nil"/>
                  </w:tcBorders>
                  <w:noWrap w:val="0"/>
                  <w:vAlign w:val="center"/>
                </w:tcPr>
                <w:p w14:paraId="52C8F87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14:paraId="4257474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14:paraId="19D5A8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废润滑油</w:t>
                  </w:r>
                </w:p>
              </w:tc>
              <w:tc>
                <w:tcPr>
                  <w:tcW w:w="2310" w:type="pct"/>
                  <w:tcBorders>
                    <w:tl2br w:val="nil"/>
                    <w:tr2bl w:val="nil"/>
                  </w:tcBorders>
                  <w:noWrap w:val="0"/>
                  <w:vAlign w:val="center"/>
                </w:tcPr>
                <w:p w14:paraId="426272D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暂存于危废暂存间，定期交由有资质单位转运处置</w:t>
                  </w:r>
                </w:p>
              </w:tc>
              <w:tc>
                <w:tcPr>
                  <w:tcW w:w="754" w:type="pct"/>
                  <w:tcBorders>
                    <w:tl2br w:val="nil"/>
                    <w:tr2bl w:val="nil"/>
                  </w:tcBorders>
                  <w:noWrap w:val="0"/>
                  <w:vAlign w:val="center"/>
                </w:tcPr>
                <w:p w14:paraId="2609F9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val="en-GB" w:eastAsia="zh-CN"/>
                    </w:rPr>
                  </w:pPr>
                  <w:r>
                    <w:rPr>
                      <w:rFonts w:hint="eastAsia"/>
                      <w:color w:val="000000"/>
                      <w:spacing w:val="11"/>
                      <w:position w:val="0"/>
                      <w:szCs w:val="21"/>
                      <w:u w:val="single" w:color="auto"/>
                      <w:lang w:val="en-US" w:eastAsia="zh-CN"/>
                    </w:rPr>
                    <w:t>8</w:t>
                  </w:r>
                </w:p>
              </w:tc>
            </w:tr>
            <w:tr w14:paraId="4DA46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73F1714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14:paraId="52C8421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14:paraId="3EE936E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生活垃圾</w:t>
                  </w:r>
                </w:p>
              </w:tc>
              <w:tc>
                <w:tcPr>
                  <w:tcW w:w="2310" w:type="pct"/>
                  <w:tcBorders>
                    <w:tl2br w:val="nil"/>
                    <w:tr2bl w:val="nil"/>
                  </w:tcBorders>
                  <w:noWrap w:val="0"/>
                  <w:vAlign w:val="center"/>
                </w:tcPr>
                <w:p w14:paraId="576EC67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垃圾桶收集，交由环卫部门统一处置</w:t>
                  </w:r>
                </w:p>
              </w:tc>
              <w:tc>
                <w:tcPr>
                  <w:tcW w:w="754" w:type="pct"/>
                  <w:tcBorders>
                    <w:tl2br w:val="nil"/>
                    <w:tr2bl w:val="nil"/>
                  </w:tcBorders>
                  <w:noWrap w:val="0"/>
                  <w:vAlign w:val="center"/>
                </w:tcPr>
                <w:p w14:paraId="4B388F0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val="en-GB" w:eastAsia="zh-CN"/>
                    </w:rPr>
                  </w:pPr>
                  <w:r>
                    <w:rPr>
                      <w:rFonts w:hint="eastAsia"/>
                      <w:color w:val="000000"/>
                      <w:spacing w:val="11"/>
                      <w:position w:val="0"/>
                      <w:szCs w:val="21"/>
                      <w:u w:val="single" w:color="auto"/>
                      <w:lang w:val="en-US" w:eastAsia="zh-CN"/>
                    </w:rPr>
                    <w:t>依托现有</w:t>
                  </w:r>
                </w:p>
              </w:tc>
            </w:tr>
            <w:tr w14:paraId="64D5B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969" w:hRule="atLeast"/>
                <w:jc w:val="center"/>
              </w:trPr>
              <w:tc>
                <w:tcPr>
                  <w:tcW w:w="450" w:type="pct"/>
                  <w:vMerge w:val="continue"/>
                  <w:tcBorders>
                    <w:tl2br w:val="nil"/>
                    <w:tr2bl w:val="nil"/>
                  </w:tcBorders>
                  <w:noWrap w:val="0"/>
                  <w:vAlign w:val="center"/>
                </w:tcPr>
                <w:p w14:paraId="351C7C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381" w:type="pct"/>
                  <w:vMerge w:val="restart"/>
                  <w:tcBorders>
                    <w:tl2br w:val="nil"/>
                    <w:tr2bl w:val="nil"/>
                  </w:tcBorders>
                  <w:noWrap w:val="0"/>
                  <w:vAlign w:val="center"/>
                </w:tcPr>
                <w:p w14:paraId="1D14995C">
                  <w:pPr>
                    <w:keepNext w:val="0"/>
                    <w:keepLines w:val="0"/>
                    <w:pageBreakBefore w:val="0"/>
                    <w:kinsoku/>
                    <w:wordWrap/>
                    <w:overflowPunct/>
                    <w:topLinePunct w:val="0"/>
                    <w:autoSpaceDE/>
                    <w:autoSpaceDN/>
                    <w:bidi w:val="0"/>
                    <w:adjustRightInd w:val="0"/>
                    <w:snapToGrid w:val="0"/>
                    <w:spacing w:line="240" w:lineRule="auto"/>
                    <w:jc w:val="center"/>
                    <w:textAlignment w:val="auto"/>
                    <w:rPr>
                      <w:spacing w:val="11"/>
                      <w:position w:val="0"/>
                      <w:szCs w:val="21"/>
                      <w:u w:val="single" w:color="auto"/>
                    </w:rPr>
                  </w:pPr>
                  <w:r>
                    <w:rPr>
                      <w:rFonts w:hint="eastAsia"/>
                      <w:spacing w:val="11"/>
                      <w:position w:val="0"/>
                      <w:szCs w:val="21"/>
                      <w:u w:val="single" w:color="auto"/>
                    </w:rPr>
                    <w:t>生态治理与恢复</w:t>
                  </w:r>
                </w:p>
              </w:tc>
              <w:tc>
                <w:tcPr>
                  <w:tcW w:w="1102" w:type="pct"/>
                  <w:tcBorders>
                    <w:tl2br w:val="nil"/>
                    <w:tr2bl w:val="nil"/>
                  </w:tcBorders>
                  <w:noWrap w:val="0"/>
                  <w:vAlign w:val="center"/>
                </w:tcPr>
                <w:p w14:paraId="7C4413B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采矿区</w:t>
                  </w:r>
                </w:p>
              </w:tc>
              <w:tc>
                <w:tcPr>
                  <w:tcW w:w="2310" w:type="pct"/>
                  <w:tcBorders>
                    <w:tl2br w:val="nil"/>
                    <w:tr2bl w:val="nil"/>
                  </w:tcBorders>
                  <w:noWrap w:val="0"/>
                  <w:vAlign w:val="center"/>
                </w:tcPr>
                <w:p w14:paraId="15AB6E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u w:val="single" w:color="auto"/>
                    </w:rPr>
                    <w:t>边开采边复垦复绿；矿山服务期满后复垦以及种植乔、灌木绿化，恢复为林地，采矿区边界设置截排水沟，</w:t>
                  </w:r>
                  <w:r>
                    <w:rPr>
                      <w:rFonts w:hint="eastAsia"/>
                      <w:color w:val="000000"/>
                      <w:spacing w:val="11"/>
                      <w:kern w:val="0"/>
                      <w:position w:val="0"/>
                      <w:szCs w:val="21"/>
                      <w:u w:val="single" w:color="auto"/>
                    </w:rPr>
                    <w:t>护坡</w:t>
                  </w:r>
                </w:p>
              </w:tc>
              <w:tc>
                <w:tcPr>
                  <w:tcW w:w="754" w:type="pct"/>
                  <w:tcBorders>
                    <w:tl2br w:val="nil"/>
                    <w:tr2bl w:val="nil"/>
                  </w:tcBorders>
                  <w:noWrap w:val="0"/>
                  <w:vAlign w:val="center"/>
                </w:tcPr>
                <w:p w14:paraId="2BEDB79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lang w:val="en-US" w:eastAsia="zh-CN"/>
                    </w:rPr>
                    <w:t>20</w:t>
                  </w:r>
                  <w:r>
                    <w:rPr>
                      <w:rFonts w:hint="eastAsia"/>
                      <w:color w:val="000000"/>
                      <w:spacing w:val="11"/>
                      <w:position w:val="0"/>
                      <w:szCs w:val="21"/>
                      <w:u w:val="single" w:color="auto"/>
                    </w:rPr>
                    <w:t>0</w:t>
                  </w:r>
                </w:p>
              </w:tc>
            </w:tr>
            <w:tr w14:paraId="2F914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29" w:hRule="atLeast"/>
                <w:jc w:val="center"/>
              </w:trPr>
              <w:tc>
                <w:tcPr>
                  <w:tcW w:w="450" w:type="pct"/>
                  <w:vMerge w:val="continue"/>
                  <w:tcBorders>
                    <w:tl2br w:val="nil"/>
                    <w:tr2bl w:val="nil"/>
                  </w:tcBorders>
                  <w:noWrap w:val="0"/>
                  <w:vAlign w:val="center"/>
                </w:tcPr>
                <w:p w14:paraId="6C1B0D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381" w:type="pct"/>
                  <w:vMerge w:val="continue"/>
                  <w:tcBorders>
                    <w:tl2br w:val="nil"/>
                    <w:tr2bl w:val="nil"/>
                  </w:tcBorders>
                  <w:noWrap w:val="0"/>
                  <w:vAlign w:val="center"/>
                </w:tcPr>
                <w:p w14:paraId="3AF809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pacing w:val="11"/>
                      <w:position w:val="0"/>
                      <w:szCs w:val="21"/>
                      <w:u w:val="single" w:color="auto"/>
                    </w:rPr>
                  </w:pPr>
                </w:p>
              </w:tc>
              <w:tc>
                <w:tcPr>
                  <w:tcW w:w="1102" w:type="pct"/>
                  <w:tcBorders>
                    <w:tl2br w:val="nil"/>
                    <w:tr2bl w:val="nil"/>
                  </w:tcBorders>
                  <w:noWrap w:val="0"/>
                  <w:vAlign w:val="center"/>
                </w:tcPr>
                <w:p w14:paraId="0AF5E8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矿山道路</w:t>
                  </w:r>
                </w:p>
              </w:tc>
              <w:tc>
                <w:tcPr>
                  <w:tcW w:w="2310" w:type="pct"/>
                  <w:tcBorders>
                    <w:tl2br w:val="nil"/>
                    <w:tr2bl w:val="nil"/>
                  </w:tcBorders>
                  <w:noWrap w:val="0"/>
                  <w:vAlign w:val="center"/>
                </w:tcPr>
                <w:p w14:paraId="2044AA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kern w:val="0"/>
                      <w:position w:val="0"/>
                      <w:szCs w:val="21"/>
                      <w:u w:val="single" w:color="auto"/>
                    </w:rPr>
                  </w:pPr>
                  <w:r>
                    <w:rPr>
                      <w:rFonts w:hint="eastAsia"/>
                      <w:color w:val="000000"/>
                      <w:spacing w:val="11"/>
                      <w:kern w:val="0"/>
                      <w:position w:val="0"/>
                      <w:szCs w:val="21"/>
                      <w:u w:val="single" w:color="auto"/>
                    </w:rPr>
                    <w:t>沿矿山道路两侧修建截排水沟渠，道路两侧种植绿化带进行补偿，闭矿后对矿山道路侵占损毁的林地进行复绿。</w:t>
                  </w:r>
                </w:p>
              </w:tc>
              <w:tc>
                <w:tcPr>
                  <w:tcW w:w="754" w:type="pct"/>
                  <w:tcBorders>
                    <w:tl2br w:val="nil"/>
                    <w:tr2bl w:val="nil"/>
                  </w:tcBorders>
                  <w:noWrap w:val="0"/>
                  <w:vAlign w:val="center"/>
                </w:tcPr>
                <w:p w14:paraId="2E16EA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50</w:t>
                  </w:r>
                </w:p>
              </w:tc>
            </w:tr>
            <w:tr w14:paraId="02896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969" w:hRule="atLeast"/>
                <w:jc w:val="center"/>
              </w:trPr>
              <w:tc>
                <w:tcPr>
                  <w:tcW w:w="450" w:type="pct"/>
                  <w:vMerge w:val="continue"/>
                  <w:tcBorders>
                    <w:tl2br w:val="nil"/>
                    <w:tr2bl w:val="nil"/>
                  </w:tcBorders>
                  <w:noWrap w:val="0"/>
                  <w:vAlign w:val="center"/>
                </w:tcPr>
                <w:p w14:paraId="7935E0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1484" w:type="pct"/>
                  <w:gridSpan w:val="2"/>
                  <w:tcBorders>
                    <w:tl2br w:val="nil"/>
                    <w:tr2bl w:val="nil"/>
                  </w:tcBorders>
                  <w:noWrap w:val="0"/>
                  <w:vAlign w:val="center"/>
                </w:tcPr>
                <w:p w14:paraId="3BFF27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环境管理</w:t>
                  </w:r>
                </w:p>
              </w:tc>
              <w:tc>
                <w:tcPr>
                  <w:tcW w:w="2310" w:type="pct"/>
                  <w:tcBorders>
                    <w:tl2br w:val="nil"/>
                    <w:tr2bl w:val="nil"/>
                  </w:tcBorders>
                  <w:noWrap w:val="0"/>
                  <w:vAlign w:val="center"/>
                </w:tcPr>
                <w:p w14:paraId="5CE787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增加标识标牌、绿色矿山宣传标语，加强企业绿色矿山建设宣传、定期开展污染源及环境质量监测</w:t>
                  </w:r>
                </w:p>
              </w:tc>
              <w:tc>
                <w:tcPr>
                  <w:tcW w:w="754" w:type="pct"/>
                  <w:tcBorders>
                    <w:tl2br w:val="nil"/>
                    <w:tr2bl w:val="nil"/>
                  </w:tcBorders>
                  <w:noWrap w:val="0"/>
                  <w:vAlign w:val="center"/>
                </w:tcPr>
                <w:p w14:paraId="3EC387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15</w:t>
                  </w:r>
                </w:p>
              </w:tc>
            </w:tr>
            <w:tr w14:paraId="2BE0E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969" w:hRule="atLeast"/>
                <w:jc w:val="center"/>
              </w:trPr>
              <w:tc>
                <w:tcPr>
                  <w:tcW w:w="450" w:type="pct"/>
                  <w:vMerge w:val="continue"/>
                  <w:tcBorders>
                    <w:tl2br w:val="nil"/>
                    <w:tr2bl w:val="nil"/>
                  </w:tcBorders>
                  <w:noWrap w:val="0"/>
                  <w:vAlign w:val="center"/>
                </w:tcPr>
                <w:p w14:paraId="2E5097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1484" w:type="pct"/>
                  <w:gridSpan w:val="2"/>
                  <w:tcBorders>
                    <w:tl2br w:val="nil"/>
                    <w:tr2bl w:val="nil"/>
                  </w:tcBorders>
                  <w:noWrap w:val="0"/>
                  <w:vAlign w:val="center"/>
                </w:tcPr>
                <w:p w14:paraId="5E8D4B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环境风险</w:t>
                  </w:r>
                </w:p>
              </w:tc>
              <w:tc>
                <w:tcPr>
                  <w:tcW w:w="2310" w:type="pct"/>
                  <w:tcBorders>
                    <w:tl2br w:val="nil"/>
                    <w:tr2bl w:val="nil"/>
                  </w:tcBorders>
                  <w:noWrap w:val="0"/>
                  <w:vAlign w:val="center"/>
                </w:tcPr>
                <w:p w14:paraId="5CC4D13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风险事故应急池</w:t>
                  </w:r>
                  <w:r>
                    <w:rPr>
                      <w:rFonts w:hint="eastAsia" w:ascii="Times New Roman" w:hAnsi="Times New Roman" w:eastAsia="宋体" w:cs="Times New Roman"/>
                      <w:color w:val="000000"/>
                      <w:spacing w:val="11"/>
                      <w:kern w:val="0"/>
                      <w:position w:val="0"/>
                      <w:szCs w:val="21"/>
                      <w:u w:val="single" w:color="auto"/>
                      <w:lang w:eastAsia="zh-CN"/>
                    </w:rPr>
                    <w:t>（</w:t>
                  </w:r>
                  <w:r>
                    <w:rPr>
                      <w:rFonts w:hint="eastAsia" w:ascii="Times New Roman" w:hAnsi="Times New Roman" w:eastAsia="宋体" w:cs="Times New Roman"/>
                      <w:color w:val="000000"/>
                      <w:spacing w:val="11"/>
                      <w:kern w:val="0"/>
                      <w:position w:val="0"/>
                      <w:szCs w:val="21"/>
                      <w:u w:val="single" w:color="auto"/>
                      <w:lang w:val="en-US" w:eastAsia="zh-CN"/>
                    </w:rPr>
                    <w:t>30m</w:t>
                  </w:r>
                  <w:r>
                    <w:rPr>
                      <w:rFonts w:hint="eastAsia" w:ascii="Times New Roman" w:hAnsi="Times New Roman" w:eastAsia="宋体" w:cs="Times New Roman"/>
                      <w:color w:val="000000"/>
                      <w:spacing w:val="11"/>
                      <w:kern w:val="0"/>
                      <w:position w:val="0"/>
                      <w:szCs w:val="21"/>
                      <w:u w:val="single" w:color="auto"/>
                      <w:vertAlign w:val="superscript"/>
                      <w:lang w:val="en-US" w:eastAsia="zh-CN"/>
                    </w:rPr>
                    <w:t>3</w:t>
                  </w:r>
                  <w:r>
                    <w:rPr>
                      <w:rFonts w:hint="eastAsia" w:ascii="Times New Roman" w:hAnsi="Times New Roman" w:eastAsia="宋体" w:cs="Times New Roman"/>
                      <w:color w:val="000000"/>
                      <w:spacing w:val="11"/>
                      <w:kern w:val="0"/>
                      <w:position w:val="0"/>
                      <w:szCs w:val="21"/>
                      <w:u w:val="single" w:color="auto"/>
                      <w:lang w:eastAsia="zh-CN"/>
                    </w:rPr>
                    <w:t>）</w:t>
                  </w:r>
                </w:p>
              </w:tc>
              <w:tc>
                <w:tcPr>
                  <w:tcW w:w="754" w:type="pct"/>
                  <w:tcBorders>
                    <w:tl2br w:val="nil"/>
                    <w:tr2bl w:val="nil"/>
                  </w:tcBorders>
                  <w:noWrap w:val="0"/>
                  <w:vAlign w:val="center"/>
                </w:tcPr>
                <w:p w14:paraId="479E38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lang w:val="en-US" w:eastAsia="zh-CN"/>
                    </w:rPr>
                  </w:pPr>
                  <w:r>
                    <w:rPr>
                      <w:rFonts w:hint="eastAsia" w:cs="Times New Roman"/>
                      <w:color w:val="000000"/>
                      <w:spacing w:val="11"/>
                      <w:kern w:val="0"/>
                      <w:position w:val="0"/>
                      <w:szCs w:val="21"/>
                      <w:u w:val="single" w:color="auto"/>
                      <w:lang w:val="en-US" w:eastAsia="zh-CN"/>
                    </w:rPr>
                    <w:t>5</w:t>
                  </w:r>
                </w:p>
              </w:tc>
            </w:tr>
            <w:tr w14:paraId="76E49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34" w:hRule="atLeast"/>
                <w:jc w:val="center"/>
              </w:trPr>
              <w:tc>
                <w:tcPr>
                  <w:tcW w:w="4245" w:type="pct"/>
                  <w:gridSpan w:val="4"/>
                  <w:tcBorders>
                    <w:tl2br w:val="nil"/>
                    <w:tr2bl w:val="nil"/>
                  </w:tcBorders>
                  <w:noWrap w:val="0"/>
                  <w:vAlign w:val="center"/>
                </w:tcPr>
                <w:p w14:paraId="0B6DF49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lang w:val="en-GB"/>
                    </w:rPr>
                  </w:pPr>
                  <w:r>
                    <w:rPr>
                      <w:color w:val="000000"/>
                      <w:spacing w:val="11"/>
                      <w:position w:val="0"/>
                      <w:szCs w:val="21"/>
                      <w:u w:val="single" w:color="auto"/>
                      <w:lang w:val="en-GB"/>
                    </w:rPr>
                    <w:t>合计</w:t>
                  </w:r>
                </w:p>
              </w:tc>
              <w:tc>
                <w:tcPr>
                  <w:tcW w:w="754" w:type="pct"/>
                  <w:tcBorders>
                    <w:tl2br w:val="nil"/>
                    <w:tr2bl w:val="nil"/>
                  </w:tcBorders>
                  <w:noWrap w:val="0"/>
                  <w:vAlign w:val="center"/>
                </w:tcPr>
                <w:p w14:paraId="2A98BC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370</w:t>
                  </w:r>
                </w:p>
              </w:tc>
            </w:tr>
          </w:tbl>
          <w:p w14:paraId="20F7E0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067AEE3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420A73B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0634FDA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5DFB6B1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734016E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0CC628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14:paraId="49D71700">
            <w:pPr>
              <w:pStyle w:val="38"/>
              <w:rPr>
                <w:rFonts w:hint="default"/>
                <w:sz w:val="21"/>
                <w:szCs w:val="21"/>
              </w:rPr>
            </w:pPr>
          </w:p>
          <w:p w14:paraId="3A6056CD">
            <w:pPr>
              <w:pStyle w:val="38"/>
              <w:rPr>
                <w:rFonts w:hint="default"/>
                <w:sz w:val="21"/>
                <w:szCs w:val="21"/>
              </w:rPr>
            </w:pPr>
          </w:p>
          <w:p w14:paraId="65AAC44B">
            <w:pPr>
              <w:pStyle w:val="38"/>
              <w:rPr>
                <w:rFonts w:hint="default"/>
                <w:sz w:val="21"/>
                <w:szCs w:val="21"/>
              </w:rPr>
            </w:pPr>
          </w:p>
          <w:p w14:paraId="6C923F0F">
            <w:pPr>
              <w:pStyle w:val="38"/>
              <w:rPr>
                <w:rFonts w:hint="default"/>
                <w:sz w:val="21"/>
                <w:szCs w:val="21"/>
              </w:rPr>
            </w:pPr>
          </w:p>
          <w:p w14:paraId="63D61FB0">
            <w:pPr>
              <w:pStyle w:val="38"/>
              <w:rPr>
                <w:rFonts w:hint="default"/>
                <w:sz w:val="21"/>
                <w:szCs w:val="21"/>
              </w:rPr>
            </w:pPr>
          </w:p>
          <w:p w14:paraId="5526BCF5">
            <w:pPr>
              <w:pStyle w:val="38"/>
              <w:rPr>
                <w:rFonts w:hint="default"/>
                <w:sz w:val="21"/>
                <w:szCs w:val="21"/>
              </w:rPr>
            </w:pPr>
          </w:p>
          <w:p w14:paraId="4C7E80B7">
            <w:pPr>
              <w:pStyle w:val="38"/>
              <w:rPr>
                <w:rFonts w:hint="default"/>
                <w:sz w:val="21"/>
                <w:szCs w:val="21"/>
              </w:rPr>
            </w:pPr>
          </w:p>
          <w:p w14:paraId="184DE298">
            <w:pPr>
              <w:pStyle w:val="38"/>
              <w:rPr>
                <w:rFonts w:hint="default"/>
                <w:sz w:val="21"/>
                <w:szCs w:val="21"/>
              </w:rPr>
            </w:pPr>
          </w:p>
          <w:p w14:paraId="1B653CF9">
            <w:pPr>
              <w:pStyle w:val="38"/>
              <w:rPr>
                <w:rFonts w:hint="default"/>
                <w:sz w:val="21"/>
                <w:szCs w:val="21"/>
              </w:rPr>
            </w:pPr>
          </w:p>
          <w:p w14:paraId="673ECD24">
            <w:pPr>
              <w:pStyle w:val="38"/>
              <w:rPr>
                <w:rFonts w:hint="default"/>
                <w:sz w:val="21"/>
                <w:szCs w:val="21"/>
              </w:rPr>
            </w:pPr>
          </w:p>
          <w:p w14:paraId="4246A3A4">
            <w:pPr>
              <w:pStyle w:val="38"/>
              <w:rPr>
                <w:rFonts w:hint="default"/>
                <w:sz w:val="21"/>
                <w:szCs w:val="21"/>
              </w:rPr>
            </w:pPr>
          </w:p>
          <w:p w14:paraId="3C0ADAB4">
            <w:pPr>
              <w:pStyle w:val="38"/>
              <w:rPr>
                <w:rFonts w:hint="default"/>
                <w:sz w:val="21"/>
                <w:szCs w:val="21"/>
              </w:rPr>
            </w:pPr>
          </w:p>
          <w:p w14:paraId="7BA9C796">
            <w:pPr>
              <w:pStyle w:val="38"/>
              <w:rPr>
                <w:rFonts w:hint="default"/>
                <w:sz w:val="21"/>
                <w:szCs w:val="21"/>
              </w:rPr>
            </w:pPr>
          </w:p>
          <w:p w14:paraId="0551E5FF">
            <w:pPr>
              <w:pStyle w:val="38"/>
              <w:rPr>
                <w:rFonts w:hint="default"/>
                <w:sz w:val="21"/>
                <w:szCs w:val="21"/>
              </w:rPr>
            </w:pPr>
          </w:p>
          <w:p w14:paraId="6443D5FF">
            <w:pPr>
              <w:pStyle w:val="38"/>
              <w:rPr>
                <w:rFonts w:hint="default"/>
                <w:sz w:val="21"/>
                <w:szCs w:val="21"/>
              </w:rPr>
            </w:pPr>
          </w:p>
          <w:p w14:paraId="67EA6DA8">
            <w:pPr>
              <w:pStyle w:val="38"/>
              <w:rPr>
                <w:rFonts w:hint="default"/>
                <w:sz w:val="21"/>
                <w:szCs w:val="21"/>
              </w:rPr>
            </w:pPr>
          </w:p>
          <w:p w14:paraId="286043D9">
            <w:pPr>
              <w:pStyle w:val="38"/>
              <w:rPr>
                <w:rFonts w:hint="default"/>
                <w:sz w:val="21"/>
                <w:szCs w:val="21"/>
              </w:rPr>
            </w:pPr>
          </w:p>
          <w:p w14:paraId="3F0B8F8F">
            <w:pPr>
              <w:pStyle w:val="38"/>
              <w:rPr>
                <w:rFonts w:hint="default"/>
                <w:sz w:val="21"/>
                <w:szCs w:val="21"/>
              </w:rPr>
            </w:pPr>
          </w:p>
        </w:tc>
      </w:tr>
    </w:tbl>
    <w:p w14:paraId="5625084F">
      <w:pPr>
        <w:rPr>
          <w:rFonts w:hint="default" w:ascii="Times New Roman" w:hAnsi="Times New Roman" w:eastAsia="宋体" w:cs="Times New Roman"/>
          <w:color w:val="auto"/>
          <w:spacing w:val="11"/>
          <w:position w:val="0"/>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70EC342">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13" w:name="_Toc10651"/>
      <w:r>
        <w:rPr>
          <w:rFonts w:hint="default" w:ascii="Times New Roman" w:hAnsi="Times New Roman" w:eastAsia="宋体" w:cs="Times New Roman"/>
          <w:b/>
          <w:bCs/>
          <w:snapToGrid w:val="0"/>
          <w:color w:val="auto"/>
          <w:spacing w:val="11"/>
          <w:position w:val="0"/>
          <w:sz w:val="30"/>
          <w:szCs w:val="30"/>
        </w:rPr>
        <w:t>六、生态环境保护措施监督检查清单</w:t>
      </w:r>
      <w:bookmarkEnd w:id="13"/>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874"/>
        <w:gridCol w:w="1874"/>
        <w:gridCol w:w="1874"/>
        <w:gridCol w:w="1874"/>
      </w:tblGrid>
      <w:tr w14:paraId="3E432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63" w:type="pct"/>
            <w:vMerge w:val="restart"/>
            <w:tcBorders>
              <w:tl2br w:val="nil"/>
              <w:tr2bl w:val="nil"/>
            </w:tcBorders>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14:paraId="3EA85C9E">
            <w:pPr>
              <w:pStyle w:val="29"/>
              <w:adjustRightInd w:val="0"/>
              <w:snapToGrid w:val="0"/>
              <w:spacing w:before="0" w:beforeAutospacing="0" w:after="0" w:afterAutospacing="0" w:line="14" w:lineRule="auto"/>
              <w:outlineLvl w:val="9"/>
              <w:rPr>
                <w:rFonts w:hint="default" w:ascii="Times New Roman" w:hAnsi="Times New Roman" w:eastAsia="宋体" w:cs="Times New Roman"/>
                <w:color w:val="auto"/>
                <w:spacing w:val="11"/>
                <w:kern w:val="2"/>
                <w:position w:val="0"/>
                <w:sz w:val="24"/>
                <w:szCs w:val="24"/>
                <w:u w:val="single"/>
              </w:rPr>
            </w:pPr>
          </w:p>
          <w:p w14:paraId="56349CD0">
            <w:pPr>
              <w:pStyle w:val="29"/>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u w:val="single"/>
              </w:rPr>
            </w:pPr>
          </w:p>
          <w:p w14:paraId="75509088">
            <w:pPr>
              <w:pStyle w:val="29"/>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u w:val="single"/>
              </w:rPr>
            </w:pPr>
          </w:p>
          <w:p w14:paraId="5A88AC2D">
            <w:pPr>
              <w:pStyle w:val="29"/>
              <w:adjustRightInd w:val="0"/>
              <w:snapToGrid w:val="0"/>
              <w:spacing w:before="0" w:beforeAutospacing="0" w:after="0" w:afterAutospacing="0" w:line="240" w:lineRule="auto"/>
              <w:jc w:val="center"/>
              <w:outlineLvl w:val="0"/>
              <mc:AlternateContent>
                <mc:Choice Requires="wpsCustomData">
                  <wpsCustomData:diagonalParaType/>
                </mc:Choice>
              </mc:AlternateContent>
              <w:rPr>
                <w:rFonts w:hint="default" w:ascii="Times New Roman" w:hAnsi="Times New Roman" w:eastAsia="宋体" w:cs="Times New Roman"/>
                <w:color w:val="auto"/>
                <w:spacing w:val="11"/>
                <w:kern w:val="2"/>
                <w:position w:val="0"/>
                <w:sz w:val="24"/>
                <w:szCs w:val="24"/>
                <w:u w:val="single"/>
              </w:rPr>
            </w:pPr>
            <w:bookmarkStart w:id="14" w:name="_Toc29820"/>
            <w:r>
              <w:rPr>
                <w:rFonts w:hint="eastAsia" w:ascii="Times New Roman" w:hAnsi="Times New Roman" w:eastAsia="宋体" w:cs="Times New Roman"/>
                <w:color w:val="auto"/>
                <w:spacing w:val="11"/>
                <w:kern w:val="2"/>
                <w:position w:val="0"/>
                <w:sz w:val="24"/>
                <w:szCs w:val="24"/>
                <w:u w:val="single"/>
                <w:lang w:val="en-US" w:eastAsia="zh-CN"/>
              </w:rPr>
              <w:t>要</w:t>
            </w:r>
            <w:r>
              <w:rPr>
                <w:rFonts w:hint="default" w:ascii="Times New Roman" w:hAnsi="Times New Roman" w:eastAsia="宋体" w:cs="Times New Roman"/>
                <w:color w:val="auto"/>
                <w:spacing w:val="11"/>
                <w:kern w:val="2"/>
                <w:position w:val="0"/>
                <w:sz w:val="24"/>
                <w:szCs w:val="24"/>
                <w:u w:val="single"/>
              </w:rPr>
              <w:t>素</w:t>
            </w:r>
            <w:bookmarkEnd w:id="14"/>
          </w:p>
          <w:p w14:paraId="0FB93625">
            <w:pPr>
              <w:pStyle w:val="29"/>
              <w:adjustRightInd w:val="0"/>
              <w:snapToGrid w:val="0"/>
              <w:spacing w:before="0" w:beforeAutospacing="0" w:after="0" w:afterAutospacing="0"/>
              <w:outlineLvl w:val="9"/>
              <w:rPr>
                <w:rFonts w:hint="default" w:ascii="Times New Roman" w:hAnsi="Times New Roman" w:eastAsia="宋体" w:cs="Times New Roman"/>
                <w:color w:val="auto"/>
                <w:spacing w:val="11"/>
                <w:kern w:val="2"/>
                <w:position w:val="0"/>
                <w:sz w:val="24"/>
                <w:szCs w:val="24"/>
                <w:u w:val="single"/>
              </w:rPr>
            </w:pPr>
          </w:p>
          <w:p w14:paraId="6E4F43B7">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5" w:name="_Toc16879"/>
            <w:r>
              <w:rPr>
                <w:rFonts w:hint="default" w:ascii="Times New Roman" w:hAnsi="Times New Roman" w:eastAsia="宋体" w:cs="Times New Roman"/>
                <w:color w:val="auto"/>
                <w:spacing w:val="11"/>
                <w:kern w:val="2"/>
                <w:position w:val="0"/>
                <w:sz w:val="24"/>
                <w:szCs w:val="24"/>
                <w:u w:val="single"/>
              </w:rPr>
              <w:t>内容</w:t>
            </w:r>
            <w:bookmarkEnd w:id="15"/>
          </w:p>
        </w:tc>
        <w:tc>
          <w:tcPr>
            <w:tcW w:w="2068" w:type="pct"/>
            <w:gridSpan w:val="2"/>
            <w:tcBorders>
              <w:tl2br w:val="nil"/>
              <w:tr2bl w:val="nil"/>
            </w:tcBorders>
            <w:noWrap w:val="0"/>
            <w:vAlign w:val="center"/>
          </w:tcPr>
          <w:p w14:paraId="0F6D0B8F">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6" w:name="_Toc26760"/>
            <w:r>
              <w:rPr>
                <w:rFonts w:hint="default" w:ascii="Times New Roman" w:hAnsi="Times New Roman" w:eastAsia="宋体" w:cs="Times New Roman"/>
                <w:color w:val="auto"/>
                <w:spacing w:val="11"/>
                <w:kern w:val="2"/>
                <w:position w:val="0"/>
                <w:sz w:val="24"/>
                <w:szCs w:val="24"/>
                <w:u w:val="single"/>
              </w:rPr>
              <w:t>施工期</w:t>
            </w:r>
            <w:bookmarkEnd w:id="16"/>
          </w:p>
        </w:tc>
        <w:tc>
          <w:tcPr>
            <w:tcW w:w="2068" w:type="pct"/>
            <w:gridSpan w:val="2"/>
            <w:tcBorders>
              <w:tl2br w:val="nil"/>
              <w:tr2bl w:val="nil"/>
            </w:tcBorders>
            <w:noWrap w:val="0"/>
            <w:vAlign w:val="center"/>
          </w:tcPr>
          <w:p w14:paraId="038E37EC">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7" w:name="_Toc15445"/>
            <w:r>
              <w:rPr>
                <w:rFonts w:hint="default" w:ascii="Times New Roman" w:hAnsi="Times New Roman" w:eastAsia="宋体" w:cs="Times New Roman"/>
                <w:color w:val="auto"/>
                <w:spacing w:val="11"/>
                <w:kern w:val="2"/>
                <w:position w:val="0"/>
                <w:sz w:val="24"/>
                <w:szCs w:val="24"/>
                <w:u w:val="single"/>
              </w:rPr>
              <w:t>运营期</w:t>
            </w:r>
            <w:bookmarkEnd w:id="17"/>
          </w:p>
        </w:tc>
      </w:tr>
      <w:tr w14:paraId="13465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63" w:type="pct"/>
            <w:vMerge w:val="continue"/>
            <w:tcBorders>
              <w:tl2br w:val="nil"/>
              <w:tr2bl w:val="nil"/>
            </w:tcBorders>
            <w:noWrap w:val="0"/>
            <w:vAlign w:val="top"/>
          </w:tcPr>
          <w:p w14:paraId="043C5BAC">
            <w:pPr>
              <w:pStyle w:val="29"/>
              <w:adjustRightInd w:val="0"/>
              <w:snapToGrid w:val="0"/>
              <w:spacing w:before="0" w:beforeAutospacing="0" w:after="0" w:afterAutospacing="0"/>
              <w:ind w:firstLine="840"/>
              <w:jc w:val="center"/>
              <w:outlineLvl w:val="9"/>
              <w:rPr>
                <w:rFonts w:hint="default" w:ascii="Times New Roman" w:hAnsi="Times New Roman" w:eastAsia="宋体" w:cs="Times New Roman"/>
                <w:color w:val="auto"/>
                <w:spacing w:val="11"/>
                <w:kern w:val="2"/>
                <w:position w:val="0"/>
                <w:sz w:val="24"/>
                <w:szCs w:val="24"/>
                <w:u w:val="single"/>
              </w:rPr>
            </w:pPr>
          </w:p>
        </w:tc>
        <w:tc>
          <w:tcPr>
            <w:tcW w:w="1034" w:type="pct"/>
            <w:tcBorders>
              <w:tl2br w:val="nil"/>
              <w:tr2bl w:val="nil"/>
            </w:tcBorders>
            <w:noWrap w:val="0"/>
            <w:vAlign w:val="center"/>
          </w:tcPr>
          <w:p w14:paraId="4234B1F7">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8" w:name="_Toc19667"/>
            <w:r>
              <w:rPr>
                <w:rFonts w:hint="default" w:ascii="Times New Roman" w:hAnsi="Times New Roman" w:eastAsia="宋体" w:cs="Times New Roman"/>
                <w:color w:val="auto"/>
                <w:spacing w:val="11"/>
                <w:kern w:val="2"/>
                <w:position w:val="0"/>
                <w:sz w:val="24"/>
                <w:szCs w:val="24"/>
                <w:u w:val="single"/>
              </w:rPr>
              <w:t>环境保护措施</w:t>
            </w:r>
            <w:bookmarkEnd w:id="18"/>
          </w:p>
        </w:tc>
        <w:tc>
          <w:tcPr>
            <w:tcW w:w="1034" w:type="pct"/>
            <w:tcBorders>
              <w:tl2br w:val="nil"/>
              <w:tr2bl w:val="nil"/>
            </w:tcBorders>
            <w:noWrap w:val="0"/>
            <w:vAlign w:val="center"/>
          </w:tcPr>
          <w:p w14:paraId="05327229">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9" w:name="_Toc3992"/>
            <w:r>
              <w:rPr>
                <w:rFonts w:hint="default" w:ascii="Times New Roman" w:hAnsi="Times New Roman" w:eastAsia="宋体" w:cs="Times New Roman"/>
                <w:color w:val="auto"/>
                <w:spacing w:val="11"/>
                <w:kern w:val="2"/>
                <w:position w:val="0"/>
                <w:sz w:val="24"/>
                <w:szCs w:val="24"/>
                <w:u w:val="single"/>
              </w:rPr>
              <w:t>验收要求</w:t>
            </w:r>
            <w:bookmarkEnd w:id="19"/>
          </w:p>
        </w:tc>
        <w:tc>
          <w:tcPr>
            <w:tcW w:w="1034" w:type="pct"/>
            <w:tcBorders>
              <w:tl2br w:val="nil"/>
              <w:tr2bl w:val="nil"/>
            </w:tcBorders>
            <w:noWrap w:val="0"/>
            <w:vAlign w:val="center"/>
          </w:tcPr>
          <w:p w14:paraId="510F0EBC">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20" w:name="_Toc25274"/>
            <w:r>
              <w:rPr>
                <w:rFonts w:hint="default" w:ascii="Times New Roman" w:hAnsi="Times New Roman" w:eastAsia="宋体" w:cs="Times New Roman"/>
                <w:color w:val="auto"/>
                <w:spacing w:val="11"/>
                <w:kern w:val="2"/>
                <w:position w:val="0"/>
                <w:sz w:val="24"/>
                <w:szCs w:val="24"/>
                <w:u w:val="single"/>
              </w:rPr>
              <w:t>环境保护措施</w:t>
            </w:r>
            <w:bookmarkEnd w:id="20"/>
          </w:p>
        </w:tc>
        <w:tc>
          <w:tcPr>
            <w:tcW w:w="1034" w:type="pct"/>
            <w:tcBorders>
              <w:tl2br w:val="nil"/>
              <w:tr2bl w:val="nil"/>
            </w:tcBorders>
            <w:noWrap w:val="0"/>
            <w:vAlign w:val="center"/>
          </w:tcPr>
          <w:p w14:paraId="713651FF">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21" w:name="_Toc28279"/>
            <w:r>
              <w:rPr>
                <w:rFonts w:hint="default" w:ascii="Times New Roman" w:hAnsi="Times New Roman" w:eastAsia="宋体" w:cs="Times New Roman"/>
                <w:color w:val="auto"/>
                <w:spacing w:val="11"/>
                <w:kern w:val="2"/>
                <w:position w:val="0"/>
                <w:sz w:val="24"/>
                <w:szCs w:val="24"/>
                <w:u w:val="single"/>
              </w:rPr>
              <w:t>验收要求</w:t>
            </w:r>
            <w:bookmarkEnd w:id="21"/>
          </w:p>
        </w:tc>
      </w:tr>
      <w:tr w14:paraId="6882D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62502458">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陆生生态</w:t>
            </w:r>
          </w:p>
        </w:tc>
        <w:tc>
          <w:tcPr>
            <w:tcW w:w="1034" w:type="pct"/>
            <w:tcBorders>
              <w:tl2br w:val="nil"/>
              <w:tr2bl w:val="nil"/>
            </w:tcBorders>
            <w:noWrap w:val="0"/>
            <w:vAlign w:val="center"/>
          </w:tcPr>
          <w:p w14:paraId="37DF0EC1">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临时建筑尽可能采用成品或简易拼装方式；施工期应合理安排工程进度，建筑垃圾及时清理，原材料在该区域内堆放的时间不应过长，减少堆放量和受压面积</w:t>
            </w:r>
            <w:r>
              <w:rPr>
                <w:rFonts w:hint="eastAsia"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47BEAA2F">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14:paraId="2ABF101E">
            <w:pPr>
              <w:adjustRightInd w:val="0"/>
              <w:snapToGrid w:val="0"/>
              <w:rPr>
                <w:rFonts w:hint="eastAsia" w:ascii="宋体" w:hAnsi="宋体" w:eastAsia="宋体" w:cs="宋体"/>
                <w:spacing w:val="11"/>
                <w:kern w:val="2"/>
                <w:position w:val="0"/>
                <w:sz w:val="24"/>
                <w:szCs w:val="24"/>
                <w:u w:val="single"/>
                <w:lang w:val="en-US" w:eastAsia="zh-CN" w:bidi="ar-SA"/>
              </w:rPr>
            </w:pPr>
            <w:r>
              <w:rPr>
                <w:rStyle w:val="37"/>
                <w:rFonts w:hint="eastAsia"/>
                <w:spacing w:val="11"/>
                <w:kern w:val="0"/>
                <w:position w:val="0"/>
                <w:sz w:val="24"/>
                <w:szCs w:val="24"/>
                <w:u w:val="single"/>
              </w:rPr>
              <w:t>实施绿色矿山建设方案，采取边开采边复垦的方式；尽量将矿区内高大乔木就近移栽至周边区域种植；在采区设置警示牌，按采矿</w:t>
            </w:r>
            <w:r>
              <w:rPr>
                <w:rStyle w:val="37"/>
                <w:rFonts w:hint="eastAsia"/>
                <w:spacing w:val="11"/>
                <w:kern w:val="0"/>
                <w:position w:val="0"/>
                <w:sz w:val="24"/>
                <w:szCs w:val="24"/>
                <w:highlight w:val="none"/>
                <w:u w:val="single"/>
              </w:rPr>
              <w:t>区范围采矿，不得越界开采；剥离</w:t>
            </w:r>
            <w:r>
              <w:rPr>
                <w:rStyle w:val="37"/>
                <w:rFonts w:hint="eastAsia"/>
                <w:spacing w:val="11"/>
                <w:kern w:val="0"/>
                <w:position w:val="0"/>
                <w:sz w:val="24"/>
                <w:szCs w:val="24"/>
                <w:highlight w:val="none"/>
                <w:u w:val="single"/>
                <w:lang w:val="en-US" w:eastAsia="zh-CN"/>
              </w:rPr>
              <w:t>物在场内进行回填，用于矿区环境治理、土地复垦和复绿，回填后产生的余方拖运至新田县龙兴环保建材有限公司用于生产及建筑利用使用</w:t>
            </w:r>
            <w:r>
              <w:rPr>
                <w:rStyle w:val="37"/>
                <w:rFonts w:hint="eastAsia"/>
                <w:spacing w:val="11"/>
                <w:kern w:val="0"/>
                <w:position w:val="0"/>
                <w:sz w:val="24"/>
                <w:szCs w:val="24"/>
                <w:highlight w:val="none"/>
                <w:u w:val="single"/>
                <w:lang w:eastAsia="zh-CN"/>
              </w:rPr>
              <w:t>；</w:t>
            </w:r>
            <w:r>
              <w:rPr>
                <w:rStyle w:val="37"/>
                <w:rFonts w:hint="eastAsia"/>
                <w:spacing w:val="11"/>
                <w:kern w:val="0"/>
                <w:position w:val="0"/>
                <w:sz w:val="24"/>
                <w:szCs w:val="24"/>
                <w:highlight w:val="none"/>
                <w:u w:val="single"/>
                <w:lang w:val="en-US" w:eastAsia="zh-CN"/>
              </w:rPr>
              <w:t>临时堆土场</w:t>
            </w:r>
            <w:r>
              <w:rPr>
                <w:rStyle w:val="37"/>
                <w:rFonts w:hint="eastAsia"/>
                <w:spacing w:val="11"/>
                <w:kern w:val="0"/>
                <w:position w:val="0"/>
                <w:sz w:val="24"/>
                <w:szCs w:val="24"/>
                <w:highlight w:val="none"/>
                <w:u w:val="single"/>
                <w:lang w:eastAsia="zh-CN"/>
              </w:rPr>
              <w:t>应及时进行生态恢复和设置挡土墙、</w:t>
            </w:r>
            <w:r>
              <w:rPr>
                <w:rStyle w:val="37"/>
                <w:rFonts w:hint="eastAsia"/>
                <w:spacing w:val="11"/>
                <w:kern w:val="0"/>
                <w:position w:val="0"/>
                <w:sz w:val="24"/>
                <w:szCs w:val="24"/>
                <w:highlight w:val="none"/>
                <w:u w:val="single"/>
                <w:lang w:val="en-US" w:eastAsia="zh-CN"/>
              </w:rPr>
              <w:t>对</w:t>
            </w:r>
            <w:r>
              <w:rPr>
                <w:rStyle w:val="37"/>
                <w:rFonts w:hint="eastAsia"/>
                <w:spacing w:val="11"/>
                <w:kern w:val="0"/>
                <w:position w:val="0"/>
                <w:sz w:val="24"/>
                <w:szCs w:val="24"/>
                <w:highlight w:val="none"/>
                <w:u w:val="single"/>
              </w:rPr>
              <w:t>边坡</w:t>
            </w:r>
            <w:r>
              <w:rPr>
                <w:rStyle w:val="37"/>
                <w:rFonts w:hint="eastAsia"/>
                <w:spacing w:val="11"/>
                <w:kern w:val="0"/>
                <w:position w:val="0"/>
                <w:sz w:val="24"/>
                <w:szCs w:val="24"/>
                <w:highlight w:val="none"/>
                <w:u w:val="single"/>
                <w:lang w:val="en-US" w:eastAsia="zh-CN"/>
              </w:rPr>
              <w:t>采取</w:t>
            </w:r>
            <w:r>
              <w:rPr>
                <w:rStyle w:val="37"/>
                <w:rFonts w:hint="eastAsia"/>
                <w:spacing w:val="11"/>
                <w:kern w:val="0"/>
                <w:position w:val="0"/>
                <w:sz w:val="24"/>
                <w:szCs w:val="24"/>
                <w:highlight w:val="none"/>
                <w:u w:val="single"/>
              </w:rPr>
              <w:t>防护措施；林地植被恢复</w:t>
            </w:r>
            <w:r>
              <w:rPr>
                <w:rStyle w:val="37"/>
                <w:rFonts w:hint="eastAsia"/>
                <w:spacing w:val="11"/>
                <w:kern w:val="0"/>
                <w:position w:val="0"/>
                <w:sz w:val="24"/>
                <w:szCs w:val="24"/>
                <w:u w:val="single"/>
              </w:rPr>
              <w:t>采用灌木+草木树种组成</w:t>
            </w:r>
            <w:r>
              <w:rPr>
                <w:rStyle w:val="37"/>
                <w:rFonts w:hint="eastAsia"/>
                <w:spacing w:val="11"/>
                <w:kern w:val="0"/>
                <w:position w:val="0"/>
                <w:sz w:val="24"/>
                <w:szCs w:val="24"/>
                <w:u w:val="single"/>
                <w:lang w:eastAsia="zh-CN"/>
              </w:rPr>
              <w:t>。</w:t>
            </w:r>
          </w:p>
        </w:tc>
        <w:tc>
          <w:tcPr>
            <w:tcW w:w="1034" w:type="pct"/>
            <w:tcBorders>
              <w:tl2br w:val="nil"/>
              <w:tr2bl w:val="nil"/>
            </w:tcBorders>
            <w:shd w:val="clear" w:color="auto" w:fill="auto"/>
            <w:noWrap w:val="0"/>
            <w:vAlign w:val="center"/>
          </w:tcPr>
          <w:p w14:paraId="5B6BDA77">
            <w:pPr>
              <w:adjustRightInd w:val="0"/>
              <w:snapToGrid w:val="0"/>
              <w:jc w:val="center"/>
              <w:rPr>
                <w:rFonts w:hint="eastAsia" w:ascii="宋体" w:hAnsi="宋体" w:eastAsia="宋体" w:cs="宋体"/>
                <w:spacing w:val="11"/>
                <w:kern w:val="2"/>
                <w:position w:val="0"/>
                <w:sz w:val="24"/>
                <w:szCs w:val="24"/>
                <w:u w:val="single"/>
                <w:lang w:val="en-US" w:eastAsia="zh-CN" w:bidi="ar-SA"/>
              </w:rPr>
            </w:pPr>
            <w:r>
              <w:rPr>
                <w:rStyle w:val="37"/>
                <w:rFonts w:hint="eastAsia"/>
                <w:spacing w:val="11"/>
                <w:kern w:val="0"/>
                <w:position w:val="0"/>
                <w:sz w:val="24"/>
                <w:szCs w:val="24"/>
                <w:u w:val="single"/>
              </w:rPr>
              <w:t>边开采边复垦，项目裸露区域及时进行绿化</w:t>
            </w:r>
          </w:p>
        </w:tc>
      </w:tr>
      <w:tr w14:paraId="4E96F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863" w:type="pct"/>
            <w:tcBorders>
              <w:tl2br w:val="nil"/>
              <w:tr2bl w:val="nil"/>
            </w:tcBorders>
            <w:noWrap w:val="0"/>
            <w:vAlign w:val="center"/>
          </w:tcPr>
          <w:p w14:paraId="318F56D5">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水生生态</w:t>
            </w:r>
          </w:p>
        </w:tc>
        <w:tc>
          <w:tcPr>
            <w:tcW w:w="1034" w:type="pct"/>
            <w:tcBorders>
              <w:tl2br w:val="nil"/>
              <w:tr2bl w:val="nil"/>
            </w:tcBorders>
            <w:noWrap w:val="0"/>
            <w:vAlign w:val="center"/>
          </w:tcPr>
          <w:p w14:paraId="5A3BDD57">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7AF20573">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02B4298C">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1BF8BFDC">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14:paraId="70EA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6541CE65">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地表水环境</w:t>
            </w:r>
          </w:p>
        </w:tc>
        <w:tc>
          <w:tcPr>
            <w:tcW w:w="1034" w:type="pct"/>
            <w:tcBorders>
              <w:tl2br w:val="nil"/>
              <w:tr2bl w:val="nil"/>
            </w:tcBorders>
            <w:shd w:val="clear" w:color="auto" w:fill="auto"/>
            <w:noWrap w:val="0"/>
            <w:vAlign w:val="center"/>
          </w:tcPr>
          <w:p w14:paraId="12ED1CE9">
            <w:pPr>
              <w:adjustRightInd w:val="0"/>
              <w:snapToGrid w:val="0"/>
              <w:rPr>
                <w:spacing w:val="11"/>
                <w:position w:val="0"/>
                <w:sz w:val="24"/>
                <w:szCs w:val="24"/>
                <w:u w:val="single"/>
              </w:rPr>
            </w:pPr>
            <w:r>
              <w:rPr>
                <w:rFonts w:hAnsi="宋体"/>
                <w:spacing w:val="11"/>
                <w:position w:val="0"/>
                <w:sz w:val="24"/>
                <w:szCs w:val="24"/>
                <w:u w:val="single"/>
              </w:rPr>
              <w:t>（</w:t>
            </w:r>
            <w:r>
              <w:rPr>
                <w:spacing w:val="11"/>
                <w:position w:val="0"/>
                <w:sz w:val="24"/>
                <w:szCs w:val="24"/>
                <w:u w:val="single"/>
              </w:rPr>
              <w:t>1</w:t>
            </w:r>
            <w:r>
              <w:rPr>
                <w:rFonts w:hAnsi="宋体"/>
                <w:spacing w:val="11"/>
                <w:position w:val="0"/>
                <w:sz w:val="24"/>
                <w:szCs w:val="24"/>
                <w:u w:val="single"/>
              </w:rPr>
              <w:t>）在施工区域布设临时污水处理设施，对施工过程中产生的施工废水进行处理。</w:t>
            </w:r>
          </w:p>
          <w:p w14:paraId="796CAE5C">
            <w:pPr>
              <w:adjustRightInd w:val="0"/>
              <w:snapToGrid w:val="0"/>
              <w:rPr>
                <w:spacing w:val="11"/>
                <w:position w:val="0"/>
                <w:sz w:val="24"/>
                <w:szCs w:val="24"/>
                <w:u w:val="single"/>
              </w:rPr>
            </w:pPr>
            <w:r>
              <w:rPr>
                <w:rFonts w:hAnsi="宋体"/>
                <w:spacing w:val="11"/>
                <w:position w:val="0"/>
                <w:sz w:val="24"/>
                <w:szCs w:val="24"/>
                <w:u w:val="single"/>
              </w:rPr>
              <w:t>（</w:t>
            </w:r>
            <w:r>
              <w:rPr>
                <w:spacing w:val="11"/>
                <w:position w:val="0"/>
                <w:sz w:val="24"/>
                <w:szCs w:val="24"/>
                <w:u w:val="single"/>
              </w:rPr>
              <w:t>2</w:t>
            </w:r>
            <w:r>
              <w:rPr>
                <w:rFonts w:hAnsi="宋体"/>
                <w:spacing w:val="11"/>
                <w:position w:val="0"/>
                <w:sz w:val="24"/>
                <w:szCs w:val="24"/>
                <w:u w:val="single"/>
              </w:rPr>
              <w:t>）施工单位要做好施工场地周围的拦挡措施，尽量避开雨季土石方作业。</w:t>
            </w:r>
          </w:p>
          <w:p w14:paraId="7958BDC3">
            <w:pPr>
              <w:adjustRightInd w:val="0"/>
              <w:snapToGrid w:val="0"/>
              <w:rPr>
                <w:rFonts w:hint="default" w:ascii="Times New Roman" w:hAnsi="Times New Roman" w:eastAsia="宋体" w:cs="Times New Roman"/>
                <w:spacing w:val="11"/>
                <w:kern w:val="2"/>
                <w:position w:val="0"/>
                <w:sz w:val="24"/>
                <w:szCs w:val="24"/>
                <w:u w:val="single"/>
                <w:lang w:val="en-US" w:eastAsia="zh-CN" w:bidi="ar-SA"/>
              </w:rPr>
            </w:pPr>
            <w:r>
              <w:rPr>
                <w:rFonts w:hAnsi="宋体"/>
                <w:spacing w:val="11"/>
                <w:position w:val="0"/>
                <w:sz w:val="24"/>
                <w:szCs w:val="24"/>
                <w:u w:val="single"/>
              </w:rPr>
              <w:t>（</w:t>
            </w:r>
            <w:r>
              <w:rPr>
                <w:spacing w:val="11"/>
                <w:position w:val="0"/>
                <w:sz w:val="24"/>
                <w:szCs w:val="24"/>
                <w:u w:val="single"/>
              </w:rPr>
              <w:t>3</w:t>
            </w:r>
            <w:r>
              <w:rPr>
                <w:rFonts w:hAnsi="宋体"/>
                <w:spacing w:val="11"/>
                <w:position w:val="0"/>
                <w:sz w:val="24"/>
                <w:szCs w:val="24"/>
                <w:u w:val="single"/>
              </w:rPr>
              <w:t>）施工人员依托附近村庄民房，不设置施工营地，</w:t>
            </w:r>
            <w:r>
              <w:rPr>
                <w:spacing w:val="11"/>
                <w:kern w:val="0"/>
                <w:position w:val="0"/>
                <w:sz w:val="24"/>
                <w:szCs w:val="24"/>
                <w:u w:val="single"/>
              </w:rPr>
              <w:t>生活污水</w:t>
            </w:r>
            <w:r>
              <w:rPr>
                <w:rFonts w:hint="eastAsia"/>
                <w:spacing w:val="11"/>
                <w:kern w:val="0"/>
                <w:position w:val="0"/>
                <w:sz w:val="24"/>
                <w:szCs w:val="24"/>
                <w:u w:val="single"/>
                <w:lang w:val="en-US" w:eastAsia="zh-CN"/>
              </w:rPr>
              <w:t>经化粪池处理后用于矿区周边农田施肥</w:t>
            </w:r>
            <w:r>
              <w:rPr>
                <w:rFonts w:hAnsi="宋体"/>
                <w:spacing w:val="11"/>
                <w:position w:val="0"/>
                <w:sz w:val="24"/>
                <w:szCs w:val="24"/>
                <w:u w:val="single"/>
              </w:rPr>
              <w:t>。</w:t>
            </w:r>
          </w:p>
        </w:tc>
        <w:tc>
          <w:tcPr>
            <w:tcW w:w="1034" w:type="pct"/>
            <w:tcBorders>
              <w:tl2br w:val="nil"/>
              <w:tr2bl w:val="nil"/>
            </w:tcBorders>
            <w:shd w:val="clear" w:color="auto" w:fill="auto"/>
            <w:noWrap w:val="0"/>
            <w:vAlign w:val="center"/>
          </w:tcPr>
          <w:p w14:paraId="753C3928">
            <w:pPr>
              <w:adjustRightInd w:val="0"/>
              <w:snapToGrid w:val="0"/>
              <w:rPr>
                <w:rFonts w:hint="default" w:ascii="Times New Roman" w:hAnsi="Times New Roman" w:eastAsia="宋体" w:cs="Times New Roman"/>
                <w:spacing w:val="11"/>
                <w:kern w:val="2"/>
                <w:position w:val="0"/>
                <w:sz w:val="24"/>
                <w:szCs w:val="24"/>
                <w:u w:val="single"/>
                <w:lang w:val="en-US" w:eastAsia="zh-CN" w:bidi="ar-SA"/>
              </w:rPr>
            </w:pPr>
            <w:r>
              <w:rPr>
                <w:rFonts w:hAnsi="宋体"/>
                <w:spacing w:val="11"/>
                <w:position w:val="0"/>
                <w:sz w:val="24"/>
                <w:szCs w:val="24"/>
                <w:u w:val="single"/>
              </w:rPr>
              <w:t>落实施工期废水环境保护措施</w:t>
            </w:r>
          </w:p>
        </w:tc>
        <w:tc>
          <w:tcPr>
            <w:tcW w:w="1034" w:type="pct"/>
            <w:tcBorders>
              <w:tl2br w:val="nil"/>
              <w:tr2bl w:val="nil"/>
            </w:tcBorders>
            <w:shd w:val="clear" w:color="auto" w:fill="auto"/>
            <w:noWrap w:val="0"/>
            <w:vAlign w:val="center"/>
          </w:tcPr>
          <w:p w14:paraId="7A3C59C7">
            <w:pPr>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lang w:val="en-US" w:eastAsia="zh-CN"/>
              </w:rPr>
              <w:t>场区道路两旁、开采区设有雨水沟，初期雨水经雨水沟汇入初期雨水池进行沉淀处理，处理后回用于洒水抑尘以及洗砂用水；车辆清洗废水暂存于车辆过水池，循环用水不外排；生活污水经化粪池处理后用于矿区周边农田施肥；洗砂废水经泥水分离脱水系统处理后进入沉淀池，回用于生产，不外排。</w:t>
            </w:r>
          </w:p>
        </w:tc>
        <w:tc>
          <w:tcPr>
            <w:tcW w:w="1034" w:type="pct"/>
            <w:tcBorders>
              <w:tl2br w:val="nil"/>
              <w:tr2bl w:val="nil"/>
            </w:tcBorders>
            <w:shd w:val="clear" w:color="auto" w:fill="auto"/>
            <w:noWrap w:val="0"/>
            <w:vAlign w:val="center"/>
          </w:tcPr>
          <w:p w14:paraId="39458D8D">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废水经处理后全部回用或综合利用，不外排</w:t>
            </w:r>
          </w:p>
        </w:tc>
      </w:tr>
      <w:tr w14:paraId="47C4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47BE5EF0">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地下水及土壤环境</w:t>
            </w:r>
          </w:p>
        </w:tc>
        <w:tc>
          <w:tcPr>
            <w:tcW w:w="1034" w:type="pct"/>
            <w:tcBorders>
              <w:tl2br w:val="nil"/>
              <w:tr2bl w:val="nil"/>
            </w:tcBorders>
            <w:noWrap w:val="0"/>
            <w:vAlign w:val="center"/>
          </w:tcPr>
          <w:p w14:paraId="33085AB1">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56AD043F">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60660E15">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6CDCE0E6">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14:paraId="01C82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566A124C">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声环境</w:t>
            </w:r>
          </w:p>
        </w:tc>
        <w:tc>
          <w:tcPr>
            <w:tcW w:w="1034" w:type="pct"/>
            <w:tcBorders>
              <w:tl2br w:val="nil"/>
              <w:tr2bl w:val="nil"/>
            </w:tcBorders>
            <w:shd w:val="clear" w:color="auto" w:fill="auto"/>
            <w:noWrap w:val="0"/>
            <w:vAlign w:val="center"/>
          </w:tcPr>
          <w:p w14:paraId="02757511">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ascii="宋体" w:hAnsi="宋体"/>
                <w:spacing w:val="11"/>
                <w:position w:val="0"/>
                <w:sz w:val="24"/>
                <w:szCs w:val="24"/>
                <w:u w:val="single"/>
              </w:rPr>
              <w:t>隔声、合理布局</w:t>
            </w:r>
          </w:p>
        </w:tc>
        <w:tc>
          <w:tcPr>
            <w:tcW w:w="1034" w:type="pct"/>
            <w:tcBorders>
              <w:tl2br w:val="nil"/>
              <w:tr2bl w:val="nil"/>
            </w:tcBorders>
            <w:shd w:val="clear" w:color="auto" w:fill="auto"/>
            <w:noWrap w:val="0"/>
            <w:vAlign w:val="center"/>
          </w:tcPr>
          <w:p w14:paraId="40912A68">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spacing w:val="11"/>
                <w:position w:val="0"/>
                <w:sz w:val="24"/>
                <w:szCs w:val="24"/>
                <w:u w:val="single"/>
              </w:rPr>
              <w:t>《建筑施工场界环境噪声排放标准》（GB12523-2011）</w:t>
            </w:r>
          </w:p>
        </w:tc>
        <w:tc>
          <w:tcPr>
            <w:tcW w:w="1034" w:type="pct"/>
            <w:tcBorders>
              <w:tl2br w:val="nil"/>
              <w:tr2bl w:val="nil"/>
            </w:tcBorders>
            <w:shd w:val="clear" w:color="auto" w:fill="auto"/>
            <w:noWrap w:val="0"/>
            <w:vAlign w:val="center"/>
          </w:tcPr>
          <w:p w14:paraId="1B77084F">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ascii="宋体" w:hAnsi="宋体"/>
                <w:spacing w:val="11"/>
                <w:position w:val="0"/>
                <w:sz w:val="24"/>
                <w:szCs w:val="24"/>
                <w:u w:val="single"/>
              </w:rPr>
              <w:t>合理布局、选用低噪声设备、高噪声设备减震处理、厂房隔声、定时爆破、夜间不运行等</w:t>
            </w:r>
            <w:r>
              <w:rPr>
                <w:rFonts w:hint="eastAsia" w:ascii="宋体" w:hAnsi="宋体"/>
                <w:spacing w:val="11"/>
                <w:position w:val="0"/>
                <w:sz w:val="24"/>
                <w:szCs w:val="24"/>
                <w:u w:val="single"/>
                <w:lang w:eastAsia="zh-CN"/>
              </w:rPr>
              <w:t>。</w:t>
            </w:r>
          </w:p>
        </w:tc>
        <w:tc>
          <w:tcPr>
            <w:tcW w:w="1034" w:type="pct"/>
            <w:tcBorders>
              <w:tl2br w:val="nil"/>
              <w:tr2bl w:val="nil"/>
            </w:tcBorders>
            <w:shd w:val="clear" w:color="auto" w:fill="auto"/>
            <w:noWrap w:val="0"/>
            <w:vAlign w:val="center"/>
          </w:tcPr>
          <w:p w14:paraId="6160A7B1">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bCs/>
                <w:spacing w:val="11"/>
                <w:position w:val="0"/>
                <w:sz w:val="24"/>
                <w:szCs w:val="24"/>
                <w:u w:val="single"/>
              </w:rPr>
              <w:t>厂界噪声符合《工业企业厂界环境噪排放标准》（GB12348-2008）2类标准</w:t>
            </w:r>
          </w:p>
        </w:tc>
      </w:tr>
      <w:tr w14:paraId="407AF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787D842D">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大气环境</w:t>
            </w:r>
          </w:p>
        </w:tc>
        <w:tc>
          <w:tcPr>
            <w:tcW w:w="1034" w:type="pct"/>
            <w:tcBorders>
              <w:tl2br w:val="nil"/>
              <w:tr2bl w:val="nil"/>
            </w:tcBorders>
            <w:shd w:val="clear" w:color="auto" w:fill="auto"/>
            <w:noWrap w:val="0"/>
            <w:vAlign w:val="center"/>
          </w:tcPr>
          <w:p w14:paraId="1E65F1AC">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防尘网、洒水车</w:t>
            </w:r>
          </w:p>
        </w:tc>
        <w:tc>
          <w:tcPr>
            <w:tcW w:w="1034" w:type="pct"/>
            <w:tcBorders>
              <w:tl2br w:val="nil"/>
              <w:tr2bl w:val="nil"/>
            </w:tcBorders>
            <w:shd w:val="clear" w:color="auto" w:fill="auto"/>
            <w:noWrap w:val="0"/>
            <w:vAlign w:val="center"/>
          </w:tcPr>
          <w:p w14:paraId="5DA1A195">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ascii="宋体" w:hAnsi="宋体"/>
                <w:spacing w:val="11"/>
                <w:position w:val="0"/>
                <w:sz w:val="24"/>
                <w:szCs w:val="24"/>
                <w:u w:val="single"/>
              </w:rPr>
              <w:t>落实施工扬尘防治措施</w:t>
            </w:r>
          </w:p>
        </w:tc>
        <w:tc>
          <w:tcPr>
            <w:tcW w:w="1034" w:type="pct"/>
            <w:tcBorders>
              <w:tl2br w:val="nil"/>
              <w:tr2bl w:val="nil"/>
            </w:tcBorders>
            <w:shd w:val="clear" w:color="auto" w:fill="auto"/>
            <w:noWrap w:val="0"/>
            <w:vAlign w:val="center"/>
          </w:tcPr>
          <w:p w14:paraId="77A90357">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采矿区采取洒水抑尘、喷雾防尘帷幕</w:t>
            </w:r>
            <w:r>
              <w:rPr>
                <w:rFonts w:hint="eastAsia"/>
                <w:spacing w:val="11"/>
                <w:position w:val="0"/>
                <w:sz w:val="24"/>
                <w:szCs w:val="24"/>
                <w:u w:val="single"/>
                <w:lang w:eastAsia="zh-CN"/>
              </w:rPr>
              <w:t>、</w:t>
            </w:r>
            <w:r>
              <w:rPr>
                <w:rFonts w:hint="eastAsia"/>
                <w:spacing w:val="11"/>
                <w:position w:val="0"/>
                <w:sz w:val="24"/>
                <w:szCs w:val="24"/>
                <w:u w:val="single"/>
                <w:lang w:val="en-US" w:eastAsia="zh-CN"/>
              </w:rPr>
              <w:t>布袋除尘器</w:t>
            </w:r>
            <w:r>
              <w:rPr>
                <w:rFonts w:hint="eastAsia"/>
                <w:spacing w:val="11"/>
                <w:position w:val="0"/>
                <w:sz w:val="24"/>
                <w:szCs w:val="24"/>
                <w:u w:val="single"/>
              </w:rPr>
              <w:t>，地面硬化、洒水抑尘、设置洗车平台等措施</w:t>
            </w:r>
            <w:r>
              <w:rPr>
                <w:rFonts w:hint="eastAsia"/>
                <w:spacing w:val="11"/>
                <w:position w:val="0"/>
                <w:sz w:val="24"/>
                <w:szCs w:val="24"/>
                <w:u w:val="single"/>
                <w:lang w:eastAsia="zh-CN"/>
              </w:rPr>
              <w:t>。</w:t>
            </w:r>
          </w:p>
        </w:tc>
        <w:tc>
          <w:tcPr>
            <w:tcW w:w="1034" w:type="pct"/>
            <w:tcBorders>
              <w:tl2br w:val="nil"/>
              <w:tr2bl w:val="nil"/>
            </w:tcBorders>
            <w:shd w:val="clear" w:color="auto" w:fill="auto"/>
            <w:noWrap w:val="0"/>
            <w:vAlign w:val="center"/>
          </w:tcPr>
          <w:p w14:paraId="1DD00528">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bCs/>
                <w:spacing w:val="11"/>
                <w:position w:val="0"/>
                <w:sz w:val="24"/>
                <w:szCs w:val="24"/>
                <w:u w:val="single"/>
              </w:rPr>
              <w:t>满足《大气污染物综合排放标准》（</w:t>
            </w:r>
            <w:r>
              <w:rPr>
                <w:bCs/>
                <w:spacing w:val="11"/>
                <w:position w:val="0"/>
                <w:sz w:val="24"/>
                <w:szCs w:val="24"/>
                <w:u w:val="single"/>
              </w:rPr>
              <w:t>GB16297-1996）表2中</w:t>
            </w:r>
            <w:r>
              <w:rPr>
                <w:rFonts w:hint="eastAsia"/>
                <w:bCs/>
                <w:spacing w:val="11"/>
                <w:position w:val="0"/>
                <w:sz w:val="24"/>
                <w:szCs w:val="24"/>
                <w:u w:val="single"/>
              </w:rPr>
              <w:t>二级标准和无组织排放标准</w:t>
            </w:r>
          </w:p>
        </w:tc>
      </w:tr>
      <w:tr w14:paraId="6A758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5482E03B">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固体废物</w:t>
            </w:r>
          </w:p>
        </w:tc>
        <w:tc>
          <w:tcPr>
            <w:tcW w:w="1034" w:type="pct"/>
            <w:tcBorders>
              <w:tl2br w:val="nil"/>
              <w:tr2bl w:val="nil"/>
            </w:tcBorders>
            <w:shd w:val="clear" w:color="auto" w:fill="auto"/>
            <w:noWrap w:val="0"/>
            <w:vAlign w:val="center"/>
          </w:tcPr>
          <w:p w14:paraId="35322CA7">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垃圾桶</w:t>
            </w:r>
          </w:p>
        </w:tc>
        <w:tc>
          <w:tcPr>
            <w:tcW w:w="1034" w:type="pct"/>
            <w:tcBorders>
              <w:tl2br w:val="nil"/>
              <w:tr2bl w:val="nil"/>
            </w:tcBorders>
            <w:shd w:val="clear" w:color="auto" w:fill="auto"/>
            <w:noWrap w:val="0"/>
            <w:vAlign w:val="center"/>
          </w:tcPr>
          <w:p w14:paraId="1C5C7EAC">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ascii="宋体" w:hAnsi="宋体"/>
                <w:spacing w:val="11"/>
                <w:position w:val="0"/>
                <w:sz w:val="24"/>
                <w:szCs w:val="24"/>
                <w:u w:val="single"/>
              </w:rPr>
              <w:t>落实施工期固废废物污染防治措施</w:t>
            </w:r>
          </w:p>
        </w:tc>
        <w:tc>
          <w:tcPr>
            <w:tcW w:w="1034" w:type="pct"/>
            <w:tcBorders>
              <w:tl2br w:val="nil"/>
              <w:tr2bl w:val="nil"/>
            </w:tcBorders>
            <w:shd w:val="clear" w:color="auto" w:fill="auto"/>
            <w:noWrap w:val="0"/>
            <w:vAlign w:val="center"/>
          </w:tcPr>
          <w:p w14:paraId="0E505404">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highlight w:val="none"/>
                <w:u w:val="single"/>
                <w:lang w:val="en-US" w:eastAsia="zh-CN"/>
              </w:rPr>
              <w:t>剥离物堆存于临时堆土场，项目剥离物在场内进行回填，用于矿区环境治理、土地复垦和复绿，回填后剩余的余方拖运至新田县龙兴环保建材有限公司用于生产及建筑利用使用；沉淀池污泥定期清理脱水后在场内进行回填</w:t>
            </w:r>
            <w:r>
              <w:rPr>
                <w:rFonts w:hint="eastAsia"/>
                <w:spacing w:val="11"/>
                <w:position w:val="0"/>
                <w:sz w:val="24"/>
                <w:szCs w:val="24"/>
                <w:highlight w:val="none"/>
                <w:u w:val="single"/>
              </w:rPr>
              <w:t>；</w:t>
            </w:r>
            <w:r>
              <w:rPr>
                <w:rFonts w:hint="eastAsia"/>
                <w:spacing w:val="11"/>
                <w:position w:val="0"/>
                <w:sz w:val="24"/>
                <w:szCs w:val="24"/>
                <w:u w:val="single"/>
              </w:rPr>
              <w:t>废</w:t>
            </w:r>
            <w:r>
              <w:rPr>
                <w:rFonts w:hint="eastAsia"/>
                <w:spacing w:val="11"/>
                <w:position w:val="0"/>
                <w:sz w:val="24"/>
                <w:szCs w:val="24"/>
                <w:u w:val="single"/>
                <w:lang w:val="en-US" w:eastAsia="zh-CN"/>
              </w:rPr>
              <w:t>润滑油</w:t>
            </w:r>
            <w:r>
              <w:rPr>
                <w:rFonts w:hint="eastAsia"/>
                <w:spacing w:val="11"/>
                <w:position w:val="0"/>
                <w:sz w:val="24"/>
                <w:szCs w:val="24"/>
                <w:u w:val="single"/>
              </w:rPr>
              <w:t>收集暂存于危废暂存间，定期委托有资质的单位转运处置；</w:t>
            </w:r>
            <w:r>
              <w:rPr>
                <w:rFonts w:hint="eastAsia"/>
                <w:spacing w:val="11"/>
                <w:position w:val="0"/>
                <w:sz w:val="24"/>
                <w:szCs w:val="24"/>
                <w:u w:val="single"/>
                <w:lang w:val="en-US" w:eastAsia="zh-CN"/>
              </w:rPr>
              <w:t>生活垃圾</w:t>
            </w:r>
            <w:r>
              <w:rPr>
                <w:rFonts w:hint="eastAsia"/>
                <w:spacing w:val="11"/>
                <w:position w:val="0"/>
                <w:sz w:val="24"/>
                <w:szCs w:val="24"/>
                <w:u w:val="single"/>
              </w:rPr>
              <w:t>交由环卫部门统一处置</w:t>
            </w:r>
            <w:r>
              <w:rPr>
                <w:rFonts w:hint="eastAsia"/>
                <w:spacing w:val="11"/>
                <w:position w:val="0"/>
                <w:sz w:val="24"/>
                <w:szCs w:val="24"/>
                <w:u w:val="single"/>
                <w:lang w:eastAsia="zh-CN"/>
              </w:rPr>
              <w:t>。</w:t>
            </w:r>
          </w:p>
        </w:tc>
        <w:tc>
          <w:tcPr>
            <w:tcW w:w="1034" w:type="pct"/>
            <w:tcBorders>
              <w:tl2br w:val="nil"/>
              <w:tr2bl w:val="nil"/>
            </w:tcBorders>
            <w:shd w:val="clear" w:color="auto" w:fill="auto"/>
            <w:noWrap w:val="0"/>
            <w:vAlign w:val="center"/>
          </w:tcPr>
          <w:p w14:paraId="60C864BC">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lang w:val="en-US" w:eastAsia="zh-CN"/>
              </w:rPr>
              <w:t>根据</w:t>
            </w:r>
            <w:r>
              <w:rPr>
                <w:spacing w:val="11"/>
                <w:position w:val="0"/>
                <w:sz w:val="24"/>
                <w:szCs w:val="24"/>
                <w:u w:val="single"/>
              </w:rPr>
              <w:t>《一般工业固体废物贮存和填埋污染控制标准》（GB18599-2020）</w:t>
            </w:r>
            <w:r>
              <w:rPr>
                <w:rFonts w:hint="eastAsia"/>
                <w:spacing w:val="11"/>
                <w:position w:val="0"/>
                <w:sz w:val="24"/>
                <w:szCs w:val="24"/>
                <w:u w:val="single"/>
                <w:lang w:val="en-US" w:eastAsia="zh-CN"/>
              </w:rPr>
              <w:t>、</w:t>
            </w:r>
            <w:r>
              <w:rPr>
                <w:spacing w:val="11"/>
                <w:position w:val="0"/>
                <w:sz w:val="24"/>
                <w:szCs w:val="24"/>
                <w:u w:val="single"/>
              </w:rPr>
              <w:t>《危险废物贮存污染控制标准》（GB18597-20</w:t>
            </w:r>
            <w:r>
              <w:rPr>
                <w:rFonts w:hint="eastAsia"/>
                <w:spacing w:val="11"/>
                <w:position w:val="0"/>
                <w:sz w:val="24"/>
                <w:szCs w:val="24"/>
                <w:u w:val="single"/>
              </w:rPr>
              <w:t>23</w:t>
            </w:r>
            <w:r>
              <w:rPr>
                <w:spacing w:val="11"/>
                <w:position w:val="0"/>
                <w:sz w:val="24"/>
                <w:szCs w:val="24"/>
                <w:u w:val="single"/>
              </w:rPr>
              <w:t>）</w:t>
            </w:r>
            <w:r>
              <w:rPr>
                <w:rFonts w:hint="eastAsia"/>
                <w:spacing w:val="11"/>
                <w:position w:val="0"/>
                <w:sz w:val="24"/>
                <w:szCs w:val="24"/>
                <w:u w:val="single"/>
                <w:lang w:val="en-US" w:eastAsia="zh-CN"/>
              </w:rPr>
              <w:t>相关要求</w:t>
            </w:r>
            <w:r>
              <w:rPr>
                <w:rFonts w:hint="eastAsia"/>
                <w:spacing w:val="11"/>
                <w:position w:val="0"/>
                <w:sz w:val="24"/>
                <w:szCs w:val="24"/>
                <w:u w:val="single"/>
              </w:rPr>
              <w:t>做到处置率100%</w:t>
            </w:r>
          </w:p>
        </w:tc>
      </w:tr>
      <w:tr w14:paraId="60119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863" w:type="pct"/>
            <w:tcBorders>
              <w:tl2br w:val="nil"/>
              <w:tr2bl w:val="nil"/>
            </w:tcBorders>
            <w:noWrap w:val="0"/>
            <w:vAlign w:val="center"/>
          </w:tcPr>
          <w:p w14:paraId="567198D6">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电磁环境</w:t>
            </w:r>
          </w:p>
        </w:tc>
        <w:tc>
          <w:tcPr>
            <w:tcW w:w="1034" w:type="pct"/>
            <w:tcBorders>
              <w:tl2br w:val="nil"/>
              <w:tr2bl w:val="nil"/>
            </w:tcBorders>
            <w:noWrap w:val="0"/>
            <w:vAlign w:val="center"/>
          </w:tcPr>
          <w:p w14:paraId="7827AFA9">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30ED268A">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70BFE043">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5D6DDFB4">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14:paraId="276FF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776381FF">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环境风险</w:t>
            </w:r>
          </w:p>
        </w:tc>
        <w:tc>
          <w:tcPr>
            <w:tcW w:w="1034" w:type="pct"/>
            <w:tcBorders>
              <w:tl2br w:val="nil"/>
              <w:tr2bl w:val="nil"/>
            </w:tcBorders>
            <w:noWrap w:val="0"/>
            <w:vAlign w:val="center"/>
          </w:tcPr>
          <w:p w14:paraId="57D6BA02">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61677A68">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14:paraId="78EE9D87">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bCs/>
                <w:spacing w:val="11"/>
                <w:position w:val="0"/>
                <w:sz w:val="24"/>
                <w:szCs w:val="24"/>
                <w:u w:val="single"/>
                <w:lang w:val="en-US" w:eastAsia="zh-CN" w:bidi="en-US"/>
              </w:rPr>
              <w:t>柴油储存间设置围堰</w:t>
            </w:r>
            <w:r>
              <w:rPr>
                <w:rFonts w:hint="eastAsia"/>
                <w:bCs/>
                <w:spacing w:val="11"/>
                <w:position w:val="0"/>
                <w:sz w:val="24"/>
                <w:szCs w:val="24"/>
                <w:u w:val="single"/>
                <w:lang w:bidi="en-US"/>
              </w:rPr>
              <w:t>；危废暂存间设接液托盘、应急空桶；</w:t>
            </w:r>
            <w:r>
              <w:rPr>
                <w:rFonts w:hint="eastAsia"/>
                <w:spacing w:val="11"/>
                <w:position w:val="0"/>
                <w:sz w:val="24"/>
                <w:szCs w:val="24"/>
                <w:u w:val="single"/>
              </w:rPr>
              <w:t>采场周边设截流沟，做好爆破安全作业</w:t>
            </w:r>
            <w:r>
              <w:rPr>
                <w:rFonts w:hint="eastAsia" w:hAnsi="宋体"/>
                <w:spacing w:val="11"/>
                <w:position w:val="0"/>
                <w:sz w:val="24"/>
                <w:szCs w:val="24"/>
                <w:u w:val="single"/>
              </w:rPr>
              <w:t>。</w:t>
            </w:r>
          </w:p>
        </w:tc>
        <w:tc>
          <w:tcPr>
            <w:tcW w:w="1034" w:type="pct"/>
            <w:tcBorders>
              <w:tl2br w:val="nil"/>
              <w:tr2bl w:val="nil"/>
            </w:tcBorders>
            <w:noWrap w:val="0"/>
            <w:vAlign w:val="center"/>
          </w:tcPr>
          <w:p w14:paraId="01C0C67C">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14:paraId="02241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63" w:type="pct"/>
            <w:tcBorders>
              <w:tl2br w:val="nil"/>
              <w:tr2bl w:val="nil"/>
            </w:tcBorders>
            <w:noWrap w:val="0"/>
            <w:vAlign w:val="center"/>
          </w:tcPr>
          <w:p w14:paraId="42695E7C">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环境监测</w:t>
            </w:r>
          </w:p>
        </w:tc>
        <w:tc>
          <w:tcPr>
            <w:tcW w:w="1034" w:type="pct"/>
            <w:tcBorders>
              <w:tl2br w:val="nil"/>
              <w:tr2bl w:val="nil"/>
            </w:tcBorders>
            <w:noWrap w:val="0"/>
            <w:vAlign w:val="center"/>
          </w:tcPr>
          <w:p w14:paraId="0134C19E">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19C709CF">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4F260FFB">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4A895E9E">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14:paraId="77C7C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14:paraId="27612FF8">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其他</w:t>
            </w:r>
          </w:p>
        </w:tc>
        <w:tc>
          <w:tcPr>
            <w:tcW w:w="1034" w:type="pct"/>
            <w:tcBorders>
              <w:tl2br w:val="nil"/>
              <w:tr2bl w:val="nil"/>
            </w:tcBorders>
            <w:noWrap w:val="0"/>
            <w:vAlign w:val="center"/>
          </w:tcPr>
          <w:p w14:paraId="75F7F93C">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14:paraId="1B329DED">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14:paraId="59C8F7BF">
            <w:pPr>
              <w:adjustRightInd w:val="0"/>
              <w:snapToGrid w:val="0"/>
              <w:jc w:val="center"/>
              <w:rPr>
                <w:rFonts w:hint="eastAsia" w:ascii="Times New Roman" w:hAnsi="Times New Roman" w:eastAsia="宋体" w:cs="Times New Roman"/>
                <w:spacing w:val="11"/>
                <w:position w:val="0"/>
                <w:sz w:val="24"/>
                <w:szCs w:val="24"/>
                <w:u w:val="single"/>
              </w:rPr>
            </w:pPr>
            <w:r>
              <w:rPr>
                <w:spacing w:val="11"/>
                <w:position w:val="0"/>
                <w:sz w:val="24"/>
                <w:szCs w:val="24"/>
                <w:u w:val="single"/>
              </w:rPr>
              <w:t>闭矿期生态恢复：开采结束后拆除矿区构筑物，对迹地清理和复绿；对开采范围内的矿坑区域进行回填和覆土，将弃渣回填至矿坑底部，耕作层土壤回填至顶部，覆土后施肥，并进行植被恢复。对矿山开采区采用喷浆、放缓边坡覆土、框格覆土、绿化等相结合的措施进</w:t>
            </w:r>
            <w:r>
              <w:rPr>
                <w:rFonts w:ascii="Times New Roman" w:hAnsi="Times New Roman" w:eastAsia="宋体" w:cs="Times New Roman"/>
                <w:spacing w:val="11"/>
                <w:position w:val="0"/>
                <w:sz w:val="24"/>
                <w:szCs w:val="24"/>
                <w:u w:val="single"/>
              </w:rPr>
              <w:t>行生态复绿</w:t>
            </w:r>
            <w:r>
              <w:rPr>
                <w:rFonts w:hint="eastAsia" w:ascii="Times New Roman" w:hAnsi="Times New Roman" w:eastAsia="宋体" w:cs="Times New Roman"/>
                <w:spacing w:val="11"/>
                <w:position w:val="0"/>
                <w:sz w:val="24"/>
                <w:szCs w:val="24"/>
                <w:u w:val="single"/>
              </w:rPr>
              <w:t>。</w:t>
            </w:r>
            <w:r>
              <w:rPr>
                <w:rFonts w:ascii="Times New Roman" w:hAnsi="Times New Roman" w:eastAsia="宋体" w:cs="Times New Roman"/>
                <w:spacing w:val="11"/>
                <w:position w:val="0"/>
                <w:sz w:val="24"/>
                <w:szCs w:val="24"/>
                <w:u w:val="single"/>
              </w:rPr>
              <w:t>在生产区设备设置提示牌、安全警示牌牌，设置绿色矿山宣传标语，加强企业绿色矿山建设宣传</w:t>
            </w:r>
            <w:r>
              <w:rPr>
                <w:rFonts w:hint="eastAsia" w:ascii="Times New Roman" w:hAnsi="Times New Roman" w:eastAsia="宋体" w:cs="Times New Roman"/>
                <w:spacing w:val="11"/>
                <w:position w:val="0"/>
                <w:sz w:val="24"/>
                <w:szCs w:val="24"/>
                <w:u w:val="single"/>
              </w:rPr>
              <w:t>。项目建成后，按时完成竣工保护验收、完成突发环境事件应急预案备案、完成排污许可证管理</w:t>
            </w:r>
          </w:p>
          <w:p w14:paraId="5F3C6192">
            <w:pPr>
              <w:adjustRightInd w:val="0"/>
              <w:snapToGrid w:val="0"/>
              <w:jc w:val="center"/>
              <w:rPr>
                <w:rFonts w:hint="eastAsia" w:ascii="Times New Roman" w:hAnsi="Times New Roman" w:eastAsia="宋体" w:cs="Times New Roman"/>
                <w:spacing w:val="11"/>
                <w:position w:val="0"/>
                <w:sz w:val="24"/>
                <w:szCs w:val="24"/>
                <w:u w:val="single"/>
              </w:rPr>
            </w:pPr>
          </w:p>
          <w:p w14:paraId="6D74802B">
            <w:pPr>
              <w:adjustRightInd w:val="0"/>
              <w:snapToGrid w:val="0"/>
              <w:jc w:val="center"/>
              <w:rPr>
                <w:rFonts w:hint="eastAsia" w:ascii="Times New Roman" w:hAnsi="Times New Roman" w:eastAsia="宋体" w:cs="Times New Roman"/>
                <w:spacing w:val="11"/>
                <w:position w:val="0"/>
                <w:sz w:val="24"/>
                <w:szCs w:val="24"/>
                <w:u w:val="single"/>
              </w:rPr>
            </w:pPr>
          </w:p>
          <w:p w14:paraId="1288E498">
            <w:pPr>
              <w:adjustRightInd w:val="0"/>
              <w:snapToGrid w:val="0"/>
              <w:jc w:val="center"/>
              <w:rPr>
                <w:rFonts w:hint="eastAsia" w:ascii="Times New Roman" w:hAnsi="Times New Roman" w:eastAsia="宋体" w:cs="Times New Roman"/>
                <w:spacing w:val="11"/>
                <w:position w:val="0"/>
                <w:sz w:val="24"/>
                <w:szCs w:val="24"/>
                <w:u w:val="single"/>
              </w:rPr>
            </w:pPr>
          </w:p>
          <w:p w14:paraId="281A441E">
            <w:pPr>
              <w:adjustRightInd w:val="0"/>
              <w:snapToGrid w:val="0"/>
              <w:jc w:val="center"/>
              <w:rPr>
                <w:rFonts w:hint="eastAsia" w:ascii="Times New Roman" w:hAnsi="Times New Roman" w:eastAsia="宋体" w:cs="Times New Roman"/>
                <w:spacing w:val="11"/>
                <w:position w:val="0"/>
                <w:sz w:val="24"/>
                <w:szCs w:val="24"/>
                <w:u w:val="single"/>
              </w:rPr>
            </w:pPr>
          </w:p>
          <w:p w14:paraId="263B4BB7">
            <w:pPr>
              <w:adjustRightInd w:val="0"/>
              <w:snapToGrid w:val="0"/>
              <w:jc w:val="center"/>
              <w:rPr>
                <w:rFonts w:hint="eastAsia" w:ascii="Times New Roman" w:hAnsi="Times New Roman" w:eastAsia="宋体" w:cs="Times New Roman"/>
                <w:spacing w:val="11"/>
                <w:position w:val="0"/>
                <w:sz w:val="24"/>
                <w:szCs w:val="24"/>
                <w:u w:val="single"/>
              </w:rPr>
            </w:pPr>
          </w:p>
          <w:p w14:paraId="04DF55F5">
            <w:pPr>
              <w:adjustRightInd w:val="0"/>
              <w:snapToGrid w:val="0"/>
              <w:jc w:val="center"/>
              <w:rPr>
                <w:rFonts w:hint="eastAsia" w:ascii="Times New Roman" w:hAnsi="Times New Roman" w:eastAsia="宋体" w:cs="Times New Roman"/>
                <w:spacing w:val="11"/>
                <w:position w:val="0"/>
                <w:sz w:val="24"/>
                <w:szCs w:val="24"/>
                <w:u w:val="single"/>
              </w:rPr>
            </w:pPr>
          </w:p>
          <w:p w14:paraId="1D31DDCB">
            <w:pPr>
              <w:adjustRightInd w:val="0"/>
              <w:snapToGrid w:val="0"/>
              <w:jc w:val="center"/>
              <w:rPr>
                <w:rFonts w:hint="eastAsia" w:ascii="Times New Roman" w:hAnsi="Times New Roman" w:eastAsia="宋体" w:cs="Times New Roman"/>
                <w:spacing w:val="11"/>
                <w:position w:val="0"/>
                <w:sz w:val="24"/>
                <w:szCs w:val="24"/>
                <w:u w:val="single"/>
              </w:rPr>
            </w:pPr>
          </w:p>
          <w:p w14:paraId="66DE150D">
            <w:pPr>
              <w:adjustRightInd w:val="0"/>
              <w:snapToGrid w:val="0"/>
              <w:jc w:val="center"/>
              <w:rPr>
                <w:rFonts w:hint="eastAsia" w:ascii="Times New Roman" w:hAnsi="Times New Roman" w:eastAsia="宋体" w:cs="Times New Roman"/>
                <w:spacing w:val="11"/>
                <w:position w:val="0"/>
                <w:sz w:val="24"/>
                <w:szCs w:val="24"/>
                <w:u w:val="single"/>
              </w:rPr>
            </w:pPr>
          </w:p>
          <w:p w14:paraId="3BE3C105">
            <w:pPr>
              <w:adjustRightInd w:val="0"/>
              <w:snapToGrid w:val="0"/>
              <w:jc w:val="center"/>
              <w:rPr>
                <w:rFonts w:hint="eastAsia" w:ascii="Times New Roman" w:hAnsi="Times New Roman" w:eastAsia="宋体" w:cs="Times New Roman"/>
                <w:spacing w:val="11"/>
                <w:position w:val="0"/>
                <w:sz w:val="24"/>
                <w:szCs w:val="24"/>
                <w:u w:val="single"/>
              </w:rPr>
            </w:pPr>
          </w:p>
          <w:p w14:paraId="7FB73024">
            <w:pPr>
              <w:adjustRightInd w:val="0"/>
              <w:snapToGrid w:val="0"/>
              <w:jc w:val="center"/>
              <w:rPr>
                <w:rFonts w:hint="eastAsia" w:ascii="Times New Roman" w:hAnsi="Times New Roman" w:eastAsia="宋体" w:cs="Times New Roman"/>
                <w:spacing w:val="11"/>
                <w:position w:val="0"/>
                <w:sz w:val="24"/>
                <w:szCs w:val="24"/>
                <w:u w:val="single"/>
              </w:rPr>
            </w:pPr>
          </w:p>
          <w:p w14:paraId="1011BADC">
            <w:pPr>
              <w:adjustRightInd w:val="0"/>
              <w:snapToGrid w:val="0"/>
              <w:jc w:val="center"/>
              <w:rPr>
                <w:rFonts w:hint="eastAsia" w:ascii="Times New Roman" w:hAnsi="Times New Roman" w:eastAsia="宋体" w:cs="Times New Roman"/>
                <w:spacing w:val="11"/>
                <w:position w:val="0"/>
                <w:sz w:val="24"/>
                <w:szCs w:val="24"/>
                <w:u w:val="single"/>
              </w:rPr>
            </w:pPr>
          </w:p>
          <w:p w14:paraId="380FF1A4">
            <w:pPr>
              <w:adjustRightInd w:val="0"/>
              <w:snapToGrid w:val="0"/>
              <w:jc w:val="center"/>
              <w:rPr>
                <w:rFonts w:hint="eastAsia" w:ascii="Times New Roman" w:hAnsi="Times New Roman" w:eastAsia="宋体" w:cs="Times New Roman"/>
                <w:spacing w:val="11"/>
                <w:position w:val="0"/>
                <w:sz w:val="24"/>
                <w:szCs w:val="24"/>
                <w:u w:val="single"/>
              </w:rPr>
            </w:pPr>
          </w:p>
          <w:p w14:paraId="68BE704D">
            <w:pPr>
              <w:adjustRightInd w:val="0"/>
              <w:snapToGrid w:val="0"/>
              <w:jc w:val="center"/>
              <w:rPr>
                <w:rFonts w:hint="eastAsia" w:ascii="Times New Roman" w:hAnsi="Times New Roman" w:eastAsia="宋体" w:cs="Times New Roman"/>
                <w:spacing w:val="11"/>
                <w:position w:val="0"/>
                <w:sz w:val="24"/>
                <w:szCs w:val="24"/>
                <w:u w:val="single"/>
              </w:rPr>
            </w:pPr>
          </w:p>
          <w:p w14:paraId="5E79182B">
            <w:pPr>
              <w:adjustRightInd w:val="0"/>
              <w:snapToGrid w:val="0"/>
              <w:jc w:val="center"/>
              <w:rPr>
                <w:rFonts w:hint="eastAsia" w:ascii="Times New Roman" w:hAnsi="Times New Roman" w:eastAsia="宋体" w:cs="Times New Roman"/>
                <w:spacing w:val="11"/>
                <w:position w:val="0"/>
                <w:sz w:val="24"/>
                <w:szCs w:val="24"/>
                <w:u w:val="single"/>
              </w:rPr>
            </w:pPr>
          </w:p>
          <w:p w14:paraId="4A36E6D8">
            <w:pPr>
              <w:adjustRightInd w:val="0"/>
              <w:snapToGrid w:val="0"/>
              <w:jc w:val="center"/>
              <w:rPr>
                <w:rFonts w:hint="eastAsia" w:ascii="Times New Roman" w:hAnsi="Times New Roman" w:eastAsia="宋体" w:cs="Times New Roman"/>
                <w:spacing w:val="11"/>
                <w:position w:val="0"/>
                <w:sz w:val="24"/>
                <w:szCs w:val="24"/>
                <w:u w:val="single"/>
              </w:rPr>
            </w:pPr>
          </w:p>
          <w:p w14:paraId="5F33C16D">
            <w:pPr>
              <w:adjustRightInd w:val="0"/>
              <w:snapToGrid w:val="0"/>
              <w:jc w:val="center"/>
              <w:rPr>
                <w:rFonts w:hint="eastAsia" w:ascii="Times New Roman" w:hAnsi="Times New Roman" w:eastAsia="宋体" w:cs="Times New Roman"/>
                <w:spacing w:val="11"/>
                <w:position w:val="0"/>
                <w:sz w:val="24"/>
                <w:szCs w:val="24"/>
                <w:u w:val="single"/>
              </w:rPr>
            </w:pPr>
          </w:p>
          <w:p w14:paraId="51626CAE">
            <w:pPr>
              <w:adjustRightInd w:val="0"/>
              <w:snapToGrid w:val="0"/>
              <w:jc w:val="center"/>
              <w:rPr>
                <w:rFonts w:hint="eastAsia" w:ascii="Times New Roman" w:hAnsi="Times New Roman" w:eastAsia="宋体" w:cs="Times New Roman"/>
                <w:spacing w:val="11"/>
                <w:position w:val="0"/>
                <w:sz w:val="24"/>
                <w:szCs w:val="24"/>
                <w:u w:val="single"/>
              </w:rPr>
            </w:pPr>
          </w:p>
          <w:p w14:paraId="13C50FD2">
            <w:pPr>
              <w:adjustRightInd w:val="0"/>
              <w:snapToGrid w:val="0"/>
              <w:jc w:val="center"/>
              <w:rPr>
                <w:rFonts w:hint="eastAsia" w:ascii="Times New Roman" w:hAnsi="Times New Roman" w:eastAsia="宋体" w:cs="Times New Roman"/>
                <w:spacing w:val="11"/>
                <w:position w:val="0"/>
                <w:sz w:val="24"/>
                <w:szCs w:val="24"/>
                <w:u w:val="single"/>
              </w:rPr>
            </w:pPr>
          </w:p>
          <w:p w14:paraId="0BF23CFF">
            <w:pPr>
              <w:adjustRightInd w:val="0"/>
              <w:snapToGrid w:val="0"/>
              <w:jc w:val="center"/>
              <w:rPr>
                <w:rFonts w:hint="eastAsia" w:ascii="Times New Roman" w:hAnsi="Times New Roman" w:eastAsia="宋体" w:cs="Times New Roman"/>
                <w:spacing w:val="11"/>
                <w:position w:val="0"/>
                <w:sz w:val="24"/>
                <w:szCs w:val="24"/>
                <w:u w:val="single"/>
              </w:rPr>
            </w:pPr>
          </w:p>
          <w:p w14:paraId="4CF02E7F">
            <w:pPr>
              <w:adjustRightInd w:val="0"/>
              <w:snapToGrid w:val="0"/>
              <w:jc w:val="both"/>
              <w:rPr>
                <w:rFonts w:hint="eastAsia" w:ascii="Times New Roman" w:hAnsi="Times New Roman" w:eastAsia="宋体" w:cs="Times New Roman"/>
                <w:spacing w:val="11"/>
                <w:position w:val="0"/>
                <w:sz w:val="24"/>
                <w:szCs w:val="24"/>
                <w:u w:val="single"/>
              </w:rPr>
            </w:pPr>
          </w:p>
          <w:p w14:paraId="271A01FC">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cs="Times New Roman"/>
                <w:spacing w:val="11"/>
                <w:position w:val="0"/>
                <w:sz w:val="24"/>
                <w:szCs w:val="24"/>
                <w:u w:val="none"/>
                <w:lang w:val="en-US" w:eastAsia="zh-CN"/>
              </w:rPr>
              <w:t xml:space="preserve"> </w:t>
            </w:r>
          </w:p>
        </w:tc>
        <w:tc>
          <w:tcPr>
            <w:tcW w:w="1034" w:type="pct"/>
            <w:tcBorders>
              <w:tl2br w:val="nil"/>
              <w:tr2bl w:val="nil"/>
            </w:tcBorders>
            <w:shd w:val="clear" w:color="auto" w:fill="auto"/>
            <w:noWrap w:val="0"/>
            <w:vAlign w:val="center"/>
          </w:tcPr>
          <w:p w14:paraId="3AEE918B">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spacing w:val="11"/>
                <w:position w:val="0"/>
                <w:sz w:val="24"/>
                <w:szCs w:val="24"/>
                <w:u w:val="single"/>
              </w:rPr>
              <w:t>《土地复垦质量控制标准》（TD/T1036-2013）</w:t>
            </w:r>
          </w:p>
        </w:tc>
      </w:tr>
    </w:tbl>
    <w:p w14:paraId="415142E3">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position w:val="0"/>
          <w:sz w:val="30"/>
          <w:szCs w:val="30"/>
        </w:rPr>
        <w:br w:type="page"/>
      </w:r>
      <w:bookmarkStart w:id="22" w:name="_Toc30086"/>
      <w:r>
        <w:rPr>
          <w:rFonts w:hint="default" w:ascii="Times New Roman" w:hAnsi="Times New Roman" w:eastAsia="宋体" w:cs="Times New Roman"/>
          <w:b/>
          <w:bCs/>
          <w:snapToGrid w:val="0"/>
          <w:color w:val="auto"/>
          <w:spacing w:val="11"/>
          <w:position w:val="0"/>
          <w:sz w:val="30"/>
          <w:szCs w:val="30"/>
        </w:rPr>
        <w:t>七、结论</w:t>
      </w:r>
      <w:bookmarkEnd w:id="22"/>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78A4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Borders>
              <w:tl2br w:val="nil"/>
              <w:tr2bl w:val="nil"/>
            </w:tcBorders>
            <w:noWrap w:val="0"/>
            <w:vAlign w:val="top"/>
          </w:tcPr>
          <w:p w14:paraId="34FA9F7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Cs w:val="21"/>
              </w:rPr>
            </w:pPr>
            <w:r>
              <w:rPr>
                <w:rFonts w:hint="default" w:ascii="Times New Roman" w:hAnsi="Times New Roman" w:eastAsia="宋体" w:cs="Times New Roman"/>
                <w:color w:val="auto"/>
                <w:spacing w:val="11"/>
                <w:position w:val="0"/>
                <w:sz w:val="24"/>
                <w:szCs w:val="22"/>
              </w:rPr>
              <w:t>综上所述，项目符合国家有关产业政策，选址合理。项目在运营过程中产生一定量的废气、废水、噪声及固体废物，在严格执行拟定和环评要求的各项环境保护措施，实施环境管理后，各项污染物均能稳定达标排放，对周围环境的影响可以控制在国家有关标准和要求的允许范围内，并将产生较好的社会效益和经济效益。因此，从环境保护角度而言，该项目的建设可行。</w:t>
            </w:r>
          </w:p>
        </w:tc>
      </w:tr>
    </w:tbl>
    <w:p w14:paraId="56E191D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11"/>
          <w:position w:val="0"/>
        </w:rPr>
      </w:pPr>
    </w:p>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943E1">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333F">
    <w:pPr>
      <w:pStyle w:val="2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E3A393">
                          <w:pPr>
                            <w:pStyle w:val="25"/>
                          </w:pPr>
                          <w:r>
                            <w:fldChar w:fldCharType="begin"/>
                          </w:r>
                          <w:r>
                            <w:instrText xml:space="preserve"> PAGE  \* MERGEFORMAT </w:instrText>
                          </w:r>
                          <w:r>
                            <w:fldChar w:fldCharType="separate"/>
                          </w:r>
                          <w:r>
                            <w:t>22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rPqN0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t9w5oSlgV++f7v8+HX5+ZUt&#10;kzx9gIqy7gPl4fDKD7Q0sx/ImVgPbbTpT3wYxUnc81VcNSCT6dJ6tV6XFJIUmw+EXzxcDxHwjfKW&#10;JaPmkaaXRRWnd4Bj6pySqjl/p43JEzTuLwdhJk+Reh97TBYO+2EitPfNmfjQM6A6nY9fOOtpCWru&#10;aOc5M28daZz2ZTbibOxnQzhJF2uOnI3maxz36hiiPnR501JTEF4e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8Kz6jdAQAAvgMAAA4AAAAAAAAA&#10;AQAgAAAAHgEAAGRycy9lMm9Eb2MueG1sUEsFBgAAAAAGAAYAWQEAAG0FAAAAAA==&#10;">
              <v:fill on="f" focussize="0,0"/>
              <v:stroke on="f"/>
              <v:imagedata o:title=""/>
              <o:lock v:ext="edit" aspectratio="f"/>
              <v:textbox inset="0mm,0mm,0mm,0mm" style="mso-fit-shape-to-text:t;">
                <w:txbxContent>
                  <w:p w14:paraId="6AE3A393">
                    <w:pPr>
                      <w:pStyle w:val="2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2F8E4">
    <w:pPr>
      <w:pStyle w:val="26"/>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1230C"/>
    <w:multiLevelType w:val="singleLevel"/>
    <w:tmpl w:val="ADA1230C"/>
    <w:lvl w:ilvl="0" w:tentative="0">
      <w:start w:val="2"/>
      <w:numFmt w:val="decimal"/>
      <w:suff w:val="nothing"/>
      <w:lvlText w:val="（%1）"/>
      <w:lvlJc w:val="left"/>
    </w:lvl>
  </w:abstractNum>
  <w:abstractNum w:abstractNumId="1">
    <w:nsid w:val="BE2B66CC"/>
    <w:multiLevelType w:val="singleLevel"/>
    <w:tmpl w:val="BE2B66CC"/>
    <w:lvl w:ilvl="0" w:tentative="0">
      <w:start w:val="1"/>
      <w:numFmt w:val="decimal"/>
      <w:suff w:val="nothing"/>
      <w:lvlText w:val="%1、"/>
      <w:lvlJc w:val="left"/>
    </w:lvl>
  </w:abstractNum>
  <w:abstractNum w:abstractNumId="2">
    <w:nsid w:val="FEC0C920"/>
    <w:multiLevelType w:val="singleLevel"/>
    <w:tmpl w:val="FEC0C920"/>
    <w:lvl w:ilvl="0" w:tentative="0">
      <w:start w:val="1"/>
      <w:numFmt w:val="bullet"/>
      <w:pStyle w:val="17"/>
      <w:lvlText w:val=""/>
      <w:lvlJc w:val="left"/>
      <w:pPr>
        <w:tabs>
          <w:tab w:val="left" w:pos="780"/>
        </w:tabs>
        <w:ind w:left="780" w:hanging="360"/>
      </w:pPr>
      <w:rPr>
        <w:rFonts w:hint="default" w:ascii="Wingdings" w:hAnsi="Wingdings"/>
      </w:rPr>
    </w:lvl>
  </w:abstractNum>
  <w:abstractNum w:abstractNumId="3">
    <w:nsid w:val="057B6B10"/>
    <w:multiLevelType w:val="multilevel"/>
    <w:tmpl w:val="057B6B10"/>
    <w:lvl w:ilvl="0" w:tentative="0">
      <w:start w:val="1"/>
      <w:numFmt w:val="decimal"/>
      <w:suff w:val="space"/>
      <w:lvlText w:val="%1"/>
      <w:lvlJc w:val="left"/>
      <w:pPr>
        <w:ind w:left="1532" w:hanging="255"/>
      </w:pPr>
      <w:rPr>
        <w:rFonts w:hint="default" w:ascii="Times New Roman" w:hAnsi="Times New Roman" w:eastAsia="黑体"/>
        <w:b/>
        <w:bCs/>
        <w:i w:val="0"/>
        <w:sz w:val="30"/>
        <w:szCs w:val="30"/>
      </w:rPr>
    </w:lvl>
    <w:lvl w:ilvl="1" w:tentative="0">
      <w:start w:val="1"/>
      <w:numFmt w:val="decimal"/>
      <w:suff w:val="space"/>
      <w:lvlText w:val="%1.%2"/>
      <w:lvlJc w:val="left"/>
      <w:pPr>
        <w:ind w:left="0" w:firstLine="0"/>
      </w:pPr>
      <w:rPr>
        <w:rFonts w:hint="default" w:ascii="Times New Roman" w:hAnsi="Times New Roman" w:eastAsia="宋体"/>
        <w:b/>
        <w:bCs/>
        <w:i w:val="0"/>
        <w:sz w:val="28"/>
        <w:szCs w:val="28"/>
      </w:rPr>
    </w:lvl>
    <w:lvl w:ilvl="2" w:tentative="0">
      <w:start w:val="1"/>
      <w:numFmt w:val="decimal"/>
      <w:suff w:val="space"/>
      <w:lvlText w:val="%1.%2.%3"/>
      <w:lvlJc w:val="left"/>
      <w:pPr>
        <w:ind w:left="0" w:firstLine="0"/>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4" w:tentative="0">
      <w:start w:val="1"/>
      <w:numFmt w:val="decimal"/>
      <w:lvlRestart w:val="1"/>
      <w:pStyle w:val="78"/>
      <w:isLgl/>
      <w:lvlText w:val="表%1-%5"/>
      <w:lvlJc w:val="center"/>
      <w:pPr>
        <w:tabs>
          <w:tab w:val="left" w:pos="7882"/>
        </w:tabs>
        <w:ind w:left="8075" w:firstLine="0"/>
      </w:pPr>
      <w:rPr>
        <w:rFonts w:hint="default" w:ascii="Times New Roman" w:hAnsi="Times New Roman"/>
        <w:b/>
        <w:bCs w:val="0"/>
        <w:i w:val="0"/>
        <w:iCs w:val="0"/>
        <w:caps w:val="0"/>
        <w:smallCaps w:val="0"/>
        <w:strike w:val="0"/>
        <w:dstrike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vanish w:val="0"/>
        <w:spacing w:val="0"/>
        <w:position w:val="0"/>
        <w:sz w:val="24"/>
        <w:szCs w:val="24"/>
        <w:u w:val="none"/>
        <w:vertAlign w:val="baseline"/>
      </w:rPr>
    </w:lvl>
    <w:lvl w:ilvl="6" w:tentative="0">
      <w:start w:val="1"/>
      <w:numFmt w:val="decimal"/>
      <w:lvlRestart w:val="4"/>
      <w:suff w:val="nothing"/>
      <w:lvlText w:val="（%7）"/>
      <w:lvlJc w:val="left"/>
      <w:pPr>
        <w:ind w:left="0" w:firstLine="400"/>
      </w:pPr>
      <w:rPr>
        <w:rFonts w:hint="default" w:ascii="Times New Roman" w:hAnsi="Times New Roman" w:eastAsia="宋体"/>
        <w:b w:val="0"/>
        <w:i w:val="0"/>
        <w:sz w:val="24"/>
        <w:szCs w:val="24"/>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333C"/>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D5517"/>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0C299E"/>
    <w:rsid w:val="05742AC8"/>
    <w:rsid w:val="06352F05"/>
    <w:rsid w:val="063E7D85"/>
    <w:rsid w:val="070875E0"/>
    <w:rsid w:val="07293586"/>
    <w:rsid w:val="07295285"/>
    <w:rsid w:val="07770C56"/>
    <w:rsid w:val="079317E2"/>
    <w:rsid w:val="092217DD"/>
    <w:rsid w:val="093A7294"/>
    <w:rsid w:val="0AA84C9A"/>
    <w:rsid w:val="0BD27BF6"/>
    <w:rsid w:val="0D1A5D55"/>
    <w:rsid w:val="0E110D06"/>
    <w:rsid w:val="0F1130D3"/>
    <w:rsid w:val="0F13775A"/>
    <w:rsid w:val="0F9A112B"/>
    <w:rsid w:val="0FF83088"/>
    <w:rsid w:val="106D2F64"/>
    <w:rsid w:val="10B63710"/>
    <w:rsid w:val="111C2F7A"/>
    <w:rsid w:val="113013DE"/>
    <w:rsid w:val="122B06C2"/>
    <w:rsid w:val="13951726"/>
    <w:rsid w:val="14396509"/>
    <w:rsid w:val="1447165C"/>
    <w:rsid w:val="155F2339"/>
    <w:rsid w:val="157533D8"/>
    <w:rsid w:val="16085849"/>
    <w:rsid w:val="1662251B"/>
    <w:rsid w:val="17735226"/>
    <w:rsid w:val="17FA4720"/>
    <w:rsid w:val="18726EA7"/>
    <w:rsid w:val="189D5A8C"/>
    <w:rsid w:val="19CE219A"/>
    <w:rsid w:val="1A1C66C0"/>
    <w:rsid w:val="1A342ACE"/>
    <w:rsid w:val="1A3B555D"/>
    <w:rsid w:val="1A42393B"/>
    <w:rsid w:val="1AE850E2"/>
    <w:rsid w:val="1B046F80"/>
    <w:rsid w:val="1B3267B5"/>
    <w:rsid w:val="1B6A2428"/>
    <w:rsid w:val="1BC25DC8"/>
    <w:rsid w:val="1BD9502D"/>
    <w:rsid w:val="1C5E7925"/>
    <w:rsid w:val="1C887FC8"/>
    <w:rsid w:val="1D1C16BA"/>
    <w:rsid w:val="1D5F6196"/>
    <w:rsid w:val="1D6132A5"/>
    <w:rsid w:val="1D8E56D5"/>
    <w:rsid w:val="1E7209A9"/>
    <w:rsid w:val="1E7A43DA"/>
    <w:rsid w:val="1EB277FE"/>
    <w:rsid w:val="1EF957A0"/>
    <w:rsid w:val="1FE7539E"/>
    <w:rsid w:val="20963CB8"/>
    <w:rsid w:val="20B07FB6"/>
    <w:rsid w:val="213B74B1"/>
    <w:rsid w:val="215A2310"/>
    <w:rsid w:val="21D8786F"/>
    <w:rsid w:val="21DE318A"/>
    <w:rsid w:val="21EF5B80"/>
    <w:rsid w:val="22576990"/>
    <w:rsid w:val="229C4EAB"/>
    <w:rsid w:val="22D261A7"/>
    <w:rsid w:val="252D53FE"/>
    <w:rsid w:val="257A33DD"/>
    <w:rsid w:val="25E46D6D"/>
    <w:rsid w:val="25EC2D81"/>
    <w:rsid w:val="264528BD"/>
    <w:rsid w:val="27D15DD1"/>
    <w:rsid w:val="28A76295"/>
    <w:rsid w:val="290F3944"/>
    <w:rsid w:val="29206EB8"/>
    <w:rsid w:val="29E325E0"/>
    <w:rsid w:val="2A452503"/>
    <w:rsid w:val="2B487ADA"/>
    <w:rsid w:val="2BA936A8"/>
    <w:rsid w:val="2C315A5A"/>
    <w:rsid w:val="2D281E7D"/>
    <w:rsid w:val="2D31114B"/>
    <w:rsid w:val="2D9E56F5"/>
    <w:rsid w:val="2E206C3A"/>
    <w:rsid w:val="2E667F96"/>
    <w:rsid w:val="2E8226AB"/>
    <w:rsid w:val="2F832C79"/>
    <w:rsid w:val="2FEF2D58"/>
    <w:rsid w:val="30580BC9"/>
    <w:rsid w:val="311E2ED7"/>
    <w:rsid w:val="315C449C"/>
    <w:rsid w:val="31B82709"/>
    <w:rsid w:val="32400B34"/>
    <w:rsid w:val="329E6876"/>
    <w:rsid w:val="33C2001A"/>
    <w:rsid w:val="33D934D4"/>
    <w:rsid w:val="33FE2F6A"/>
    <w:rsid w:val="34411FA8"/>
    <w:rsid w:val="34A915E9"/>
    <w:rsid w:val="34FE78B8"/>
    <w:rsid w:val="36074A7F"/>
    <w:rsid w:val="36923549"/>
    <w:rsid w:val="36B75FBF"/>
    <w:rsid w:val="36C93EDA"/>
    <w:rsid w:val="36FB4891"/>
    <w:rsid w:val="38282B7E"/>
    <w:rsid w:val="38B90714"/>
    <w:rsid w:val="38F12CD3"/>
    <w:rsid w:val="38F94775"/>
    <w:rsid w:val="392971ED"/>
    <w:rsid w:val="39387BAF"/>
    <w:rsid w:val="39A57417"/>
    <w:rsid w:val="3B1B018F"/>
    <w:rsid w:val="3B3763D1"/>
    <w:rsid w:val="3B3C787B"/>
    <w:rsid w:val="3C926B09"/>
    <w:rsid w:val="3CDA245A"/>
    <w:rsid w:val="3CEE0A37"/>
    <w:rsid w:val="3D3F4BE3"/>
    <w:rsid w:val="3EB92F87"/>
    <w:rsid w:val="3F612E4D"/>
    <w:rsid w:val="3F660E74"/>
    <w:rsid w:val="407A6407"/>
    <w:rsid w:val="423A3BCC"/>
    <w:rsid w:val="4281166C"/>
    <w:rsid w:val="433A6FE6"/>
    <w:rsid w:val="4350713C"/>
    <w:rsid w:val="436653E0"/>
    <w:rsid w:val="43CB706C"/>
    <w:rsid w:val="44CD14E0"/>
    <w:rsid w:val="458946E9"/>
    <w:rsid w:val="46632892"/>
    <w:rsid w:val="46B93D23"/>
    <w:rsid w:val="46D955A7"/>
    <w:rsid w:val="47133957"/>
    <w:rsid w:val="4779329E"/>
    <w:rsid w:val="47A07E0C"/>
    <w:rsid w:val="48470676"/>
    <w:rsid w:val="4870272E"/>
    <w:rsid w:val="49DC7715"/>
    <w:rsid w:val="4A023139"/>
    <w:rsid w:val="4A7B576F"/>
    <w:rsid w:val="4C171CDE"/>
    <w:rsid w:val="4C4A0649"/>
    <w:rsid w:val="4C8C5620"/>
    <w:rsid w:val="4CE470D3"/>
    <w:rsid w:val="4D7243FA"/>
    <w:rsid w:val="4DEC4FB0"/>
    <w:rsid w:val="4E075D8A"/>
    <w:rsid w:val="4E946AED"/>
    <w:rsid w:val="4FC62A8C"/>
    <w:rsid w:val="4FE20F0D"/>
    <w:rsid w:val="502119D7"/>
    <w:rsid w:val="50504C4B"/>
    <w:rsid w:val="509C6E7C"/>
    <w:rsid w:val="5162104E"/>
    <w:rsid w:val="52067C23"/>
    <w:rsid w:val="52186CC7"/>
    <w:rsid w:val="52FE50B2"/>
    <w:rsid w:val="53A039CC"/>
    <w:rsid w:val="53A1505A"/>
    <w:rsid w:val="54063E08"/>
    <w:rsid w:val="543437E8"/>
    <w:rsid w:val="555D5544"/>
    <w:rsid w:val="559B174B"/>
    <w:rsid w:val="55CE0CF4"/>
    <w:rsid w:val="56B22A9C"/>
    <w:rsid w:val="56D82456"/>
    <w:rsid w:val="57B72A76"/>
    <w:rsid w:val="57DD31D4"/>
    <w:rsid w:val="5A1D0209"/>
    <w:rsid w:val="5A3C747D"/>
    <w:rsid w:val="5ABE2233"/>
    <w:rsid w:val="5B276D18"/>
    <w:rsid w:val="5BDF5D95"/>
    <w:rsid w:val="5D566A45"/>
    <w:rsid w:val="5DF142FC"/>
    <w:rsid w:val="5DF87A0F"/>
    <w:rsid w:val="5EF01E83"/>
    <w:rsid w:val="5F0D3E24"/>
    <w:rsid w:val="5F1A2B43"/>
    <w:rsid w:val="5FB837BB"/>
    <w:rsid w:val="60381F95"/>
    <w:rsid w:val="60FB291D"/>
    <w:rsid w:val="621032DF"/>
    <w:rsid w:val="62364782"/>
    <w:rsid w:val="62D96E3A"/>
    <w:rsid w:val="62F4049F"/>
    <w:rsid w:val="63D40BE9"/>
    <w:rsid w:val="63E0211F"/>
    <w:rsid w:val="646A5DEF"/>
    <w:rsid w:val="65373578"/>
    <w:rsid w:val="654A45BB"/>
    <w:rsid w:val="666A1C0A"/>
    <w:rsid w:val="673F2C7A"/>
    <w:rsid w:val="681F6961"/>
    <w:rsid w:val="68610A2F"/>
    <w:rsid w:val="68805514"/>
    <w:rsid w:val="693F456D"/>
    <w:rsid w:val="694E2071"/>
    <w:rsid w:val="697A3B33"/>
    <w:rsid w:val="699E2456"/>
    <w:rsid w:val="6AAA4041"/>
    <w:rsid w:val="6B322639"/>
    <w:rsid w:val="6BE44633"/>
    <w:rsid w:val="6C636C38"/>
    <w:rsid w:val="6D340060"/>
    <w:rsid w:val="6D5673ED"/>
    <w:rsid w:val="6DB34098"/>
    <w:rsid w:val="6DB545B6"/>
    <w:rsid w:val="6E131BC6"/>
    <w:rsid w:val="6E2F57BE"/>
    <w:rsid w:val="6E3672D1"/>
    <w:rsid w:val="6E4375A0"/>
    <w:rsid w:val="6E514CED"/>
    <w:rsid w:val="6E79491A"/>
    <w:rsid w:val="6EB563D5"/>
    <w:rsid w:val="6F225983"/>
    <w:rsid w:val="6F7C7651"/>
    <w:rsid w:val="6FD37E73"/>
    <w:rsid w:val="6FFC5590"/>
    <w:rsid w:val="700006A2"/>
    <w:rsid w:val="70301DA3"/>
    <w:rsid w:val="706D1DD0"/>
    <w:rsid w:val="70856B87"/>
    <w:rsid w:val="70D527EE"/>
    <w:rsid w:val="715B5300"/>
    <w:rsid w:val="715F4BD7"/>
    <w:rsid w:val="71D27F8A"/>
    <w:rsid w:val="71F744C6"/>
    <w:rsid w:val="71F960CF"/>
    <w:rsid w:val="726F1A8E"/>
    <w:rsid w:val="72F67015"/>
    <w:rsid w:val="731F5D5E"/>
    <w:rsid w:val="741E793C"/>
    <w:rsid w:val="756D3EB7"/>
    <w:rsid w:val="758D75E2"/>
    <w:rsid w:val="77762421"/>
    <w:rsid w:val="780F09F4"/>
    <w:rsid w:val="789C4F47"/>
    <w:rsid w:val="78A90480"/>
    <w:rsid w:val="79811327"/>
    <w:rsid w:val="79C629E2"/>
    <w:rsid w:val="7A364017"/>
    <w:rsid w:val="7A8265E1"/>
    <w:rsid w:val="7AE33940"/>
    <w:rsid w:val="7B363C3C"/>
    <w:rsid w:val="7B686D42"/>
    <w:rsid w:val="7B841746"/>
    <w:rsid w:val="7C895292"/>
    <w:rsid w:val="7D0144B4"/>
    <w:rsid w:val="7D0239FF"/>
    <w:rsid w:val="7D5E40CD"/>
    <w:rsid w:val="7D693BED"/>
    <w:rsid w:val="7DAD3272"/>
    <w:rsid w:val="7F3C1FA5"/>
    <w:rsid w:val="7FA034F6"/>
    <w:rsid w:val="7FD36AE7"/>
    <w:rsid w:val="7FE47E50"/>
    <w:rsid w:val="7FE84E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next w:val="1"/>
    <w:qFormat/>
    <w:locked/>
    <w:uiPriority w:val="0"/>
    <w:pPr>
      <w:keepNext/>
      <w:widowControl w:val="0"/>
      <w:adjustRightInd w:val="0"/>
      <w:spacing w:line="480" w:lineRule="auto"/>
      <w:jc w:val="both"/>
      <w:textAlignment w:val="baseline"/>
      <w:outlineLvl w:val="1"/>
    </w:pPr>
    <w:rPr>
      <w:rFonts w:ascii="Times New Roman" w:hAnsi="Times New Roman" w:eastAsia="宋体" w:cs="Times New Roman"/>
      <w:kern w:val="2"/>
      <w:sz w:val="30"/>
      <w:szCs w:val="20"/>
      <w:lang w:val="en-US" w:eastAsia="zh-CN" w:bidi="ar-SA"/>
    </w:rPr>
  </w:style>
  <w:style w:type="paragraph" w:styleId="6">
    <w:name w:val="heading 3"/>
    <w:basedOn w:val="1"/>
    <w:next w:val="1"/>
    <w:qFormat/>
    <w:locked/>
    <w:uiPriority w:val="0"/>
    <w:pPr>
      <w:keepNext/>
      <w:keepLines/>
      <w:adjustRightInd w:val="0"/>
      <w:snapToGrid w:val="0"/>
      <w:spacing w:line="360" w:lineRule="auto"/>
      <w:outlineLvl w:val="2"/>
    </w:pPr>
    <w:rPr>
      <w:b/>
      <w:bCs/>
      <w:kern w:val="0"/>
      <w:sz w:val="28"/>
      <w:szCs w:val="28"/>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E-mail Signature"/>
    <w:basedOn w:val="1"/>
    <w:next w:val="9"/>
    <w:qFormat/>
    <w:uiPriority w:val="0"/>
  </w:style>
  <w:style w:type="paragraph" w:customStyle="1" w:styleId="9">
    <w:name w:val="文章"/>
    <w:basedOn w:val="1"/>
    <w:next w:val="10"/>
    <w:qFormat/>
    <w:uiPriority w:val="0"/>
    <w:pPr>
      <w:widowControl/>
      <w:ind w:firstLine="480"/>
      <w:jc w:val="center"/>
    </w:pPr>
    <w:rPr>
      <w:rFonts w:ascii="Times New Roman" w:hAnsi="Times New Roman" w:eastAsia="宋体" w:cs="Times New Roman"/>
      <w:sz w:val="26"/>
    </w:rPr>
  </w:style>
  <w:style w:type="paragraph" w:styleId="10">
    <w:name w:val="List"/>
    <w:basedOn w:val="1"/>
    <w:next w:val="1"/>
    <w:qFormat/>
    <w:uiPriority w:val="0"/>
    <w:pPr>
      <w:ind w:left="200" w:hanging="200" w:hangingChars="200"/>
      <w:contextualSpacing/>
    </w:pPr>
  </w:style>
  <w:style w:type="paragraph" w:styleId="11">
    <w:name w:val="Normal Indent"/>
    <w:basedOn w:val="1"/>
    <w:next w:val="1"/>
    <w:qFormat/>
    <w:uiPriority w:val="0"/>
    <w:pPr>
      <w:ind w:firstLine="200" w:firstLineChars="200"/>
    </w:pPr>
    <w:rPr>
      <w:sz w:val="28"/>
      <w:szCs w:val="20"/>
    </w:rPr>
  </w:style>
  <w:style w:type="paragraph" w:styleId="12">
    <w:name w:val="annotation text"/>
    <w:basedOn w:val="1"/>
    <w:link w:val="42"/>
    <w:semiHidden/>
    <w:qFormat/>
    <w:uiPriority w:val="0"/>
    <w:pPr>
      <w:jc w:val="left"/>
    </w:pPr>
    <w:rPr>
      <w:kern w:val="0"/>
      <w:sz w:val="20"/>
    </w:rPr>
  </w:style>
  <w:style w:type="paragraph" w:styleId="13">
    <w:name w:val="Body Text"/>
    <w:basedOn w:val="1"/>
    <w:next w:val="14"/>
    <w:link w:val="41"/>
    <w:qFormat/>
    <w:uiPriority w:val="0"/>
    <w:pPr>
      <w:widowControl/>
      <w:snapToGrid w:val="0"/>
      <w:spacing w:before="60" w:after="160" w:line="259" w:lineRule="auto"/>
      <w:ind w:right="113"/>
    </w:pPr>
    <w:rPr>
      <w:kern w:val="0"/>
      <w:sz w:val="18"/>
      <w:szCs w:val="18"/>
    </w:rPr>
  </w:style>
  <w:style w:type="paragraph" w:customStyle="1" w:styleId="14">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5">
    <w:name w:val="Body Text Indent"/>
    <w:basedOn w:val="1"/>
    <w:next w:val="16"/>
    <w:link w:val="43"/>
    <w:semiHidden/>
    <w:qFormat/>
    <w:uiPriority w:val="0"/>
    <w:pPr>
      <w:spacing w:after="120"/>
      <w:ind w:left="420" w:leftChars="200"/>
    </w:pPr>
  </w:style>
  <w:style w:type="paragraph" w:customStyle="1" w:styleId="16">
    <w:name w:val="样式 正文文本缩进 + 行距: 1.5 倍行距"/>
    <w:basedOn w:val="15"/>
    <w:qFormat/>
    <w:uiPriority w:val="0"/>
    <w:pPr>
      <w:ind w:left="90" w:leftChars="32" w:firstLine="560" w:firstLineChars="200"/>
    </w:pPr>
    <w:rPr>
      <w:rFonts w:cs="宋体"/>
    </w:rPr>
  </w:style>
  <w:style w:type="paragraph" w:styleId="17">
    <w:name w:val="List Bullet 2"/>
    <w:basedOn w:val="1"/>
    <w:next w:val="18"/>
    <w:qFormat/>
    <w:uiPriority w:val="0"/>
    <w:pPr>
      <w:numPr>
        <w:ilvl w:val="0"/>
        <w:numId w:val="1"/>
      </w:numPr>
    </w:pPr>
  </w:style>
  <w:style w:type="paragraph" w:customStyle="1" w:styleId="18">
    <w:name w:val="xl70"/>
    <w:basedOn w:val="1"/>
    <w:next w:val="19"/>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9">
    <w:name w:val="正文缩进1"/>
    <w:basedOn w:val="1"/>
    <w:next w:val="20"/>
    <w:qFormat/>
    <w:uiPriority w:val="0"/>
    <w:pPr>
      <w:widowControl/>
      <w:spacing w:beforeLines="0" w:afterLines="0" w:line="360" w:lineRule="auto"/>
      <w:ind w:firstLine="420"/>
      <w:jc w:val="left"/>
    </w:pPr>
    <w:rPr>
      <w:sz w:val="24"/>
      <w:szCs w:val="22"/>
    </w:rPr>
  </w:style>
  <w:style w:type="paragraph" w:customStyle="1" w:styleId="20">
    <w:name w:val="td1"/>
    <w:basedOn w:val="1"/>
    <w:next w:val="1"/>
    <w:qFormat/>
    <w:uiPriority w:val="0"/>
    <w:pPr>
      <w:widowControl/>
      <w:adjustRightInd/>
      <w:snapToGrid/>
      <w:spacing w:before="100" w:beforeAutospacing="1" w:after="100" w:afterAutospacing="1" w:line="240" w:lineRule="auto"/>
      <w:ind w:firstLine="0" w:firstLineChars="0"/>
      <w:jc w:val="center"/>
    </w:pPr>
    <w:rPr>
      <w:rFonts w:ascii="宋体" w:hAnsi="宋体"/>
      <w:b/>
      <w:bCs/>
      <w:snapToGrid/>
      <w:color w:val="0000FF"/>
      <w:spacing w:val="-2"/>
      <w:sz w:val="28"/>
      <w:szCs w:val="28"/>
      <w:u w:val="single"/>
    </w:rPr>
  </w:style>
  <w:style w:type="paragraph" w:styleId="21">
    <w:name w:val="Plain Text"/>
    <w:basedOn w:val="1"/>
    <w:next w:val="1"/>
    <w:qFormat/>
    <w:uiPriority w:val="0"/>
    <w:rPr>
      <w:rFonts w:ascii="宋体" w:hAnsi="Courier New"/>
    </w:rPr>
  </w:style>
  <w:style w:type="paragraph" w:styleId="22">
    <w:name w:val="Date"/>
    <w:basedOn w:val="1"/>
    <w:next w:val="1"/>
    <w:link w:val="44"/>
    <w:qFormat/>
    <w:uiPriority w:val="0"/>
    <w:pPr>
      <w:ind w:left="100" w:leftChars="2500"/>
    </w:pPr>
    <w:rPr>
      <w:kern w:val="0"/>
      <w:sz w:val="20"/>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45"/>
    <w:semiHidden/>
    <w:qFormat/>
    <w:uiPriority w:val="0"/>
    <w:rPr>
      <w:sz w:val="18"/>
      <w:szCs w:val="18"/>
    </w:rPr>
  </w:style>
  <w:style w:type="paragraph" w:styleId="25">
    <w:name w:val="footer"/>
    <w:basedOn w:val="1"/>
    <w:link w:val="46"/>
    <w:qFormat/>
    <w:uiPriority w:val="0"/>
    <w:pPr>
      <w:tabs>
        <w:tab w:val="center" w:pos="4153"/>
        <w:tab w:val="right" w:pos="8306"/>
      </w:tabs>
      <w:snapToGrid w:val="0"/>
      <w:jc w:val="left"/>
    </w:pPr>
    <w:rPr>
      <w:sz w:val="18"/>
      <w:szCs w:val="18"/>
    </w:rPr>
  </w:style>
  <w:style w:type="paragraph" w:styleId="26">
    <w:name w:val="header"/>
    <w:basedOn w:val="1"/>
    <w:link w:val="47"/>
    <w:qFormat/>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qFormat/>
    <w:locked/>
    <w:uiPriority w:val="0"/>
    <w:pPr>
      <w:ind w:firstLine="0" w:firstLineChars="0"/>
      <w:outlineLvl w:val="1"/>
    </w:pPr>
    <w:rPr>
      <w:rFonts w:ascii="Cambria" w:hAnsi="Cambria"/>
      <w:b/>
      <w:bCs/>
      <w:kern w:val="28"/>
      <w:sz w:val="30"/>
      <w:szCs w:val="32"/>
    </w:rPr>
  </w:style>
  <w:style w:type="paragraph" w:styleId="28">
    <w:name w:val="toc 2"/>
    <w:basedOn w:val="1"/>
    <w:next w:val="8"/>
    <w:qFormat/>
    <w:locked/>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9">
    <w:name w:val="Normal (Web)"/>
    <w:basedOn w:val="1"/>
    <w:link w:val="48"/>
    <w:qFormat/>
    <w:uiPriority w:val="0"/>
    <w:pPr>
      <w:widowControl/>
      <w:spacing w:before="100" w:beforeAutospacing="1" w:after="100" w:afterAutospacing="1"/>
      <w:jc w:val="left"/>
    </w:pPr>
    <w:rPr>
      <w:rFonts w:ascii="宋体" w:hAnsi="宋体"/>
      <w:kern w:val="0"/>
      <w:sz w:val="24"/>
    </w:rPr>
  </w:style>
  <w:style w:type="paragraph" w:styleId="30">
    <w:name w:val="annotation subject"/>
    <w:basedOn w:val="12"/>
    <w:next w:val="12"/>
    <w:link w:val="49"/>
    <w:semiHidden/>
    <w:qFormat/>
    <w:uiPriority w:val="0"/>
    <w:rPr>
      <w:b/>
      <w:bCs/>
    </w:rPr>
  </w:style>
  <w:style w:type="paragraph" w:styleId="31">
    <w:name w:val="Body Text First Indent"/>
    <w:basedOn w:val="1"/>
    <w:next w:val="32"/>
    <w:qFormat/>
    <w:uiPriority w:val="0"/>
    <w:pPr>
      <w:widowControl w:val="0"/>
      <w:adjustRightInd w:val="0"/>
      <w:snapToGrid w:val="0"/>
      <w:spacing w:after="120" w:line="360" w:lineRule="auto"/>
      <w:ind w:firstLine="420" w:firstLineChars="100"/>
      <w:jc w:val="both"/>
    </w:pPr>
    <w:rPr>
      <w:rFonts w:ascii="Times New Roman" w:hAnsi="Times New Roman" w:eastAsia="宋体" w:cs="Times New Roman"/>
      <w:kern w:val="2"/>
      <w:sz w:val="24"/>
      <w:lang w:val="zh-CN" w:eastAsia="zh-CN" w:bidi="ar-SA"/>
    </w:rPr>
  </w:style>
  <w:style w:type="paragraph" w:styleId="32">
    <w:name w:val="Body Text First Indent 2"/>
    <w:basedOn w:val="15"/>
    <w:next w:val="31"/>
    <w:qFormat/>
    <w:uiPriority w:val="0"/>
    <w:pPr>
      <w:tabs>
        <w:tab w:val="left" w:pos="540"/>
      </w:tabs>
      <w:spacing w:after="120"/>
      <w:ind w:left="420" w:leftChars="200" w:firstLine="420" w:firstLineChars="200"/>
    </w:pPr>
    <w:rPr>
      <w:sz w:val="21"/>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annotation reference"/>
    <w:basedOn w:val="35"/>
    <w:semiHidden/>
    <w:qFormat/>
    <w:uiPriority w:val="0"/>
    <w:rPr>
      <w:sz w:val="21"/>
    </w:rPr>
  </w:style>
  <w:style w:type="paragraph" w:customStyle="1" w:styleId="38">
    <w:name w:val="Default"/>
    <w:basedOn w:val="39"/>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
    <w:name w:val="纯文本1"/>
    <w:basedOn w:val="1"/>
    <w:qFormat/>
    <w:uiPriority w:val="0"/>
    <w:rPr>
      <w:rFonts w:hint="eastAsia" w:ascii="宋体" w:hAnsi="Courier New"/>
      <w:szCs w:val="24"/>
    </w:rPr>
  </w:style>
  <w:style w:type="paragraph" w:customStyle="1" w:styleId="40">
    <w:name w:val="表"/>
    <w:basedOn w:val="1"/>
    <w:next w:val="1"/>
    <w:autoRedefine/>
    <w:qFormat/>
    <w:uiPriority w:val="0"/>
    <w:pPr>
      <w:spacing w:line="360" w:lineRule="auto"/>
      <w:ind w:firstLine="0" w:firstLineChars="0"/>
      <w:jc w:val="center"/>
    </w:pPr>
    <w:rPr>
      <w:b/>
      <w:sz w:val="24"/>
    </w:rPr>
  </w:style>
  <w:style w:type="character" w:customStyle="1" w:styleId="41">
    <w:name w:val="Body Text Char"/>
    <w:link w:val="13"/>
    <w:qFormat/>
    <w:locked/>
    <w:uiPriority w:val="0"/>
    <w:rPr>
      <w:sz w:val="18"/>
    </w:rPr>
  </w:style>
  <w:style w:type="character" w:customStyle="1" w:styleId="42">
    <w:name w:val="Comment Text Char"/>
    <w:link w:val="12"/>
    <w:qFormat/>
    <w:locked/>
    <w:uiPriority w:val="0"/>
    <w:rPr>
      <w:rFonts w:ascii="Times New Roman" w:hAnsi="Times New Roman" w:eastAsia="宋体"/>
      <w:sz w:val="24"/>
    </w:rPr>
  </w:style>
  <w:style w:type="character" w:customStyle="1" w:styleId="43">
    <w:name w:val="Body Text Indent Char"/>
    <w:basedOn w:val="35"/>
    <w:link w:val="15"/>
    <w:semiHidden/>
    <w:qFormat/>
    <w:locked/>
    <w:uiPriority w:val="0"/>
    <w:rPr>
      <w:rFonts w:ascii="Times New Roman" w:hAnsi="Times New Roman" w:eastAsia="宋体" w:cs="Times New Roman"/>
      <w:sz w:val="24"/>
      <w:szCs w:val="24"/>
    </w:rPr>
  </w:style>
  <w:style w:type="character" w:customStyle="1" w:styleId="44">
    <w:name w:val="Date Char"/>
    <w:link w:val="22"/>
    <w:qFormat/>
    <w:locked/>
    <w:uiPriority w:val="0"/>
    <w:rPr>
      <w:rFonts w:ascii="Times New Roman" w:hAnsi="Times New Roman" w:eastAsia="宋体"/>
      <w:sz w:val="24"/>
    </w:rPr>
  </w:style>
  <w:style w:type="character" w:customStyle="1" w:styleId="45">
    <w:name w:val="Balloon Text Char"/>
    <w:basedOn w:val="35"/>
    <w:link w:val="24"/>
    <w:semiHidden/>
    <w:qFormat/>
    <w:locked/>
    <w:uiPriority w:val="0"/>
    <w:rPr>
      <w:rFonts w:ascii="Times New Roman" w:hAnsi="Times New Roman" w:eastAsia="宋体" w:cs="Times New Roman"/>
      <w:sz w:val="18"/>
      <w:szCs w:val="18"/>
    </w:rPr>
  </w:style>
  <w:style w:type="character" w:customStyle="1" w:styleId="46">
    <w:name w:val="Footer Char"/>
    <w:basedOn w:val="35"/>
    <w:link w:val="25"/>
    <w:qFormat/>
    <w:locked/>
    <w:uiPriority w:val="0"/>
    <w:rPr>
      <w:rFonts w:cs="Times New Roman"/>
      <w:sz w:val="18"/>
      <w:szCs w:val="18"/>
    </w:rPr>
  </w:style>
  <w:style w:type="character" w:customStyle="1" w:styleId="47">
    <w:name w:val="Header Char"/>
    <w:basedOn w:val="35"/>
    <w:link w:val="26"/>
    <w:qFormat/>
    <w:locked/>
    <w:uiPriority w:val="0"/>
    <w:rPr>
      <w:rFonts w:cs="Times New Roman"/>
      <w:sz w:val="18"/>
      <w:szCs w:val="18"/>
    </w:rPr>
  </w:style>
  <w:style w:type="character" w:customStyle="1" w:styleId="48">
    <w:name w:val="Normal (Web) Char"/>
    <w:link w:val="29"/>
    <w:qFormat/>
    <w:locked/>
    <w:uiPriority w:val="0"/>
    <w:rPr>
      <w:rFonts w:ascii="宋体" w:hAnsi="宋体" w:eastAsia="宋体"/>
      <w:sz w:val="24"/>
    </w:rPr>
  </w:style>
  <w:style w:type="character" w:customStyle="1" w:styleId="49">
    <w:name w:val="Comment Subject Char"/>
    <w:basedOn w:val="42"/>
    <w:link w:val="30"/>
    <w:semiHidden/>
    <w:qFormat/>
    <w:locked/>
    <w:uiPriority w:val="0"/>
    <w:rPr>
      <w:rFonts w:cs="Times New Roman"/>
      <w:b/>
      <w:bCs/>
      <w:kern w:val="2"/>
      <w:szCs w:val="24"/>
    </w:rPr>
  </w:style>
  <w:style w:type="character" w:customStyle="1" w:styleId="50">
    <w:name w:val="日期 字符"/>
    <w:basedOn w:val="35"/>
    <w:semiHidden/>
    <w:qFormat/>
    <w:uiPriority w:val="0"/>
    <w:rPr>
      <w:rFonts w:ascii="Times New Roman" w:hAnsi="Times New Roman" w:eastAsia="宋体" w:cs="Times New Roman"/>
      <w:sz w:val="24"/>
      <w:szCs w:val="24"/>
    </w:rPr>
  </w:style>
  <w:style w:type="character" w:customStyle="1" w:styleId="51">
    <w:name w:val="正文文本 字符1"/>
    <w:basedOn w:val="35"/>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Times New Roman" w:hAnsi="Times New Roman" w:eastAsia="宋体"/>
      <w:sz w:val="21"/>
    </w:rPr>
  </w:style>
  <w:style w:type="paragraph" w:customStyle="1" w:styleId="54">
    <w:name w:val="表格"/>
    <w:basedOn w:val="1"/>
    <w:next w:val="1"/>
    <w:link w:val="53"/>
    <w:qFormat/>
    <w:uiPriority w:val="0"/>
    <w:pPr>
      <w:adjustRightInd w:val="0"/>
      <w:snapToGrid w:val="0"/>
      <w:spacing w:line="240" w:lineRule="auto"/>
      <w:jc w:val="center"/>
    </w:pPr>
    <w:rPr>
      <w:rFonts w:ascii="Times New Roman" w:hAnsi="Times New Roman" w:eastAsia="宋体"/>
      <w:kern w:val="0"/>
      <w:sz w:val="21"/>
      <w:szCs w:val="21"/>
    </w:rPr>
  </w:style>
  <w:style w:type="character" w:customStyle="1" w:styleId="55">
    <w:name w:val="批注文字 字符1"/>
    <w:basedOn w:val="35"/>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WPSOffice手动目录 1"/>
    <w:qFormat/>
    <w:uiPriority w:val="0"/>
    <w:pPr>
      <w:ind w:leftChars="0"/>
    </w:pPr>
    <w:rPr>
      <w:rFonts w:ascii="Times New Roman" w:hAnsi="Times New Roman" w:eastAsia="宋体" w:cs="Times New Roman"/>
      <w:sz w:val="20"/>
      <w:szCs w:val="20"/>
    </w:rPr>
  </w:style>
  <w:style w:type="character" w:customStyle="1" w:styleId="58">
    <w:name w:val="content1"/>
    <w:qFormat/>
    <w:uiPriority w:val="0"/>
    <w:rPr>
      <w:color w:val="000000"/>
      <w:sz w:val="20"/>
      <w:szCs w:val="20"/>
    </w:rPr>
  </w:style>
  <w:style w:type="paragraph" w:customStyle="1" w:styleId="59">
    <w:name w:val="样式 首行缩进:  2 字符 行距: 固定值 26 磅"/>
    <w:basedOn w:val="1"/>
    <w:qFormat/>
    <w:uiPriority w:val="0"/>
    <w:pPr>
      <w:spacing w:line="520" w:lineRule="exact"/>
      <w:ind w:firstLine="480"/>
    </w:pPr>
    <w:rPr>
      <w:rFonts w:cs="宋体"/>
    </w:rPr>
  </w:style>
  <w:style w:type="paragraph" w:customStyle="1" w:styleId="60">
    <w:name w:val="样式 正文缩进表正文正文非缩进段1Body Text(ch)缩进ALT+Z特点四号正文不缩进标题4正文2..."/>
    <w:basedOn w:val="11"/>
    <w:qFormat/>
    <w:uiPriority w:val="0"/>
    <w:pPr>
      <w:spacing w:line="480" w:lineRule="exact"/>
      <w:ind w:firstLine="480"/>
    </w:pPr>
    <w:rPr>
      <w:rFonts w:cs="宋体"/>
      <w:b/>
      <w:bCs/>
      <w:snapToGrid w:val="0"/>
      <w:kern w:val="28"/>
      <w:sz w:val="24"/>
      <w:szCs w:val="24"/>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3">
    <w:name w:val="景深表格"/>
    <w:qFormat/>
    <w:uiPriority w:val="0"/>
    <w:pPr>
      <w:widowControl w:val="0"/>
      <w:adjustRightInd w:val="0"/>
      <w:snapToGrid w:val="0"/>
      <w:spacing w:line="240" w:lineRule="auto"/>
      <w:jc w:val="center"/>
    </w:pPr>
    <w:rPr>
      <w:rFonts w:ascii="Times New Roman" w:hAnsi="Times New Roman" w:eastAsia="宋体" w:cs="Times New Roman"/>
      <w:kern w:val="2"/>
      <w:sz w:val="18"/>
      <w:szCs w:val="24"/>
      <w:lang w:val="en-US" w:eastAsia="zh-CN" w:bidi="ar-SA"/>
    </w:rPr>
  </w:style>
  <w:style w:type="paragraph" w:customStyle="1" w:styleId="64">
    <w:name w:val="Table Paragraph"/>
    <w:basedOn w:val="1"/>
    <w:qFormat/>
    <w:uiPriority w:val="1"/>
    <w:rPr>
      <w:rFonts w:ascii="宋体" w:hAnsi="宋体" w:eastAsia="宋体" w:cs="宋体"/>
    </w:rPr>
  </w:style>
  <w:style w:type="paragraph" w:customStyle="1" w:styleId="6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6">
    <w:name w:val="样式 (符号) 宋体 小四 行距: 1.5 倍行距"/>
    <w:basedOn w:val="1"/>
    <w:qFormat/>
    <w:uiPriority w:val="0"/>
    <w:pPr>
      <w:spacing w:line="360" w:lineRule="auto"/>
      <w:ind w:firstLine="480" w:firstLineChars="200"/>
    </w:pPr>
    <w:rPr>
      <w:rFonts w:hAnsi="宋体" w:cs="宋体"/>
    </w:rPr>
  </w:style>
  <w:style w:type="paragraph" w:customStyle="1" w:styleId="67">
    <w:name w:val="样式35"/>
    <w:basedOn w:val="1"/>
    <w:next w:val="68"/>
    <w:qFormat/>
    <w:uiPriority w:val="0"/>
    <w:pPr>
      <w:spacing w:line="312" w:lineRule="auto"/>
      <w:ind w:firstLine="567"/>
    </w:pPr>
    <w:rPr>
      <w:rFonts w:ascii="宋体" w:hAnsi="Times New Roman" w:eastAsia="宋体" w:cs="Times New Roman"/>
    </w:rPr>
  </w:style>
  <w:style w:type="paragraph" w:customStyle="1" w:styleId="68">
    <w:name w:val="font6"/>
    <w:basedOn w:val="1"/>
    <w:next w:val="28"/>
    <w:qFormat/>
    <w:uiPriority w:val="0"/>
    <w:pPr>
      <w:widowControl/>
      <w:spacing w:before="100" w:beforeAutospacing="1" w:after="100" w:afterAutospacing="1"/>
      <w:jc w:val="left"/>
    </w:pPr>
    <w:rPr>
      <w:rFonts w:ascii="宋体" w:hAnsi="宋体" w:eastAsia="宋体" w:cs="宋体"/>
      <w:kern w:val="0"/>
      <w:sz w:val="20"/>
    </w:rPr>
  </w:style>
  <w:style w:type="paragraph" w:customStyle="1" w:styleId="69">
    <w:name w:val="正文缩进两格"/>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70">
    <w:name w:val="正文文本 全"/>
    <w:basedOn w:val="13"/>
    <w:qFormat/>
    <w:uiPriority w:val="0"/>
    <w:pPr>
      <w:spacing w:before="0" w:after="0" w:line="360" w:lineRule="auto"/>
      <w:ind w:right="0" w:firstLine="200" w:firstLineChars="200"/>
    </w:pPr>
    <w:rPr>
      <w:sz w:val="21"/>
    </w:rPr>
  </w:style>
  <w:style w:type="paragraph" w:customStyle="1" w:styleId="71">
    <w:name w:val="段落"/>
    <w:basedOn w:val="1"/>
    <w:semiHidden/>
    <w:qFormat/>
    <w:uiPriority w:val="0"/>
    <w:pPr>
      <w:tabs>
        <w:tab w:val="left" w:pos="0"/>
      </w:tabs>
      <w:snapToGrid w:val="0"/>
      <w:spacing w:line="360" w:lineRule="auto"/>
      <w:ind w:firstLine="539"/>
    </w:pPr>
    <w:rPr>
      <w:bCs/>
      <w:kern w:val="10"/>
      <w:szCs w:val="24"/>
    </w:rPr>
  </w:style>
  <w:style w:type="paragraph" w:customStyle="1" w:styleId="72">
    <w:name w:val="样式9"/>
    <w:basedOn w:val="1"/>
    <w:qFormat/>
    <w:uiPriority w:val="0"/>
    <w:pPr>
      <w:adjustRightInd w:val="0"/>
      <w:snapToGrid w:val="0"/>
      <w:spacing w:line="460" w:lineRule="exact"/>
      <w:ind w:firstLine="520" w:firstLineChars="200"/>
    </w:pPr>
    <w:rPr>
      <w:sz w:val="26"/>
      <w:szCs w:val="26"/>
    </w:rPr>
  </w:style>
  <w:style w:type="paragraph" w:customStyle="1" w:styleId="73">
    <w:name w:val="zw"/>
    <w:basedOn w:val="1"/>
    <w:qFormat/>
    <w:uiPriority w:val="0"/>
    <w:pPr>
      <w:shd w:val="clear" w:color="auto" w:fill="FFFFFF"/>
      <w:adjustRightInd w:val="0"/>
      <w:snapToGrid w:val="0"/>
      <w:spacing w:line="360" w:lineRule="auto"/>
      <w:ind w:firstLine="480" w:firstLineChars="200"/>
    </w:pPr>
    <w:rPr>
      <w:kern w:val="0"/>
      <w:sz w:val="24"/>
      <w:shd w:val="clear" w:color="auto" w:fill="FFFFFF"/>
    </w:rPr>
  </w:style>
  <w:style w:type="paragraph" w:customStyle="1" w:styleId="74">
    <w:name w:val="文本正文"/>
    <w:basedOn w:val="1"/>
    <w:qFormat/>
    <w:uiPriority w:val="0"/>
    <w:pPr>
      <w:snapToGrid w:val="0"/>
      <w:spacing w:line="360" w:lineRule="auto"/>
      <w:ind w:firstLine="560" w:firstLineChars="200"/>
      <w:jc w:val="left"/>
    </w:pPr>
    <w:rPr>
      <w:rFonts w:cs="宋体"/>
      <w:kern w:val="0"/>
      <w:sz w:val="28"/>
      <w:szCs w:val="28"/>
    </w:rPr>
  </w:style>
  <w:style w:type="paragraph" w:customStyle="1" w:styleId="75">
    <w:name w:val="正文文字"/>
    <w:basedOn w:val="11"/>
    <w:qFormat/>
    <w:uiPriority w:val="0"/>
    <w:pPr>
      <w:adjustRightInd w:val="0"/>
      <w:snapToGrid w:val="0"/>
    </w:pPr>
    <w:rPr>
      <w:rFonts w:eastAsia="宋体"/>
      <w:kern w:val="2"/>
      <w:sz w:val="24"/>
      <w:szCs w:val="24"/>
      <w:lang w:val="en-US" w:eastAsia="zh-CN" w:bidi="ar-SA"/>
    </w:rPr>
  </w:style>
  <w:style w:type="paragraph" w:customStyle="1" w:styleId="76">
    <w:name w:val="报告书正文"/>
    <w:basedOn w:val="31"/>
    <w:qFormat/>
    <w:uiPriority w:val="0"/>
    <w:pPr>
      <w:spacing w:after="0" w:line="360" w:lineRule="auto"/>
      <w:ind w:firstLine="200" w:firstLineChars="200"/>
    </w:pPr>
    <w:rPr>
      <w:sz w:val="24"/>
    </w:rPr>
  </w:style>
  <w:style w:type="paragraph" w:customStyle="1" w:styleId="77">
    <w:name w:val="标准样式"/>
    <w:basedOn w:val="1"/>
    <w:qFormat/>
    <w:uiPriority w:val="0"/>
    <w:pPr>
      <w:spacing w:line="600" w:lineRule="exact"/>
      <w:ind w:firstLine="567"/>
    </w:pPr>
    <w:rPr>
      <w:sz w:val="28"/>
    </w:rPr>
  </w:style>
  <w:style w:type="paragraph" w:customStyle="1" w:styleId="78">
    <w:name w:val="提头"/>
    <w:basedOn w:val="1"/>
    <w:next w:val="1"/>
    <w:qFormat/>
    <w:uiPriority w:val="0"/>
    <w:pPr>
      <w:numPr>
        <w:ilvl w:val="4"/>
        <w:numId w:val="2"/>
      </w:numPr>
      <w:tabs>
        <w:tab w:val="left" w:pos="227"/>
      </w:tabs>
      <w:spacing w:line="360" w:lineRule="auto"/>
      <w:jc w:val="center"/>
    </w:pPr>
    <w:rPr>
      <w:rFonts w:ascii="Times New Roman" w:hAnsi="Times New Roman" w:eastAsia="宋体" w:cs="Times New Roman"/>
      <w:b/>
      <w:sz w:val="24"/>
      <w:szCs w:val="24"/>
    </w:rPr>
  </w:style>
  <w:style w:type="paragraph" w:customStyle="1" w:styleId="79">
    <w:name w:val="无间隔1"/>
    <w:basedOn w:val="1"/>
    <w:qFormat/>
    <w:uiPriority w:val="0"/>
    <w:pPr>
      <w:widowControl/>
      <w:spacing w:before="20" w:after="20" w:line="0" w:lineRule="atLeast"/>
      <w:jc w:val="center"/>
    </w:pPr>
    <w:rPr>
      <w:kern w:val="0"/>
      <w:sz w:val="24"/>
      <w:szCs w:val="24"/>
    </w:rPr>
  </w:style>
  <w:style w:type="paragraph" w:customStyle="1" w:styleId="80">
    <w:name w:val="C图表标题"/>
    <w:basedOn w:val="1"/>
    <w:autoRedefine/>
    <w:qFormat/>
    <w:uiPriority w:val="0"/>
    <w:pPr>
      <w:ind w:firstLine="0" w:firstLineChars="0"/>
      <w:jc w:val="center"/>
      <w:outlineLvl w:val="4"/>
    </w:pPr>
    <w:rPr>
      <w:rFonts w:eastAsia="黑体"/>
    </w:rPr>
  </w:style>
  <w:style w:type="paragraph" w:customStyle="1" w:styleId="81">
    <w:name w:val="B表格文字"/>
    <w:basedOn w:val="1"/>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zkwMDY0MjMwOTgwIiwKCSJHcm91cElkIiA6ICI2ODYyMTI1MTQiLAoJIkltYWdlIiA6ICJpVkJPUncwS0dnb0FBQUFOU1VoRVVnQUFBZmdBQUFHYkNBWUFBQUFvU0lLTEFBQUFBWE5TUjBJQXJzNGM2UUFBSUFCSlJFRlVlSnpzM1hsWVZHWC9CdkQ3T1RQQWdJT2lvcmhnNFc0b3lFQnZyNVpycFdhV3FhbVZaZVdTbWxsbXZxWDJscHE3cFpYOVNuUEpwVXhOelZ6S3lrdzBLNWRrWmtURERSVVU5OFNGblprNXorOFBtSG5aQmtHQmdlSCtYRmRYdzVsbnpuekhrbnZPT2MvNVBn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HZVL3dOdC9NdWN4S3BCUEFBQUFBQkpSVTVFcmtKZ2dnPT0iLAoJIlRoZW1lIiA6ICIiLAoJIlR5cGUiIDogImZsb3ciLAoJIlVzZXJJZCIgOiAiNjA3MDk1Mjg1IiwKCSJWZXJzaW9uIiA6ICIiCn0K"/>
    </extobj>
    <extobj name="ECB019B1-382A-4266-B25C-5B523AA43C14-2">
      <extobjdata type="ECB019B1-382A-4266-B25C-5B523AA43C14" data="ewoJIkZpbGVJZCIgOiAiMzc3NzM5MzA5MzE0IiwKCSJHcm91cElkIiA6ICI2ODYyMTI1MTQiLAoJIkltYWdlIiA6ICJpVkJPUncwS0dnb0FBQUFOU1VoRVVnQUFCWjRBQUFSNENBWUFBQUNHZ01PMUFBQUFBWE5TUjBJQXJzNGM2UUFBSUFCSlJFRlVlSnpzM1hsOFRGZi9CL0RQblRYN0prUVdSSVNJRUltaTFxYlVnOUx5ME5wcGJhV29oNVpTajcwVXRWVFYxaXFpbE5wcmVhby9XaFNsdFNleFppRkJSQ0tSVFpiWjcrK1BOTk5NTXRrVWs4am4vWHA1TVdmT3ZmZVRtSFBJZDg2Y0N4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IvN0QvQTlncHcrZmI3R3FuQUFBQUFFbEZUa1N1UW1DQyIsCgkiVGhlbWUiIDogIiIsCgkiVHlwZSIgOiAiZmxvdyIsCgkiVXNlcklkIiA6ICI2MDcwOTUyODUiLAoJIlZlcnNpb24iIDogIjEwMiIKfQo="/>
    </extobj>
    <extobj name="ECB019B1-382A-4266-B25C-5B523AA43C14-3">
      <extobjdata type="ECB019B1-382A-4266-B25C-5B523AA43C14" data="ewoJIkZpbGVJZCIgOiAiMzc3Nzg1OTk2NzI1IiwKCSJHcm91cElkIiA6ICI2ODYyMTI1MTQiLAoJIkltYWdlIiA6ICJpVkJPUncwS0dnb0FBQUFOU1VoRVVnQUFBNGdBQUFNUUNBWUFBQUJsaFV2Z0FBQUFBWE5TUjBJQXJzNGM2UUFBSUFCSlJFRlVlSnpzM1hsOEZQWDVCL0RQTTdQWlRVSUNCaEV2cXFoUmNDSEp6c1NyM2dyYWVtQ3BOeGIxQjBWRVFmSEFHMCs4ejNyVjBvb1VSVnU4cUJkZXhhTm92Y2pPc3NFSUVvV1dpRGMzeVNiWm5lZjNSM2JUVGJLYmJFSWdBVDd2MTRzWDJabnZmT2NaeUNUenpQY0N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Ex6OGZ3VnU3Z0lFZjYrV0FBQUFBRWxGVGtTdVFtQ0MiLAoJIlRoZW1lIiA6ICIiLAoJIlR5cGUiIDogImZsb3ciLAoJIlVzZXJJZCIgOiAiNjA3MDk1Mjg1IiwKCSJWZXJzaW9uIiA6ICIyOSIKfQo="/>
    </extobj>
    <extobj name="ECB019B1-382A-4266-B25C-5B523AA43C14-4">
      <extobjdata type="ECB019B1-382A-4266-B25C-5B523AA43C14" data="ewoJIkZpbGVJZCIgOiAiMzc3ODg5ODEzMDQ2IiwKCSJHcm91cElkIiA6ICI2ODYyMTI1MTQiLAoJIkltYWdlIiA6ICJpVkJPUncwS0dnb0FBQUFOU1VoRVVnQUFCRXNBQUFOekNBWUFBQUJSVnBZMUFBQUFBWE5TUjBJQXJzNGM2UUFBSUFCSlJFRlVlSnpzM1hsOFZOWDVQL0RQYys1TU1na2tMSUtnb2thTGdnRm03cjBSVjl4M3FxTFdwYlpxclhXcGxicFVmNjBMYW5IZnQ3cmdDbHJGRFcxclhlbFhVYkdLU3U2ZEJJaUlVYUlpTG9Bc1lRbkp6SDErZjJRbW5TU1REUWhCOG5tL1hyNlNPZmZjYzU4Yk0yVG1tWE9lQX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RDEvaitCQW83a0RsZDJrQUFBQUFCSlJVNUVya0pnZ2c9PSIsCgkiVGhlbWUiIDogIiIsCgkiVHlwZSIgOiAiZmxvdyIsCgkiVXNlcklkIiA6ICI2MDcwOTUyODUiLAoJIlZlcnNpb24iIDogIjU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118</Pages>
  <Words>131</Words>
  <Characters>162</Characters>
  <Lines>9</Lines>
  <Paragraphs>2</Paragraphs>
  <TotalTime>0</TotalTime>
  <ScaleCrop>false</ScaleCrop>
  <LinksUpToDate>false</LinksUpToDate>
  <CharactersWithSpaces>171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zey</cp:lastModifiedBy>
  <cp:lastPrinted>2020-12-24T01:50:00Z</cp:lastPrinted>
  <dcterms:modified xsi:type="dcterms:W3CDTF">2025-04-28T01:34:51Z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25C7EFF000E947CE83F4395D6C529B4C</vt:lpwstr>
  </property>
  <property fmtid="{D5CDD505-2E9C-101B-9397-08002B2CF9AE}" pid="4" name="KSOTemplateDocerSaveRecord">
    <vt:lpwstr>eyJoZGlkIjoiYWVhNDAwMjJiZTcwZmI1NmJiZWQwNmEzNzFlOTMwNzgiLCJ1c2VySWQiOiI2MDcwOTUyODUifQ==</vt:lpwstr>
  </property>
</Properties>
</file>