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27" w:rsidRPr="00992227" w:rsidRDefault="00992227" w:rsidP="00992227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22650"/>
      <w:r w:rsidRPr="00992227">
        <w:rPr>
          <w:rFonts w:eastAsia="仿宋_GB2312"/>
          <w:b/>
          <w:bCs/>
          <w:sz w:val="28"/>
          <w:szCs w:val="28"/>
        </w:rPr>
        <w:t>4.</w:t>
      </w:r>
      <w:r w:rsidRPr="00992227">
        <w:rPr>
          <w:rFonts w:eastAsia="仿宋_GB2312"/>
          <w:b/>
          <w:bCs/>
          <w:sz w:val="28"/>
          <w:szCs w:val="28"/>
        </w:rPr>
        <w:t>预购预告登记</w:t>
      </w:r>
      <w:r w:rsidRPr="00992227">
        <w:rPr>
          <w:rFonts w:eastAsia="仿宋_GB2312"/>
          <w:b/>
          <w:bCs/>
          <w:sz w:val="28"/>
          <w:szCs w:val="28"/>
        </w:rPr>
        <w:t>+</w:t>
      </w:r>
      <w:r w:rsidRPr="00992227">
        <w:rPr>
          <w:rFonts w:eastAsia="仿宋_GB2312"/>
          <w:b/>
          <w:bCs/>
          <w:sz w:val="28"/>
          <w:szCs w:val="28"/>
        </w:rPr>
        <w:t>抵押预告登记（公积金）</w:t>
      </w:r>
      <w:r w:rsidRPr="00992227">
        <w:rPr>
          <w:rFonts w:eastAsia="仿宋_GB2312"/>
          <w:b/>
          <w:bCs/>
          <w:sz w:val="28"/>
          <w:szCs w:val="28"/>
        </w:rPr>
        <w:t>+</w:t>
      </w:r>
      <w:r w:rsidRPr="00992227">
        <w:rPr>
          <w:rFonts w:eastAsia="仿宋_GB2312"/>
          <w:b/>
          <w:bCs/>
          <w:sz w:val="28"/>
          <w:szCs w:val="28"/>
        </w:rPr>
        <w:t>抵押预告登记（银行）</w:t>
      </w:r>
      <w:bookmarkEnd w:id="0"/>
    </w:p>
    <w:p w:rsidR="00992227" w:rsidRPr="00992227" w:rsidRDefault="00992227" w:rsidP="0099222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992227">
        <w:rPr>
          <w:rFonts w:ascii="仿宋" w:eastAsia="仿宋" w:hAnsi="仿宋"/>
          <w:color w:val="000000"/>
          <w:sz w:val="28"/>
          <w:szCs w:val="28"/>
        </w:rPr>
        <w:t>（1）适用情形</w:t>
      </w:r>
      <w:r w:rsidRPr="00992227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992227" w:rsidRPr="00992227" w:rsidRDefault="00992227" w:rsidP="0099222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92227">
        <w:rPr>
          <w:rFonts w:ascii="仿宋" w:eastAsia="仿宋" w:hAnsi="仿宋"/>
          <w:sz w:val="28"/>
          <w:szCs w:val="28"/>
        </w:rPr>
        <w:t>适用于预售商品房的预告登记和</w:t>
      </w:r>
      <w:r w:rsidRPr="00992227">
        <w:rPr>
          <w:rFonts w:ascii="仿宋" w:eastAsia="仿宋" w:hAnsi="仿宋"/>
          <w:color w:val="000000"/>
          <w:sz w:val="28"/>
          <w:szCs w:val="28"/>
        </w:rPr>
        <w:t>办理公积金+银行的组合抵押贷款预告</w:t>
      </w:r>
      <w:r w:rsidRPr="00992227">
        <w:rPr>
          <w:rFonts w:ascii="仿宋" w:eastAsia="仿宋" w:hAnsi="仿宋"/>
          <w:sz w:val="28"/>
          <w:szCs w:val="28"/>
        </w:rPr>
        <w:t>合并办理的情形。</w:t>
      </w:r>
    </w:p>
    <w:p w:rsidR="00992227" w:rsidRPr="00992227" w:rsidRDefault="00992227" w:rsidP="0099222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992227">
        <w:rPr>
          <w:rFonts w:ascii="仿宋" w:eastAsia="仿宋" w:hAnsi="仿宋"/>
          <w:color w:val="000000"/>
          <w:sz w:val="28"/>
          <w:szCs w:val="28"/>
        </w:rPr>
        <w:t>（2）申请主体</w:t>
      </w:r>
      <w:r w:rsidRPr="00992227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992227" w:rsidRPr="00992227" w:rsidRDefault="00992227" w:rsidP="00992227">
      <w:pPr>
        <w:ind w:left="640" w:firstLine="640"/>
        <w:rPr>
          <w:rFonts w:ascii="仿宋" w:eastAsia="仿宋" w:hAnsi="仿宋"/>
          <w:color w:val="000000"/>
          <w:sz w:val="28"/>
          <w:szCs w:val="28"/>
        </w:rPr>
      </w:pPr>
      <w:r w:rsidRPr="00992227">
        <w:rPr>
          <w:rFonts w:ascii="仿宋" w:eastAsia="仿宋" w:hAnsi="仿宋"/>
          <w:color w:val="000000"/>
          <w:sz w:val="28"/>
          <w:szCs w:val="28"/>
        </w:rPr>
        <w:t>转移双方、抵押人和抵押权人共同申请。</w:t>
      </w:r>
    </w:p>
    <w:p w:rsidR="00992227" w:rsidRPr="00992227" w:rsidRDefault="00992227" w:rsidP="00992227">
      <w:pPr>
        <w:numPr>
          <w:ilvl w:val="0"/>
          <w:numId w:val="1"/>
        </w:numPr>
        <w:ind w:firstLineChars="200" w:firstLine="560"/>
        <w:rPr>
          <w:rFonts w:ascii="仿宋" w:eastAsia="仿宋" w:hAnsi="仿宋"/>
          <w:sz w:val="28"/>
          <w:szCs w:val="28"/>
        </w:rPr>
      </w:pPr>
      <w:r w:rsidRPr="00992227">
        <w:rPr>
          <w:rFonts w:ascii="仿宋" w:eastAsia="仿宋" w:hAnsi="仿宋"/>
          <w:sz w:val="28"/>
          <w:szCs w:val="28"/>
        </w:rPr>
        <w:t>申请材料和审查要点</w:t>
      </w:r>
      <w:r w:rsidRPr="00992227">
        <w:rPr>
          <w:rFonts w:ascii="仿宋" w:eastAsia="仿宋" w:hAnsi="仿宋" w:hint="eastAsia"/>
          <w:sz w:val="28"/>
          <w:szCs w:val="28"/>
        </w:rPr>
        <w:t>：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9"/>
        <w:gridCol w:w="4547"/>
        <w:gridCol w:w="703"/>
      </w:tblGrid>
      <w:tr w:rsidR="00992227" w:rsidTr="0074043B">
        <w:trPr>
          <w:tblHeader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申请材料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992227" w:rsidTr="0074043B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1.</w:t>
            </w:r>
            <w:r>
              <w:rPr>
                <w:rFonts w:eastAsia="仿宋_GB2312"/>
                <w:color w:val="000000"/>
                <w:sz w:val="24"/>
                <w:szCs w:val="24"/>
              </w:rPr>
              <w:t>不动产登记申请书（公积金和银行盖章）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98730D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92227" w:rsidTr="0074043B">
        <w:trPr>
          <w:trHeight w:val="9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2.</w:t>
            </w:r>
            <w:r>
              <w:rPr>
                <w:rFonts w:eastAsia="仿宋_GB2312"/>
                <w:color w:val="000000"/>
                <w:sz w:val="24"/>
                <w:szCs w:val="24"/>
              </w:rPr>
              <w:t>申请人身份证明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 w:rsidRPr="0098730D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992227" w:rsidTr="0074043B">
        <w:trPr>
          <w:trHeight w:val="9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3.</w:t>
            </w:r>
            <w:r>
              <w:rPr>
                <w:rFonts w:eastAsia="仿宋_GB2312"/>
                <w:color w:val="000000"/>
                <w:sz w:val="24"/>
                <w:szCs w:val="24"/>
              </w:rPr>
              <w:t>当事人关于预告登记的约定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约定是否真实有效且合法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992227" w:rsidTr="0074043B">
        <w:trPr>
          <w:trHeight w:val="1435"/>
        </w:trPr>
        <w:tc>
          <w:tcPr>
            <w:tcW w:w="3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4.</w:t>
            </w:r>
            <w:r>
              <w:rPr>
                <w:rFonts w:eastAsia="仿宋_GB2312"/>
                <w:color w:val="000000"/>
                <w:sz w:val="24"/>
                <w:szCs w:val="24"/>
              </w:rPr>
              <w:t>商品房预售合同</w:t>
            </w:r>
          </w:p>
        </w:tc>
        <w:tc>
          <w:tcPr>
            <w:tcW w:w="4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核对合同是否签名、盖章、签约日期是否完整、准确；</w:t>
            </w:r>
          </w:p>
          <w:p w:rsidR="00992227" w:rsidRDefault="00992227" w:rsidP="0074043B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核对申请转移的事项与合同的内容是否一致；</w:t>
            </w:r>
          </w:p>
          <w:p w:rsidR="00992227" w:rsidRDefault="00992227" w:rsidP="0074043B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核对转让方是否与不动产登记簿记载的主体一致。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  <w:tr w:rsidR="00992227" w:rsidTr="0074043B">
        <w:trPr>
          <w:trHeight w:val="1535"/>
        </w:trPr>
        <w:tc>
          <w:tcPr>
            <w:tcW w:w="3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5.</w:t>
            </w:r>
            <w:r>
              <w:rPr>
                <w:rFonts w:eastAsia="仿宋_GB2312"/>
                <w:color w:val="000000"/>
                <w:sz w:val="24"/>
                <w:szCs w:val="24"/>
              </w:rPr>
              <w:t>公积金和银行的借款和抵押合同</w:t>
            </w:r>
          </w:p>
        </w:tc>
        <w:tc>
          <w:tcPr>
            <w:tcW w:w="4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合同上记载的抵押人、抵押权人、借款人被担保主债权的数额或种类、担保范围、债务履行期限、抵押不动产是否明确；</w:t>
            </w:r>
          </w:p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2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最高额抵押权登记的，最高额债权额度、债权确定的期间是否明确；</w:t>
            </w:r>
          </w:p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申请人与不动产权证书或不动产登记证明、主债权合同、抵押合同、最高额抵押合同等记载的主体是否一致。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  <w:tr w:rsidR="00992227" w:rsidTr="0074043B">
        <w:trPr>
          <w:trHeight w:val="90"/>
        </w:trPr>
        <w:tc>
          <w:tcPr>
            <w:tcW w:w="3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6.</w:t>
            </w:r>
            <w:r>
              <w:rPr>
                <w:rFonts w:eastAsia="仿宋_GB2312"/>
                <w:color w:val="000000"/>
                <w:sz w:val="24"/>
                <w:szCs w:val="24"/>
              </w:rPr>
              <w:t>公积金跟银行出具办理抵押预抵押顺位登记函</w:t>
            </w:r>
          </w:p>
        </w:tc>
        <w:tc>
          <w:tcPr>
            <w:tcW w:w="4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核对是否有效。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  <w:tr w:rsidR="00992227" w:rsidTr="0074043B">
        <w:trPr>
          <w:trHeight w:val="90"/>
        </w:trPr>
        <w:tc>
          <w:tcPr>
            <w:tcW w:w="3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7.</w:t>
            </w:r>
            <w:r>
              <w:rPr>
                <w:rFonts w:eastAsia="仿宋_GB2312"/>
                <w:color w:val="000000"/>
                <w:sz w:val="24"/>
                <w:szCs w:val="24"/>
              </w:rPr>
              <w:t>预售人与预购人在商品房预售合同中对预告登记附有条件和期限的，预购人应当提交相应材料</w:t>
            </w:r>
          </w:p>
        </w:tc>
        <w:tc>
          <w:tcPr>
            <w:tcW w:w="4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核对条件和期限的具体内容。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27" w:rsidRDefault="00992227" w:rsidP="0074043B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</w:tbl>
    <w:p w:rsidR="00992227" w:rsidRPr="00992227" w:rsidRDefault="00992227" w:rsidP="00992227">
      <w:pPr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>（</w:t>
      </w:r>
      <w:r w:rsidRPr="00992227">
        <w:rPr>
          <w:rFonts w:ascii="仿宋" w:eastAsia="仿宋" w:hAnsi="仿宋" w:hint="eastAsia"/>
          <w:sz w:val="28"/>
          <w:szCs w:val="28"/>
        </w:rPr>
        <w:t>4）办理流程及时限：申请（申请、受理）、审核、发证（登簿、缴费、发证）；自受理登记申请之日起3个工作日内办结。</w:t>
      </w:r>
    </w:p>
    <w:p w:rsidR="00812106" w:rsidRPr="00992227" w:rsidRDefault="00812106">
      <w:pPr>
        <w:rPr>
          <w:rFonts w:ascii="仿宋" w:eastAsia="仿宋" w:hAnsi="仿宋"/>
          <w:sz w:val="28"/>
          <w:szCs w:val="28"/>
        </w:rPr>
      </w:pPr>
    </w:p>
    <w:sectPr w:rsidR="00812106" w:rsidRPr="00992227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CBBB83B"/>
    <w:multiLevelType w:val="singleLevel"/>
    <w:tmpl w:val="DCBBB83B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2227"/>
    <w:rsid w:val="00812106"/>
    <w:rsid w:val="0099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2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2021-07-28T08:48:00Z</dcterms:created>
  <dcterms:modified xsi:type="dcterms:W3CDTF">2021-07-28T08:49:00Z</dcterms:modified>
</cp:coreProperties>
</file>